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7DBF43">
      <w:pPr>
        <w:spacing w:line="360" w:lineRule="auto"/>
        <w:jc w:val="center"/>
        <w:rPr>
          <w:rFonts w:ascii="宋体" w:hAnsi="宋体" w:cs="宋体"/>
          <w:b/>
          <w:color w:val="auto"/>
          <w:sz w:val="24"/>
          <w:highlight w:val="none"/>
        </w:rPr>
      </w:pPr>
    </w:p>
    <w:p w14:paraId="5FF9BEBC">
      <w:pPr>
        <w:spacing w:line="360" w:lineRule="auto"/>
        <w:jc w:val="center"/>
        <w:rPr>
          <w:rFonts w:ascii="宋体" w:hAnsi="宋体" w:cs="宋体"/>
          <w:b/>
          <w:color w:val="auto"/>
          <w:sz w:val="24"/>
          <w:highlight w:val="none"/>
        </w:rPr>
      </w:pPr>
    </w:p>
    <w:p w14:paraId="74824B82">
      <w:pPr>
        <w:adjustRightInd/>
        <w:spacing w:line="360" w:lineRule="auto"/>
        <w:jc w:val="both"/>
        <w:rPr>
          <w:rFonts w:ascii="宋体" w:hAnsi="宋体" w:cs="宋体"/>
          <w:b/>
          <w:color w:val="auto"/>
          <w:sz w:val="48"/>
          <w:szCs w:val="48"/>
          <w:highlight w:val="none"/>
        </w:rPr>
      </w:pPr>
    </w:p>
    <w:p w14:paraId="6DCE6723">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长寿桥小学维修改造工程</w:t>
      </w:r>
    </w:p>
    <w:p w14:paraId="48AD9730">
      <w:pPr>
        <w:adjustRightInd/>
        <w:spacing w:line="360" w:lineRule="auto"/>
        <w:jc w:val="center"/>
        <w:rPr>
          <w:rFonts w:hint="eastAsia" w:ascii="宋体" w:hAnsi="宋体" w:cs="宋体"/>
          <w:color w:val="auto"/>
          <w:sz w:val="48"/>
          <w:szCs w:val="48"/>
          <w:highlight w:val="none"/>
        </w:rPr>
      </w:pPr>
    </w:p>
    <w:p w14:paraId="77AE1CB4">
      <w:pPr>
        <w:adjustRightInd/>
        <w:spacing w:line="360" w:lineRule="auto"/>
        <w:jc w:val="center"/>
        <w:rPr>
          <w:rFonts w:hint="eastAsia" w:ascii="宋体" w:hAnsi="宋体" w:cs="宋体"/>
          <w:color w:val="auto"/>
          <w:sz w:val="48"/>
          <w:szCs w:val="48"/>
          <w:highlight w:val="none"/>
        </w:rPr>
      </w:pPr>
    </w:p>
    <w:p w14:paraId="6209625D">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竞争性磋商文件</w:t>
      </w:r>
    </w:p>
    <w:p w14:paraId="3FA171FC">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14:paraId="32F78264">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XJZB[2025]044</w:t>
      </w:r>
    </w:p>
    <w:p w14:paraId="6636106E">
      <w:pPr>
        <w:adjustRightInd/>
        <w:spacing w:line="360" w:lineRule="auto"/>
        <w:rPr>
          <w:rFonts w:ascii="宋体" w:hAnsi="宋体" w:cs="宋体"/>
          <w:color w:val="auto"/>
          <w:sz w:val="28"/>
          <w:szCs w:val="20"/>
          <w:highlight w:val="none"/>
        </w:rPr>
      </w:pPr>
    </w:p>
    <w:p w14:paraId="29575E38">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61DF36F">
      <w:pPr>
        <w:spacing w:line="360" w:lineRule="auto"/>
        <w:jc w:val="center"/>
        <w:rPr>
          <w:rFonts w:ascii="宋体" w:hAnsi="宋体" w:cs="宋体"/>
          <w:b/>
          <w:color w:val="auto"/>
          <w:sz w:val="44"/>
          <w:szCs w:val="44"/>
          <w:highlight w:val="none"/>
        </w:rPr>
      </w:pPr>
    </w:p>
    <w:p w14:paraId="69AD9D65">
      <w:pPr>
        <w:spacing w:line="360" w:lineRule="auto"/>
        <w:jc w:val="center"/>
        <w:rPr>
          <w:rFonts w:ascii="宋体" w:hAnsi="宋体" w:cs="宋体"/>
          <w:color w:val="auto"/>
          <w:sz w:val="24"/>
          <w:highlight w:val="none"/>
        </w:rPr>
      </w:pPr>
    </w:p>
    <w:p w14:paraId="2B280CA0">
      <w:pPr>
        <w:spacing w:line="360" w:lineRule="auto"/>
        <w:jc w:val="center"/>
        <w:rPr>
          <w:rFonts w:ascii="宋体" w:hAnsi="宋体" w:cs="宋体"/>
          <w:color w:val="auto"/>
          <w:sz w:val="24"/>
          <w:highlight w:val="none"/>
        </w:rPr>
      </w:pPr>
    </w:p>
    <w:p w14:paraId="48464C71">
      <w:pPr>
        <w:spacing w:line="360" w:lineRule="auto"/>
        <w:rPr>
          <w:rFonts w:ascii="宋体" w:hAnsi="宋体" w:cs="宋体"/>
          <w:color w:val="auto"/>
          <w:sz w:val="32"/>
          <w:szCs w:val="32"/>
          <w:highlight w:val="none"/>
        </w:rPr>
      </w:pPr>
    </w:p>
    <w:p w14:paraId="1C6CE0C1">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杭州市长寿桥小学</w:t>
      </w:r>
    </w:p>
    <w:p w14:paraId="637D46CC">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浙江西建工程管理有限公司</w:t>
      </w:r>
    </w:p>
    <w:p w14:paraId="2C8B77E2">
      <w:pPr>
        <w:snapToGrid w:val="0"/>
        <w:spacing w:line="360" w:lineRule="auto"/>
        <w:jc w:val="center"/>
        <w:rPr>
          <w:rFonts w:hint="default" w:ascii="宋体" w:hAnsi="宋体" w:cs="宋体"/>
          <w:bCs/>
          <w:color w:val="auto"/>
          <w:sz w:val="32"/>
          <w:szCs w:val="32"/>
          <w:highlight w:val="none"/>
          <w:lang w:val="en-US"/>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 xml:space="preserve"> </w:t>
      </w:r>
    </w:p>
    <w:p w14:paraId="3D232BEF">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1BE8F19">
      <w:pPr>
        <w:spacing w:line="360" w:lineRule="auto"/>
        <w:jc w:val="center"/>
        <w:rPr>
          <w:rFonts w:ascii="宋体" w:hAnsi="宋体" w:cs="宋体"/>
          <w:color w:val="auto"/>
          <w:sz w:val="24"/>
          <w:highlight w:val="none"/>
        </w:rPr>
      </w:pPr>
    </w:p>
    <w:p w14:paraId="2803687C">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6E2EAE1D">
      <w:pPr>
        <w:spacing w:line="360" w:lineRule="auto"/>
        <w:rPr>
          <w:rFonts w:ascii="宋体" w:hAnsi="宋体" w:cs="宋体"/>
          <w:color w:val="auto"/>
          <w:sz w:val="32"/>
          <w:szCs w:val="32"/>
          <w:highlight w:val="none"/>
        </w:rPr>
      </w:pPr>
    </w:p>
    <w:p w14:paraId="125CDD01">
      <w:pPr>
        <w:spacing w:line="360" w:lineRule="auto"/>
        <w:rPr>
          <w:rFonts w:ascii="宋体" w:hAnsi="宋体" w:cs="宋体"/>
          <w:color w:val="auto"/>
          <w:sz w:val="32"/>
          <w:szCs w:val="32"/>
          <w:highlight w:val="none"/>
        </w:rPr>
      </w:pPr>
    </w:p>
    <w:p w14:paraId="3C3AC98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14:paraId="7E92457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2128DAC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220347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14:paraId="4D83853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1EC967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60626432">
      <w:pPr>
        <w:spacing w:line="360" w:lineRule="auto"/>
        <w:ind w:firstLine="1280" w:firstLineChars="400"/>
        <w:rPr>
          <w:rFonts w:ascii="宋体" w:hAnsi="宋体" w:cs="宋体"/>
          <w:color w:val="auto"/>
          <w:sz w:val="32"/>
          <w:szCs w:val="32"/>
          <w:highlight w:val="none"/>
        </w:rPr>
      </w:pPr>
    </w:p>
    <w:p w14:paraId="2B1F3650">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4594C380">
      <w:pPr>
        <w:spacing w:line="360" w:lineRule="auto"/>
        <w:ind w:firstLine="549" w:firstLineChars="229"/>
        <w:rPr>
          <w:rFonts w:ascii="宋体" w:hAnsi="宋体" w:cs="宋体"/>
          <w:color w:val="auto"/>
          <w:sz w:val="24"/>
          <w:highlight w:val="none"/>
        </w:rPr>
      </w:pPr>
    </w:p>
    <w:p w14:paraId="4FFCA2DD">
      <w:pPr>
        <w:spacing w:line="360" w:lineRule="auto"/>
        <w:ind w:firstLine="549" w:firstLineChars="229"/>
        <w:rPr>
          <w:rFonts w:ascii="宋体" w:hAnsi="宋体" w:cs="宋体"/>
          <w:color w:val="auto"/>
          <w:sz w:val="24"/>
          <w:highlight w:val="none"/>
        </w:rPr>
      </w:pPr>
    </w:p>
    <w:p w14:paraId="76FBC5C9">
      <w:pPr>
        <w:spacing w:line="360" w:lineRule="auto"/>
        <w:ind w:firstLine="549" w:firstLineChars="229"/>
        <w:rPr>
          <w:rFonts w:ascii="宋体" w:hAnsi="宋体" w:cs="宋体"/>
          <w:color w:val="auto"/>
          <w:sz w:val="24"/>
          <w:highlight w:val="none"/>
        </w:rPr>
      </w:pPr>
    </w:p>
    <w:p w14:paraId="11B59B30">
      <w:pPr>
        <w:spacing w:line="360" w:lineRule="auto"/>
        <w:ind w:firstLine="549" w:firstLineChars="229"/>
        <w:rPr>
          <w:rFonts w:ascii="宋体" w:hAnsi="宋体" w:cs="宋体"/>
          <w:color w:val="auto"/>
          <w:sz w:val="24"/>
          <w:highlight w:val="none"/>
        </w:rPr>
      </w:pPr>
    </w:p>
    <w:p w14:paraId="4A693D3D">
      <w:pPr>
        <w:spacing w:line="360" w:lineRule="auto"/>
        <w:ind w:firstLine="549" w:firstLineChars="229"/>
        <w:rPr>
          <w:rFonts w:ascii="宋体" w:hAnsi="宋体" w:cs="宋体"/>
          <w:color w:val="auto"/>
          <w:sz w:val="24"/>
          <w:highlight w:val="none"/>
        </w:rPr>
      </w:pPr>
    </w:p>
    <w:p w14:paraId="09188F87">
      <w:pPr>
        <w:spacing w:line="360" w:lineRule="auto"/>
        <w:ind w:firstLine="549" w:firstLineChars="229"/>
        <w:rPr>
          <w:rFonts w:ascii="宋体" w:hAnsi="宋体" w:cs="宋体"/>
          <w:color w:val="auto"/>
          <w:sz w:val="24"/>
          <w:highlight w:val="none"/>
        </w:rPr>
      </w:pPr>
    </w:p>
    <w:p w14:paraId="7ABB1AB8">
      <w:pPr>
        <w:spacing w:line="360" w:lineRule="auto"/>
        <w:ind w:firstLine="549" w:firstLineChars="229"/>
        <w:rPr>
          <w:rFonts w:ascii="宋体" w:hAnsi="宋体" w:cs="宋体"/>
          <w:color w:val="auto"/>
          <w:sz w:val="24"/>
          <w:highlight w:val="none"/>
        </w:rPr>
      </w:pPr>
    </w:p>
    <w:p w14:paraId="5791BEEA">
      <w:pPr>
        <w:spacing w:line="360" w:lineRule="auto"/>
        <w:ind w:firstLine="549" w:firstLineChars="229"/>
        <w:rPr>
          <w:rFonts w:ascii="宋体" w:hAnsi="宋体" w:cs="宋体"/>
          <w:color w:val="auto"/>
          <w:sz w:val="24"/>
          <w:highlight w:val="none"/>
        </w:rPr>
      </w:pPr>
    </w:p>
    <w:p w14:paraId="013A0E32">
      <w:pPr>
        <w:spacing w:line="360" w:lineRule="auto"/>
        <w:ind w:firstLine="549" w:firstLineChars="229"/>
        <w:rPr>
          <w:rFonts w:ascii="宋体" w:hAnsi="宋体" w:cs="宋体"/>
          <w:color w:val="auto"/>
          <w:sz w:val="24"/>
          <w:highlight w:val="none"/>
        </w:rPr>
      </w:pPr>
    </w:p>
    <w:p w14:paraId="4FBD358D">
      <w:pPr>
        <w:spacing w:line="360" w:lineRule="auto"/>
        <w:ind w:firstLine="549" w:firstLineChars="229"/>
        <w:rPr>
          <w:rFonts w:ascii="宋体" w:hAnsi="宋体" w:cs="宋体"/>
          <w:color w:val="auto"/>
          <w:sz w:val="24"/>
          <w:highlight w:val="none"/>
        </w:rPr>
      </w:pPr>
    </w:p>
    <w:p w14:paraId="3BC3559D">
      <w:pPr>
        <w:spacing w:line="360" w:lineRule="auto"/>
        <w:ind w:firstLine="549" w:firstLineChars="229"/>
        <w:rPr>
          <w:rFonts w:ascii="宋体" w:hAnsi="宋体" w:cs="宋体"/>
          <w:color w:val="auto"/>
          <w:sz w:val="24"/>
          <w:highlight w:val="none"/>
        </w:rPr>
      </w:pPr>
    </w:p>
    <w:p w14:paraId="272CF2E9">
      <w:pPr>
        <w:spacing w:line="360" w:lineRule="auto"/>
        <w:ind w:firstLine="549" w:firstLineChars="229"/>
        <w:rPr>
          <w:rFonts w:ascii="宋体" w:hAnsi="宋体" w:cs="宋体"/>
          <w:color w:val="auto"/>
          <w:sz w:val="24"/>
          <w:highlight w:val="none"/>
        </w:rPr>
      </w:pPr>
    </w:p>
    <w:p w14:paraId="29C2DBA3">
      <w:pPr>
        <w:spacing w:line="360" w:lineRule="auto"/>
        <w:rPr>
          <w:rFonts w:ascii="宋体" w:hAnsi="宋体" w:cs="宋体"/>
          <w:color w:val="auto"/>
          <w:sz w:val="24"/>
          <w:highlight w:val="none"/>
        </w:rPr>
      </w:pPr>
    </w:p>
    <w:p w14:paraId="05BB7520">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竞争性磋商公告</w:t>
      </w:r>
    </w:p>
    <w:p w14:paraId="4E6FD73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377A8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长寿桥小学维修改造工程</w:t>
      </w:r>
      <w:r>
        <w:rPr>
          <w:rFonts w:hint="eastAsia" w:ascii="宋体" w:hAnsi="宋体" w:cs="宋体"/>
          <w:color w:val="auto"/>
          <w:sz w:val="24"/>
          <w:highlight w:val="none"/>
        </w:rPr>
        <w:t>采购项目的潜在供应商应在政采云平台（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lang w:eastAsia="zh-CN"/>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lang w:eastAsia="zh-CN"/>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lang w:eastAsia="zh-CN"/>
        </w:rPr>
        <w:t>分00秒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14:paraId="488EEE97">
      <w:pPr>
        <w:spacing w:line="360" w:lineRule="auto"/>
        <w:rPr>
          <w:rFonts w:ascii="宋体" w:hAnsi="宋体" w:cs="宋体"/>
          <w:b/>
          <w:color w:val="auto"/>
          <w:sz w:val="24"/>
          <w:highlight w:val="none"/>
        </w:rPr>
      </w:pPr>
      <w:r>
        <w:rPr>
          <w:rFonts w:hint="eastAsia" w:ascii="宋体" w:hAnsi="宋体" w:cs="宋体"/>
          <w:b/>
          <w:color w:val="auto"/>
          <w:sz w:val="24"/>
          <w:highlight w:val="none"/>
        </w:rPr>
        <w:t>一、项目基本情况</w:t>
      </w:r>
    </w:p>
    <w:p w14:paraId="4C26A4D6">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XJZB[2025]044</w:t>
      </w:r>
    </w:p>
    <w:p w14:paraId="714174A0">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长寿桥小学维修改造工程</w:t>
      </w:r>
    </w:p>
    <w:p w14:paraId="233FF066">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预算金额（元）：</w:t>
      </w:r>
      <w:r>
        <w:rPr>
          <w:rFonts w:hint="eastAsia" w:ascii="宋体" w:hAnsi="宋体" w:cs="宋体"/>
          <w:b/>
          <w:color w:val="auto"/>
          <w:sz w:val="24"/>
          <w:highlight w:val="none"/>
          <w:lang w:val="en-US" w:eastAsia="zh-CN"/>
        </w:rPr>
        <w:t>1886716</w:t>
      </w:r>
      <w:r>
        <w:rPr>
          <w:rFonts w:hint="eastAsia" w:ascii="宋体" w:hAnsi="宋体" w:eastAsia="宋体" w:cs="宋体"/>
          <w:b/>
          <w:color w:val="auto"/>
          <w:sz w:val="24"/>
          <w:highlight w:val="none"/>
          <w:lang w:val="en-US" w:eastAsia="zh-CN"/>
        </w:rPr>
        <w:t>.00</w:t>
      </w:r>
      <w:r>
        <w:rPr>
          <w:rFonts w:hint="eastAsia" w:ascii="宋体" w:hAnsi="宋体" w:eastAsia="宋体" w:cs="宋体"/>
          <w:b/>
          <w:color w:val="auto"/>
          <w:sz w:val="24"/>
          <w:highlight w:val="none"/>
        </w:rPr>
        <w:t xml:space="preserve"> </w:t>
      </w:r>
    </w:p>
    <w:p w14:paraId="09768057">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b/>
          <w:color w:val="auto"/>
          <w:sz w:val="24"/>
          <w:highlight w:val="none"/>
          <w:lang w:val="en-US" w:eastAsia="zh-CN"/>
        </w:rPr>
        <w:t>1886716</w:t>
      </w:r>
      <w:r>
        <w:rPr>
          <w:rFonts w:hint="eastAsia" w:ascii="宋体" w:hAnsi="宋体" w:eastAsia="宋体" w:cs="宋体"/>
          <w:b/>
          <w:color w:val="auto"/>
          <w:sz w:val="24"/>
          <w:highlight w:val="none"/>
          <w:lang w:val="en-US" w:eastAsia="zh-CN"/>
        </w:rPr>
        <w:t>.00</w:t>
      </w:r>
      <w:r>
        <w:rPr>
          <w:rFonts w:hint="eastAsia" w:ascii="宋体" w:hAnsi="宋体" w:eastAsia="宋体" w:cs="宋体"/>
          <w:b/>
          <w:color w:val="auto"/>
          <w:sz w:val="24"/>
          <w:highlight w:val="none"/>
        </w:rPr>
        <w:t xml:space="preserve">   </w:t>
      </w:r>
    </w:p>
    <w:p w14:paraId="5689C4EB">
      <w:pPr>
        <w:pStyle w:val="5"/>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长寿桥小学维修改造工程</w:t>
      </w:r>
      <w:r>
        <w:rPr>
          <w:rFonts w:hint="eastAsia" w:hAnsi="宋体" w:cs="宋体"/>
          <w:bCs/>
          <w:snapToGrid/>
          <w:color w:val="auto"/>
          <w:kern w:val="2"/>
          <w:sz w:val="24"/>
          <w:szCs w:val="24"/>
          <w:highlight w:val="none"/>
        </w:rPr>
        <w:t>主要内容：</w:t>
      </w:r>
      <w:r>
        <w:rPr>
          <w:rFonts w:hint="eastAsia" w:hAnsi="宋体" w:cs="宋体"/>
          <w:bCs/>
          <w:snapToGrid/>
          <w:color w:val="auto"/>
          <w:kern w:val="2"/>
          <w:sz w:val="24"/>
          <w:szCs w:val="24"/>
          <w:highlight w:val="none"/>
          <w:lang w:eastAsia="zh-CN"/>
        </w:rPr>
        <w:t>长寿桥小学维修改造，</w:t>
      </w:r>
      <w:r>
        <w:rPr>
          <w:rFonts w:hint="eastAsia" w:hAnsi="宋体" w:cs="宋体"/>
          <w:color w:val="auto"/>
          <w:sz w:val="24"/>
          <w:szCs w:val="24"/>
          <w:highlight w:val="none"/>
        </w:rPr>
        <w:t>详见施工图纸及工程量清单</w:t>
      </w:r>
      <w:r>
        <w:rPr>
          <w:rFonts w:hint="eastAsia" w:hAnsi="宋体" w:cs="宋体"/>
          <w:bCs/>
          <w:snapToGrid/>
          <w:color w:val="auto"/>
          <w:kern w:val="2"/>
          <w:sz w:val="24"/>
          <w:szCs w:val="24"/>
          <w:highlight w:val="none"/>
        </w:rPr>
        <w:t>。</w:t>
      </w:r>
      <w:r>
        <w:rPr>
          <w:rFonts w:hint="eastAsia" w:hAnsi="宋体" w:cs="宋体"/>
          <w:bCs/>
          <w:snapToGrid/>
          <w:color w:val="auto"/>
          <w:kern w:val="2"/>
          <w:sz w:val="24"/>
          <w:szCs w:val="24"/>
          <w:highlight w:val="none"/>
          <w:lang w:val="en-US" w:eastAsia="zh-CN"/>
        </w:rPr>
        <w:t>具体内容</w:t>
      </w:r>
      <w:r>
        <w:rPr>
          <w:rFonts w:hint="eastAsia" w:hAnsi="宋体" w:cs="宋体"/>
          <w:bCs/>
          <w:snapToGrid/>
          <w:color w:val="auto"/>
          <w:kern w:val="2"/>
          <w:sz w:val="24"/>
          <w:szCs w:val="24"/>
          <w:highlight w:val="none"/>
        </w:rPr>
        <w:t>详见采购文件第三部分采购需求。</w:t>
      </w:r>
    </w:p>
    <w:p w14:paraId="1BC33FFD">
      <w:pPr>
        <w:pStyle w:val="134"/>
        <w:snapToGrid w:val="0"/>
        <w:spacing w:before="0"/>
        <w:ind w:firstLine="482"/>
        <w:outlineLvl w:val="2"/>
        <w:rPr>
          <w:rFonts w:hint="default" w:ascii="宋体" w:hAnsi="宋体" w:eastAsia="宋体" w:cs="宋体"/>
          <w:color w:val="auto"/>
          <w:highlight w:val="none"/>
          <w:lang w:val="en-US" w:eastAsia="zh-CN"/>
        </w:rPr>
      </w:pPr>
      <w:r>
        <w:rPr>
          <w:rFonts w:hint="eastAsia" w:ascii="宋体" w:hAnsi="宋体" w:cs="宋体"/>
          <w:b/>
          <w:color w:val="auto"/>
          <w:highlight w:val="none"/>
        </w:rPr>
        <w:t>合同履约期限：</w:t>
      </w:r>
      <w:r>
        <w:rPr>
          <w:rFonts w:hint="eastAsia" w:ascii="宋体" w:hAnsi="宋体" w:cs="宋体"/>
          <w:b/>
          <w:color w:val="auto"/>
          <w:highlight w:val="none"/>
          <w:lang w:eastAsia="zh-CN"/>
        </w:rPr>
        <w:t>合同签订后</w:t>
      </w:r>
      <w:r>
        <w:rPr>
          <w:rFonts w:hint="eastAsia" w:ascii="宋体" w:hAnsi="宋体" w:cs="宋体"/>
          <w:b/>
          <w:color w:val="auto"/>
          <w:highlight w:val="none"/>
          <w:lang w:val="en-US" w:eastAsia="zh-CN"/>
        </w:rPr>
        <w:t>40日历天。</w:t>
      </w:r>
    </w:p>
    <w:p w14:paraId="2BE86695">
      <w:pPr>
        <w:pStyle w:val="5"/>
        <w:spacing w:line="360" w:lineRule="auto"/>
        <w:ind w:firstLine="482" w:firstLineChars="200"/>
        <w:rPr>
          <w:rFonts w:hAnsi="宋体" w:cs="宋体"/>
          <w:b/>
          <w:color w:val="auto"/>
          <w:sz w:val="24"/>
          <w:highlight w:val="none"/>
        </w:rPr>
      </w:pPr>
      <w:r>
        <w:rPr>
          <w:rFonts w:hint="eastAsia" w:hAnsi="宋体" w:cs="宋体"/>
          <w:b/>
          <w:color w:val="auto"/>
          <w:sz w:val="24"/>
          <w:highlight w:val="none"/>
        </w:rPr>
        <w:t>本项目接受联合体：</w:t>
      </w:r>
    </w:p>
    <w:p w14:paraId="117BCAA2">
      <w:pPr>
        <w:pStyle w:val="5"/>
        <w:spacing w:line="360" w:lineRule="auto"/>
        <w:ind w:firstLine="480" w:firstLineChars="200"/>
        <w:rPr>
          <w:rFonts w:hAnsi="宋体" w:cs="宋体"/>
          <w:color w:val="auto"/>
          <w:sz w:val="24"/>
          <w:highlight w:val="none"/>
        </w:rPr>
      </w:pP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color w:val="auto"/>
          <w:sz w:val="24"/>
          <w:highlight w:val="none"/>
        </w:rPr>
        <w:t>是；</w:t>
      </w:r>
    </w:p>
    <w:p w14:paraId="0FC717C2">
      <w:pPr>
        <w:pStyle w:val="5"/>
        <w:spacing w:line="360" w:lineRule="auto"/>
        <w:ind w:firstLine="480" w:firstLineChars="200"/>
        <w:rPr>
          <w:rFonts w:hAnsi="宋体" w:cs="宋体"/>
          <w:color w:val="auto"/>
          <w:kern w:val="0"/>
          <w:sz w:val="24"/>
          <w:highlight w:val="none"/>
        </w:rPr>
      </w:pP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t>☐</w:t>
          </w:r>
        </w:sdtContent>
      </w:sdt>
      <w:r>
        <w:rPr>
          <w:rFonts w:hint="eastAsia" w:hAnsi="宋体" w:cs="宋体"/>
          <w:color w:val="auto"/>
          <w:sz w:val="24"/>
          <w:highlight w:val="none"/>
        </w:rPr>
        <w:t>否</w:t>
      </w:r>
      <w:r>
        <w:rPr>
          <w:rFonts w:hint="eastAsia" w:hAnsi="宋体" w:cs="宋体"/>
          <w:color w:val="auto"/>
          <w:kern w:val="0"/>
          <w:sz w:val="24"/>
          <w:highlight w:val="none"/>
        </w:rPr>
        <w:t>，不接受联合体理由：</w:t>
      </w:r>
      <w:r>
        <w:rPr>
          <w:rFonts w:hAnsi="宋体" w:cs="宋体"/>
          <w:color w:val="auto"/>
          <w:kern w:val="0"/>
          <w:sz w:val="24"/>
          <w:highlight w:val="none"/>
          <w:u w:val="single"/>
        </w:rPr>
        <w:t xml:space="preserve">              </w:t>
      </w:r>
      <w:r>
        <w:rPr>
          <w:rFonts w:hint="eastAsia" w:hAnsi="宋体" w:cs="宋体"/>
          <w:color w:val="auto"/>
          <w:kern w:val="0"/>
          <w:sz w:val="24"/>
          <w:highlight w:val="none"/>
        </w:rPr>
        <w:t>。</w:t>
      </w:r>
    </w:p>
    <w:p w14:paraId="7774C9DB">
      <w:pPr>
        <w:pStyle w:val="134"/>
        <w:snapToGrid w:val="0"/>
        <w:spacing w:before="0"/>
        <w:ind w:firstLine="482"/>
        <w:outlineLvl w:val="2"/>
        <w:rPr>
          <w:rFonts w:ascii="宋体" w:hAnsi="宋体" w:cs="宋体"/>
          <w:b/>
          <w:color w:val="auto"/>
          <w:highlight w:val="none"/>
        </w:rPr>
      </w:pPr>
      <w:r>
        <w:rPr>
          <w:rFonts w:hint="eastAsia" w:ascii="宋体" w:hAnsi="宋体" w:cs="宋体"/>
          <w:b/>
          <w:color w:val="auto"/>
          <w:highlight w:val="none"/>
        </w:rPr>
        <w:t>注：不得限制大中型企业与小微企业组成联合体参与。</w:t>
      </w:r>
    </w:p>
    <w:p w14:paraId="6814EE02">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4804E41A">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52C40AC">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.以联合体形式参与的，提供联合协议(本项目不接受联合体或者供应商不以联合体形式参与的，则不需要提供) ；</w:t>
      </w:r>
    </w:p>
    <w:p w14:paraId="0819863A">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12C09D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p>
    <w:p w14:paraId="213C854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539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6401E59C">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1474533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工程全部由符合政策要求的中小企业承建，提供中小企业声明函；</w:t>
      </w:r>
    </w:p>
    <w:p w14:paraId="080DEF94">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474656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工程全部由符合政策要求的小微企业承建，提供中小企业声明函；</w:t>
      </w:r>
    </w:p>
    <w:p w14:paraId="0C7FCE33">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6963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4A719C63">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如果供应商本身提供所有标的均由中小企业承建，并相应达到了前述比例要求，视同符合了资格条件，无需再向中小企业分包，无需提供分包意向协议</w:t>
      </w:r>
      <w:r>
        <w:rPr>
          <w:rFonts w:hint="eastAsia" w:ascii="宋体" w:hAnsi="宋体" w:cs="宋体"/>
          <w:color w:val="auto"/>
          <w:sz w:val="24"/>
          <w:highlight w:val="none"/>
        </w:rPr>
        <w:t>；</w:t>
      </w:r>
    </w:p>
    <w:p w14:paraId="77774D06">
      <w:pPr>
        <w:numPr>
          <w:ilvl w:val="0"/>
          <w:numId w:val="0"/>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p>
    <w:p w14:paraId="7F35D9D8">
      <w:pPr>
        <w:numPr>
          <w:ilvl w:val="-1"/>
          <w:numId w:val="0"/>
        </w:num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（1）供应商具有建筑工程施工总承包</w:t>
      </w:r>
      <w:r>
        <w:rPr>
          <w:rFonts w:hint="eastAsia" w:ascii="宋体" w:hAnsi="宋体"/>
          <w:color w:val="auto"/>
          <w:sz w:val="24"/>
          <w:highlight w:val="none"/>
          <w:u w:val="single"/>
          <w:lang w:val="en-US" w:eastAsia="zh-CN"/>
        </w:rPr>
        <w:t>三</w:t>
      </w:r>
      <w:r>
        <w:rPr>
          <w:rFonts w:hint="eastAsia" w:ascii="宋体" w:hAnsi="宋体"/>
          <w:color w:val="auto"/>
          <w:sz w:val="24"/>
          <w:highlight w:val="none"/>
          <w:u w:val="single"/>
        </w:rPr>
        <w:t>级及以上资质；</w:t>
      </w:r>
    </w:p>
    <w:p w14:paraId="5E1EFE7B">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（2）供应商具有</w:t>
      </w:r>
      <w:r>
        <w:rPr>
          <w:rFonts w:hint="eastAsia" w:ascii="宋体" w:hAnsi="宋体"/>
          <w:color w:val="auto"/>
          <w:sz w:val="24"/>
          <w:highlight w:val="none"/>
          <w:u w:val="single"/>
          <w:lang w:val="en-US" w:eastAsia="zh-CN"/>
        </w:rPr>
        <w:t>有效的</w:t>
      </w:r>
      <w:r>
        <w:rPr>
          <w:rFonts w:hint="eastAsia" w:ascii="宋体" w:hAnsi="宋体"/>
          <w:color w:val="auto"/>
          <w:sz w:val="24"/>
          <w:highlight w:val="none"/>
          <w:u w:val="single"/>
        </w:rPr>
        <w:t>企业安全生产许可证；</w:t>
      </w:r>
    </w:p>
    <w:p w14:paraId="05A3770A">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（3）拟派项目经理具有建筑工程专业二级（含）以上建造师注册证书和“三类人员”B类证书；</w:t>
      </w:r>
    </w:p>
    <w:p w14:paraId="31CE3D8D">
      <w:pPr>
        <w:spacing w:line="360" w:lineRule="auto"/>
        <w:ind w:firstLine="480" w:firstLineChars="200"/>
        <w:rPr>
          <w:rFonts w:hint="eastAsia" w:ascii="宋体" w:hAnsi="宋体" w:cs="宋体"/>
          <w:color w:val="auto"/>
          <w:sz w:val="24"/>
          <w:highlight w:val="none"/>
        </w:rPr>
      </w:pPr>
      <w:r>
        <w:rPr>
          <w:rFonts w:hint="eastAsia" w:ascii="宋体" w:hAnsi="宋体"/>
          <w:color w:val="auto"/>
          <w:sz w:val="24"/>
          <w:highlight w:val="none"/>
          <w:u w:val="single"/>
        </w:rPr>
        <w:t>（4）拟派项目经理无在建工程，提供无在建工程书面承诺。</w:t>
      </w:r>
    </w:p>
    <w:p w14:paraId="79F749E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24FA588">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563CB432">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，每天上午00:00至12:00，下午12:00至23:59（北京时间，线上获取法定节假日均可，线下获取文件法定节假日除外）</w:t>
      </w:r>
      <w:r>
        <w:rPr>
          <w:rFonts w:hint="eastAsia" w:ascii="宋体" w:hAnsi="宋体" w:cs="宋体"/>
          <w:color w:val="auto"/>
          <w:sz w:val="24"/>
          <w:highlight w:val="none"/>
          <w:lang w:eastAsia="zh-CN"/>
        </w:rPr>
        <w:t>。</w:t>
      </w:r>
    </w:p>
    <w:p w14:paraId="2E7D46F0">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r>
        <w:rPr>
          <w:rFonts w:hint="eastAsia" w:ascii="宋体" w:hAnsi="宋体" w:cs="宋体"/>
          <w:color w:val="auto"/>
          <w:sz w:val="24"/>
          <w:highlight w:val="none"/>
          <w:lang w:eastAsia="zh-CN"/>
        </w:rPr>
        <w:t>。</w:t>
      </w:r>
    </w:p>
    <w:p w14:paraId="525830A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供应商登录政采云平台https://www.zcygov.cn/在线申请获取采购文件（进入“项目采购”应用，在获取采购文件菜单中选择项目，申请获取采购文件）。</w:t>
      </w:r>
    </w:p>
    <w:p w14:paraId="50409E6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0</w:t>
      </w:r>
    </w:p>
    <w:p w14:paraId="7CCC1D78">
      <w:pPr>
        <w:spacing w:line="360" w:lineRule="auto"/>
        <w:rPr>
          <w:rFonts w:ascii="宋体" w:hAnsi="宋体" w:cs="宋体"/>
          <w:b/>
          <w:color w:val="auto"/>
          <w:sz w:val="24"/>
          <w:highlight w:val="none"/>
        </w:rPr>
      </w:pPr>
      <w:r>
        <w:rPr>
          <w:rFonts w:hint="eastAsia" w:ascii="宋体" w:hAnsi="宋体" w:cs="宋体"/>
          <w:b/>
          <w:color w:val="auto"/>
          <w:sz w:val="24"/>
          <w:highlight w:val="none"/>
        </w:rPr>
        <w:t>四、响应文件提交（上传）</w:t>
      </w:r>
    </w:p>
    <w:p w14:paraId="10FDA79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7364C5D8">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8969912">
      <w:pPr>
        <w:spacing w:line="360" w:lineRule="auto"/>
        <w:rPr>
          <w:rFonts w:ascii="宋体" w:hAnsi="宋体" w:cs="宋体"/>
          <w:color w:val="auto"/>
          <w:sz w:val="24"/>
          <w:highlight w:val="none"/>
        </w:rPr>
      </w:pPr>
      <w:r>
        <w:rPr>
          <w:rFonts w:hint="eastAsia" w:ascii="宋体" w:hAnsi="宋体" w:cs="宋体"/>
          <w:b/>
          <w:color w:val="auto"/>
          <w:sz w:val="24"/>
          <w:highlight w:val="none"/>
        </w:rPr>
        <w:t>五、响应文件开启</w:t>
      </w:r>
    </w:p>
    <w:p w14:paraId="708FCBE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p>
    <w:p w14:paraId="5271230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14:paraId="6B8F88E8">
      <w:pPr>
        <w:spacing w:line="360" w:lineRule="auto"/>
        <w:rPr>
          <w:rFonts w:ascii="宋体" w:hAnsi="宋体" w:cs="宋体"/>
          <w:color w:val="auto"/>
          <w:sz w:val="24"/>
          <w:highlight w:val="none"/>
        </w:rPr>
      </w:pPr>
      <w:r>
        <w:rPr>
          <w:rFonts w:hint="eastAsia" w:ascii="宋体" w:hAnsi="宋体" w:cs="宋体"/>
          <w:b/>
          <w:color w:val="auto"/>
          <w:sz w:val="24"/>
          <w:highlight w:val="none"/>
        </w:rPr>
        <w:t>六、公告期限</w:t>
      </w:r>
    </w:p>
    <w:p w14:paraId="6C8CDA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51C5F30B">
      <w:pP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14:paraId="3C19B9D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color w:val="auto"/>
          <w:sz w:val="24"/>
          <w:highlight w:val="none"/>
          <w:shd w:val="clear" w:color="auto" w:fill="FFFFFF"/>
        </w:rPr>
        <w:t>浙江省财政厅关于进一步加大政府采购 支持中小企业力度 助力扎实稳住经济 的通知</w:t>
      </w:r>
      <w:r>
        <w:rPr>
          <w:rFonts w:hint="eastAsia" w:ascii="华文中宋" w:hAnsi="华文中宋" w:eastAsia="华文中宋" w:cs="华文中宋"/>
          <w:color w:val="auto"/>
          <w:sz w:val="24"/>
          <w:highlight w:val="none"/>
          <w:shd w:val="clear" w:color="auto" w:fill="FFFFFF"/>
        </w:rPr>
        <w:t>》（浙财采监〔2022〕8号）</w:t>
      </w:r>
      <w:r>
        <w:rPr>
          <w:rFonts w:hint="eastAsia" w:ascii="宋体" w:hAnsi="宋体" w:cs="宋体"/>
          <w:color w:val="auto"/>
          <w:sz w:val="24"/>
          <w:highlight w:val="none"/>
        </w:rPr>
        <w:t>已分别于2022年1月29日、2022年2月1日和2022年7月1日开始实施，此前有关规定与上述文件内容不一致的，按上述文件要求执行。</w:t>
      </w:r>
    </w:p>
    <w:p w14:paraId="7E93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22BA8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E4F2BD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121704DA">
      <w:pP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43790F8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175D83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杭州市长寿桥小学</w:t>
      </w:r>
      <w:r>
        <w:rPr>
          <w:rFonts w:hint="eastAsia" w:ascii="宋体" w:hAnsi="宋体" w:cs="宋体"/>
          <w:color w:val="auto"/>
          <w:sz w:val="24"/>
          <w:highlight w:val="none"/>
        </w:rPr>
        <w:t xml:space="preserve"> </w:t>
      </w:r>
    </w:p>
    <w:p w14:paraId="330EA8E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址：杭州市拱墅区</w:t>
      </w:r>
      <w:r>
        <w:rPr>
          <w:rFonts w:hint="eastAsia" w:ascii="宋体" w:hAnsi="宋体" w:cs="宋体"/>
          <w:color w:val="auto"/>
          <w:sz w:val="24"/>
          <w:highlight w:val="none"/>
          <w:lang w:eastAsia="zh-CN"/>
        </w:rPr>
        <w:t>余官巷</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号</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rPr>
        <w:t xml:space="preserve">      </w:t>
      </w:r>
    </w:p>
    <w:p w14:paraId="008EE1A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 /</w:t>
      </w:r>
    </w:p>
    <w:p w14:paraId="1394ED29">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黄海</w:t>
      </w:r>
    </w:p>
    <w:p w14:paraId="1D5B632F">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0571-56058812</w:t>
      </w:r>
    </w:p>
    <w:p w14:paraId="55240BB9">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eastAsia="zh-CN"/>
        </w:rPr>
        <w:t>罗晓莉</w:t>
      </w:r>
      <w:bookmarkStart w:id="507" w:name="_GoBack"/>
      <w:bookmarkEnd w:id="507"/>
    </w:p>
    <w:p w14:paraId="0B998EB0">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 xml:space="preserve">0571-56321739   </w:t>
      </w:r>
    </w:p>
    <w:p w14:paraId="583057E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234EBA16">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浙江西建工程管理有限公司</w:t>
      </w:r>
    </w:p>
    <w:p w14:paraId="1F6796C7">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地    址：</w:t>
      </w:r>
      <w:r>
        <w:rPr>
          <w:rFonts w:hint="eastAsia" w:ascii="宋体" w:hAnsi="宋体" w:cs="宋体"/>
          <w:color w:val="auto"/>
          <w:sz w:val="24"/>
          <w:highlight w:val="none"/>
        </w:rPr>
        <w:t>杭州市</w:t>
      </w:r>
      <w:r>
        <w:rPr>
          <w:rFonts w:hint="eastAsia" w:ascii="宋体" w:hAnsi="宋体" w:cs="宋体"/>
          <w:color w:val="auto"/>
          <w:sz w:val="24"/>
          <w:highlight w:val="none"/>
          <w:lang w:eastAsia="zh-CN"/>
        </w:rPr>
        <w:t>西湖区教工路</w:t>
      </w:r>
      <w:r>
        <w:rPr>
          <w:rFonts w:hint="eastAsia" w:ascii="宋体" w:hAnsi="宋体" w:cs="宋体"/>
          <w:color w:val="auto"/>
          <w:sz w:val="24"/>
          <w:highlight w:val="none"/>
          <w:lang w:val="en-US" w:eastAsia="zh-CN"/>
        </w:rPr>
        <w:t>199号保亭综合楼6楼</w:t>
      </w:r>
    </w:p>
    <w:p w14:paraId="4A18B7B0">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传    真： </w:t>
      </w:r>
      <w:r>
        <w:rPr>
          <w:rFonts w:hint="eastAsia" w:ascii="宋体" w:hAnsi="宋体" w:eastAsia="宋体" w:cs="宋体"/>
          <w:color w:val="auto"/>
          <w:sz w:val="24"/>
          <w:highlight w:val="none"/>
          <w:lang w:val="en-US" w:eastAsia="zh-CN"/>
        </w:rPr>
        <w:t>/</w:t>
      </w:r>
    </w:p>
    <w:p w14:paraId="665B98C9">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徐工</w:t>
      </w:r>
    </w:p>
    <w:p w14:paraId="0144250C">
      <w:pPr>
        <w:spacing w:line="360" w:lineRule="auto"/>
        <w:ind w:firstLine="48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 xml:space="preserve">13757122090 </w:t>
      </w:r>
    </w:p>
    <w:p w14:paraId="4C392453">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毛工</w:t>
      </w:r>
    </w:p>
    <w:p w14:paraId="6FA23AF7">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质疑联系方式：</w:t>
      </w:r>
      <w:r>
        <w:rPr>
          <w:rFonts w:hint="eastAsia" w:ascii="宋体" w:hAnsi="宋体" w:cs="宋体"/>
          <w:sz w:val="24"/>
          <w:lang w:val="en-US" w:eastAsia="zh-CN"/>
        </w:rPr>
        <w:t xml:space="preserve">13675832615 </w:t>
      </w:r>
    </w:p>
    <w:p w14:paraId="1F014B2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14:paraId="03583A2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称：杭州市拱墅区财政局、浙江省政府采购行政裁决服务中心（杭州）</w:t>
      </w:r>
    </w:p>
    <w:p w14:paraId="1373ED9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址：杭州市上城区清泰街549号城建综合大楼11楼（快递仅限ems或顺丰）</w:t>
      </w:r>
    </w:p>
    <w:p w14:paraId="4A1A660F">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传</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真：</w:t>
      </w:r>
      <w:r>
        <w:rPr>
          <w:rFonts w:hint="eastAsia" w:ascii="宋体" w:hAnsi="宋体" w:cs="宋体"/>
          <w:color w:val="auto"/>
          <w:sz w:val="24"/>
          <w:highlight w:val="none"/>
          <w:lang w:val="en-US" w:eastAsia="zh-CN"/>
        </w:rPr>
        <w:t>/</w:t>
      </w:r>
    </w:p>
    <w:p w14:paraId="7C806539">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系</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人：</w:t>
      </w:r>
      <w:r>
        <w:rPr>
          <w:rFonts w:hint="eastAsia" w:ascii="宋体" w:hAnsi="宋体" w:cs="宋体"/>
          <w:color w:val="auto"/>
          <w:sz w:val="24"/>
          <w:highlight w:val="none"/>
          <w:lang w:eastAsia="zh-CN"/>
        </w:rPr>
        <w:t>匡老师</w:t>
      </w:r>
    </w:p>
    <w:p w14:paraId="7954335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0571-87807798</w:t>
      </w:r>
    </w:p>
    <w:p w14:paraId="10C20D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3A6B1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11B538DD">
      <w:pPr>
        <w:pStyle w:val="34"/>
        <w:spacing w:line="360" w:lineRule="auto"/>
        <w:jc w:val="center"/>
        <w:rPr>
          <w:rFonts w:hint="eastAsia" w:hAnsi="宋体" w:cs="宋体"/>
          <w:b/>
          <w:snapToGrid/>
          <w:color w:val="auto"/>
          <w:sz w:val="36"/>
          <w:szCs w:val="20"/>
          <w:highlight w:val="none"/>
        </w:rPr>
      </w:pPr>
    </w:p>
    <w:p w14:paraId="53774727">
      <w:pPr>
        <w:pStyle w:val="34"/>
        <w:spacing w:line="360" w:lineRule="auto"/>
        <w:jc w:val="center"/>
        <w:rPr>
          <w:rFonts w:hint="eastAsia" w:hAnsi="宋体" w:cs="宋体"/>
          <w:b/>
          <w:snapToGrid/>
          <w:color w:val="auto"/>
          <w:sz w:val="36"/>
          <w:szCs w:val="20"/>
          <w:highlight w:val="none"/>
        </w:rPr>
      </w:pPr>
    </w:p>
    <w:p w14:paraId="78A2AF7C">
      <w:pPr>
        <w:pStyle w:val="34"/>
        <w:spacing w:line="360" w:lineRule="auto"/>
        <w:jc w:val="center"/>
        <w:rPr>
          <w:rFonts w:hint="eastAsia" w:hAnsi="宋体" w:cs="宋体"/>
          <w:b/>
          <w:snapToGrid/>
          <w:color w:val="auto"/>
          <w:sz w:val="36"/>
          <w:szCs w:val="20"/>
          <w:highlight w:val="none"/>
        </w:rPr>
      </w:pPr>
    </w:p>
    <w:p w14:paraId="08D4CB14">
      <w:pPr>
        <w:pStyle w:val="34"/>
        <w:spacing w:line="360" w:lineRule="auto"/>
        <w:jc w:val="center"/>
        <w:rPr>
          <w:rFonts w:hint="eastAsia" w:hAnsi="宋体" w:cs="宋体"/>
          <w:b/>
          <w:snapToGrid/>
          <w:color w:val="auto"/>
          <w:sz w:val="36"/>
          <w:szCs w:val="20"/>
          <w:highlight w:val="none"/>
        </w:rPr>
      </w:pPr>
    </w:p>
    <w:p w14:paraId="7E22F008">
      <w:pPr>
        <w:pStyle w:val="34"/>
        <w:spacing w:line="360" w:lineRule="auto"/>
        <w:jc w:val="center"/>
        <w:rPr>
          <w:rFonts w:hint="eastAsia" w:hAnsi="宋体" w:cs="宋体"/>
          <w:b/>
          <w:snapToGrid/>
          <w:color w:val="auto"/>
          <w:sz w:val="36"/>
          <w:szCs w:val="20"/>
          <w:highlight w:val="none"/>
        </w:rPr>
      </w:pPr>
    </w:p>
    <w:p w14:paraId="73BE3B3C">
      <w:pPr>
        <w:pStyle w:val="34"/>
        <w:spacing w:line="360" w:lineRule="auto"/>
        <w:jc w:val="center"/>
        <w:rPr>
          <w:rFonts w:hint="eastAsia" w:hAnsi="宋体" w:cs="宋体"/>
          <w:b/>
          <w:snapToGrid/>
          <w:color w:val="auto"/>
          <w:sz w:val="36"/>
          <w:szCs w:val="20"/>
          <w:highlight w:val="none"/>
        </w:rPr>
      </w:pPr>
    </w:p>
    <w:p w14:paraId="551F01E8">
      <w:pPr>
        <w:pStyle w:val="34"/>
        <w:spacing w:line="360" w:lineRule="auto"/>
        <w:jc w:val="center"/>
        <w:rPr>
          <w:rFonts w:hint="eastAsia" w:hAnsi="宋体" w:cs="宋体"/>
          <w:b/>
          <w:snapToGrid/>
          <w:color w:val="auto"/>
          <w:sz w:val="36"/>
          <w:szCs w:val="20"/>
          <w:highlight w:val="none"/>
        </w:rPr>
      </w:pPr>
    </w:p>
    <w:p w14:paraId="6537EA7D">
      <w:pPr>
        <w:pStyle w:val="34"/>
        <w:spacing w:line="360" w:lineRule="auto"/>
        <w:jc w:val="center"/>
        <w:rPr>
          <w:rFonts w:hint="eastAsia" w:hAnsi="宋体" w:cs="宋体"/>
          <w:b/>
          <w:snapToGrid/>
          <w:color w:val="auto"/>
          <w:sz w:val="36"/>
          <w:szCs w:val="20"/>
          <w:highlight w:val="none"/>
        </w:rPr>
      </w:pPr>
    </w:p>
    <w:p w14:paraId="1848EF1B">
      <w:pPr>
        <w:pStyle w:val="34"/>
        <w:spacing w:line="360" w:lineRule="auto"/>
        <w:jc w:val="center"/>
        <w:rPr>
          <w:rFonts w:hint="eastAsia" w:hAnsi="宋体" w:cs="宋体"/>
          <w:b/>
          <w:snapToGrid/>
          <w:color w:val="auto"/>
          <w:sz w:val="36"/>
          <w:szCs w:val="20"/>
          <w:highlight w:val="none"/>
        </w:rPr>
      </w:pPr>
    </w:p>
    <w:p w14:paraId="437C2933">
      <w:pPr>
        <w:pStyle w:val="34"/>
        <w:spacing w:line="360" w:lineRule="auto"/>
        <w:jc w:val="center"/>
        <w:rPr>
          <w:rFonts w:hint="eastAsia" w:hAnsi="宋体" w:cs="宋体"/>
          <w:b/>
          <w:snapToGrid/>
          <w:color w:val="auto"/>
          <w:sz w:val="36"/>
          <w:szCs w:val="20"/>
          <w:highlight w:val="none"/>
        </w:rPr>
      </w:pPr>
    </w:p>
    <w:p w14:paraId="6BB6CDCC">
      <w:pPr>
        <w:pStyle w:val="34"/>
        <w:spacing w:line="360" w:lineRule="auto"/>
        <w:jc w:val="center"/>
        <w:rPr>
          <w:rFonts w:hint="eastAsia" w:hAnsi="宋体" w:cs="宋体"/>
          <w:b/>
          <w:snapToGrid/>
          <w:color w:val="auto"/>
          <w:sz w:val="36"/>
          <w:szCs w:val="20"/>
          <w:highlight w:val="none"/>
        </w:rPr>
      </w:pPr>
    </w:p>
    <w:p w14:paraId="40780CCB">
      <w:pPr>
        <w:pStyle w:val="34"/>
        <w:spacing w:line="360" w:lineRule="auto"/>
        <w:jc w:val="center"/>
        <w:rPr>
          <w:rFonts w:hint="eastAsia" w:hAnsi="宋体" w:cs="宋体"/>
          <w:b/>
          <w:snapToGrid/>
          <w:color w:val="auto"/>
          <w:sz w:val="36"/>
          <w:szCs w:val="20"/>
          <w:highlight w:val="none"/>
        </w:rPr>
      </w:pPr>
    </w:p>
    <w:p w14:paraId="3873E717">
      <w:pPr>
        <w:pStyle w:val="34"/>
        <w:spacing w:line="360" w:lineRule="auto"/>
        <w:jc w:val="center"/>
        <w:rPr>
          <w:rFonts w:hint="eastAsia" w:hAnsi="宋体" w:cs="宋体"/>
          <w:b/>
          <w:snapToGrid/>
          <w:color w:val="auto"/>
          <w:sz w:val="36"/>
          <w:szCs w:val="20"/>
          <w:highlight w:val="none"/>
        </w:rPr>
      </w:pPr>
    </w:p>
    <w:p w14:paraId="06FCE43B">
      <w:pPr>
        <w:pStyle w:val="34"/>
        <w:spacing w:line="360" w:lineRule="auto"/>
        <w:jc w:val="center"/>
        <w:rPr>
          <w:rFonts w:hAnsi="宋体" w:cs="宋体"/>
          <w:b/>
          <w:snapToGrid/>
          <w:color w:val="auto"/>
          <w:sz w:val="36"/>
          <w:szCs w:val="20"/>
          <w:highlight w:val="none"/>
        </w:rPr>
      </w:pPr>
      <w:r>
        <w:rPr>
          <w:rFonts w:hint="eastAsia" w:hAnsi="宋体" w:cs="宋体"/>
          <w:b/>
          <w:snapToGrid/>
          <w:color w:val="auto"/>
          <w:sz w:val="36"/>
          <w:szCs w:val="20"/>
          <w:highlight w:val="none"/>
        </w:rPr>
        <w:t>第二部分</w:t>
      </w:r>
      <w:bookmarkEnd w:id="8"/>
      <w:r>
        <w:rPr>
          <w:rFonts w:hint="eastAsia" w:hAnsi="宋体" w:cs="宋体"/>
          <w:b/>
          <w:snapToGrid/>
          <w:color w:val="auto"/>
          <w:sz w:val="36"/>
          <w:szCs w:val="20"/>
          <w:highlight w:val="none"/>
        </w:rPr>
        <w:t xml:space="preserve"> 供应商须知</w:t>
      </w:r>
      <w:bookmarkEnd w:id="9"/>
    </w:p>
    <w:p w14:paraId="105E510F">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29025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6D7915D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14:paraId="1A62DE6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927" w:type="dxa"/>
            <w:vAlign w:val="center"/>
          </w:tcPr>
          <w:p w14:paraId="6D9BCCA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24DAC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E77E2E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14:paraId="6D1949F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927" w:type="dxa"/>
            <w:vAlign w:val="center"/>
          </w:tcPr>
          <w:p w14:paraId="033D0AAF">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14:paraId="5FDA3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A34033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93" w:type="dxa"/>
            <w:vAlign w:val="center"/>
          </w:tcPr>
          <w:p w14:paraId="03CDE78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27" w:type="dxa"/>
            <w:vAlign w:val="center"/>
          </w:tcPr>
          <w:p w14:paraId="310EF7F8">
            <w:pPr>
              <w:snapToGrid w:val="0"/>
              <w:spacing w:line="360" w:lineRule="auto"/>
              <w:rPr>
                <w:rFonts w:ascii="宋体" w:hAnsi="宋体" w:eastAsia="宋体" w:cs="宋体"/>
                <w:color w:val="auto"/>
                <w:highlight w:val="none"/>
                <w:lang w:val="en-US"/>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长寿桥小学维修改造工程</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建筑业 </w:t>
            </w:r>
            <w:r>
              <w:rPr>
                <w:rFonts w:hint="eastAsia" w:ascii="宋体" w:hAnsi="宋体" w:cs="宋体"/>
                <w:color w:val="auto"/>
                <w:kern w:val="0"/>
                <w:sz w:val="24"/>
                <w:highlight w:val="none"/>
              </w:rPr>
              <w:t>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46109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14C97E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93" w:type="dxa"/>
            <w:vAlign w:val="center"/>
          </w:tcPr>
          <w:p w14:paraId="6BA40F4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27" w:type="dxa"/>
            <w:vAlign w:val="center"/>
          </w:tcPr>
          <w:p w14:paraId="215E74DB">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474619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4EA1581F">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474687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7D3A9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5B3C20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93" w:type="dxa"/>
            <w:vAlign w:val="center"/>
          </w:tcPr>
          <w:p w14:paraId="53AAE3C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927" w:type="dxa"/>
            <w:vAlign w:val="center"/>
          </w:tcPr>
          <w:p w14:paraId="49FCFB0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5949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劳务</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15F7705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5238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不同意分包，具体理由：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1612AA1">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94C9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F5D6DD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93" w:type="dxa"/>
            <w:vAlign w:val="center"/>
          </w:tcPr>
          <w:p w14:paraId="3E96DBD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927" w:type="dxa"/>
            <w:vAlign w:val="center"/>
          </w:tcPr>
          <w:p w14:paraId="717D8C0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6666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44DBDA0">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14746811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1BDA7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383AF6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093" w:type="dxa"/>
            <w:vAlign w:val="center"/>
          </w:tcPr>
          <w:p w14:paraId="5BC9AEF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927" w:type="dxa"/>
            <w:vAlign w:val="center"/>
          </w:tcPr>
          <w:p w14:paraId="011C451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745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0A79139E">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B要求提供，</w:t>
            </w:r>
          </w:p>
          <w:p w14:paraId="2B8F17B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84B479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8F8EFA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评审办法</w:t>
            </w:r>
            <w:r>
              <w:rPr>
                <w:rFonts w:hint="eastAsia" w:ascii="宋体" w:hAnsi="宋体" w:cs="宋体"/>
                <w:color w:val="auto"/>
                <w:kern w:val="0"/>
                <w:sz w:val="24"/>
                <w:highlight w:val="none"/>
              </w:rPr>
              <w:t>；</w:t>
            </w:r>
          </w:p>
          <w:p w14:paraId="10FB029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DEE9911">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p>
          <w:p w14:paraId="24BC2C3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(6)采购活动结束后，对于未成交供应商提供的样品，采购人、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将通知未成交供应商在规定的时间内取回，逾期未取回的，采购人、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不负保管义务；对于成交供应商提供的样品，采购人将进行保管、封存，并作为履约验收的参考。</w:t>
            </w:r>
          </w:p>
          <w:p w14:paraId="1E8CF2C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14:paraId="303BB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7300D1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093" w:type="dxa"/>
            <w:vAlign w:val="center"/>
          </w:tcPr>
          <w:p w14:paraId="6158AFCB">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27" w:type="dxa"/>
            <w:vAlign w:val="center"/>
          </w:tcPr>
          <w:p w14:paraId="3B48663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6710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0EB92E7">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491DB8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分钟，讲解次序以响应文件解密时间先后次序为准，讲解演示人员不超过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人。讲解演示结束后按要求解答磋商小组提问。</w:t>
            </w:r>
          </w:p>
          <w:p w14:paraId="076B19B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578799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方式一：政采云平台在线讲解演示。政采云平台在线讲解需供应商根据政采云平台操作要求做好准备工作，提前完善软硬件配置环境。</w:t>
            </w:r>
          </w:p>
          <w:p w14:paraId="1248CB6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00315CA8">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650E9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2B8742B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093" w:type="dxa"/>
            <w:vMerge w:val="restart"/>
            <w:vAlign w:val="center"/>
          </w:tcPr>
          <w:p w14:paraId="5CA07DB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927" w:type="dxa"/>
            <w:vAlign w:val="center"/>
          </w:tcPr>
          <w:p w14:paraId="69820D54">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14:paraId="00A9784A">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tc>
      </w:tr>
      <w:tr w14:paraId="40EF0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5163FF4A">
            <w:pPr>
              <w:snapToGrid w:val="0"/>
              <w:spacing w:line="360" w:lineRule="auto"/>
              <w:jc w:val="center"/>
              <w:rPr>
                <w:rFonts w:ascii="宋体" w:hAnsi="宋体" w:cs="宋体"/>
                <w:color w:val="auto"/>
                <w:sz w:val="24"/>
                <w:highlight w:val="none"/>
              </w:rPr>
            </w:pPr>
          </w:p>
        </w:tc>
        <w:tc>
          <w:tcPr>
            <w:tcW w:w="2093" w:type="dxa"/>
            <w:vMerge w:val="continue"/>
            <w:vAlign w:val="center"/>
          </w:tcPr>
          <w:p w14:paraId="4E5B8492">
            <w:pPr>
              <w:snapToGrid w:val="0"/>
              <w:spacing w:line="360" w:lineRule="auto"/>
              <w:jc w:val="center"/>
              <w:rPr>
                <w:rFonts w:ascii="宋体" w:hAnsi="宋体" w:cs="宋体"/>
                <w:b/>
                <w:color w:val="auto"/>
                <w:sz w:val="24"/>
                <w:highlight w:val="none"/>
              </w:rPr>
            </w:pPr>
          </w:p>
        </w:tc>
        <w:tc>
          <w:tcPr>
            <w:tcW w:w="6927" w:type="dxa"/>
            <w:vAlign w:val="center"/>
          </w:tcPr>
          <w:p w14:paraId="2142D9D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（2）资信证明文件：根据采购文件第四部分评审标准提供。</w:t>
            </w:r>
          </w:p>
        </w:tc>
      </w:tr>
      <w:tr w14:paraId="310BA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65E43F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093" w:type="dxa"/>
            <w:vAlign w:val="center"/>
          </w:tcPr>
          <w:p w14:paraId="3A769C6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27" w:type="dxa"/>
            <w:vAlign w:val="center"/>
          </w:tcPr>
          <w:p w14:paraId="071F628E">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4CCA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C1E40D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093" w:type="dxa"/>
            <w:vAlign w:val="center"/>
          </w:tcPr>
          <w:p w14:paraId="7A4FB4F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927" w:type="dxa"/>
            <w:vAlign w:val="center"/>
          </w:tcPr>
          <w:p w14:paraId="2474192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cs="宋体"/>
                <w:b/>
                <w:color w:val="auto"/>
                <w:kern w:val="0"/>
                <w:sz w:val="24"/>
                <w:highlight w:val="none"/>
                <w:lang w:val="zh-CN"/>
              </w:rPr>
              <w:t>提醒：验收时检测费用由采购人承担，不包含在总价中。</w:t>
            </w:r>
          </w:p>
          <w:p w14:paraId="1553613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14:paraId="72452B3E">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14:paraId="1FD7186A">
            <w:pPr>
              <w:snapToGrid w:val="0"/>
              <w:spacing w:line="360" w:lineRule="auto"/>
              <w:jc w:val="left"/>
              <w:rPr>
                <w:color w:val="auto"/>
                <w:highlight w:val="none"/>
              </w:rPr>
            </w:pPr>
            <w:r>
              <w:rPr>
                <w:rFonts w:hint="eastAsia" w:ascii="宋体" w:hAnsi="宋体" w:cs="宋体"/>
                <w:b/>
                <w:color w:val="auto"/>
                <w:kern w:val="0"/>
                <w:sz w:val="24"/>
                <w:highlight w:val="none"/>
                <w:lang w:val="zh-CN"/>
              </w:rPr>
              <w:t>最后报价超过采购文件中规定的预算金额或者最高限价的;</w:t>
            </w:r>
          </w:p>
          <w:p w14:paraId="7F406E6C">
            <w:pPr>
              <w:spacing w:line="360" w:lineRule="auto"/>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49C45CC3">
            <w:pPr>
              <w:spacing w:line="360" w:lineRule="auto"/>
              <w:rPr>
                <w:rFonts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14:paraId="7BA76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77A6371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093" w:type="dxa"/>
            <w:vAlign w:val="center"/>
          </w:tcPr>
          <w:p w14:paraId="23F4F1C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27" w:type="dxa"/>
            <w:vAlign w:val="center"/>
          </w:tcPr>
          <w:p w14:paraId="197C5D7E">
            <w:pPr>
              <w:spacing w:line="360" w:lineRule="auto"/>
              <w:rPr>
                <w:rFonts w:ascii="宋体" w:hAnsi="宋体" w:cs="宋体"/>
                <w:color w:val="auto"/>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5688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2024DF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093" w:type="dxa"/>
            <w:vAlign w:val="center"/>
          </w:tcPr>
          <w:p w14:paraId="752C236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927" w:type="dxa"/>
            <w:vAlign w:val="center"/>
          </w:tcPr>
          <w:p w14:paraId="1E9A2C91">
            <w:pPr>
              <w:pStyle w:val="34"/>
              <w:spacing w:line="360" w:lineRule="auto"/>
              <w:rPr>
                <w:rFonts w:hAnsi="宋体" w:cs="宋体"/>
                <w:kern w:val="28"/>
                <w:sz w:val="24"/>
                <w:szCs w:val="24"/>
              </w:rPr>
            </w:pPr>
            <w:r>
              <w:rPr>
                <w:rFonts w:hint="eastAsia" w:hAnsi="宋体" w:cs="宋体"/>
                <w:kern w:val="28"/>
                <w:sz w:val="24"/>
                <w:szCs w:val="24"/>
              </w:rPr>
              <w:t>备份响应文件送达地点：</w:t>
            </w:r>
            <w:r>
              <w:rPr>
                <w:rFonts w:hint="eastAsia" w:hAnsi="宋体" w:cs="宋体"/>
                <w:sz w:val="24"/>
                <w:u w:val="single"/>
              </w:rPr>
              <w:t>杭州市</w:t>
            </w:r>
            <w:r>
              <w:rPr>
                <w:rFonts w:hint="eastAsia" w:hAnsi="宋体" w:cs="宋体"/>
                <w:sz w:val="24"/>
                <w:u w:val="single"/>
                <w:lang w:eastAsia="zh-CN"/>
              </w:rPr>
              <w:t>西湖区教工路</w:t>
            </w:r>
            <w:r>
              <w:rPr>
                <w:rFonts w:hint="eastAsia" w:hAnsi="宋体" w:cs="宋体"/>
                <w:sz w:val="24"/>
                <w:u w:val="single"/>
                <w:lang w:val="en-US" w:eastAsia="zh-CN"/>
              </w:rPr>
              <w:t>199号保亭综合楼308</w:t>
            </w:r>
            <w:r>
              <w:rPr>
                <w:rFonts w:hint="eastAsia" w:hAnsi="宋体" w:cs="宋体"/>
                <w:sz w:val="24"/>
                <w:u w:val="single"/>
              </w:rPr>
              <w:t>室</w:t>
            </w:r>
            <w:r>
              <w:rPr>
                <w:rFonts w:hint="eastAsia" w:hAnsi="宋体" w:cs="宋体"/>
                <w:kern w:val="28"/>
                <w:sz w:val="24"/>
                <w:szCs w:val="24"/>
              </w:rPr>
              <w:t>；</w:t>
            </w:r>
          </w:p>
          <w:p w14:paraId="1C135CE1">
            <w:pPr>
              <w:pStyle w:val="34"/>
              <w:spacing w:line="360" w:lineRule="auto"/>
              <w:rPr>
                <w:rFonts w:hint="eastAsia" w:hAnsi="宋体" w:cs="宋体"/>
                <w:sz w:val="24"/>
                <w:szCs w:val="24"/>
              </w:rPr>
            </w:pPr>
            <w:r>
              <w:rPr>
                <w:rFonts w:hint="eastAsia" w:hAnsi="宋体" w:cs="宋体"/>
                <w:kern w:val="28"/>
                <w:sz w:val="24"/>
                <w:szCs w:val="24"/>
              </w:rPr>
              <w:t>备份响应文件签收人员联系电话：</w:t>
            </w:r>
            <w:r>
              <w:rPr>
                <w:rFonts w:hint="eastAsia" w:hAnsi="宋体" w:cs="宋体"/>
                <w:sz w:val="24"/>
                <w:u w:val="single"/>
                <w:lang w:eastAsia="zh-CN"/>
              </w:rPr>
              <w:t>徐升</w:t>
            </w:r>
            <w:r>
              <w:rPr>
                <w:rFonts w:hint="eastAsia" w:hAnsi="宋体" w:cs="宋体"/>
                <w:sz w:val="24"/>
                <w:u w:val="single"/>
              </w:rPr>
              <w:t>，</w:t>
            </w:r>
            <w:r>
              <w:rPr>
                <w:rFonts w:hint="eastAsia" w:hAnsi="宋体" w:cs="宋体"/>
                <w:sz w:val="24"/>
                <w:u w:val="single"/>
                <w:lang w:val="en-US" w:eastAsia="zh-CN"/>
              </w:rPr>
              <w:t>13757122090</w:t>
            </w:r>
            <w:r>
              <w:rPr>
                <w:rFonts w:hint="eastAsia" w:hAnsi="宋体" w:cs="宋体"/>
                <w:sz w:val="24"/>
                <w:szCs w:val="24"/>
              </w:rPr>
              <w:t>。</w:t>
            </w:r>
          </w:p>
          <w:p w14:paraId="210F1A42">
            <w:pPr>
              <w:pStyle w:val="34"/>
              <w:spacing w:line="360" w:lineRule="auto"/>
              <w:rPr>
                <w:rFonts w:hAnsi="宋体" w:cs="宋体"/>
                <w:color w:val="auto"/>
                <w:kern w:val="28"/>
                <w:sz w:val="24"/>
                <w:highlight w:val="none"/>
              </w:rPr>
            </w:pP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564C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57D7BC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093" w:type="dxa"/>
            <w:vAlign w:val="center"/>
          </w:tcPr>
          <w:p w14:paraId="427DFD8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6927" w:type="dxa"/>
            <w:vAlign w:val="center"/>
          </w:tcPr>
          <w:p w14:paraId="7231F008">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4"/>
                <w:highlight w:val="none"/>
              </w:rPr>
              <w:t>。</w:t>
            </w:r>
          </w:p>
        </w:tc>
      </w:tr>
      <w:tr w14:paraId="2F5F3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86C299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2093" w:type="dxa"/>
            <w:vAlign w:val="center"/>
          </w:tcPr>
          <w:p w14:paraId="6D75CA8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采购代理服务费</w:t>
            </w:r>
          </w:p>
        </w:tc>
        <w:tc>
          <w:tcPr>
            <w:tcW w:w="6927" w:type="dxa"/>
            <w:vAlign w:val="center"/>
          </w:tcPr>
          <w:p w14:paraId="00E903E1">
            <w:pPr>
              <w:spacing w:line="360" w:lineRule="auto"/>
              <w:rPr>
                <w:rFonts w:ascii="宋体" w:hAnsi="宋体" w:cs="宋体"/>
                <w:snapToGrid w:val="0"/>
                <w:color w:val="auto"/>
                <w:kern w:val="28"/>
                <w:sz w:val="24"/>
                <w:highlight w:val="none"/>
              </w:rPr>
            </w:pPr>
            <w:r>
              <w:rPr>
                <w:rFonts w:hint="eastAsia" w:ascii="宋体" w:hAnsi="宋体" w:cs="宋体"/>
                <w:snapToGrid w:val="0"/>
                <w:kern w:val="28"/>
                <w:sz w:val="24"/>
              </w:rPr>
              <w:t>招标代理费按国家文件标准（发改价格[2011]534号），以工程中标价为基数下浮20%收费；工程造价咨询费用根据采用《浙价服[2009]84号》文件标准，以工程招标控制价为基数下浮50%收费（若低于最低收费2000元标准的则按2000元计费）</w:t>
            </w:r>
          </w:p>
        </w:tc>
      </w:tr>
    </w:tbl>
    <w:p w14:paraId="1F5AC551">
      <w:pPr>
        <w:snapToGrid w:val="0"/>
        <w:spacing w:line="360" w:lineRule="auto"/>
        <w:jc w:val="center"/>
        <w:rPr>
          <w:rFonts w:ascii="宋体" w:hAnsi="宋体" w:cs="宋体"/>
          <w:b/>
          <w:color w:val="auto"/>
          <w:sz w:val="32"/>
          <w:szCs w:val="20"/>
          <w:highlight w:val="none"/>
        </w:rPr>
      </w:pPr>
    </w:p>
    <w:bookmarkEnd w:id="10"/>
    <w:p w14:paraId="1F464205">
      <w:pPr>
        <w:widowControl/>
        <w:adjustRightInd/>
        <w:jc w:val="left"/>
        <w:rPr>
          <w:rFonts w:ascii="宋体" w:hAnsi="宋体" w:cs="宋体"/>
          <w:b/>
          <w:color w:val="auto"/>
          <w:sz w:val="32"/>
          <w:szCs w:val="20"/>
          <w:highlight w:val="none"/>
        </w:rPr>
      </w:pPr>
      <w:bookmarkStart w:id="13" w:name="第三部分"/>
      <w:bookmarkStart w:id="14" w:name="_Toc164416483"/>
      <w:r>
        <w:rPr>
          <w:rFonts w:hint="eastAsia" w:ascii="宋体" w:hAnsi="宋体" w:cs="宋体"/>
          <w:b/>
          <w:color w:val="auto"/>
          <w:sz w:val="32"/>
          <w:szCs w:val="20"/>
          <w:highlight w:val="none"/>
        </w:rPr>
        <w:br w:type="page"/>
      </w:r>
    </w:p>
    <w:p w14:paraId="18F1B9B9">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4787FDD6">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49B842C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2A636481">
      <w:pPr>
        <w:snapToGrid w:val="0"/>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2.定义</w:t>
      </w:r>
    </w:p>
    <w:p w14:paraId="74955C2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14:paraId="10AA88C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”系指竞争性磋商公告中载明的本项目的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2EB5DCF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14:paraId="686037D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AFAE3E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250F653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034521C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系指不适用本项目的要求，“※”系指磋商过程中可能实质性变动的内容。</w:t>
      </w:r>
    </w:p>
    <w:p w14:paraId="6968F7A6">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5497B2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F6A1DE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3C78B963">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4632848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4A3E12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9C6FC55">
      <w:pPr>
        <w:pStyle w:val="3"/>
        <w:tabs>
          <w:tab w:val="left" w:pos="0"/>
          <w:tab w:val="clear" w:pos="432"/>
        </w:tabs>
        <w:ind w:left="0" w:firstLine="480" w:firstLineChars="200"/>
        <w:rPr>
          <w:color w:val="auto"/>
          <w:highlight w:val="none"/>
          <w:lang w:val="en-US"/>
        </w:rPr>
      </w:pPr>
      <w:r>
        <w:rPr>
          <w:rFonts w:ascii="宋体" w:hAnsi="宋体" w:eastAsia="宋体" w:cs="宋体"/>
          <w:b w:val="0"/>
          <w:bCs w:val="0"/>
          <w:color w:val="auto"/>
          <w:sz w:val="24"/>
          <w:szCs w:val="24"/>
          <w:highlight w:val="none"/>
          <w:lang w:val="en-US"/>
        </w:rPr>
        <w:t xml:space="preserve">3.2.4 </w:t>
      </w:r>
      <w:r>
        <w:rPr>
          <w:rFonts w:hint="eastAsia" w:ascii="宋体" w:hAnsi="宋体" w:eastAsia="宋体" w:cs="宋体"/>
          <w:b w:val="0"/>
          <w:bCs w:val="0"/>
          <w:color w:val="auto"/>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4B21B1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16E747B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F1A48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EABC446">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14:paraId="1D6840CB">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2F5721C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54DE2F9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415E8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997771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48DE327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655A487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0A108E8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370CD8C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3000F12">
      <w:pPr>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B85FDA1">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22798BB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4.1在线询问、质疑、投诉</w:t>
      </w:r>
    </w:p>
    <w:p w14:paraId="07CA1FA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954CFE6">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AA39541">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EA74A87">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284F84A0">
      <w:pPr>
        <w:pStyle w:val="34"/>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07B46C7F">
      <w:pPr>
        <w:pStyle w:val="34"/>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151EE25C">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14:paraId="2C4A26F2">
      <w:pPr>
        <w:pStyle w:val="34"/>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36CB27C7">
      <w:pPr>
        <w:pStyle w:val="34"/>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37968F2F">
      <w:pPr>
        <w:pStyle w:val="34"/>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5571E6B">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3F657F3A">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717324A8">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6C7182FE">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7BDED82D">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3D9F523C">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43268BE">
      <w:pPr>
        <w:pStyle w:val="34"/>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46A067CF">
      <w:pPr>
        <w:pStyle w:val="34"/>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质疑函范本及制作说明详见附件2。</w:t>
      </w:r>
    </w:p>
    <w:p w14:paraId="1B1617A4">
      <w:pPr>
        <w:pStyle w:val="34"/>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4.3.4对同一采购程序环节的质疑，供应商须在法定质疑期内一次性提出。</w:t>
      </w:r>
    </w:p>
    <w:p w14:paraId="2B1ACC65">
      <w:pPr>
        <w:pStyle w:val="34"/>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.5采购人或者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在质疑回复后5个工作日内，在浙江政府采购网的“其他公告”栏目公开质疑答复，答复内容应当完整。质疑函作为附件上传。</w:t>
      </w:r>
    </w:p>
    <w:p w14:paraId="30AA85E7">
      <w:pPr>
        <w:pStyle w:val="34"/>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.6询问或者质疑事项可能影响采购结果的，采购人应当暂停签订合同，已经签订合同的，应当中止履行合同。</w:t>
      </w:r>
    </w:p>
    <w:p w14:paraId="6E895059">
      <w:pPr>
        <w:pStyle w:val="34"/>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4.4供应商投诉</w:t>
      </w:r>
    </w:p>
    <w:p w14:paraId="28DD7239">
      <w:pPr>
        <w:pStyle w:val="34"/>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4.4.1质疑供应商对采购人、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的答复不满意或者采购人、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未在规定的时间内作出答复的，可以在答复期满后十五个工作日内向同级政府采购监督管理部门提出投诉。</w:t>
      </w:r>
    </w:p>
    <w:p w14:paraId="4CF110F2">
      <w:pPr>
        <w:pStyle w:val="34"/>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w:t>
      </w:r>
      <w:r>
        <w:rPr>
          <w:rFonts w:hint="eastAsia" w:ascii="宋体" w:hAnsi="宋体" w:eastAsia="宋体" w:cs="宋体"/>
          <w:color w:val="auto"/>
          <w:sz w:val="24"/>
          <w:highlight w:val="none"/>
          <w:lang w:val="zh-CN"/>
        </w:rPr>
        <w:t>2</w:t>
      </w:r>
      <w:r>
        <w:rPr>
          <w:rFonts w:hint="eastAsia" w:ascii="宋体" w:hAnsi="宋体" w:eastAsia="宋体" w:cs="宋体"/>
          <w:color w:val="auto"/>
          <w:sz w:val="24"/>
          <w:highlight w:val="none"/>
        </w:rPr>
        <w:t>供应商投诉的事项不得超出已质疑事项的范围，基于质疑答复内容提出的投诉事项除外。</w:t>
      </w:r>
    </w:p>
    <w:p w14:paraId="747456B6">
      <w:pPr>
        <w:pStyle w:val="34"/>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4.4.3供应商投诉应当有明确的请求和必要的证明材料。</w:t>
      </w:r>
    </w:p>
    <w:p w14:paraId="732EF0A7">
      <w:pPr>
        <w:pStyle w:val="34"/>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4.4.4以联合体形式参加政府采购活动的，其投诉应当由组成联合体的所有供应商共同提出。</w:t>
      </w:r>
    </w:p>
    <w:p w14:paraId="27977F33">
      <w:pPr>
        <w:pStyle w:val="34"/>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4.5.5根据政府采购行政裁决省市区三级联动试点工作安排，杭州市本级、拱墅区、富阳区政府采购项目投诉材料可寄送至浙江省政府采购行政裁决服务中心（杭州），地址：</w:t>
      </w:r>
      <w:r>
        <w:rPr>
          <w:rFonts w:hint="eastAsia" w:ascii="宋体" w:hAnsi="宋体" w:cs="宋体"/>
          <w:color w:val="auto"/>
          <w:sz w:val="24"/>
          <w:highlight w:val="none"/>
        </w:rPr>
        <w:t>杭州市上城区清泰街549号城建综合大楼11楼（快递仅限ems或顺丰）</w:t>
      </w:r>
      <w:r>
        <w:rPr>
          <w:rFonts w:hint="eastAsia" w:ascii="宋体" w:hAnsi="宋体" w:eastAsia="宋体" w:cs="宋体"/>
          <w:color w:val="auto"/>
          <w:sz w:val="24"/>
          <w:highlight w:val="none"/>
        </w:rPr>
        <w:t>，收件人：朱女士、王女士，电话：</w:t>
      </w:r>
      <w:r>
        <w:rPr>
          <w:rFonts w:hint="eastAsia" w:ascii="宋体" w:hAnsi="宋体" w:cs="宋体"/>
          <w:color w:val="auto"/>
          <w:sz w:val="24"/>
          <w:highlight w:val="none"/>
        </w:rPr>
        <w:t>0571-87227671,0571-87800218</w:t>
      </w:r>
      <w:r>
        <w:rPr>
          <w:rFonts w:hint="eastAsia" w:ascii="宋体" w:hAnsi="宋体" w:eastAsia="宋体" w:cs="宋体"/>
          <w:color w:val="auto"/>
          <w:sz w:val="24"/>
          <w:highlight w:val="none"/>
        </w:rPr>
        <w:t>。</w:t>
      </w:r>
    </w:p>
    <w:p w14:paraId="37437098">
      <w:pPr>
        <w:pStyle w:val="34"/>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投诉书范本及制作说明详见附件3。</w:t>
      </w:r>
    </w:p>
    <w:p w14:paraId="75177193">
      <w:pPr>
        <w:pStyle w:val="134"/>
        <w:snapToGrid w:val="0"/>
        <w:spacing w:before="0"/>
        <w:ind w:firstLine="360"/>
        <w:rPr>
          <w:rFonts w:ascii="宋体" w:hAnsi="宋体" w:cs="宋体"/>
          <w:color w:val="auto"/>
          <w:sz w:val="18"/>
          <w:szCs w:val="18"/>
          <w:highlight w:val="none"/>
        </w:rPr>
      </w:pPr>
    </w:p>
    <w:p w14:paraId="74691870">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35BE9CC5">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14:paraId="07163B89">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14:paraId="35CAC004">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14:paraId="4239AB16">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18F6D0AB">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44A11F9F">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14:paraId="0EC21C58">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34E3EDD0">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A4DD5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7217C9C7">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14:paraId="04779F46">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31DB3138">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2C55DA82">
      <w:pPr>
        <w:pStyle w:val="23"/>
        <w:rPr>
          <w:rFonts w:hAnsi="宋体" w:cs="宋体"/>
          <w:color w:val="auto"/>
          <w:sz w:val="18"/>
          <w:szCs w:val="18"/>
          <w:highlight w:val="none"/>
          <w:lang w:val="en-US"/>
        </w:rPr>
      </w:pPr>
    </w:p>
    <w:p w14:paraId="50BA2D73">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14:paraId="54734C55">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14:paraId="232AF635">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14:paraId="691DFD36">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14:paraId="6231C382">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40508FD8">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14:paraId="66115459">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14:paraId="59F00962">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14:paraId="1EB3A158">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246D4B40">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14:paraId="6E0DB24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76A073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064A3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Start w:id="17" w:name="_Hlk101257010"/>
      <w:r>
        <w:rPr>
          <w:rFonts w:hint="eastAsia" w:ascii="宋体" w:hAnsi="宋体" w:cs="宋体"/>
          <w:snapToGrid w:val="0"/>
          <w:color w:val="auto"/>
          <w:kern w:val="28"/>
          <w:sz w:val="24"/>
          <w:szCs w:val="20"/>
          <w:highlight w:val="none"/>
        </w:rPr>
        <w:t>（如果有)</w:t>
      </w:r>
      <w:bookmarkEnd w:id="16"/>
      <w:bookmarkEnd w:id="17"/>
      <w:r>
        <w:rPr>
          <w:rFonts w:hint="eastAsia" w:ascii="宋体" w:hAnsi="宋体" w:cs="宋体"/>
          <w:snapToGrid w:val="0"/>
          <w:color w:val="auto"/>
          <w:kern w:val="28"/>
          <w:sz w:val="24"/>
          <w:szCs w:val="20"/>
          <w:highlight w:val="none"/>
        </w:rPr>
        <w:t>；</w:t>
      </w:r>
    </w:p>
    <w:p w14:paraId="309F11C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B9982F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B4E94D1">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FA17E3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14:paraId="2082D77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310A5EF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14:paraId="2619637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44ECF79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14:paraId="4472E23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450BC1C5">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2D362ECA">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DD26EA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14:paraId="129F25C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11.3.2已标价工程量清单；</w:t>
      </w:r>
    </w:p>
    <w:p w14:paraId="360C575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11.3.3中小企业声明函。</w:t>
      </w:r>
    </w:p>
    <w:p w14:paraId="19B83A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32910AC2">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供应商提供虚假材料的，响应文件无效。</w:t>
      </w:r>
    </w:p>
    <w:p w14:paraId="5313BD9B">
      <w:pPr>
        <w:pStyle w:val="134"/>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1F402C7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753A9BF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1C774735">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E1703B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39000F80">
      <w:pPr>
        <w:pStyle w:val="134"/>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55B9D44F">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19A98714">
      <w:pPr>
        <w:pStyle w:val="134"/>
        <w:snapToGrid w:val="0"/>
        <w:spacing w:before="0"/>
        <w:ind w:firstLine="480"/>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14:paraId="625CB0E0">
      <w:pPr>
        <w:pStyle w:val="134"/>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5E3E5181">
      <w:pPr>
        <w:pStyle w:val="134"/>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359BD776">
      <w:pPr>
        <w:pStyle w:val="134"/>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555BEFBA">
      <w:pPr>
        <w:pStyle w:val="134"/>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可以视情况延长响应文件提交的截止时间。在上述情况下，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与供应商以前在响应文件提交截止时间方面的全部权利、责任和义务，将适用于延长至新的响应文件提交截止时间。</w:t>
      </w:r>
    </w:p>
    <w:p w14:paraId="684F0083">
      <w:pPr>
        <w:pStyle w:val="34"/>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14:paraId="780D3CD6">
      <w:pPr>
        <w:pStyle w:val="34"/>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w:t>
      </w:r>
      <w:r>
        <w:rPr>
          <w:rFonts w:hint="eastAsia" w:hAnsi="宋体" w:cs="宋体"/>
          <w:color w:val="auto"/>
          <w:kern w:val="28"/>
          <w:sz w:val="24"/>
          <w:szCs w:val="24"/>
          <w:highlight w:val="none"/>
        </w:rPr>
        <w:t>以邮件形式发送至邮箱zjzhenghaozb@163.com，邮件主题为“项目名称+备份文件”</w:t>
      </w:r>
      <w:r>
        <w:rPr>
          <w:rFonts w:hint="eastAsia" w:hAnsi="宋体" w:cs="宋体"/>
          <w:color w:val="auto"/>
          <w:sz w:val="24"/>
          <w:szCs w:val="24"/>
          <w:highlight w:val="none"/>
        </w:rPr>
        <w:t>，</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p w14:paraId="018513F2">
      <w:pPr>
        <w:pStyle w:val="3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15.2备份响应文件须在“政采云投标客户端”制作生成。</w:t>
      </w:r>
    </w:p>
    <w:p w14:paraId="695B38CD">
      <w:pPr>
        <w:pStyle w:val="34"/>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68E55A5B">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598A712D">
      <w:pPr>
        <w:pStyle w:val="26"/>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14:paraId="004313AF">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14:paraId="7180561C">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7C52AC3C">
      <w:pPr>
        <w:pStyle w:val="134"/>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44D81E46">
      <w:pPr>
        <w:pStyle w:val="134"/>
        <w:spacing w:before="0"/>
        <w:ind w:firstLine="480"/>
        <w:rPr>
          <w:rFonts w:ascii="宋体" w:hAnsi="宋体" w:cs="宋体"/>
          <w:color w:val="auto"/>
          <w:highlight w:val="none"/>
        </w:rPr>
      </w:pPr>
      <w:r>
        <w:rPr>
          <w:rFonts w:hint="eastAsia" w:ascii="宋体" w:hAnsi="宋体" w:cs="宋体"/>
          <w:color w:val="auto"/>
          <w:highlight w:val="none"/>
        </w:rPr>
        <w:t>17.3在原定响应文件有效期满之前，如果出现特殊情况，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可以以书面形式通知供应商延长响应文件有效期。供应商同意延长的，不得要求或被允许修改其响应文件，供应商拒绝延长的，其响应文件无效。</w:t>
      </w:r>
    </w:p>
    <w:p w14:paraId="2816B10F">
      <w:pPr>
        <w:pStyle w:val="134"/>
        <w:spacing w:before="0"/>
        <w:ind w:firstLine="643"/>
        <w:rPr>
          <w:rFonts w:ascii="宋体" w:hAnsi="宋体" w:cs="宋体"/>
          <w:b/>
          <w:color w:val="auto"/>
          <w:sz w:val="32"/>
          <w:highlight w:val="none"/>
        </w:rPr>
      </w:pPr>
    </w:p>
    <w:p w14:paraId="615A3E53">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14:paraId="7AE1036F">
      <w:pPr>
        <w:pStyle w:val="560"/>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14:paraId="174E597A">
      <w:pPr>
        <w:pStyle w:val="560"/>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按照采购文件规定的时间通过电子交易平台组织响应文件开启，所有供应商均应当准时在线参加。供应商不足3家的，不得开启。</w:t>
      </w:r>
    </w:p>
    <w:p w14:paraId="337BE681">
      <w:pPr>
        <w:pStyle w:val="560"/>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依托电子交易平台发起开始解密指令，供应商按照平台提示和采购文件的规定在半小时内完成在线解密。</w:t>
      </w:r>
    </w:p>
    <w:p w14:paraId="0242DC44">
      <w:pPr>
        <w:pStyle w:val="560"/>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2E7D2F18">
      <w:pPr>
        <w:pStyle w:val="560"/>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5DC4A4B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或磋商小组依据法律法规和采购文件的规定，对供应商的资格进行审查。</w:t>
      </w:r>
    </w:p>
    <w:p w14:paraId="714B2DF1">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14:paraId="00D735C6">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对未通过资格审查的供应商，采购人或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0E94B39D">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合格供应商不足3家的，不再评审。</w:t>
      </w:r>
    </w:p>
    <w:p w14:paraId="4CC5387E">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76D4CEC5">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将在资格审查时通过“信用中国”网站(www.creditchina.gov.cn)、中国政府采购网(www.ccgp.gov.cn)渠道查询供应商接受资格审查时的信用记录。</w:t>
      </w:r>
    </w:p>
    <w:p w14:paraId="2F279C7F">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15181772">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684EBD0A">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E3E4076">
      <w:pPr>
        <w:pStyle w:val="134"/>
        <w:spacing w:before="0"/>
        <w:ind w:firstLine="0" w:firstLineChars="0"/>
        <w:rPr>
          <w:rFonts w:ascii="宋体" w:hAnsi="宋体" w:cs="宋体"/>
          <w:color w:val="auto"/>
          <w:kern w:val="0"/>
          <w:szCs w:val="24"/>
          <w:highlight w:val="none"/>
        </w:rPr>
      </w:pPr>
    </w:p>
    <w:p w14:paraId="1B894E26">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14:paraId="349CCC13">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14:paraId="7A425D16">
      <w:pPr>
        <w:spacing w:line="360" w:lineRule="auto"/>
        <w:rPr>
          <w:rFonts w:ascii="宋体" w:hAnsi="宋体" w:cs="宋体"/>
          <w:b/>
          <w:color w:val="auto"/>
          <w:sz w:val="24"/>
          <w:highlight w:val="none"/>
        </w:rPr>
      </w:pPr>
    </w:p>
    <w:p w14:paraId="24D70300">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14:paraId="1A98EFAD">
      <w:pPr>
        <w:pStyle w:val="26"/>
        <w:spacing w:line="360" w:lineRule="auto"/>
        <w:ind w:left="479" w:hanging="479" w:hangingChars="199"/>
        <w:rPr>
          <w:rFonts w:cs="宋体"/>
          <w:b/>
          <w:color w:val="auto"/>
          <w:highlight w:val="none"/>
        </w:rPr>
      </w:pPr>
      <w:r>
        <w:rPr>
          <w:rFonts w:hint="eastAsia" w:cs="宋体"/>
          <w:b/>
          <w:color w:val="auto"/>
          <w:highlight w:val="none"/>
        </w:rPr>
        <w:t>22. 确定成交供应商</w:t>
      </w:r>
    </w:p>
    <w:p w14:paraId="4D59066C">
      <w:pPr>
        <w:pStyle w:val="134"/>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99E0C4C">
      <w:pPr>
        <w:pStyle w:val="134"/>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219A4917">
      <w:pPr>
        <w:pStyle w:val="26"/>
        <w:spacing w:line="360" w:lineRule="auto"/>
        <w:ind w:left="479" w:hanging="477" w:hangingChars="199"/>
        <w:rPr>
          <w:rFonts w:hint="eastAsia" w:ascii="宋体" w:hAnsi="宋体" w:eastAsia="宋体" w:cs="宋体"/>
          <w:b w:val="0"/>
          <w:bCs/>
          <w:color w:val="auto"/>
          <w:highlight w:val="none"/>
        </w:rPr>
      </w:pPr>
      <w:r>
        <w:rPr>
          <w:rFonts w:hint="eastAsia" w:ascii="宋体" w:hAnsi="宋体" w:eastAsia="宋体" w:cs="宋体"/>
          <w:b w:val="0"/>
          <w:bCs/>
          <w:color w:val="auto"/>
          <w:highlight w:val="none"/>
        </w:rPr>
        <w:t>23.1自成交供应商确定之日起1个工作日内，</w:t>
      </w:r>
      <w:r>
        <w:rPr>
          <w:rFonts w:hint="eastAsia" w:ascii="宋体" w:hAnsi="宋体" w:eastAsia="宋体" w:cs="宋体"/>
          <w:b w:val="0"/>
          <w:bCs/>
          <w:color w:val="auto"/>
          <w:highlight w:val="none"/>
          <w:lang w:eastAsia="zh-CN"/>
        </w:rPr>
        <w:t>采购代理机构</w:t>
      </w:r>
      <w:r>
        <w:rPr>
          <w:rFonts w:hint="eastAsia" w:ascii="宋体" w:hAnsi="宋体" w:eastAsia="宋体" w:cs="宋体"/>
          <w:b w:val="0"/>
          <w:bCs/>
          <w:color w:val="auto"/>
          <w:highlight w:val="none"/>
        </w:rPr>
        <w:t>通过电子交易平台向成交供应商发出成交通知书，同时编制发布采购结果公告。</w:t>
      </w:r>
      <w:r>
        <w:rPr>
          <w:rFonts w:hint="eastAsia" w:ascii="宋体" w:hAnsi="宋体" w:eastAsia="宋体" w:cs="宋体"/>
          <w:b w:val="0"/>
          <w:bCs/>
          <w:color w:val="auto"/>
          <w:highlight w:val="none"/>
          <w:lang w:eastAsia="zh-CN"/>
        </w:rPr>
        <w:t>采购代理机构</w:t>
      </w:r>
      <w:r>
        <w:rPr>
          <w:rFonts w:hint="eastAsia" w:ascii="宋体" w:hAnsi="宋体" w:eastAsia="宋体" w:cs="宋体"/>
          <w:b w:val="0"/>
          <w:bCs/>
          <w:color w:val="auto"/>
          <w:highlight w:val="none"/>
        </w:rPr>
        <w:t>也可以以纸质形式进行成交通知。</w:t>
      </w:r>
    </w:p>
    <w:p w14:paraId="6826B844">
      <w:pPr>
        <w:pStyle w:val="26"/>
        <w:spacing w:line="360" w:lineRule="auto"/>
        <w:ind w:left="479" w:hanging="477" w:hangingChars="199"/>
        <w:rPr>
          <w:rFonts w:hint="eastAsia" w:ascii="宋体" w:hAnsi="宋体" w:eastAsia="宋体" w:cs="宋体"/>
          <w:b w:val="0"/>
          <w:bCs/>
          <w:color w:val="auto"/>
          <w:highlight w:val="none"/>
        </w:rPr>
      </w:pPr>
      <w:r>
        <w:rPr>
          <w:rFonts w:hint="eastAsia" w:ascii="宋体" w:hAnsi="宋体" w:eastAsia="宋体" w:cs="宋体"/>
          <w:b w:val="0"/>
          <w:bCs/>
          <w:color w:val="auto"/>
          <w:highlight w:val="none"/>
        </w:rPr>
        <w:t>23.2成交结果公告内容包括采购人及其委托的</w:t>
      </w:r>
      <w:r>
        <w:rPr>
          <w:rFonts w:hint="eastAsia" w:ascii="宋体" w:hAnsi="宋体" w:eastAsia="宋体" w:cs="宋体"/>
          <w:b w:val="0"/>
          <w:bCs/>
          <w:color w:val="auto"/>
          <w:highlight w:val="none"/>
          <w:lang w:eastAsia="zh-CN"/>
        </w:rPr>
        <w:t>采购代理机构</w:t>
      </w:r>
      <w:r>
        <w:rPr>
          <w:rFonts w:hint="eastAsia" w:ascii="宋体" w:hAnsi="宋体" w:eastAsia="宋体" w:cs="宋体"/>
          <w:b w:val="0"/>
          <w:bCs/>
          <w:color w:val="auto"/>
          <w:highlight w:val="none"/>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1234D3EA">
      <w:pPr>
        <w:pStyle w:val="26"/>
        <w:spacing w:line="360" w:lineRule="auto"/>
        <w:ind w:left="479" w:hanging="477" w:hangingChars="199"/>
        <w:rPr>
          <w:rFonts w:hint="eastAsia" w:ascii="宋体" w:hAnsi="宋体" w:eastAsia="宋体" w:cs="宋体"/>
          <w:b w:val="0"/>
          <w:bCs/>
          <w:color w:val="auto"/>
          <w:highlight w:val="none"/>
        </w:rPr>
      </w:pPr>
      <w:r>
        <w:rPr>
          <w:rFonts w:hint="eastAsia" w:ascii="宋体" w:hAnsi="宋体" w:eastAsia="宋体" w:cs="宋体"/>
          <w:b w:val="0"/>
          <w:bCs/>
          <w:color w:val="auto"/>
          <w:highlight w:val="none"/>
        </w:rPr>
        <w:t>23.3公告期限为1个工作日。</w:t>
      </w:r>
    </w:p>
    <w:p w14:paraId="5E73B8E1">
      <w:pPr>
        <w:snapToGrid w:val="0"/>
        <w:spacing w:line="360" w:lineRule="auto"/>
        <w:ind w:left="120" w:leftChars="57" w:firstLine="482" w:firstLineChars="150"/>
        <w:jc w:val="center"/>
        <w:rPr>
          <w:rFonts w:ascii="宋体" w:hAnsi="宋体" w:cs="宋体"/>
          <w:b/>
          <w:color w:val="auto"/>
          <w:sz w:val="32"/>
          <w:highlight w:val="none"/>
        </w:rPr>
      </w:pPr>
    </w:p>
    <w:p w14:paraId="235EDAA3">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14:paraId="2907C2D5">
      <w:pPr>
        <w:pStyle w:val="26"/>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F61F128">
      <w:pPr>
        <w:pStyle w:val="26"/>
        <w:snapToGrid w:val="0"/>
        <w:spacing w:line="360" w:lineRule="auto"/>
        <w:ind w:left="479" w:hanging="477" w:hangingChars="199"/>
        <w:rPr>
          <w:rFonts w:hint="eastAsia" w:ascii="宋体" w:hAnsi="宋体" w:eastAsia="宋体" w:cs="宋体"/>
          <w:color w:val="auto"/>
          <w:kern w:val="0"/>
          <w:sz w:val="24"/>
          <w:szCs w:val="20"/>
          <w:highlight w:val="none"/>
          <w:lang w:val="zh-CN" w:eastAsia="zh-CN" w:bidi="ar-SA"/>
        </w:rPr>
      </w:pPr>
      <w:r>
        <w:rPr>
          <w:rFonts w:hint="eastAsia" w:ascii="宋体" w:hAnsi="宋体" w:eastAsia="宋体" w:cs="宋体"/>
          <w:color w:val="auto"/>
          <w:kern w:val="0"/>
          <w:sz w:val="24"/>
          <w:szCs w:val="20"/>
          <w:highlight w:val="none"/>
          <w:lang w:val="zh-CN" w:eastAsia="zh-CN" w:bidi="ar-SA"/>
        </w:rPr>
        <w:t>25. 合同的签订</w:t>
      </w:r>
    </w:p>
    <w:p w14:paraId="58B034F7">
      <w:pPr>
        <w:pStyle w:val="134"/>
        <w:snapToGrid w:val="0"/>
        <w:spacing w:before="0"/>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25.1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5709D2B0">
      <w:pPr>
        <w:pStyle w:val="134"/>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65F2A640">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89BE982">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2832D39F">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14:paraId="6C7D4701">
      <w:pPr>
        <w:pStyle w:val="26"/>
        <w:snapToGrid w:val="0"/>
        <w:spacing w:line="360" w:lineRule="auto"/>
        <w:ind w:left="479" w:hanging="479" w:hangingChars="199"/>
        <w:rPr>
          <w:rFonts w:cs="宋体"/>
          <w:b/>
          <w:color w:val="auto"/>
          <w:highlight w:val="none"/>
        </w:rPr>
      </w:pPr>
      <w:r>
        <w:rPr>
          <w:rFonts w:hint="eastAsia" w:cs="宋体"/>
          <w:b/>
          <w:color w:val="auto"/>
          <w:highlight w:val="none"/>
        </w:rPr>
        <w:t>26. 履约保证金</w:t>
      </w:r>
    </w:p>
    <w:p w14:paraId="4CEDE48B">
      <w:pPr>
        <w:tabs>
          <w:tab w:val="left" w:pos="0"/>
        </w:tabs>
        <w:snapToGrid w:val="0"/>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。杭州市政府采购网公布的供应商履约评价为满分的供应商，采购单位应当免收履约保证金。确需收取履约保证金的，履约保证金缴纳最高比例由不超过</w:t>
      </w:r>
      <w:r>
        <w:rPr>
          <w:rFonts w:hint="eastAsia" w:ascii="宋体" w:hAnsi="宋体" w:cs="宋体"/>
          <w:color w:val="auto"/>
          <w:kern w:val="2"/>
          <w:sz w:val="24"/>
          <w:highlight w:val="none"/>
        </w:rPr>
        <w:t>合同金额的</w:t>
      </w:r>
      <w:r>
        <w:rPr>
          <w:rFonts w:ascii="宋体" w:hAnsi="宋体" w:cs="宋体"/>
          <w:color w:val="auto"/>
          <w:kern w:val="2"/>
          <w:sz w:val="24"/>
          <w:highlight w:val="none"/>
        </w:rPr>
        <w:t>1%</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采购单位鼓励供应商采取履约保函形式提供信用保证；供应商提供保函的，采购单位不得拒收。项目验收结束后应及时退还，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7076C2">
      <w:pPr>
        <w:pStyle w:val="3"/>
        <w:snapToGrid w:val="0"/>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9FB5C50">
      <w:pPr>
        <w:pStyle w:val="3"/>
        <w:rPr>
          <w:color w:val="auto"/>
          <w:highlight w:val="none"/>
        </w:rPr>
      </w:pPr>
      <w:r>
        <w:rPr>
          <w:rFonts w:ascii="宋体" w:hAnsi="宋体" w:eastAsia="宋体" w:cs="Times New Roman"/>
          <w:b/>
          <w:bCs/>
          <w:color w:val="auto"/>
          <w:kern w:val="2"/>
          <w:sz w:val="24"/>
          <w:szCs w:val="32"/>
          <w:highlight w:val="none"/>
          <w:lang w:val="en-US"/>
        </w:rPr>
        <w:t>27.预付款</w:t>
      </w:r>
    </w:p>
    <w:p w14:paraId="33425F5F">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14:paraId="3469C87B">
      <w:pPr>
        <w:rPr>
          <w:color w:val="auto"/>
          <w:highlight w:val="none"/>
        </w:rPr>
      </w:pPr>
    </w:p>
    <w:p w14:paraId="26B0A303">
      <w:pPr>
        <w:snapToGrid w:val="0"/>
        <w:spacing w:line="360" w:lineRule="auto"/>
        <w:ind w:firstLine="3357" w:firstLineChars="1045"/>
        <w:rPr>
          <w:rFonts w:ascii="宋体" w:hAnsi="宋体" w:cs="宋体"/>
          <w:b/>
          <w:color w:val="auto"/>
          <w:sz w:val="32"/>
          <w:highlight w:val="none"/>
        </w:rPr>
      </w:pPr>
    </w:p>
    <w:p w14:paraId="67749CF2">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14:paraId="1BB37704">
      <w:pPr>
        <w:pStyle w:val="134"/>
        <w:snapToGrid w:val="0"/>
        <w:spacing w:before="0"/>
        <w:ind w:firstLine="0" w:firstLineChars="0"/>
        <w:rPr>
          <w:rFonts w:ascii="宋体" w:hAnsi="宋体" w:cs="宋体"/>
          <w:color w:val="auto"/>
          <w:highlight w:val="none"/>
        </w:rPr>
      </w:pPr>
      <w:r>
        <w:rPr>
          <w:rFonts w:ascii="宋体" w:hAnsi="宋体" w:cs="宋体"/>
          <w:b/>
          <w:bCs/>
          <w:color w:val="auto"/>
          <w:kern w:val="2"/>
          <w:szCs w:val="20"/>
          <w:highlight w:val="none"/>
        </w:rPr>
        <w:t>2</w:t>
      </w:r>
      <w:r>
        <w:rPr>
          <w:rFonts w:ascii="宋体" w:hAnsi="宋体" w:cs="宋体"/>
          <w:b/>
          <w:bCs/>
          <w:color w:val="auto"/>
          <w:kern w:val="2"/>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7EC296CC">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011BE4">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717F18C6">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1732F9FF">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27D94493">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B543D78">
      <w:pPr>
        <w:pStyle w:val="134"/>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9724044">
      <w:pPr>
        <w:tabs>
          <w:tab w:val="left" w:pos="0"/>
        </w:tabs>
        <w:spacing w:line="360" w:lineRule="auto"/>
        <w:ind w:firstLine="480"/>
        <w:rPr>
          <w:rFonts w:ascii="宋体" w:hAnsi="宋体" w:cs="宋体"/>
          <w:color w:val="auto"/>
          <w:sz w:val="24"/>
          <w:highlight w:val="none"/>
        </w:rPr>
      </w:pPr>
    </w:p>
    <w:p w14:paraId="497103D6">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九、验收</w:t>
      </w:r>
    </w:p>
    <w:p w14:paraId="207C57EA">
      <w:pPr>
        <w:pStyle w:val="26"/>
        <w:spacing w:line="360" w:lineRule="auto"/>
        <w:ind w:firstLine="0" w:firstLineChars="0"/>
        <w:rPr>
          <w:rFonts w:cs="宋体"/>
          <w:b/>
          <w:color w:val="auto"/>
          <w:highlight w:val="none"/>
        </w:rPr>
      </w:pPr>
      <w:r>
        <w:rPr>
          <w:rFonts w:hint="eastAsia" w:cs="宋体"/>
          <w:b/>
          <w:color w:val="auto"/>
          <w:highlight w:val="none"/>
        </w:rPr>
        <w:t>30.验收</w:t>
      </w:r>
    </w:p>
    <w:p w14:paraId="33EBD1F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1ADDC7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422EE14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8B505D1">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769A988F">
      <w:pPr>
        <w:tabs>
          <w:tab w:val="left" w:pos="0"/>
        </w:tabs>
        <w:spacing w:line="360" w:lineRule="auto"/>
        <w:ind w:firstLine="480"/>
        <w:rPr>
          <w:rFonts w:ascii="宋体" w:hAnsi="宋体" w:cs="宋体"/>
          <w:color w:val="auto"/>
          <w:kern w:val="0"/>
          <w:sz w:val="24"/>
          <w:highlight w:val="none"/>
        </w:rPr>
        <w:sectPr>
          <w:headerReference r:id="rId4" w:type="first"/>
          <w:footerReference r:id="rId6" w:type="first"/>
          <w:headerReference r:id="rId3" w:type="default"/>
          <w:footerReference r:id="rId5" w:type="default"/>
          <w:pgSz w:w="11906" w:h="16838"/>
          <w:pgMar w:top="1440" w:right="1080" w:bottom="1440" w:left="1080" w:header="851" w:footer="992" w:gutter="0"/>
          <w:cols w:space="720" w:num="1"/>
          <w:titlePg/>
          <w:docGrid w:linePitch="312" w:charSpace="0"/>
        </w:sectPr>
      </w:pPr>
      <w:bookmarkStart w:id="19" w:name="_Hlt74707468"/>
      <w:bookmarkEnd w:id="19"/>
      <w:bookmarkStart w:id="20" w:name="_Hlt75236011"/>
      <w:bookmarkEnd w:id="20"/>
      <w:bookmarkStart w:id="21" w:name="_Hlt74730295"/>
      <w:bookmarkEnd w:id="21"/>
      <w:bookmarkStart w:id="22" w:name="_Hlt74714665"/>
      <w:bookmarkEnd w:id="22"/>
      <w:bookmarkStart w:id="23" w:name="_Hlt68072990"/>
      <w:bookmarkEnd w:id="23"/>
      <w:bookmarkStart w:id="24" w:name="_Hlt68073093"/>
      <w:bookmarkEnd w:id="24"/>
      <w:bookmarkStart w:id="25" w:name="_Hlt68057669"/>
      <w:bookmarkEnd w:id="25"/>
      <w:bookmarkStart w:id="26" w:name="_Hlt75236290"/>
      <w:bookmarkEnd w:id="26"/>
      <w:bookmarkStart w:id="27" w:name="_Hlt75236101"/>
      <w:bookmarkEnd w:id="27"/>
      <w:bookmarkStart w:id="28" w:name="_Hlt68403820"/>
      <w:bookmarkEnd w:id="28"/>
      <w:bookmarkStart w:id="29" w:name="_Hlt68072998"/>
      <w:bookmarkEnd w:id="29"/>
      <w:bookmarkStart w:id="30" w:name="_Hlt74729768"/>
      <w:bookmarkEnd w:id="30"/>
    </w:p>
    <w:bookmarkEnd w:id="13"/>
    <w:bookmarkEnd w:id="14"/>
    <w:p w14:paraId="6DE38229">
      <w:pPr>
        <w:pStyle w:val="34"/>
        <w:spacing w:line="360" w:lineRule="auto"/>
        <w:jc w:val="center"/>
        <w:rPr>
          <w:rFonts w:hAnsi="宋体" w:cs="宋体"/>
          <w:b/>
          <w:snapToGrid/>
          <w:color w:val="auto"/>
          <w:sz w:val="36"/>
          <w:szCs w:val="20"/>
          <w:highlight w:val="none"/>
        </w:rPr>
      </w:pPr>
      <w:bookmarkStart w:id="31" w:name="第四部分"/>
      <w:r>
        <w:rPr>
          <w:rFonts w:hint="eastAsia" w:hAnsi="宋体" w:cs="宋体"/>
          <w:b/>
          <w:snapToGrid/>
          <w:color w:val="auto"/>
          <w:sz w:val="36"/>
          <w:szCs w:val="20"/>
          <w:highlight w:val="none"/>
        </w:rPr>
        <w:t>第三部分 采购需求</w:t>
      </w:r>
    </w:p>
    <w:p w14:paraId="107FB23E">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一、工程概况</w:t>
      </w:r>
    </w:p>
    <w:p w14:paraId="0DD577AD">
      <w:pPr>
        <w:spacing w:line="360" w:lineRule="auto"/>
        <w:ind w:firstLine="480" w:firstLineChars="200"/>
        <w:jc w:val="left"/>
        <w:rPr>
          <w:rFonts w:ascii="宋体" w:hAnsi="宋体"/>
          <w:color w:val="auto"/>
          <w:sz w:val="24"/>
          <w:highlight w:val="none"/>
          <w:u w:val="single"/>
        </w:rPr>
      </w:pPr>
      <w:r>
        <w:rPr>
          <w:rFonts w:hint="eastAsia" w:ascii="宋体" w:hAnsi="宋体" w:cs="仿宋_GB2312"/>
          <w:color w:val="auto"/>
          <w:sz w:val="24"/>
          <w:highlight w:val="none"/>
          <w:u w:val="none"/>
        </w:rPr>
        <w:t>1.项目预算：</w:t>
      </w:r>
      <w:r>
        <w:rPr>
          <w:rFonts w:hint="eastAsia" w:ascii="宋体" w:hAnsi="宋体" w:cs="仿宋_GB2312"/>
          <w:color w:val="auto"/>
          <w:sz w:val="24"/>
          <w:highlight w:val="none"/>
          <w:u w:val="none"/>
          <w:lang w:val="en-US" w:eastAsia="zh-CN"/>
        </w:rPr>
        <w:t>1886716</w:t>
      </w:r>
      <w:r>
        <w:rPr>
          <w:rFonts w:hint="eastAsia" w:ascii="宋体" w:hAnsi="宋体" w:eastAsia="宋体" w:cs="宋体"/>
          <w:b/>
          <w:color w:val="auto"/>
          <w:sz w:val="24"/>
          <w:highlight w:val="none"/>
          <w:lang w:val="en-US" w:eastAsia="zh-CN"/>
        </w:rPr>
        <w:t>.</w:t>
      </w:r>
      <w:r>
        <w:rPr>
          <w:rFonts w:hint="eastAsia" w:ascii="宋体" w:hAnsi="宋体" w:eastAsia="宋体" w:cs="宋体"/>
          <w:b w:val="0"/>
          <w:bCs/>
          <w:color w:val="auto"/>
          <w:sz w:val="24"/>
          <w:highlight w:val="none"/>
          <w:lang w:val="en-US" w:eastAsia="zh-CN"/>
        </w:rPr>
        <w:t>00</w:t>
      </w:r>
      <w:r>
        <w:rPr>
          <w:rFonts w:hint="eastAsia" w:ascii="宋体" w:hAnsi="宋体" w:cs="仿宋_GB2312"/>
          <w:color w:val="auto"/>
          <w:sz w:val="24"/>
          <w:highlight w:val="none"/>
          <w:u w:val="none"/>
        </w:rPr>
        <w:t>元，最高限价</w:t>
      </w:r>
      <w:r>
        <w:rPr>
          <w:rFonts w:hint="eastAsia" w:ascii="宋体" w:hAnsi="宋体" w:cs="仿宋_GB2312"/>
          <w:color w:val="auto"/>
          <w:sz w:val="24"/>
          <w:highlight w:val="none"/>
          <w:u w:val="none"/>
          <w:lang w:val="en-US" w:eastAsia="zh-CN"/>
        </w:rPr>
        <w:t>1886716</w:t>
      </w:r>
      <w:r>
        <w:rPr>
          <w:rFonts w:hint="eastAsia" w:ascii="宋体" w:hAnsi="宋体" w:eastAsia="宋体" w:cs="宋体"/>
          <w:b/>
          <w:color w:val="auto"/>
          <w:sz w:val="24"/>
          <w:highlight w:val="none"/>
          <w:lang w:val="en-US" w:eastAsia="zh-CN"/>
        </w:rPr>
        <w:t>.</w:t>
      </w:r>
      <w:r>
        <w:rPr>
          <w:rFonts w:hint="eastAsia" w:ascii="宋体" w:hAnsi="宋体" w:eastAsia="宋体" w:cs="宋体"/>
          <w:b w:val="0"/>
          <w:bCs/>
          <w:color w:val="auto"/>
          <w:sz w:val="24"/>
          <w:highlight w:val="none"/>
          <w:lang w:val="en-US" w:eastAsia="zh-CN"/>
        </w:rPr>
        <w:t>00</w:t>
      </w:r>
      <w:r>
        <w:rPr>
          <w:rFonts w:hint="eastAsia" w:ascii="宋体" w:hAnsi="宋体" w:cs="仿宋_GB2312"/>
          <w:color w:val="auto"/>
          <w:sz w:val="24"/>
          <w:highlight w:val="none"/>
          <w:u w:val="none"/>
        </w:rPr>
        <w:t>元</w:t>
      </w:r>
      <w:r>
        <w:rPr>
          <w:rFonts w:hint="eastAsia" w:ascii="宋体" w:hAnsi="宋体" w:cs="仿宋_GB2312"/>
          <w:color w:val="auto"/>
          <w:sz w:val="24"/>
          <w:highlight w:val="none"/>
          <w:u w:val="none"/>
          <w:lang w:val="zh-CN"/>
        </w:rPr>
        <w:t>。</w:t>
      </w:r>
    </w:p>
    <w:p w14:paraId="26BBD03D">
      <w:pPr>
        <w:spacing w:line="360" w:lineRule="auto"/>
        <w:jc w:val="left"/>
        <w:rPr>
          <w:rFonts w:ascii="宋体" w:hAnsi="宋体" w:cs="仿宋_GB2312"/>
          <w:color w:val="auto"/>
          <w:sz w:val="24"/>
          <w:highlight w:val="none"/>
        </w:rPr>
      </w:pPr>
      <w:r>
        <w:rPr>
          <w:rFonts w:hint="eastAsia" w:ascii="宋体" w:hAnsi="宋体" w:cs="仿宋_GB2312"/>
          <w:b/>
          <w:bCs/>
          <w:color w:val="auto"/>
          <w:sz w:val="24"/>
          <w:highlight w:val="none"/>
        </w:rPr>
        <w:t xml:space="preserve">二、工程内容 </w:t>
      </w:r>
    </w:p>
    <w:p w14:paraId="67B339ED">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1.工程名称</w:t>
      </w:r>
    </w:p>
    <w:p w14:paraId="7BB94C87">
      <w:pPr>
        <w:spacing w:line="360" w:lineRule="auto"/>
        <w:ind w:left="210" w:leftChars="100"/>
        <w:jc w:val="left"/>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eastAsia="zh-CN"/>
        </w:rPr>
        <w:t>长寿桥小学维修改造工程</w:t>
      </w:r>
    </w:p>
    <w:p w14:paraId="565DA3A2">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2.现场条件</w:t>
      </w:r>
    </w:p>
    <w:p w14:paraId="490C56E2">
      <w:pPr>
        <w:tabs>
          <w:tab w:val="left" w:pos="2310"/>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已具备施工条件。</w:t>
      </w:r>
    </w:p>
    <w:p w14:paraId="769D7DC7">
      <w:pPr>
        <w:tabs>
          <w:tab w:val="left" w:pos="2310"/>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响应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14:paraId="55241DD8">
      <w:pPr>
        <w:tabs>
          <w:tab w:val="left" w:pos="2310"/>
        </w:tabs>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承包人必须按照</w:t>
      </w:r>
      <w:r>
        <w:rPr>
          <w:rFonts w:hint="eastAsia" w:ascii="宋体" w:hAnsi="宋体" w:cs="宋体"/>
          <w:b/>
          <w:color w:val="auto"/>
          <w:sz w:val="24"/>
          <w:highlight w:val="none"/>
          <w:lang w:val="en-US" w:eastAsia="zh-CN"/>
        </w:rPr>
        <w:t>杭州市长寿桥小学</w:t>
      </w:r>
      <w:r>
        <w:rPr>
          <w:rFonts w:hint="eastAsia" w:ascii="宋体" w:hAnsi="宋体" w:cs="宋体"/>
          <w:b/>
          <w:color w:val="auto"/>
          <w:sz w:val="24"/>
          <w:highlight w:val="none"/>
        </w:rPr>
        <w:t>的施工管理规定进行施工，如需要临时调整施工时间等，施工作业环境的种种不利因素，如夜间施工、垃圾装袋外运等等均需由供应商考虑，并将所需费用包含在磋商响应报价中。</w:t>
      </w:r>
    </w:p>
    <w:p w14:paraId="74BD68C2">
      <w:pPr>
        <w:spacing w:line="360" w:lineRule="auto"/>
        <w:ind w:firstLine="482" w:firstLineChars="200"/>
        <w:jc w:val="left"/>
        <w:rPr>
          <w:rFonts w:ascii="宋体" w:hAnsi="宋体"/>
          <w:color w:val="auto"/>
          <w:sz w:val="24"/>
          <w:highlight w:val="none"/>
          <w:u w:val="single"/>
        </w:rPr>
      </w:pPr>
      <w:r>
        <w:rPr>
          <w:rFonts w:hint="eastAsia" w:ascii="宋体" w:hAnsi="宋体" w:cs="宋体"/>
          <w:b/>
          <w:color w:val="auto"/>
          <w:sz w:val="24"/>
          <w:highlight w:val="none"/>
        </w:rPr>
        <w:t>本项目采购人不提供住宿 ，由供应商自行解决，相关费用包含在报价中。</w:t>
      </w:r>
    </w:p>
    <w:p w14:paraId="2A9D454C">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3.工程承包范围</w:t>
      </w:r>
    </w:p>
    <w:p w14:paraId="779B6D7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_GB2312"/>
          <w:color w:val="auto"/>
          <w:sz w:val="24"/>
          <w:highlight w:val="none"/>
        </w:rPr>
      </w:pPr>
      <w:r>
        <w:rPr>
          <w:rFonts w:hint="eastAsia" w:ascii="宋体" w:hAnsi="宋体" w:cs="仿宋_GB2312"/>
          <w:color w:val="auto"/>
          <w:sz w:val="24"/>
          <w:highlight w:val="none"/>
        </w:rPr>
        <w:t>施工图、工程量清单及其编制说明、竞争性磋商文件中明确的内容为准，可能出现的施工图设计变更及根据发包人明确指令需在施工图范围外增加的工程量及施工图范围内减少的工程量。</w:t>
      </w:r>
    </w:p>
    <w:p w14:paraId="06ED8F7E">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4.工程质量标准</w:t>
      </w:r>
    </w:p>
    <w:p w14:paraId="743E8FC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_GB2312"/>
          <w:color w:val="auto"/>
          <w:sz w:val="24"/>
          <w:highlight w:val="none"/>
        </w:rPr>
      </w:pPr>
      <w:r>
        <w:rPr>
          <w:rFonts w:hint="eastAsia" w:ascii="宋体" w:hAnsi="宋体" w:cs="仿宋_GB2312"/>
          <w:color w:val="auto"/>
          <w:sz w:val="24"/>
          <w:highlight w:val="none"/>
        </w:rPr>
        <w:t>工程施工中的所有材料、设备和施工质量均应符合下列技术规范的要求：</w:t>
      </w:r>
    </w:p>
    <w:p w14:paraId="29E3F71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_GB2312"/>
          <w:color w:val="auto"/>
          <w:sz w:val="24"/>
          <w:highlight w:val="none"/>
        </w:rPr>
      </w:pPr>
      <w:r>
        <w:rPr>
          <w:rFonts w:hint="eastAsia" w:ascii="宋体" w:hAnsi="宋体" w:cs="仿宋_GB2312"/>
          <w:color w:val="auto"/>
          <w:sz w:val="24"/>
          <w:highlight w:val="none"/>
        </w:rPr>
        <w:t>4.1本工程采用的技术规范</w:t>
      </w:r>
    </w:p>
    <w:p w14:paraId="540EB34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_GB2312"/>
          <w:color w:val="auto"/>
          <w:sz w:val="24"/>
          <w:highlight w:val="none"/>
        </w:rPr>
      </w:pPr>
      <w:r>
        <w:rPr>
          <w:rFonts w:hint="eastAsia" w:ascii="宋体" w:hAnsi="宋体" w:cs="仿宋_GB2312"/>
          <w:color w:val="auto"/>
          <w:sz w:val="24"/>
          <w:highlight w:val="none"/>
        </w:rPr>
        <w:t>（1）国家现行的设计规范。</w:t>
      </w:r>
    </w:p>
    <w:p w14:paraId="7550584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_GB2312"/>
          <w:color w:val="auto"/>
          <w:sz w:val="24"/>
          <w:highlight w:val="none"/>
        </w:rPr>
      </w:pPr>
      <w:r>
        <w:rPr>
          <w:rFonts w:hint="eastAsia" w:ascii="宋体" w:hAnsi="宋体" w:cs="仿宋_GB2312"/>
          <w:color w:val="auto"/>
          <w:sz w:val="24"/>
          <w:highlight w:val="none"/>
        </w:rPr>
        <w:t>（2）国家现行的施工规范。</w:t>
      </w:r>
    </w:p>
    <w:p w14:paraId="4A3F2C8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_GB2312"/>
          <w:color w:val="auto"/>
          <w:sz w:val="24"/>
          <w:highlight w:val="none"/>
        </w:rPr>
      </w:pPr>
      <w:r>
        <w:rPr>
          <w:rFonts w:hint="eastAsia" w:ascii="宋体" w:hAnsi="宋体" w:cs="仿宋_GB2312"/>
          <w:color w:val="auto"/>
          <w:sz w:val="24"/>
          <w:highlight w:val="none"/>
        </w:rPr>
        <w:t>（3）国家现行的验收规范。</w:t>
      </w:r>
    </w:p>
    <w:p w14:paraId="2CE5FB2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_GB2312"/>
          <w:color w:val="auto"/>
          <w:sz w:val="24"/>
          <w:highlight w:val="none"/>
        </w:rPr>
      </w:pPr>
      <w:r>
        <w:rPr>
          <w:rFonts w:hint="eastAsia" w:ascii="宋体" w:hAnsi="宋体" w:cs="仿宋_GB2312"/>
          <w:color w:val="auto"/>
          <w:sz w:val="24"/>
          <w:highlight w:val="none"/>
        </w:rPr>
        <w:t>（4）国家有关工程施工验收规范和标准的合格要求。</w:t>
      </w:r>
    </w:p>
    <w:p w14:paraId="5EEEA6F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_GB2312"/>
          <w:color w:val="auto"/>
          <w:sz w:val="24"/>
          <w:highlight w:val="none"/>
        </w:rPr>
      </w:pPr>
      <w:r>
        <w:rPr>
          <w:rFonts w:hint="eastAsia" w:ascii="宋体" w:hAnsi="宋体" w:cs="仿宋_GB2312"/>
          <w:color w:val="auto"/>
          <w:sz w:val="24"/>
          <w:highlight w:val="none"/>
        </w:rPr>
        <w:t>（5）国家及地方现行施工验收及施工安全技术规范。</w:t>
      </w:r>
    </w:p>
    <w:p w14:paraId="1C46E6D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_GB2312"/>
          <w:color w:val="auto"/>
          <w:sz w:val="24"/>
          <w:highlight w:val="none"/>
        </w:rPr>
      </w:pPr>
      <w:r>
        <w:rPr>
          <w:rFonts w:hint="eastAsia" w:ascii="宋体" w:hAnsi="宋体" w:cs="仿宋_GB2312"/>
          <w:color w:val="auto"/>
          <w:sz w:val="24"/>
          <w:highlight w:val="none"/>
        </w:rPr>
        <w:t>4.2规范的获得由承包人自行解决。</w:t>
      </w:r>
    </w:p>
    <w:p w14:paraId="61A0F528">
      <w:pPr>
        <w:spacing w:line="360" w:lineRule="auto"/>
        <w:ind w:left="210" w:leftChars="100" w:firstLine="240" w:firstLineChars="100"/>
        <w:jc w:val="left"/>
        <w:rPr>
          <w:rFonts w:hint="eastAsia" w:ascii="宋体" w:hAnsi="宋体" w:cs="仿宋_GB2312"/>
          <w:color w:val="auto"/>
          <w:sz w:val="24"/>
          <w:highlight w:val="none"/>
        </w:rPr>
      </w:pPr>
      <w:r>
        <w:rPr>
          <w:rFonts w:hint="eastAsia" w:ascii="宋体" w:hAnsi="宋体" w:cs="仿宋_GB2312"/>
          <w:color w:val="auto"/>
          <w:sz w:val="24"/>
          <w:highlight w:val="none"/>
        </w:rPr>
        <w:t>4.3在合同履行期间，若上述标准或规范有修改或重新颁布，承包人应遵照执行。</w:t>
      </w:r>
    </w:p>
    <w:p w14:paraId="4BE33A86">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5.工程施工要求</w:t>
      </w:r>
    </w:p>
    <w:p w14:paraId="5D15A51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_GB2312"/>
          <w:color w:val="auto"/>
          <w:sz w:val="24"/>
          <w:highlight w:val="none"/>
        </w:rPr>
      </w:pPr>
      <w:r>
        <w:rPr>
          <w:rFonts w:hint="eastAsia" w:ascii="宋体" w:hAnsi="宋体" w:cs="仿宋_GB2312"/>
          <w:color w:val="auto"/>
          <w:sz w:val="24"/>
          <w:highlight w:val="none"/>
        </w:rPr>
        <w:t>5.1本工程施工严格按照规范要求进行施工，达到各项拟定的设计指标；</w:t>
      </w:r>
    </w:p>
    <w:p w14:paraId="157C30B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_GB2312"/>
          <w:color w:val="auto"/>
          <w:sz w:val="24"/>
          <w:highlight w:val="none"/>
        </w:rPr>
      </w:pPr>
      <w:r>
        <w:rPr>
          <w:rFonts w:hint="eastAsia" w:ascii="宋体" w:hAnsi="宋体" w:cs="仿宋_GB2312"/>
          <w:color w:val="auto"/>
          <w:sz w:val="24"/>
          <w:highlight w:val="none"/>
        </w:rPr>
        <w:t>5.2所有材料设备必须在检验合格经采购人同意后，方可用于本工程；</w:t>
      </w:r>
    </w:p>
    <w:p w14:paraId="6F02314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_GB2312"/>
          <w:color w:val="auto"/>
          <w:sz w:val="24"/>
          <w:highlight w:val="none"/>
        </w:rPr>
      </w:pPr>
      <w:r>
        <w:rPr>
          <w:rFonts w:hint="eastAsia" w:ascii="宋体" w:hAnsi="宋体" w:cs="仿宋_GB2312"/>
          <w:color w:val="auto"/>
          <w:sz w:val="24"/>
          <w:highlight w:val="none"/>
        </w:rPr>
        <w:t>5.3隐蔽工程必须经采购人检查、验收后，方可进行下一道工序；</w:t>
      </w:r>
    </w:p>
    <w:p w14:paraId="7FD0BC8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_GB2312"/>
          <w:color w:val="auto"/>
          <w:sz w:val="24"/>
          <w:highlight w:val="none"/>
        </w:rPr>
      </w:pPr>
      <w:r>
        <w:rPr>
          <w:rFonts w:hint="eastAsia" w:ascii="宋体" w:hAnsi="宋体" w:cs="仿宋_GB2312"/>
          <w:color w:val="auto"/>
          <w:sz w:val="24"/>
          <w:highlight w:val="none"/>
        </w:rPr>
        <w:t>5.4在免费保修期内，成交人对有缺陷的部位必须无偿地给予修理与更换，并承担一切由此引起的对采购人或第三者的直接损失，除非该缺陷是由于人为破坏或合同规定的不可抗因素造成的损坏。</w:t>
      </w:r>
    </w:p>
    <w:p w14:paraId="62D2BF2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_GB2312"/>
          <w:color w:val="auto"/>
          <w:sz w:val="24"/>
          <w:highlight w:val="none"/>
        </w:rPr>
      </w:pPr>
      <w:r>
        <w:rPr>
          <w:rFonts w:hint="eastAsia" w:ascii="宋体" w:hAnsi="宋体" w:cs="仿宋_GB2312"/>
          <w:color w:val="auto"/>
          <w:sz w:val="24"/>
          <w:highlight w:val="none"/>
        </w:rPr>
        <w:t>5.5成交人必须对所承包的工程的质量负全部责任，其责任不因其他材料生产商提供的保证书而减轻或更改。</w:t>
      </w:r>
    </w:p>
    <w:p w14:paraId="3B7689FF">
      <w:pPr>
        <w:spacing w:line="360" w:lineRule="auto"/>
        <w:ind w:firstLine="480" w:firstLineChars="200"/>
        <w:jc w:val="both"/>
        <w:rPr>
          <w:rFonts w:ascii="宋体" w:hAnsi="宋体"/>
          <w:color w:val="auto"/>
          <w:sz w:val="24"/>
          <w:highlight w:val="none"/>
          <w:u w:val="single"/>
        </w:rPr>
      </w:pPr>
      <w:r>
        <w:rPr>
          <w:rFonts w:hint="eastAsia" w:ascii="宋体" w:hAnsi="宋体" w:cs="仿宋_GB2312"/>
          <w:color w:val="auto"/>
          <w:sz w:val="24"/>
          <w:highlight w:val="none"/>
        </w:rPr>
        <w:t>5.6施工时注意做好必要的劳动保护工作。</w:t>
      </w:r>
    </w:p>
    <w:p w14:paraId="1FF6EB13">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6.工程管理要求</w:t>
      </w:r>
    </w:p>
    <w:p w14:paraId="4650ADD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_GB2312"/>
          <w:color w:val="auto"/>
          <w:sz w:val="24"/>
          <w:highlight w:val="none"/>
        </w:rPr>
      </w:pPr>
      <w:r>
        <w:rPr>
          <w:rFonts w:hint="eastAsia" w:ascii="宋体" w:hAnsi="宋体" w:cs="仿宋_GB2312"/>
          <w:color w:val="auto"/>
          <w:sz w:val="24"/>
          <w:highlight w:val="none"/>
        </w:rPr>
        <w:t>6.1本工程发包范围内的</w:t>
      </w:r>
      <w:r>
        <w:rPr>
          <w:rFonts w:hint="eastAsia" w:ascii="宋体" w:hAnsi="宋体" w:cs="宋体"/>
          <w:color w:val="auto"/>
          <w:sz w:val="24"/>
          <w:highlight w:val="none"/>
        </w:rPr>
        <w:t>主体、关键性</w:t>
      </w:r>
      <w:r>
        <w:rPr>
          <w:rFonts w:hint="eastAsia" w:ascii="宋体" w:hAnsi="宋体" w:cs="仿宋_GB2312"/>
          <w:color w:val="auto"/>
          <w:sz w:val="24"/>
          <w:highlight w:val="none"/>
        </w:rPr>
        <w:t>工程项目，未经采购人同意一律不得分包。一经发现立即取消承包资格，作违约处理，并承担由此引起的一切经济损失。</w:t>
      </w:r>
    </w:p>
    <w:p w14:paraId="79E0CE3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_GB2312"/>
          <w:color w:val="auto"/>
          <w:sz w:val="24"/>
          <w:highlight w:val="none"/>
        </w:rPr>
      </w:pPr>
      <w:r>
        <w:rPr>
          <w:rFonts w:hint="eastAsia" w:ascii="宋体" w:hAnsi="宋体" w:cs="仿宋_GB2312"/>
          <w:color w:val="auto"/>
          <w:sz w:val="24"/>
          <w:highlight w:val="none"/>
        </w:rPr>
        <w:t>6.2成交人应严格按已确认施工技术方案组织施工，并无条件地接受采购人代表对施工质量的监督和管理。</w:t>
      </w:r>
    </w:p>
    <w:p w14:paraId="759BFCE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_GB2312"/>
          <w:color w:val="auto"/>
          <w:sz w:val="24"/>
          <w:highlight w:val="none"/>
        </w:rPr>
      </w:pPr>
      <w:r>
        <w:rPr>
          <w:rFonts w:hint="eastAsia" w:ascii="宋体" w:hAnsi="宋体" w:cs="仿宋_GB2312"/>
          <w:color w:val="auto"/>
          <w:sz w:val="24"/>
          <w:highlight w:val="none"/>
        </w:rPr>
        <w:t>6.3成交人在工程施工全过程中要认真做好产品保护。因失窃或失火造成的损失均由承包方负责，凡由此而损及采购人利益时，采购人将向成交人索赔。</w:t>
      </w:r>
    </w:p>
    <w:p w14:paraId="006013D3">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 xml:space="preserve">7.工程主要材料（设备）要求  </w:t>
      </w:r>
    </w:p>
    <w:p w14:paraId="0AC3114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olor w:val="auto"/>
          <w:sz w:val="24"/>
          <w:highlight w:val="none"/>
        </w:rPr>
      </w:pPr>
      <w:bookmarkStart w:id="32" w:name="_Toc66769197"/>
      <w:r>
        <w:rPr>
          <w:rFonts w:hint="eastAsia" w:ascii="宋体" w:hAnsi="宋体"/>
          <w:color w:val="auto"/>
          <w:sz w:val="24"/>
          <w:highlight w:val="none"/>
        </w:rPr>
        <w:t>7.1材料选择</w:t>
      </w:r>
      <w:bookmarkEnd w:id="32"/>
    </w:p>
    <w:p w14:paraId="6763C75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olor w:val="auto"/>
          <w:sz w:val="24"/>
          <w:highlight w:val="none"/>
        </w:rPr>
      </w:pPr>
      <w:r>
        <w:rPr>
          <w:rFonts w:hint="eastAsia" w:ascii="宋体" w:hAnsi="宋体"/>
          <w:color w:val="auto"/>
          <w:sz w:val="24"/>
          <w:highlight w:val="none"/>
        </w:rPr>
        <w:t>本工程使用的原材料必须符合设计要求和施工规范的规定。</w:t>
      </w:r>
    </w:p>
    <w:p w14:paraId="0B896BA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olor w:val="auto"/>
          <w:sz w:val="24"/>
          <w:highlight w:val="none"/>
        </w:rPr>
      </w:pPr>
      <w:r>
        <w:rPr>
          <w:rFonts w:hint="eastAsia" w:ascii="宋体" w:hAnsi="宋体"/>
          <w:color w:val="auto"/>
          <w:sz w:val="24"/>
          <w:highlight w:val="none"/>
        </w:rPr>
        <w:t>实际施工过程中，</w:t>
      </w:r>
      <w:r>
        <w:rPr>
          <w:rFonts w:hint="eastAsia" w:ascii="宋体" w:hAnsi="宋体"/>
          <w:color w:val="auto"/>
          <w:sz w:val="24"/>
          <w:highlight w:val="none"/>
          <w:lang w:val="en-US" w:eastAsia="zh-CN"/>
        </w:rPr>
        <w:t>采购</w:t>
      </w:r>
      <w:r>
        <w:rPr>
          <w:rFonts w:hint="eastAsia" w:ascii="宋体" w:hAnsi="宋体"/>
          <w:color w:val="auto"/>
          <w:sz w:val="24"/>
          <w:highlight w:val="none"/>
        </w:rPr>
        <w:t>人将严格检查验收进场原材料的合格证及质保书，如发现实样与质保书不符，应立即取样进行复查，对不合格的材料严禁用于本工程。</w:t>
      </w:r>
    </w:p>
    <w:p w14:paraId="6FBBC98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olor w:val="auto"/>
          <w:sz w:val="24"/>
          <w:highlight w:val="none"/>
        </w:rPr>
      </w:pPr>
      <w:r>
        <w:rPr>
          <w:rFonts w:hint="eastAsia" w:ascii="宋体" w:hAnsi="宋体"/>
          <w:color w:val="auto"/>
          <w:sz w:val="24"/>
          <w:highlight w:val="none"/>
        </w:rPr>
        <w:t>本工程涉及的主要材料及零星材料，各磋商供应商须根据采购人要求及规范进行选材并报价，所有材料要求采用在行业内有一定知名度的品牌，材料生产厂家必须通过ISO质量认证，并符合环保要求，严禁选择不合设计要求的低档材料进行磋商报价及组织施工实施。</w:t>
      </w:r>
    </w:p>
    <w:p w14:paraId="74B9D6E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宋体"/>
          <w:color w:val="auto"/>
          <w:sz w:val="24"/>
          <w:highlight w:val="none"/>
        </w:rPr>
      </w:pPr>
      <w:bookmarkStart w:id="33" w:name="_Toc66769198"/>
      <w:r>
        <w:rPr>
          <w:rFonts w:hint="eastAsia" w:ascii="宋体" w:hAnsi="宋体" w:cs="宋体"/>
          <w:color w:val="auto"/>
          <w:sz w:val="24"/>
          <w:highlight w:val="none"/>
        </w:rPr>
        <w:t>7.2设备材料选择</w:t>
      </w:r>
    </w:p>
    <w:p w14:paraId="2E5DFBE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jc w:val="both"/>
        <w:textAlignment w:val="auto"/>
        <w:rPr>
          <w:rFonts w:ascii="宋体" w:hAnsi="宋体" w:cs="宋体"/>
          <w:color w:val="auto"/>
          <w:sz w:val="24"/>
          <w:highlight w:val="none"/>
        </w:rPr>
      </w:pPr>
      <w:r>
        <w:rPr>
          <w:rFonts w:hint="eastAsia" w:ascii="宋体" w:hAnsi="宋体" w:cs="宋体"/>
          <w:color w:val="auto"/>
          <w:sz w:val="24"/>
          <w:highlight w:val="none"/>
        </w:rPr>
        <w:t>（1）所用各类设备材料须经</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人认可后方可使用。</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人保留在备选品牌之外选择设备材料的权力。</w:t>
      </w:r>
    </w:p>
    <w:p w14:paraId="223F470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jc w:val="both"/>
        <w:textAlignment w:val="auto"/>
        <w:rPr>
          <w:rFonts w:ascii="宋体" w:hAnsi="宋体" w:cs="宋体"/>
          <w:color w:val="auto"/>
          <w:sz w:val="24"/>
          <w:highlight w:val="none"/>
        </w:rPr>
      </w:pPr>
      <w:r>
        <w:rPr>
          <w:rFonts w:hint="eastAsia" w:ascii="宋体" w:hAnsi="宋体" w:cs="宋体"/>
          <w:color w:val="auto"/>
          <w:sz w:val="24"/>
          <w:highlight w:val="none"/>
        </w:rPr>
        <w:t>（2）所用各类设备材料都应符合设计和国家规定的相关技术规范标准要求。</w:t>
      </w:r>
    </w:p>
    <w:p w14:paraId="6029DCB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jc w:val="both"/>
        <w:textAlignment w:val="auto"/>
        <w:rPr>
          <w:rFonts w:ascii="宋体" w:hAnsi="宋体" w:cs="宋体"/>
          <w:color w:val="auto"/>
          <w:sz w:val="24"/>
          <w:highlight w:val="none"/>
        </w:rPr>
      </w:pPr>
      <w:r>
        <w:rPr>
          <w:rFonts w:hint="eastAsia" w:ascii="宋体" w:hAnsi="宋体" w:cs="宋体"/>
          <w:color w:val="auto"/>
          <w:sz w:val="24"/>
          <w:highlight w:val="none"/>
        </w:rPr>
        <w:t>（3）所用各类设备材料均有质量合格证书。</w:t>
      </w:r>
    </w:p>
    <w:p w14:paraId="0914B6D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jc w:val="both"/>
        <w:textAlignment w:val="auto"/>
        <w:rPr>
          <w:rFonts w:ascii="宋体" w:hAnsi="宋体" w:cs="宋体"/>
          <w:color w:val="auto"/>
          <w:sz w:val="24"/>
          <w:highlight w:val="none"/>
        </w:rPr>
      </w:pPr>
      <w:r>
        <w:rPr>
          <w:rFonts w:hint="eastAsia" w:ascii="宋体" w:hAnsi="宋体" w:cs="宋体"/>
          <w:color w:val="auto"/>
          <w:sz w:val="24"/>
          <w:highlight w:val="none"/>
        </w:rPr>
        <w:t>7.3设备材料的质量保证</w:t>
      </w:r>
    </w:p>
    <w:p w14:paraId="4169239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jc w:val="both"/>
        <w:textAlignment w:val="auto"/>
        <w:rPr>
          <w:rFonts w:ascii="宋体" w:hAnsi="宋体" w:cs="宋体"/>
          <w:color w:val="auto"/>
          <w:sz w:val="24"/>
          <w:highlight w:val="none"/>
        </w:rPr>
      </w:pPr>
      <w:r>
        <w:rPr>
          <w:rFonts w:hint="eastAsia" w:ascii="宋体" w:hAnsi="宋体" w:cs="宋体"/>
          <w:color w:val="auto"/>
          <w:sz w:val="24"/>
          <w:highlight w:val="none"/>
        </w:rPr>
        <w:t>（1）在施工期间内，</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rPr>
        <w:t>人对有缺陷的部位必须无偿地给予修正，并承担一切由此引起的对发包人或第三者的直接损失，除非该缺陷是由于人为破坏或合同规定的不可抗因素造成的损坏。</w:t>
      </w:r>
    </w:p>
    <w:p w14:paraId="434B0B5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rPr>
        <w:t>人应对所选用的设备材料的技术满足度和质量负全部责任，其责任不因该品牌是否为</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推荐减轻或更改。当</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rPr>
        <w:t>人选定的产品质量达不到设计要求和招标文件要求的技术指标时，</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保留更换的权利，且</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rPr>
        <w:t>价不予调整。</w:t>
      </w:r>
      <w:bookmarkEnd w:id="33"/>
    </w:p>
    <w:p w14:paraId="16B81F8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olor w:val="auto"/>
          <w:sz w:val="24"/>
          <w:highlight w:val="none"/>
        </w:rPr>
      </w:pPr>
      <w:r>
        <w:rPr>
          <w:rFonts w:hint="eastAsia" w:ascii="宋体" w:hAnsi="宋体"/>
          <w:color w:val="auto"/>
          <w:sz w:val="24"/>
          <w:highlight w:val="none"/>
        </w:rPr>
        <w:t>7.4磋商供应商应按“主要材料（设备）推荐品牌</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如有</w:t>
      </w:r>
      <w:r>
        <w:rPr>
          <w:rFonts w:hint="eastAsia" w:ascii="宋体" w:hAnsi="宋体"/>
          <w:color w:val="auto"/>
          <w:sz w:val="24"/>
          <w:highlight w:val="none"/>
          <w:lang w:eastAsia="zh-CN"/>
        </w:rPr>
        <w:t>）</w:t>
      </w:r>
      <w:r>
        <w:rPr>
          <w:rFonts w:hint="eastAsia" w:ascii="宋体" w:hAnsi="宋体"/>
          <w:color w:val="auto"/>
          <w:sz w:val="24"/>
          <w:highlight w:val="none"/>
        </w:rPr>
        <w:t>”要求磋商报价，并在工程量清单报价“表1-6主要材料价格表”的备注一栏里明确品牌、规格、型号、单位、单价等。如磋商供应商没有按竞争性磋商文件要求进行选择，或没有明确注明，或所选材料设备的材质、规格、档次与竞争性磋商文件要求的存在明显差别，或虽按竞争性磋商文件推荐的材料品牌选择但该材料因某种原因停产或其他原因而不能供应的，或虽注明品牌未注明型号、规格的，则实际施工过程中采购人有权在竞争性磋商文件推荐的材料品牌范围内自行确定品牌和规格，且磋商价格不予调整。</w:t>
      </w:r>
    </w:p>
    <w:p w14:paraId="7F6BFF7C">
      <w:pPr>
        <w:spacing w:line="240" w:lineRule="auto"/>
        <w:jc w:val="left"/>
        <w:rPr>
          <w:rFonts w:ascii="宋体" w:hAnsi="宋体" w:cs="仿宋_GB2312"/>
          <w:b/>
          <w:bCs/>
          <w:color w:val="auto"/>
          <w:sz w:val="24"/>
          <w:highlight w:val="none"/>
        </w:rPr>
      </w:pPr>
    </w:p>
    <w:p w14:paraId="117DDCF9">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三、商务要求</w:t>
      </w:r>
    </w:p>
    <w:p w14:paraId="3C5B7666">
      <w:pPr>
        <w:spacing w:line="360" w:lineRule="auto"/>
        <w:ind w:left="210" w:leftChars="100"/>
        <w:jc w:val="left"/>
        <w:rPr>
          <w:rFonts w:hint="default" w:ascii="宋体" w:hAnsi="宋体" w:cs="仿宋_GB2312"/>
          <w:color w:val="auto"/>
          <w:sz w:val="24"/>
          <w:highlight w:val="none"/>
          <w:lang w:val="en-US"/>
        </w:rPr>
      </w:pPr>
      <w:r>
        <w:rPr>
          <w:rFonts w:hint="eastAsia" w:ascii="宋体" w:hAnsi="宋体" w:cs="仿宋_GB2312"/>
          <w:color w:val="auto"/>
          <w:sz w:val="24"/>
          <w:highlight w:val="none"/>
        </w:rPr>
        <w:t>1.工期要求：</w:t>
      </w:r>
      <w:r>
        <w:rPr>
          <w:rFonts w:hint="eastAsia" w:ascii="宋体" w:hAnsi="宋体"/>
          <w:color w:val="auto"/>
          <w:sz w:val="24"/>
          <w:highlight w:val="none"/>
          <w:u w:val="single"/>
          <w:lang w:val="en-US" w:eastAsia="zh-CN"/>
        </w:rPr>
        <w:t>合同签订后40日历天</w:t>
      </w:r>
    </w:p>
    <w:p w14:paraId="34D79941">
      <w:pPr>
        <w:spacing w:line="360" w:lineRule="auto"/>
        <w:ind w:left="210" w:leftChars="100"/>
        <w:jc w:val="left"/>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2.工程地点：</w:t>
      </w:r>
      <w:r>
        <w:rPr>
          <w:rFonts w:hint="eastAsia" w:ascii="宋体" w:hAnsi="宋体"/>
          <w:color w:val="auto"/>
          <w:sz w:val="24"/>
          <w:highlight w:val="none"/>
          <w:u w:val="single"/>
          <w:lang w:val="en-US" w:eastAsia="zh-CN"/>
        </w:rPr>
        <w:t>杭州市长寿桥小学</w:t>
      </w:r>
    </w:p>
    <w:p w14:paraId="217376E2">
      <w:pPr>
        <w:spacing w:line="360" w:lineRule="auto"/>
        <w:ind w:left="210" w:leftChars="100"/>
        <w:jc w:val="left"/>
        <w:rPr>
          <w:color w:val="auto"/>
          <w:highlight w:val="none"/>
        </w:rPr>
      </w:pPr>
      <w:r>
        <w:rPr>
          <w:rFonts w:hint="eastAsia" w:ascii="宋体" w:hAnsi="宋体" w:cs="仿宋_GB2312"/>
          <w:color w:val="auto"/>
          <w:sz w:val="24"/>
          <w:highlight w:val="none"/>
        </w:rPr>
        <w:t>3.付款条件（进度和方式）</w:t>
      </w:r>
    </w:p>
    <w:tbl>
      <w:tblPr>
        <w:tblStyle w:val="62"/>
        <w:tblW w:w="973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375"/>
        <w:gridCol w:w="2519"/>
        <w:gridCol w:w="5841"/>
      </w:tblGrid>
      <w:tr w14:paraId="09B7B44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375" w:type="dxa"/>
            <w:shd w:val="clear" w:color="auto" w:fill="auto"/>
            <w:vAlign w:val="center"/>
          </w:tcPr>
          <w:p w14:paraId="0FAA3BB4">
            <w:pPr>
              <w:spacing w:line="360" w:lineRule="auto"/>
              <w:jc w:val="center"/>
              <w:rPr>
                <w:rFonts w:ascii="宋体" w:hAnsi="宋体" w:cs="仿宋_GB2312"/>
                <w:sz w:val="24"/>
              </w:rPr>
            </w:pPr>
            <w:r>
              <w:rPr>
                <w:rFonts w:hint="eastAsia" w:ascii="宋体" w:hAnsi="宋体" w:cs="仿宋_GB2312"/>
                <w:sz w:val="24"/>
              </w:rPr>
              <w:t>序号</w:t>
            </w:r>
          </w:p>
        </w:tc>
        <w:tc>
          <w:tcPr>
            <w:tcW w:w="2519" w:type="dxa"/>
            <w:shd w:val="clear" w:color="auto" w:fill="auto"/>
            <w:vAlign w:val="center"/>
          </w:tcPr>
          <w:p w14:paraId="610DCED4">
            <w:pPr>
              <w:spacing w:line="360" w:lineRule="auto"/>
              <w:jc w:val="center"/>
              <w:rPr>
                <w:rFonts w:ascii="宋体" w:hAnsi="宋体" w:cs="仿宋_GB2312"/>
                <w:sz w:val="24"/>
              </w:rPr>
            </w:pPr>
            <w:r>
              <w:rPr>
                <w:rFonts w:hint="eastAsia" w:ascii="宋体" w:hAnsi="宋体" w:cs="仿宋_GB2312"/>
                <w:sz w:val="24"/>
              </w:rPr>
              <w:t>付款比例（%）</w:t>
            </w:r>
          </w:p>
        </w:tc>
        <w:tc>
          <w:tcPr>
            <w:tcW w:w="5841" w:type="dxa"/>
            <w:shd w:val="clear" w:color="auto" w:fill="auto"/>
            <w:vAlign w:val="center"/>
          </w:tcPr>
          <w:p w14:paraId="2B1D54D3">
            <w:pPr>
              <w:spacing w:line="360" w:lineRule="auto"/>
              <w:jc w:val="center"/>
              <w:rPr>
                <w:rFonts w:ascii="宋体" w:hAnsi="宋体" w:cs="仿宋_GB2312"/>
                <w:sz w:val="24"/>
              </w:rPr>
            </w:pPr>
            <w:r>
              <w:rPr>
                <w:rFonts w:hint="eastAsia" w:ascii="宋体" w:hAnsi="宋体" w:cs="仿宋_GB2312"/>
                <w:sz w:val="24"/>
              </w:rPr>
              <w:t>付款方式</w:t>
            </w:r>
          </w:p>
        </w:tc>
      </w:tr>
      <w:tr w14:paraId="513E7D7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65" w:hRule="atLeast"/>
        </w:trPr>
        <w:tc>
          <w:tcPr>
            <w:tcW w:w="1375" w:type="dxa"/>
            <w:shd w:val="clear" w:color="auto" w:fill="auto"/>
          </w:tcPr>
          <w:p w14:paraId="65032B22">
            <w:pPr>
              <w:spacing w:line="360" w:lineRule="auto"/>
              <w:jc w:val="center"/>
              <w:rPr>
                <w:rFonts w:ascii="宋体" w:hAnsi="宋体" w:cs="仿宋_GB2312"/>
                <w:sz w:val="24"/>
              </w:rPr>
            </w:pPr>
            <w:r>
              <w:rPr>
                <w:rFonts w:hint="eastAsia" w:ascii="宋体" w:hAnsi="宋体" w:cs="仿宋_GB2312"/>
                <w:sz w:val="24"/>
              </w:rPr>
              <w:t>1</w:t>
            </w:r>
          </w:p>
        </w:tc>
        <w:tc>
          <w:tcPr>
            <w:tcW w:w="2519" w:type="dxa"/>
            <w:shd w:val="clear" w:color="auto" w:fill="auto"/>
          </w:tcPr>
          <w:p w14:paraId="3C71FC5F">
            <w:pPr>
              <w:spacing w:line="360" w:lineRule="auto"/>
              <w:jc w:val="center"/>
              <w:rPr>
                <w:rFonts w:ascii="宋体" w:hAnsi="宋体" w:cs="仿宋_GB2312"/>
                <w:sz w:val="24"/>
              </w:rPr>
            </w:pPr>
            <w:r>
              <w:rPr>
                <w:rFonts w:hint="eastAsia" w:ascii="宋体" w:hAnsi="宋体" w:cs="仿宋_GB2312"/>
                <w:sz w:val="24"/>
              </w:rPr>
              <w:t>合同价的40%</w:t>
            </w:r>
          </w:p>
        </w:tc>
        <w:tc>
          <w:tcPr>
            <w:tcW w:w="5841" w:type="dxa"/>
            <w:shd w:val="clear" w:color="auto" w:fill="auto"/>
          </w:tcPr>
          <w:p w14:paraId="64A961BD">
            <w:pPr>
              <w:spacing w:line="360" w:lineRule="auto"/>
              <w:jc w:val="left"/>
              <w:rPr>
                <w:rFonts w:ascii="宋体" w:hAnsi="宋体" w:cs="仿宋_GB2312"/>
                <w:sz w:val="24"/>
              </w:rPr>
            </w:pPr>
            <w:r>
              <w:rPr>
                <w:rFonts w:hint="eastAsia" w:ascii="宋体" w:hAnsi="宋体" w:cs="仿宋_GB2312"/>
                <w:sz w:val="24"/>
              </w:rPr>
              <w:t>合同生效以及具备实施条件后</w:t>
            </w:r>
            <w:r>
              <w:rPr>
                <w:rFonts w:hint="eastAsia" w:ascii="宋体" w:hAnsi="宋体" w:cs="仿宋_GB2312"/>
                <w:sz w:val="24"/>
                <w:lang w:val="en-US" w:eastAsia="zh-CN"/>
              </w:rPr>
              <w:t>5</w:t>
            </w:r>
            <w:r>
              <w:rPr>
                <w:rFonts w:hint="eastAsia" w:ascii="宋体" w:hAnsi="宋体" w:cs="仿宋_GB2312"/>
                <w:sz w:val="24"/>
              </w:rPr>
              <w:t>个工作日内</w:t>
            </w:r>
          </w:p>
        </w:tc>
      </w:tr>
      <w:tr w14:paraId="2BA27BB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tcPr>
          <w:p w14:paraId="0E493BEE">
            <w:pPr>
              <w:spacing w:line="360" w:lineRule="auto"/>
              <w:jc w:val="center"/>
              <w:rPr>
                <w:rFonts w:ascii="宋体" w:hAnsi="宋体" w:cs="仿宋_GB2312"/>
                <w:sz w:val="24"/>
              </w:rPr>
            </w:pPr>
            <w:r>
              <w:rPr>
                <w:rFonts w:hint="eastAsia" w:ascii="宋体" w:hAnsi="宋体" w:cs="仿宋_GB2312"/>
                <w:sz w:val="24"/>
              </w:rPr>
              <w:t>2</w:t>
            </w:r>
          </w:p>
        </w:tc>
        <w:tc>
          <w:tcPr>
            <w:tcW w:w="2519" w:type="dxa"/>
            <w:shd w:val="clear" w:color="auto" w:fill="auto"/>
          </w:tcPr>
          <w:p w14:paraId="35B38B18">
            <w:pPr>
              <w:spacing w:line="360" w:lineRule="auto"/>
              <w:jc w:val="center"/>
              <w:rPr>
                <w:rFonts w:ascii="宋体" w:hAnsi="宋体" w:cs="仿宋_GB2312"/>
                <w:sz w:val="24"/>
              </w:rPr>
            </w:pPr>
            <w:r>
              <w:rPr>
                <w:rFonts w:hint="eastAsia" w:ascii="宋体" w:hAnsi="宋体" w:cs="仿宋_GB2312"/>
                <w:sz w:val="24"/>
              </w:rPr>
              <w:t>合同价的85%并支付到账</w:t>
            </w:r>
          </w:p>
        </w:tc>
        <w:tc>
          <w:tcPr>
            <w:tcW w:w="5841" w:type="dxa"/>
            <w:shd w:val="clear" w:color="auto" w:fill="auto"/>
          </w:tcPr>
          <w:p w14:paraId="34C97E90">
            <w:pPr>
              <w:spacing w:line="360" w:lineRule="auto"/>
              <w:jc w:val="left"/>
              <w:rPr>
                <w:rFonts w:ascii="宋体" w:hAnsi="宋体" w:cs="仿宋_GB2312"/>
                <w:sz w:val="24"/>
              </w:rPr>
            </w:pPr>
            <w:r>
              <w:rPr>
                <w:rFonts w:hint="eastAsia" w:ascii="宋体" w:hAnsi="宋体" w:cs="仿宋_GB2312"/>
                <w:sz w:val="24"/>
              </w:rPr>
              <w:t>工程竣工并上交完整的竣工资料、决算资料后，发包人收到承包人提供的同等金额的正规发票后</w:t>
            </w:r>
            <w:r>
              <w:rPr>
                <w:rFonts w:hint="eastAsia" w:ascii="宋体" w:hAnsi="宋体" w:cs="仿宋_GB2312"/>
                <w:sz w:val="24"/>
                <w:lang w:val="en-US" w:eastAsia="zh-CN"/>
              </w:rPr>
              <w:t>5</w:t>
            </w:r>
            <w:r>
              <w:rPr>
                <w:rFonts w:hint="eastAsia" w:ascii="宋体" w:hAnsi="宋体" w:cs="仿宋_GB2312"/>
                <w:sz w:val="24"/>
              </w:rPr>
              <w:t>个工作日内</w:t>
            </w:r>
            <w:r>
              <w:rPr>
                <w:rFonts w:ascii="宋体" w:hAnsi="宋体" w:cs="仿宋_GB2312"/>
                <w:sz w:val="24"/>
              </w:rPr>
              <w:t xml:space="preserve"> </w:t>
            </w:r>
          </w:p>
        </w:tc>
      </w:tr>
      <w:tr w14:paraId="5D83718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tcPr>
          <w:p w14:paraId="6FC2528C">
            <w:pPr>
              <w:spacing w:line="360" w:lineRule="auto"/>
              <w:jc w:val="center"/>
              <w:rPr>
                <w:rFonts w:ascii="宋体" w:hAnsi="宋体" w:cs="仿宋_GB2312"/>
                <w:sz w:val="24"/>
              </w:rPr>
            </w:pPr>
            <w:r>
              <w:rPr>
                <w:rFonts w:hint="eastAsia" w:ascii="宋体" w:hAnsi="宋体" w:cs="仿宋_GB2312"/>
                <w:sz w:val="24"/>
              </w:rPr>
              <w:t>3</w:t>
            </w:r>
          </w:p>
        </w:tc>
        <w:tc>
          <w:tcPr>
            <w:tcW w:w="2519" w:type="dxa"/>
            <w:shd w:val="clear" w:color="auto" w:fill="auto"/>
          </w:tcPr>
          <w:p w14:paraId="231B5EAA">
            <w:pPr>
              <w:spacing w:line="360" w:lineRule="auto"/>
              <w:jc w:val="center"/>
              <w:rPr>
                <w:rFonts w:ascii="宋体" w:hAnsi="宋体" w:cs="仿宋_GB2312"/>
                <w:sz w:val="24"/>
              </w:rPr>
            </w:pPr>
            <w:r>
              <w:rPr>
                <w:rFonts w:hint="eastAsia" w:ascii="宋体" w:hAnsi="宋体" w:cs="仿宋_GB2312"/>
                <w:sz w:val="24"/>
              </w:rPr>
              <w:t xml:space="preserve">结算总价的100% </w:t>
            </w:r>
          </w:p>
        </w:tc>
        <w:tc>
          <w:tcPr>
            <w:tcW w:w="5841" w:type="dxa"/>
            <w:shd w:val="clear" w:color="auto" w:fill="auto"/>
          </w:tcPr>
          <w:p w14:paraId="12A0354E">
            <w:pPr>
              <w:spacing w:line="360" w:lineRule="auto"/>
              <w:jc w:val="left"/>
              <w:rPr>
                <w:rFonts w:ascii="宋体" w:hAnsi="宋体" w:cs="仿宋_GB2312"/>
                <w:sz w:val="24"/>
              </w:rPr>
            </w:pPr>
            <w:r>
              <w:rPr>
                <w:rFonts w:hint="eastAsia" w:ascii="宋体" w:hAnsi="宋体" w:cs="仿宋_GB2312"/>
                <w:sz w:val="24"/>
              </w:rPr>
              <w:t>竣工验收合格、结算审计审定后，待施工单位缴纳</w:t>
            </w:r>
            <w:r>
              <w:rPr>
                <w:rFonts w:hint="eastAsia" w:ascii="宋体" w:hAnsi="宋体" w:cs="仿宋_GB2312"/>
                <w:sz w:val="24"/>
                <w:lang w:eastAsia="zh-CN"/>
              </w:rPr>
              <w:t>审定价的</w:t>
            </w:r>
            <w:r>
              <w:rPr>
                <w:rFonts w:hint="eastAsia" w:ascii="宋体" w:hAnsi="宋体" w:cs="仿宋_GB2312"/>
                <w:sz w:val="24"/>
              </w:rPr>
              <w:t>1.5%作为质量保证金后（</w:t>
            </w:r>
            <w:r>
              <w:rPr>
                <w:rFonts w:hint="eastAsia" w:ascii="宋体" w:hAnsi="宋体" w:cs="仿宋_GB2312"/>
                <w:sz w:val="24"/>
                <w:lang w:val="en-US" w:eastAsia="zh-CN"/>
              </w:rPr>
              <w:t>可</w:t>
            </w:r>
            <w:r>
              <w:rPr>
                <w:rFonts w:hint="eastAsia" w:ascii="宋体" w:hAnsi="宋体" w:cs="仿宋_GB2312"/>
                <w:sz w:val="24"/>
              </w:rPr>
              <w:t>采用保函），支付至审定价的100%。1.5%的质量保证金待保修期满后无息</w:t>
            </w:r>
            <w:r>
              <w:rPr>
                <w:rFonts w:hint="eastAsia" w:ascii="宋体" w:hAnsi="宋体" w:cs="仿宋_GB2312"/>
                <w:sz w:val="24"/>
                <w:lang w:eastAsia="zh-CN"/>
              </w:rPr>
              <w:t>退还</w:t>
            </w:r>
            <w:r>
              <w:rPr>
                <w:rFonts w:hint="eastAsia" w:ascii="宋体" w:hAnsi="宋体" w:cs="仿宋_GB2312"/>
                <w:sz w:val="24"/>
              </w:rPr>
              <w:t>。</w:t>
            </w:r>
          </w:p>
        </w:tc>
      </w:tr>
    </w:tbl>
    <w:p w14:paraId="5F5A1422">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4.工程售后服务要求</w:t>
      </w:r>
    </w:p>
    <w:p w14:paraId="3E10C77D">
      <w:pPr>
        <w:spacing w:line="360" w:lineRule="auto"/>
        <w:ind w:firstLine="480" w:firstLineChars="200"/>
        <w:jc w:val="both"/>
        <w:rPr>
          <w:rFonts w:ascii="宋体" w:hAnsi="宋体"/>
          <w:color w:val="auto"/>
          <w:sz w:val="24"/>
          <w:highlight w:val="none"/>
          <w:u w:val="single"/>
        </w:rPr>
      </w:pPr>
      <w:r>
        <w:rPr>
          <w:rFonts w:hint="eastAsia" w:ascii="宋体" w:hAnsi="宋体"/>
          <w:color w:val="auto"/>
          <w:sz w:val="24"/>
          <w:highlight w:val="none"/>
        </w:rPr>
        <w:t>详见采购合同</w:t>
      </w:r>
    </w:p>
    <w:p w14:paraId="4B3196CB">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5.其他商务要求（包装和运输、保险等）</w:t>
      </w:r>
    </w:p>
    <w:p w14:paraId="0F4A678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olor w:val="auto"/>
          <w:sz w:val="24"/>
          <w:highlight w:val="none"/>
        </w:rPr>
      </w:pPr>
      <w:r>
        <w:rPr>
          <w:rFonts w:hint="eastAsia" w:ascii="宋体" w:hAnsi="宋体"/>
          <w:color w:val="auto"/>
          <w:sz w:val="24"/>
          <w:highlight w:val="none"/>
        </w:rPr>
        <w:t>详见采购合同</w:t>
      </w:r>
    </w:p>
    <w:p w14:paraId="1DC52745">
      <w:pPr>
        <w:spacing w:line="360" w:lineRule="auto"/>
        <w:jc w:val="left"/>
        <w:rPr>
          <w:rFonts w:ascii="宋体" w:hAnsi="宋体" w:cs="仿宋_GB2312"/>
          <w:b/>
          <w:bCs/>
          <w:color w:val="auto"/>
          <w:sz w:val="24"/>
          <w:highlight w:val="none"/>
        </w:rPr>
      </w:pPr>
      <w:r>
        <w:rPr>
          <w:rFonts w:hint="eastAsia" w:ascii="宋体" w:hAnsi="宋体" w:cs="仿宋_GB2312"/>
          <w:b/>
          <w:bCs/>
          <w:color w:val="auto"/>
          <w:sz w:val="24"/>
          <w:highlight w:val="none"/>
        </w:rPr>
        <w:t>五、其他要求</w:t>
      </w:r>
    </w:p>
    <w:p w14:paraId="2350448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w:t>
      </w:r>
      <w:r>
        <w:rPr>
          <w:rFonts w:hint="eastAsia" w:ascii="宋体" w:hAnsi="宋体"/>
          <w:b/>
          <w:bCs/>
          <w:color w:val="auto"/>
          <w:sz w:val="24"/>
          <w:highlight w:val="none"/>
        </w:rPr>
        <w:t>针对本工程的特殊要求</w:t>
      </w:r>
    </w:p>
    <w:p w14:paraId="71ADD421">
      <w:pPr>
        <w:spacing w:line="360" w:lineRule="auto"/>
        <w:ind w:firstLine="480" w:firstLineChars="200"/>
        <w:rPr>
          <w:rFonts w:ascii="宋体" w:hAnsi="宋体"/>
          <w:sz w:val="24"/>
        </w:rPr>
      </w:pPr>
      <w:r>
        <w:rPr>
          <w:rFonts w:hint="eastAsia" w:ascii="宋体" w:hAnsi="宋体"/>
          <w:sz w:val="24"/>
        </w:rPr>
        <w:t>（1）招标人不另行提供招标图施工范围以外的临时设施用地，施工单位不得在施工范围内住宿，必须遵守施工所在地管理方的管理规定，并配合物业、招标人和所在地管理方的管理。施工单位须根据现场实际情况自行考虑及报价。</w:t>
      </w:r>
    </w:p>
    <w:p w14:paraId="248CC38A">
      <w:pPr>
        <w:spacing w:line="360" w:lineRule="auto"/>
        <w:ind w:firstLine="480" w:firstLineChars="200"/>
        <w:rPr>
          <w:rFonts w:ascii="宋体" w:hAnsi="宋体"/>
          <w:sz w:val="24"/>
        </w:rPr>
      </w:pPr>
      <w:r>
        <w:rPr>
          <w:rFonts w:hint="eastAsia" w:ascii="宋体" w:hAnsi="宋体"/>
          <w:sz w:val="24"/>
        </w:rPr>
        <w:t>（2）施工单位需服从招标人和监理单位的协调、指令与要求，负责装修开工申报等工作，过程中产生的费用（包含须交纳物业的相关费用），需在投标报价中充分考虑，中标后不予调整。</w:t>
      </w:r>
    </w:p>
    <w:p w14:paraId="0785F58D">
      <w:pPr>
        <w:spacing w:line="360" w:lineRule="auto"/>
        <w:ind w:firstLine="480" w:firstLineChars="200"/>
        <w:rPr>
          <w:rFonts w:ascii="宋体" w:hAnsi="宋体"/>
          <w:sz w:val="24"/>
        </w:rPr>
      </w:pPr>
      <w:r>
        <w:rPr>
          <w:rFonts w:hint="eastAsia" w:ascii="宋体" w:hAnsi="宋体"/>
          <w:sz w:val="24"/>
        </w:rPr>
        <w:t>（3）本工程在装修工程中产生的建筑垃圾等外运所产生的费用，施工单位应在报价中充分考虑，中标后不予调整。</w:t>
      </w:r>
    </w:p>
    <w:p w14:paraId="77A23BD6">
      <w:pPr>
        <w:spacing w:line="360" w:lineRule="auto"/>
        <w:ind w:firstLine="480" w:firstLineChars="200"/>
        <w:rPr>
          <w:rFonts w:ascii="宋体" w:hAnsi="宋体"/>
          <w:sz w:val="24"/>
        </w:rPr>
      </w:pPr>
      <w:r>
        <w:rPr>
          <w:rFonts w:hint="eastAsia" w:ascii="宋体" w:hAnsi="宋体"/>
          <w:sz w:val="24"/>
        </w:rPr>
        <w:t>（4）施工安排进场前，成交单位须通知招标人和监理单位对现场水电表进行抄表记录，施工产生的水电费均由施工单位自行承担。</w:t>
      </w:r>
    </w:p>
    <w:p w14:paraId="44EA5E46">
      <w:pPr>
        <w:spacing w:line="360" w:lineRule="auto"/>
        <w:ind w:firstLine="480" w:firstLineChars="200"/>
        <w:rPr>
          <w:rFonts w:ascii="宋体" w:hAnsi="宋体"/>
          <w:sz w:val="24"/>
        </w:rPr>
      </w:pPr>
      <w:r>
        <w:rPr>
          <w:rFonts w:hint="eastAsia" w:ascii="宋体" w:hAnsi="宋体"/>
          <w:sz w:val="24"/>
        </w:rPr>
        <w:t>（5）施工期间由于施工单位原因造成施工方案的更改，所增加的工程费用及工期一概不予调整，属施工技术组织措施失误造成的费用及延误工期均由施工单位承担。对施工组织设计的内容未在投标报价中体现的均视同优惠。</w:t>
      </w:r>
    </w:p>
    <w:p w14:paraId="13765CAA">
      <w:pPr>
        <w:spacing w:line="360" w:lineRule="auto"/>
        <w:ind w:firstLine="480" w:firstLineChars="200"/>
        <w:rPr>
          <w:rFonts w:ascii="宋体" w:hAnsi="宋体"/>
          <w:sz w:val="24"/>
        </w:rPr>
      </w:pPr>
      <w:r>
        <w:rPr>
          <w:rFonts w:hint="eastAsia" w:ascii="宋体" w:hAnsi="宋体"/>
          <w:sz w:val="24"/>
        </w:rPr>
        <w:t>（6）装修完成后施工单位须做好卫生清理保洁，开荒等工作，产生的费用，施工单位应在报价中充分考虑，中标后不予调整。</w:t>
      </w:r>
    </w:p>
    <w:p w14:paraId="72CE9CB2">
      <w:pPr>
        <w:spacing w:line="360" w:lineRule="auto"/>
        <w:ind w:firstLine="480" w:firstLineChars="200"/>
        <w:rPr>
          <w:rFonts w:ascii="宋体" w:hAnsi="宋体"/>
          <w:sz w:val="24"/>
        </w:rPr>
      </w:pPr>
      <w:r>
        <w:rPr>
          <w:rFonts w:hint="eastAsia" w:ascii="宋体" w:hAnsi="宋体"/>
          <w:sz w:val="24"/>
        </w:rPr>
        <w:t>（7）凡招标文件中要求进入报价的费用若在施工单位的投标报价中不体现，均视同优惠或已进入投标总价。</w:t>
      </w:r>
    </w:p>
    <w:p w14:paraId="38861782">
      <w:pPr>
        <w:spacing w:line="360" w:lineRule="auto"/>
        <w:ind w:firstLine="482" w:firstLineChars="200"/>
        <w:rPr>
          <w:rFonts w:ascii="宋体" w:hAnsi="宋体"/>
          <w:b/>
          <w:bCs/>
          <w:sz w:val="24"/>
        </w:rPr>
      </w:pPr>
      <w:r>
        <w:rPr>
          <w:rFonts w:hint="eastAsia" w:ascii="宋体" w:hAnsi="宋体"/>
          <w:b/>
          <w:bCs/>
          <w:sz w:val="24"/>
        </w:rPr>
        <w:t>2</w:t>
      </w:r>
      <w:r>
        <w:rPr>
          <w:rFonts w:hint="eastAsia" w:ascii="宋体" w:hAnsi="宋体"/>
          <w:b/>
          <w:bCs/>
          <w:sz w:val="24"/>
          <w:lang w:eastAsia="zh-CN"/>
        </w:rPr>
        <w:t>、</w:t>
      </w:r>
      <w:r>
        <w:rPr>
          <w:rFonts w:hint="eastAsia" w:ascii="宋体" w:hAnsi="宋体"/>
          <w:b/>
          <w:bCs/>
          <w:sz w:val="24"/>
        </w:rPr>
        <w:t>推荐品牌</w:t>
      </w:r>
    </w:p>
    <w:p w14:paraId="40F31602">
      <w:pPr>
        <w:spacing w:line="360" w:lineRule="auto"/>
        <w:ind w:firstLine="480" w:firstLineChars="200"/>
        <w:rPr>
          <w:rFonts w:ascii="宋体" w:hAnsi="宋体"/>
          <w:sz w:val="24"/>
        </w:rPr>
      </w:pPr>
      <w:r>
        <w:rPr>
          <w:rFonts w:hint="eastAsia" w:ascii="宋体" w:hAnsi="宋体"/>
          <w:sz w:val="24"/>
        </w:rPr>
        <w:t>（1）本项目主要材料品牌要求（如有）详见“工程量清单编制总说明”。除磋商文件明确的品牌外，欢迎其他能满足本项目技术需求且性能与所明确品牌、型号相当的产品参加。</w:t>
      </w:r>
    </w:p>
    <w:p w14:paraId="48DEF3C7">
      <w:pPr>
        <w:spacing w:line="360" w:lineRule="auto"/>
        <w:ind w:firstLine="480" w:firstLineChars="200"/>
        <w:rPr>
          <w:rFonts w:ascii="宋体" w:hAnsi="宋体"/>
          <w:sz w:val="24"/>
        </w:rPr>
      </w:pPr>
      <w:r>
        <w:rPr>
          <w:rFonts w:hint="eastAsia" w:ascii="宋体" w:hAnsi="宋体"/>
          <w:sz w:val="24"/>
        </w:rPr>
        <w:t>（2）欢迎采购人推荐品牌同档次及以上品牌（如有）参与投标。供应商应在响应文件中写明各类主要材料（设备）的选用品牌、产地、规格、型号。如供应商没有按磋商文件要求进行选择，或没有明确注明，或所选材料设备的材质、规格、档次与磋商文件要求的存在明显差别，或虽按磋商文件推荐的材料品牌选择但该材料因某种原因停产或其他原因而不能供应的，或虽注明品牌未注明型号、规格的，则实际施工过程中采购人有权在磋商文件推荐的材料品牌范围内自行确定品牌和规格，且磋商价格不予调整。</w:t>
      </w:r>
    </w:p>
    <w:p w14:paraId="10BF7BC7">
      <w:pPr>
        <w:spacing w:line="360" w:lineRule="auto"/>
        <w:ind w:firstLine="480" w:firstLineChars="200"/>
        <w:rPr>
          <w:rFonts w:ascii="宋体" w:hAnsi="宋体"/>
          <w:sz w:val="24"/>
        </w:rPr>
      </w:pPr>
    </w:p>
    <w:p w14:paraId="3878D547">
      <w:pPr>
        <w:spacing w:line="360" w:lineRule="auto"/>
        <w:ind w:firstLine="480" w:firstLineChars="200"/>
        <w:rPr>
          <w:rFonts w:ascii="宋体" w:hAnsi="宋体"/>
          <w:sz w:val="24"/>
        </w:rPr>
      </w:pPr>
      <w:r>
        <w:rPr>
          <w:rFonts w:hint="eastAsia" w:ascii="宋体" w:hAnsi="宋体"/>
          <w:sz w:val="24"/>
        </w:rPr>
        <w:t>招标人在工程量清单表1-6及材料品牌推荐表中对材料设备品牌及系列、规格、型号等有要求的，投标人应按要求选择，并在“备注栏”中注明。如未标明，则由招标人在要求范围内指定。</w:t>
      </w:r>
    </w:p>
    <w:p w14:paraId="47359777">
      <w:pPr>
        <w:spacing w:line="360" w:lineRule="auto"/>
        <w:ind w:firstLine="480" w:firstLineChars="200"/>
      </w:pPr>
      <w:r>
        <w:rPr>
          <w:rFonts w:hint="eastAsia" w:ascii="宋体" w:hAnsi="宋体"/>
          <w:sz w:val="24"/>
        </w:rPr>
        <w:t>投标单位如在施工过程中若采用与招标同档次品牌，必须经发包人签证同意后实施，否则不予以实施和结算。</w:t>
      </w:r>
    </w:p>
    <w:tbl>
      <w:tblPr>
        <w:tblStyle w:val="62"/>
        <w:tblpPr w:leftFromText="180" w:rightFromText="180" w:vertAnchor="text" w:horzAnchor="page" w:tblpX="1203" w:tblpY="1203"/>
        <w:tblOverlap w:val="never"/>
        <w:tblW w:w="9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89"/>
        <w:gridCol w:w="1955"/>
        <w:gridCol w:w="5799"/>
        <w:gridCol w:w="756"/>
      </w:tblGrid>
      <w:tr w14:paraId="2560A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9" w:hRule="atLeast"/>
        </w:trPr>
        <w:tc>
          <w:tcPr>
            <w:tcW w:w="1189" w:type="dxa"/>
            <w:tcMar>
              <w:top w:w="12" w:type="dxa"/>
              <w:left w:w="12" w:type="dxa"/>
              <w:right w:w="12" w:type="dxa"/>
            </w:tcMar>
            <w:vAlign w:val="center"/>
          </w:tcPr>
          <w:p w14:paraId="5F256F4E">
            <w:pPr>
              <w:ind w:firstLine="240" w:firstLineChars="100"/>
              <w:jc w:val="left"/>
              <w:rPr>
                <w:rFonts w:ascii="宋体" w:hAnsi="宋体" w:cs="宋体"/>
                <w:color w:val="auto"/>
                <w:sz w:val="24"/>
              </w:rPr>
            </w:pPr>
            <w:r>
              <w:rPr>
                <w:rFonts w:hint="eastAsia" w:ascii="宋体" w:hAnsi="宋体" w:cs="宋体"/>
                <w:color w:val="auto"/>
                <w:sz w:val="24"/>
              </w:rPr>
              <w:t>序号</w:t>
            </w:r>
          </w:p>
        </w:tc>
        <w:tc>
          <w:tcPr>
            <w:tcW w:w="1955" w:type="dxa"/>
            <w:tcMar>
              <w:top w:w="12" w:type="dxa"/>
              <w:left w:w="12" w:type="dxa"/>
              <w:right w:w="12" w:type="dxa"/>
            </w:tcMar>
            <w:vAlign w:val="center"/>
          </w:tcPr>
          <w:p w14:paraId="2F92804C">
            <w:pPr>
              <w:ind w:firstLine="240" w:firstLineChars="100"/>
              <w:jc w:val="left"/>
              <w:rPr>
                <w:rFonts w:ascii="宋体" w:hAnsi="宋体" w:cs="宋体"/>
                <w:color w:val="auto"/>
                <w:sz w:val="24"/>
              </w:rPr>
            </w:pPr>
            <w:r>
              <w:rPr>
                <w:rFonts w:hint="eastAsia" w:ascii="宋体" w:hAnsi="宋体" w:cs="宋体"/>
                <w:color w:val="auto"/>
                <w:sz w:val="24"/>
              </w:rPr>
              <w:t>材料名称</w:t>
            </w:r>
          </w:p>
        </w:tc>
        <w:tc>
          <w:tcPr>
            <w:tcW w:w="5799" w:type="dxa"/>
            <w:tcMar>
              <w:top w:w="12" w:type="dxa"/>
              <w:left w:w="12" w:type="dxa"/>
              <w:right w:w="12" w:type="dxa"/>
            </w:tcMar>
            <w:vAlign w:val="center"/>
          </w:tcPr>
          <w:p w14:paraId="5993385A">
            <w:pPr>
              <w:ind w:firstLine="240" w:firstLineChars="100"/>
              <w:jc w:val="left"/>
              <w:rPr>
                <w:rFonts w:ascii="宋体" w:hAnsi="宋体" w:cs="宋体"/>
                <w:color w:val="auto"/>
                <w:sz w:val="24"/>
              </w:rPr>
            </w:pPr>
            <w:r>
              <w:rPr>
                <w:rFonts w:hint="eastAsia" w:ascii="宋体" w:hAnsi="宋体" w:cs="宋体"/>
                <w:color w:val="auto"/>
                <w:sz w:val="24"/>
              </w:rPr>
              <w:t>品牌推荐</w:t>
            </w:r>
          </w:p>
        </w:tc>
        <w:tc>
          <w:tcPr>
            <w:tcW w:w="756" w:type="dxa"/>
            <w:tcMar>
              <w:top w:w="12" w:type="dxa"/>
              <w:left w:w="12" w:type="dxa"/>
              <w:right w:w="12" w:type="dxa"/>
            </w:tcMar>
            <w:vAlign w:val="center"/>
          </w:tcPr>
          <w:p w14:paraId="55802936">
            <w:pPr>
              <w:ind w:firstLine="240" w:firstLineChars="100"/>
              <w:jc w:val="left"/>
              <w:rPr>
                <w:rFonts w:ascii="宋体" w:hAnsi="宋体" w:cs="宋体"/>
                <w:sz w:val="24"/>
              </w:rPr>
            </w:pPr>
            <w:r>
              <w:rPr>
                <w:rFonts w:hint="eastAsia" w:ascii="宋体" w:hAnsi="宋体" w:cs="宋体"/>
                <w:sz w:val="24"/>
              </w:rPr>
              <w:t>备注</w:t>
            </w:r>
          </w:p>
        </w:tc>
      </w:tr>
      <w:tr w14:paraId="30A28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9" w:hRule="atLeast"/>
        </w:trPr>
        <w:tc>
          <w:tcPr>
            <w:tcW w:w="1189" w:type="dxa"/>
            <w:tcMar>
              <w:top w:w="12" w:type="dxa"/>
              <w:left w:w="12" w:type="dxa"/>
              <w:right w:w="12" w:type="dxa"/>
            </w:tcMar>
            <w:vAlign w:val="center"/>
          </w:tcPr>
          <w:p w14:paraId="5A6FA4CC">
            <w:pPr>
              <w:ind w:firstLine="240" w:firstLineChars="100"/>
              <w:jc w:val="left"/>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p>
        </w:tc>
        <w:tc>
          <w:tcPr>
            <w:tcW w:w="1955" w:type="dxa"/>
            <w:tcMar>
              <w:top w:w="12" w:type="dxa"/>
              <w:left w:w="12" w:type="dxa"/>
              <w:right w:w="12" w:type="dxa"/>
            </w:tcMar>
            <w:vAlign w:val="top"/>
          </w:tcPr>
          <w:p w14:paraId="2219149C">
            <w:pPr>
              <w:pStyle w:val="462"/>
              <w:numPr>
                <w:ilvl w:val="0"/>
                <w:numId w:val="0"/>
              </w:numPr>
              <w:tabs>
                <w:tab w:val="left" w:pos="0"/>
                <w:tab w:val="clear" w:pos="2790"/>
                <w:tab w:val="clear" w:pos="4230"/>
              </w:tabs>
              <w:spacing w:line="360" w:lineRule="auto"/>
              <w:ind w:left="0" w:leftChars="0" w:firstLine="0" w:firstLineChars="0"/>
              <w:jc w:val="both"/>
              <w:rPr>
                <w:rFonts w:ascii="宋体" w:hAnsi="宋体" w:cs="宋体"/>
                <w:b w:val="0"/>
                <w:bCs w:val="0"/>
                <w:color w:val="auto"/>
                <w:sz w:val="21"/>
                <w:szCs w:val="21"/>
              </w:rPr>
            </w:pPr>
            <w:r>
              <w:rPr>
                <w:rFonts w:hint="eastAsia" w:hAnsi="宋体" w:eastAsia="宋体" w:cs="宋体"/>
                <w:b w:val="0"/>
                <w:bCs w:val="0"/>
                <w:sz w:val="21"/>
                <w:szCs w:val="21"/>
                <w:vertAlign w:val="baseline"/>
                <w:lang w:val="en-US" w:eastAsia="zh-CN"/>
              </w:rPr>
              <w:t>石膏板</w:t>
            </w:r>
          </w:p>
        </w:tc>
        <w:tc>
          <w:tcPr>
            <w:tcW w:w="5799" w:type="dxa"/>
            <w:tcMar>
              <w:top w:w="12" w:type="dxa"/>
              <w:left w:w="12" w:type="dxa"/>
              <w:right w:w="12" w:type="dxa"/>
            </w:tcMar>
            <w:vAlign w:val="top"/>
          </w:tcPr>
          <w:p w14:paraId="54404C73">
            <w:pPr>
              <w:pStyle w:val="462"/>
              <w:numPr>
                <w:ilvl w:val="0"/>
                <w:numId w:val="0"/>
              </w:numPr>
              <w:tabs>
                <w:tab w:val="left" w:pos="0"/>
                <w:tab w:val="clear" w:pos="2790"/>
                <w:tab w:val="clear" w:pos="4230"/>
              </w:tabs>
              <w:spacing w:line="360" w:lineRule="auto"/>
              <w:ind w:left="0" w:leftChars="0" w:firstLine="0" w:firstLineChars="0"/>
              <w:jc w:val="both"/>
              <w:rPr>
                <w:rFonts w:ascii="宋体" w:hAnsi="宋体" w:cs="宋体"/>
                <w:b w:val="0"/>
                <w:bCs w:val="0"/>
                <w:color w:val="auto"/>
                <w:sz w:val="21"/>
                <w:szCs w:val="21"/>
              </w:rPr>
            </w:pPr>
            <w:r>
              <w:rPr>
                <w:rFonts w:hint="default" w:hAnsi="宋体" w:eastAsia="宋体" w:cs="宋体"/>
                <w:b w:val="0"/>
                <w:bCs w:val="0"/>
                <w:sz w:val="21"/>
                <w:szCs w:val="21"/>
                <w:vertAlign w:val="baseline"/>
                <w:lang w:val="en-US" w:eastAsia="zh-CN"/>
              </w:rPr>
              <w:t>拉法基、圣戈班</w:t>
            </w:r>
            <w:r>
              <w:rPr>
                <w:rFonts w:hint="eastAsia" w:hAnsi="宋体" w:eastAsia="宋体" w:cs="宋体"/>
                <w:b w:val="0"/>
                <w:bCs w:val="0"/>
                <w:sz w:val="21"/>
                <w:szCs w:val="21"/>
                <w:vertAlign w:val="baseline"/>
                <w:lang w:val="en-US" w:eastAsia="zh-CN"/>
              </w:rPr>
              <w:t>、</w:t>
            </w:r>
            <w:r>
              <w:rPr>
                <w:rFonts w:hint="default" w:hAnsi="宋体" w:eastAsia="宋体" w:cs="宋体"/>
                <w:b w:val="0"/>
                <w:bCs w:val="0"/>
                <w:sz w:val="21"/>
                <w:szCs w:val="21"/>
                <w:vertAlign w:val="baseline"/>
                <w:lang w:val="en-US" w:eastAsia="zh-CN"/>
              </w:rPr>
              <w:t>可耐福、北新龙牌或相当于</w:t>
            </w:r>
          </w:p>
        </w:tc>
        <w:tc>
          <w:tcPr>
            <w:tcW w:w="756" w:type="dxa"/>
            <w:tcMar>
              <w:top w:w="12" w:type="dxa"/>
              <w:left w:w="12" w:type="dxa"/>
              <w:right w:w="12" w:type="dxa"/>
            </w:tcMar>
            <w:vAlign w:val="center"/>
          </w:tcPr>
          <w:p w14:paraId="1FE3C6B8">
            <w:pPr>
              <w:ind w:firstLine="240" w:firstLineChars="100"/>
              <w:jc w:val="left"/>
              <w:rPr>
                <w:rFonts w:ascii="宋体" w:hAnsi="宋体" w:cs="宋体"/>
                <w:sz w:val="24"/>
              </w:rPr>
            </w:pPr>
          </w:p>
        </w:tc>
      </w:tr>
      <w:tr w14:paraId="5E3F7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9" w:hRule="atLeast"/>
        </w:trPr>
        <w:tc>
          <w:tcPr>
            <w:tcW w:w="1189" w:type="dxa"/>
            <w:tcMar>
              <w:top w:w="12" w:type="dxa"/>
              <w:left w:w="12" w:type="dxa"/>
              <w:right w:w="12" w:type="dxa"/>
            </w:tcMar>
            <w:vAlign w:val="center"/>
          </w:tcPr>
          <w:p w14:paraId="34711DEB">
            <w:pPr>
              <w:ind w:firstLine="240" w:firstLineChars="100"/>
              <w:jc w:val="left"/>
              <w:rPr>
                <w:rFonts w:hint="eastAsia" w:ascii="宋体" w:hAnsi="宋体" w:eastAsia="宋体" w:cs="宋体"/>
                <w:color w:val="auto"/>
                <w:sz w:val="24"/>
                <w:lang w:val="en-US" w:eastAsia="zh-CN"/>
              </w:rPr>
            </w:pPr>
            <w:r>
              <w:rPr>
                <w:rFonts w:hint="eastAsia" w:ascii="宋体" w:hAnsi="宋体" w:cs="宋体"/>
                <w:color w:val="auto"/>
                <w:sz w:val="24"/>
                <w:lang w:val="en-US" w:eastAsia="zh-CN"/>
              </w:rPr>
              <w:t>2</w:t>
            </w:r>
          </w:p>
        </w:tc>
        <w:tc>
          <w:tcPr>
            <w:tcW w:w="1955" w:type="dxa"/>
            <w:tcMar>
              <w:top w:w="12" w:type="dxa"/>
              <w:left w:w="12" w:type="dxa"/>
              <w:right w:w="12" w:type="dxa"/>
            </w:tcMar>
            <w:vAlign w:val="top"/>
          </w:tcPr>
          <w:p w14:paraId="197AF696">
            <w:pPr>
              <w:pStyle w:val="462"/>
              <w:numPr>
                <w:ilvl w:val="0"/>
                <w:numId w:val="0"/>
              </w:numPr>
              <w:tabs>
                <w:tab w:val="left" w:pos="0"/>
                <w:tab w:val="clear" w:pos="2790"/>
                <w:tab w:val="clear" w:pos="4230"/>
              </w:tabs>
              <w:spacing w:line="360" w:lineRule="auto"/>
              <w:ind w:left="0" w:leftChars="0" w:firstLine="0" w:firstLineChars="0"/>
              <w:jc w:val="both"/>
              <w:rPr>
                <w:rFonts w:ascii="宋体" w:hAnsi="宋体" w:cs="宋体"/>
                <w:b w:val="0"/>
                <w:bCs w:val="0"/>
                <w:color w:val="auto"/>
                <w:sz w:val="21"/>
                <w:szCs w:val="21"/>
              </w:rPr>
            </w:pPr>
            <w:r>
              <w:rPr>
                <w:rFonts w:hint="default" w:ascii="宋体" w:hAnsi="宋体" w:eastAsia="宋体" w:cs="宋体"/>
                <w:b w:val="0"/>
                <w:bCs w:val="0"/>
                <w:kern w:val="2"/>
                <w:sz w:val="21"/>
                <w:szCs w:val="21"/>
                <w:vertAlign w:val="baseline"/>
                <w:lang w:val="en-US" w:eastAsia="zh-CN" w:bidi="ar-SA"/>
              </w:rPr>
              <w:t>轻钢龙骨</w:t>
            </w:r>
          </w:p>
        </w:tc>
        <w:tc>
          <w:tcPr>
            <w:tcW w:w="5799" w:type="dxa"/>
            <w:tcMar>
              <w:top w:w="12" w:type="dxa"/>
              <w:left w:w="12" w:type="dxa"/>
              <w:right w:w="12" w:type="dxa"/>
            </w:tcMar>
            <w:vAlign w:val="top"/>
          </w:tcPr>
          <w:p w14:paraId="6D61723E">
            <w:pPr>
              <w:pStyle w:val="462"/>
              <w:numPr>
                <w:ilvl w:val="0"/>
                <w:numId w:val="0"/>
              </w:numPr>
              <w:tabs>
                <w:tab w:val="left" w:pos="0"/>
                <w:tab w:val="clear" w:pos="2790"/>
                <w:tab w:val="clear" w:pos="4230"/>
              </w:tabs>
              <w:spacing w:line="360" w:lineRule="auto"/>
              <w:ind w:left="0" w:leftChars="0" w:firstLine="0" w:firstLineChars="0"/>
              <w:jc w:val="both"/>
              <w:rPr>
                <w:rFonts w:ascii="宋体" w:hAnsi="宋体" w:cs="宋体"/>
                <w:b w:val="0"/>
                <w:bCs w:val="0"/>
                <w:color w:val="auto"/>
                <w:sz w:val="21"/>
                <w:szCs w:val="21"/>
              </w:rPr>
            </w:pPr>
            <w:r>
              <w:rPr>
                <w:rFonts w:hint="default" w:hAnsi="宋体" w:eastAsia="宋体" w:cs="宋体"/>
                <w:b w:val="0"/>
                <w:bCs w:val="0"/>
                <w:sz w:val="21"/>
                <w:szCs w:val="21"/>
                <w:vertAlign w:val="baseline"/>
                <w:lang w:val="en-US" w:eastAsia="zh-CN"/>
              </w:rPr>
              <w:t>拉法基、圣戈班</w:t>
            </w:r>
            <w:r>
              <w:rPr>
                <w:rFonts w:hint="eastAsia" w:hAnsi="宋体" w:eastAsia="宋体" w:cs="宋体"/>
                <w:b w:val="0"/>
                <w:bCs w:val="0"/>
                <w:sz w:val="21"/>
                <w:szCs w:val="21"/>
                <w:vertAlign w:val="baseline"/>
                <w:lang w:val="en-US" w:eastAsia="zh-CN"/>
              </w:rPr>
              <w:t>、</w:t>
            </w:r>
            <w:r>
              <w:rPr>
                <w:rFonts w:hint="default" w:hAnsi="宋体" w:eastAsia="宋体" w:cs="宋体"/>
                <w:b w:val="0"/>
                <w:bCs w:val="0"/>
                <w:sz w:val="21"/>
                <w:szCs w:val="21"/>
                <w:vertAlign w:val="baseline"/>
                <w:lang w:val="en-US" w:eastAsia="zh-CN"/>
              </w:rPr>
              <w:t>可耐福、北新龙牌或相当于</w:t>
            </w:r>
          </w:p>
        </w:tc>
        <w:tc>
          <w:tcPr>
            <w:tcW w:w="756" w:type="dxa"/>
            <w:tcMar>
              <w:top w:w="12" w:type="dxa"/>
              <w:left w:w="12" w:type="dxa"/>
              <w:right w:w="12" w:type="dxa"/>
            </w:tcMar>
            <w:vAlign w:val="center"/>
          </w:tcPr>
          <w:p w14:paraId="712889C1">
            <w:pPr>
              <w:ind w:firstLine="240" w:firstLineChars="100"/>
              <w:jc w:val="left"/>
              <w:rPr>
                <w:rFonts w:ascii="宋体" w:hAnsi="宋体" w:cs="宋体"/>
                <w:sz w:val="24"/>
              </w:rPr>
            </w:pPr>
          </w:p>
        </w:tc>
      </w:tr>
      <w:tr w14:paraId="491F7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9" w:hRule="atLeast"/>
        </w:trPr>
        <w:tc>
          <w:tcPr>
            <w:tcW w:w="1189" w:type="dxa"/>
            <w:tcMar>
              <w:top w:w="12" w:type="dxa"/>
              <w:left w:w="12" w:type="dxa"/>
              <w:right w:w="12" w:type="dxa"/>
            </w:tcMar>
            <w:vAlign w:val="center"/>
          </w:tcPr>
          <w:p w14:paraId="3856CD38">
            <w:pPr>
              <w:ind w:firstLine="240" w:firstLineChars="100"/>
              <w:jc w:val="left"/>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c>
          <w:tcPr>
            <w:tcW w:w="1955" w:type="dxa"/>
            <w:tcMar>
              <w:top w:w="12" w:type="dxa"/>
              <w:left w:w="12" w:type="dxa"/>
              <w:right w:w="12" w:type="dxa"/>
            </w:tcMar>
            <w:vAlign w:val="top"/>
          </w:tcPr>
          <w:p w14:paraId="6BEC2A8A">
            <w:pPr>
              <w:pStyle w:val="462"/>
              <w:numPr>
                <w:ilvl w:val="0"/>
                <w:numId w:val="0"/>
              </w:numPr>
              <w:tabs>
                <w:tab w:val="left" w:pos="0"/>
                <w:tab w:val="clear" w:pos="2790"/>
                <w:tab w:val="clear" w:pos="4230"/>
              </w:tabs>
              <w:spacing w:line="360" w:lineRule="auto"/>
              <w:ind w:left="0" w:leftChars="0" w:firstLine="0" w:firstLineChars="0"/>
              <w:jc w:val="both"/>
              <w:rPr>
                <w:rFonts w:ascii="宋体" w:hAnsi="宋体" w:cs="宋体"/>
                <w:b w:val="0"/>
                <w:bCs w:val="0"/>
                <w:color w:val="auto"/>
                <w:sz w:val="21"/>
                <w:szCs w:val="21"/>
              </w:rPr>
            </w:pPr>
            <w:r>
              <w:rPr>
                <w:rFonts w:hint="default" w:ascii="宋体" w:hAnsi="宋体" w:eastAsia="宋体" w:cs="宋体"/>
                <w:b w:val="0"/>
                <w:bCs w:val="0"/>
                <w:kern w:val="2"/>
                <w:sz w:val="21"/>
                <w:szCs w:val="21"/>
                <w:vertAlign w:val="baseline"/>
                <w:lang w:val="en-US" w:eastAsia="zh-CN" w:bidi="ar-SA"/>
              </w:rPr>
              <w:t>板材</w:t>
            </w:r>
          </w:p>
        </w:tc>
        <w:tc>
          <w:tcPr>
            <w:tcW w:w="5799" w:type="dxa"/>
            <w:tcMar>
              <w:top w:w="12" w:type="dxa"/>
              <w:left w:w="12" w:type="dxa"/>
              <w:right w:w="12" w:type="dxa"/>
            </w:tcMar>
            <w:vAlign w:val="top"/>
          </w:tcPr>
          <w:p w14:paraId="3E616FBA">
            <w:pPr>
              <w:pStyle w:val="462"/>
              <w:numPr>
                <w:ilvl w:val="0"/>
                <w:numId w:val="0"/>
              </w:numPr>
              <w:tabs>
                <w:tab w:val="left" w:pos="0"/>
                <w:tab w:val="clear" w:pos="2790"/>
                <w:tab w:val="clear" w:pos="4230"/>
              </w:tabs>
              <w:spacing w:line="360" w:lineRule="auto"/>
              <w:ind w:left="0" w:leftChars="0" w:firstLine="0" w:firstLineChars="0"/>
              <w:jc w:val="both"/>
              <w:rPr>
                <w:rFonts w:ascii="宋体" w:hAnsi="宋体" w:cs="宋体"/>
                <w:b w:val="0"/>
                <w:bCs w:val="0"/>
                <w:color w:val="auto"/>
                <w:sz w:val="21"/>
                <w:szCs w:val="21"/>
              </w:rPr>
            </w:pPr>
            <w:r>
              <w:rPr>
                <w:rFonts w:hint="eastAsia" w:ascii="宋体" w:hAnsi="宋体" w:eastAsia="宋体" w:cs="宋体"/>
                <w:b w:val="0"/>
                <w:bCs w:val="0"/>
                <w:kern w:val="2"/>
                <w:sz w:val="21"/>
                <w:szCs w:val="21"/>
                <w:vertAlign w:val="baseline"/>
                <w:lang w:val="en-US" w:eastAsia="zh-CN" w:bidi="ar-SA"/>
              </w:rPr>
              <w:t>千年舟</w:t>
            </w:r>
            <w:r>
              <w:rPr>
                <w:rFonts w:hint="eastAsia" w:hAnsi="宋体" w:eastAsia="宋体" w:cs="宋体"/>
                <w:b w:val="0"/>
                <w:bCs w:val="0"/>
                <w:kern w:val="2"/>
                <w:sz w:val="21"/>
                <w:szCs w:val="21"/>
                <w:vertAlign w:val="baseline"/>
                <w:lang w:val="en-US" w:eastAsia="zh-CN" w:bidi="ar-SA"/>
              </w:rPr>
              <w:t>、兔宝宝、莫干山</w:t>
            </w:r>
            <w:r>
              <w:rPr>
                <w:rFonts w:hint="default" w:hAnsi="宋体" w:eastAsia="宋体" w:cs="宋体"/>
                <w:b w:val="0"/>
                <w:bCs w:val="0"/>
                <w:sz w:val="21"/>
                <w:szCs w:val="21"/>
                <w:vertAlign w:val="baseline"/>
                <w:lang w:val="en-US" w:eastAsia="zh-CN"/>
              </w:rPr>
              <w:t>或相当于</w:t>
            </w:r>
          </w:p>
        </w:tc>
        <w:tc>
          <w:tcPr>
            <w:tcW w:w="756" w:type="dxa"/>
            <w:tcMar>
              <w:top w:w="12" w:type="dxa"/>
              <w:left w:w="12" w:type="dxa"/>
              <w:right w:w="12" w:type="dxa"/>
            </w:tcMar>
            <w:vAlign w:val="center"/>
          </w:tcPr>
          <w:p w14:paraId="2CD43885">
            <w:pPr>
              <w:ind w:firstLine="240" w:firstLineChars="100"/>
              <w:jc w:val="left"/>
              <w:rPr>
                <w:rFonts w:ascii="宋体" w:hAnsi="宋体" w:cs="宋体"/>
                <w:sz w:val="24"/>
              </w:rPr>
            </w:pPr>
          </w:p>
        </w:tc>
      </w:tr>
      <w:tr w14:paraId="6B5CA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9" w:hRule="atLeast"/>
        </w:trPr>
        <w:tc>
          <w:tcPr>
            <w:tcW w:w="1189" w:type="dxa"/>
            <w:tcMar>
              <w:top w:w="12" w:type="dxa"/>
              <w:left w:w="12" w:type="dxa"/>
              <w:right w:w="12" w:type="dxa"/>
            </w:tcMar>
            <w:vAlign w:val="center"/>
          </w:tcPr>
          <w:p w14:paraId="77318775">
            <w:pPr>
              <w:ind w:firstLine="240" w:firstLineChars="100"/>
              <w:jc w:val="left"/>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p>
        </w:tc>
        <w:tc>
          <w:tcPr>
            <w:tcW w:w="1955" w:type="dxa"/>
            <w:tcMar>
              <w:top w:w="12" w:type="dxa"/>
              <w:left w:w="12" w:type="dxa"/>
              <w:right w:w="12" w:type="dxa"/>
            </w:tcMar>
            <w:vAlign w:val="top"/>
          </w:tcPr>
          <w:p w14:paraId="42900306">
            <w:pPr>
              <w:pStyle w:val="462"/>
              <w:numPr>
                <w:ilvl w:val="0"/>
                <w:numId w:val="0"/>
              </w:numPr>
              <w:tabs>
                <w:tab w:val="left" w:pos="0"/>
                <w:tab w:val="clear" w:pos="2790"/>
                <w:tab w:val="clear" w:pos="4230"/>
              </w:tabs>
              <w:spacing w:line="360" w:lineRule="auto"/>
              <w:ind w:left="0" w:leftChars="0" w:firstLine="0" w:firstLineChars="0"/>
              <w:jc w:val="both"/>
              <w:rPr>
                <w:rFonts w:ascii="宋体" w:hAnsi="宋体" w:cs="宋体"/>
                <w:b w:val="0"/>
                <w:bCs w:val="0"/>
                <w:color w:val="auto"/>
                <w:sz w:val="21"/>
                <w:szCs w:val="21"/>
              </w:rPr>
            </w:pPr>
            <w:r>
              <w:rPr>
                <w:rFonts w:hint="default" w:ascii="宋体" w:hAnsi="宋体" w:eastAsia="宋体" w:cs="宋体"/>
                <w:b w:val="0"/>
                <w:bCs w:val="0"/>
                <w:kern w:val="2"/>
                <w:sz w:val="21"/>
                <w:szCs w:val="21"/>
                <w:vertAlign w:val="baseline"/>
                <w:lang w:val="en-US" w:eastAsia="zh-CN" w:bidi="ar-SA"/>
              </w:rPr>
              <w:t>涂料</w:t>
            </w:r>
            <w:r>
              <w:rPr>
                <w:rFonts w:hint="eastAsia" w:hAnsi="宋体" w:eastAsia="宋体" w:cs="宋体"/>
                <w:b w:val="0"/>
                <w:bCs w:val="0"/>
                <w:kern w:val="2"/>
                <w:sz w:val="21"/>
                <w:szCs w:val="21"/>
                <w:vertAlign w:val="baseline"/>
                <w:lang w:val="en-US" w:eastAsia="zh-CN" w:bidi="ar-SA"/>
              </w:rPr>
              <w:t>、油漆</w:t>
            </w:r>
          </w:p>
        </w:tc>
        <w:tc>
          <w:tcPr>
            <w:tcW w:w="5799" w:type="dxa"/>
            <w:tcMar>
              <w:top w:w="12" w:type="dxa"/>
              <w:left w:w="12" w:type="dxa"/>
              <w:right w:w="12" w:type="dxa"/>
            </w:tcMar>
            <w:vAlign w:val="top"/>
          </w:tcPr>
          <w:p w14:paraId="3C912570">
            <w:pPr>
              <w:pStyle w:val="462"/>
              <w:numPr>
                <w:ilvl w:val="0"/>
                <w:numId w:val="0"/>
              </w:numPr>
              <w:tabs>
                <w:tab w:val="left" w:pos="0"/>
                <w:tab w:val="clear" w:pos="2790"/>
                <w:tab w:val="clear" w:pos="4230"/>
              </w:tabs>
              <w:spacing w:line="360" w:lineRule="auto"/>
              <w:ind w:left="0" w:leftChars="0" w:firstLine="0" w:firstLineChars="0"/>
              <w:jc w:val="both"/>
              <w:rPr>
                <w:rFonts w:ascii="宋体" w:hAnsi="宋体" w:cs="宋体"/>
                <w:b w:val="0"/>
                <w:bCs w:val="0"/>
                <w:color w:val="auto"/>
                <w:sz w:val="21"/>
                <w:szCs w:val="21"/>
              </w:rPr>
            </w:pPr>
            <w:r>
              <w:rPr>
                <w:rFonts w:hint="eastAsia" w:ascii="宋体" w:hAnsi="宋体" w:eastAsia="宋体" w:cs="宋体"/>
                <w:b w:val="0"/>
                <w:bCs w:val="0"/>
                <w:kern w:val="2"/>
                <w:sz w:val="21"/>
                <w:szCs w:val="21"/>
                <w:vertAlign w:val="baseline"/>
                <w:lang w:val="en-US" w:eastAsia="zh-CN" w:bidi="ar-SA"/>
              </w:rPr>
              <w:t>立邦、多乐士、三棵树</w:t>
            </w:r>
            <w:r>
              <w:rPr>
                <w:rFonts w:hint="eastAsia" w:hAnsi="宋体" w:eastAsia="宋体" w:cs="宋体"/>
                <w:b w:val="0"/>
                <w:bCs w:val="0"/>
                <w:kern w:val="2"/>
                <w:sz w:val="21"/>
                <w:szCs w:val="21"/>
                <w:vertAlign w:val="baseline"/>
                <w:lang w:val="en-US" w:eastAsia="zh-CN" w:bidi="ar-SA"/>
              </w:rPr>
              <w:t>、华润</w:t>
            </w:r>
            <w:r>
              <w:rPr>
                <w:rFonts w:hint="default" w:ascii="宋体" w:hAnsi="宋体" w:eastAsia="宋体" w:cs="宋体"/>
                <w:b w:val="0"/>
                <w:bCs w:val="0"/>
                <w:kern w:val="2"/>
                <w:sz w:val="21"/>
                <w:szCs w:val="21"/>
                <w:vertAlign w:val="baseline"/>
                <w:lang w:val="en-US" w:eastAsia="zh-CN" w:bidi="ar-SA"/>
              </w:rPr>
              <w:t>或相当于</w:t>
            </w:r>
          </w:p>
        </w:tc>
        <w:tc>
          <w:tcPr>
            <w:tcW w:w="756" w:type="dxa"/>
            <w:tcMar>
              <w:top w:w="12" w:type="dxa"/>
              <w:left w:w="12" w:type="dxa"/>
              <w:right w:w="12" w:type="dxa"/>
            </w:tcMar>
            <w:vAlign w:val="center"/>
          </w:tcPr>
          <w:p w14:paraId="4A56F819">
            <w:pPr>
              <w:ind w:firstLine="240" w:firstLineChars="100"/>
              <w:jc w:val="left"/>
              <w:rPr>
                <w:rFonts w:ascii="宋体" w:hAnsi="宋体" w:cs="宋体"/>
                <w:sz w:val="24"/>
              </w:rPr>
            </w:pPr>
          </w:p>
        </w:tc>
      </w:tr>
      <w:tr w14:paraId="4CA35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9" w:hRule="atLeast"/>
        </w:trPr>
        <w:tc>
          <w:tcPr>
            <w:tcW w:w="1189" w:type="dxa"/>
            <w:tcMar>
              <w:top w:w="12" w:type="dxa"/>
              <w:left w:w="12" w:type="dxa"/>
              <w:right w:w="12" w:type="dxa"/>
            </w:tcMar>
            <w:vAlign w:val="center"/>
          </w:tcPr>
          <w:p w14:paraId="5DEA8509">
            <w:pPr>
              <w:ind w:firstLine="240" w:firstLineChars="100"/>
              <w:jc w:val="left"/>
              <w:rPr>
                <w:rFonts w:hint="eastAsia" w:ascii="宋体" w:hAnsi="宋体" w:eastAsia="宋体" w:cs="宋体"/>
                <w:color w:val="auto"/>
                <w:sz w:val="24"/>
                <w:lang w:val="en-US" w:eastAsia="zh-CN"/>
              </w:rPr>
            </w:pPr>
            <w:r>
              <w:rPr>
                <w:rFonts w:hint="eastAsia" w:ascii="宋体" w:hAnsi="宋体" w:cs="宋体"/>
                <w:color w:val="auto"/>
                <w:sz w:val="24"/>
                <w:lang w:val="en-US" w:eastAsia="zh-CN"/>
              </w:rPr>
              <w:t>5</w:t>
            </w:r>
          </w:p>
        </w:tc>
        <w:tc>
          <w:tcPr>
            <w:tcW w:w="1955" w:type="dxa"/>
            <w:tcMar>
              <w:top w:w="12" w:type="dxa"/>
              <w:left w:w="12" w:type="dxa"/>
              <w:right w:w="12" w:type="dxa"/>
            </w:tcMar>
            <w:vAlign w:val="top"/>
          </w:tcPr>
          <w:p w14:paraId="782EEDE0">
            <w:pPr>
              <w:pStyle w:val="462"/>
              <w:numPr>
                <w:ilvl w:val="0"/>
                <w:numId w:val="0"/>
              </w:numPr>
              <w:tabs>
                <w:tab w:val="left" w:pos="0"/>
                <w:tab w:val="clear" w:pos="2790"/>
                <w:tab w:val="clear" w:pos="4230"/>
              </w:tabs>
              <w:spacing w:line="360" w:lineRule="auto"/>
              <w:ind w:left="0" w:leftChars="0" w:firstLine="0" w:firstLineChars="0"/>
              <w:jc w:val="both"/>
              <w:rPr>
                <w:rFonts w:ascii="宋体" w:hAnsi="宋体" w:cs="宋体"/>
                <w:b w:val="0"/>
                <w:bCs w:val="0"/>
                <w:color w:val="auto"/>
                <w:sz w:val="21"/>
                <w:szCs w:val="21"/>
              </w:rPr>
            </w:pPr>
            <w:r>
              <w:rPr>
                <w:rFonts w:hint="eastAsia" w:hAnsi="宋体" w:eastAsia="宋体" w:cs="宋体"/>
                <w:b w:val="0"/>
                <w:bCs w:val="0"/>
                <w:kern w:val="2"/>
                <w:sz w:val="21"/>
                <w:szCs w:val="21"/>
                <w:vertAlign w:val="baseline"/>
                <w:lang w:val="en-US" w:eastAsia="zh-CN" w:bidi="ar-SA"/>
              </w:rPr>
              <w:t>墙地</w:t>
            </w:r>
            <w:r>
              <w:rPr>
                <w:rFonts w:hint="default" w:ascii="宋体" w:hAnsi="宋体" w:eastAsia="宋体" w:cs="宋体"/>
                <w:b w:val="0"/>
                <w:bCs w:val="0"/>
                <w:kern w:val="2"/>
                <w:sz w:val="21"/>
                <w:szCs w:val="21"/>
                <w:vertAlign w:val="baseline"/>
                <w:lang w:val="en-US" w:eastAsia="zh-CN" w:bidi="ar-SA"/>
              </w:rPr>
              <w:t>砖</w:t>
            </w:r>
          </w:p>
        </w:tc>
        <w:tc>
          <w:tcPr>
            <w:tcW w:w="5799" w:type="dxa"/>
            <w:tcMar>
              <w:top w:w="12" w:type="dxa"/>
              <w:left w:w="12" w:type="dxa"/>
              <w:right w:w="12" w:type="dxa"/>
            </w:tcMar>
            <w:vAlign w:val="top"/>
          </w:tcPr>
          <w:p w14:paraId="0C2CA530">
            <w:pPr>
              <w:pStyle w:val="462"/>
              <w:numPr>
                <w:ilvl w:val="0"/>
                <w:numId w:val="0"/>
              </w:numPr>
              <w:tabs>
                <w:tab w:val="left" w:pos="0"/>
                <w:tab w:val="clear" w:pos="2790"/>
                <w:tab w:val="clear" w:pos="4230"/>
              </w:tabs>
              <w:spacing w:line="360" w:lineRule="auto"/>
              <w:ind w:left="0" w:leftChars="0" w:firstLine="0" w:firstLineChars="0"/>
              <w:jc w:val="both"/>
              <w:rPr>
                <w:rFonts w:ascii="宋体" w:hAnsi="宋体" w:cs="宋体"/>
                <w:b w:val="0"/>
                <w:bCs w:val="0"/>
                <w:color w:val="auto"/>
                <w:sz w:val="21"/>
                <w:szCs w:val="21"/>
              </w:rPr>
            </w:pPr>
            <w:r>
              <w:rPr>
                <w:rFonts w:hint="eastAsia" w:ascii="宋体" w:hAnsi="宋体" w:eastAsia="宋体" w:cs="宋体"/>
                <w:b w:val="0"/>
                <w:bCs w:val="0"/>
                <w:kern w:val="2"/>
                <w:sz w:val="21"/>
                <w:szCs w:val="21"/>
                <w:vertAlign w:val="baseline"/>
                <w:lang w:val="en-US" w:eastAsia="zh-CN" w:bidi="ar-SA"/>
              </w:rPr>
              <w:t>诺贝尔、冠军、马可波罗</w:t>
            </w:r>
            <w:r>
              <w:rPr>
                <w:rFonts w:hint="eastAsia" w:hAnsi="宋体" w:eastAsia="宋体" w:cs="宋体"/>
                <w:b w:val="0"/>
                <w:bCs w:val="0"/>
                <w:kern w:val="2"/>
                <w:sz w:val="21"/>
                <w:szCs w:val="21"/>
                <w:vertAlign w:val="baseline"/>
                <w:lang w:val="en-US" w:eastAsia="zh-CN" w:bidi="ar-SA"/>
              </w:rPr>
              <w:t>、斯米克、东鹏</w:t>
            </w:r>
            <w:r>
              <w:rPr>
                <w:rFonts w:hint="default" w:ascii="宋体" w:hAnsi="宋体" w:eastAsia="宋体" w:cs="宋体"/>
                <w:b w:val="0"/>
                <w:bCs w:val="0"/>
                <w:kern w:val="2"/>
                <w:sz w:val="21"/>
                <w:szCs w:val="21"/>
                <w:vertAlign w:val="baseline"/>
                <w:lang w:val="en-US" w:eastAsia="zh-CN" w:bidi="ar-SA"/>
              </w:rPr>
              <w:t>或相当于</w:t>
            </w:r>
          </w:p>
        </w:tc>
        <w:tc>
          <w:tcPr>
            <w:tcW w:w="756" w:type="dxa"/>
            <w:tcMar>
              <w:top w:w="12" w:type="dxa"/>
              <w:left w:w="12" w:type="dxa"/>
              <w:right w:w="12" w:type="dxa"/>
            </w:tcMar>
            <w:vAlign w:val="center"/>
          </w:tcPr>
          <w:p w14:paraId="59E0CF87">
            <w:pPr>
              <w:ind w:firstLine="240" w:firstLineChars="100"/>
              <w:jc w:val="left"/>
              <w:rPr>
                <w:rFonts w:ascii="宋体" w:hAnsi="宋体" w:cs="宋体"/>
                <w:sz w:val="24"/>
              </w:rPr>
            </w:pPr>
          </w:p>
        </w:tc>
      </w:tr>
      <w:tr w14:paraId="5693A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9" w:hRule="atLeast"/>
        </w:trPr>
        <w:tc>
          <w:tcPr>
            <w:tcW w:w="1189" w:type="dxa"/>
            <w:tcMar>
              <w:top w:w="12" w:type="dxa"/>
              <w:left w:w="12" w:type="dxa"/>
              <w:right w:w="12" w:type="dxa"/>
            </w:tcMar>
            <w:vAlign w:val="center"/>
          </w:tcPr>
          <w:p w14:paraId="7B390245">
            <w:pPr>
              <w:ind w:firstLine="240" w:firstLineChars="100"/>
              <w:jc w:val="left"/>
              <w:rPr>
                <w:rFonts w:hint="eastAsia" w:ascii="宋体" w:hAnsi="宋体" w:eastAsia="宋体" w:cs="宋体"/>
                <w:color w:val="auto"/>
                <w:sz w:val="24"/>
                <w:lang w:val="en-US" w:eastAsia="zh-CN"/>
              </w:rPr>
            </w:pPr>
            <w:r>
              <w:rPr>
                <w:rFonts w:hint="eastAsia" w:ascii="宋体" w:hAnsi="宋体" w:cs="宋体"/>
                <w:color w:val="auto"/>
                <w:sz w:val="24"/>
                <w:lang w:val="en-US" w:eastAsia="zh-CN"/>
              </w:rPr>
              <w:t>6</w:t>
            </w:r>
          </w:p>
        </w:tc>
        <w:tc>
          <w:tcPr>
            <w:tcW w:w="1955" w:type="dxa"/>
            <w:tcMar>
              <w:top w:w="12" w:type="dxa"/>
              <w:left w:w="12" w:type="dxa"/>
              <w:right w:w="12" w:type="dxa"/>
            </w:tcMar>
            <w:vAlign w:val="top"/>
          </w:tcPr>
          <w:p w14:paraId="5D56AD18">
            <w:pPr>
              <w:pStyle w:val="462"/>
              <w:numPr>
                <w:ilvl w:val="0"/>
                <w:numId w:val="0"/>
              </w:numPr>
              <w:tabs>
                <w:tab w:val="left" w:pos="0"/>
                <w:tab w:val="clear" w:pos="2790"/>
                <w:tab w:val="clear" w:pos="4230"/>
              </w:tabs>
              <w:spacing w:line="360" w:lineRule="auto"/>
              <w:ind w:left="0" w:leftChars="0" w:firstLine="0" w:firstLineChars="0"/>
              <w:jc w:val="both"/>
              <w:rPr>
                <w:rFonts w:ascii="宋体" w:hAnsi="宋体" w:cs="宋体"/>
                <w:b w:val="0"/>
                <w:bCs w:val="0"/>
                <w:color w:val="auto"/>
                <w:sz w:val="21"/>
                <w:szCs w:val="21"/>
              </w:rPr>
            </w:pPr>
            <w:r>
              <w:rPr>
                <w:rFonts w:hint="eastAsia" w:hAnsi="宋体" w:eastAsia="宋体" w:cs="宋体"/>
                <w:b w:val="0"/>
                <w:bCs w:val="0"/>
                <w:kern w:val="2"/>
                <w:sz w:val="21"/>
                <w:szCs w:val="21"/>
                <w:vertAlign w:val="baseline"/>
                <w:lang w:val="en-US" w:eastAsia="zh-CN" w:bidi="ar-SA"/>
              </w:rPr>
              <w:t>实木门</w:t>
            </w:r>
          </w:p>
        </w:tc>
        <w:tc>
          <w:tcPr>
            <w:tcW w:w="5799" w:type="dxa"/>
            <w:tcMar>
              <w:top w:w="12" w:type="dxa"/>
              <w:left w:w="12" w:type="dxa"/>
              <w:right w:w="12" w:type="dxa"/>
            </w:tcMar>
            <w:vAlign w:val="top"/>
          </w:tcPr>
          <w:p w14:paraId="55403B1D">
            <w:pPr>
              <w:pStyle w:val="462"/>
              <w:numPr>
                <w:ilvl w:val="0"/>
                <w:numId w:val="0"/>
              </w:numPr>
              <w:tabs>
                <w:tab w:val="left" w:pos="0"/>
                <w:tab w:val="clear" w:pos="2790"/>
                <w:tab w:val="clear" w:pos="4230"/>
              </w:tabs>
              <w:spacing w:line="360" w:lineRule="auto"/>
              <w:ind w:left="0" w:leftChars="0" w:firstLine="0" w:firstLineChars="0"/>
              <w:jc w:val="both"/>
              <w:rPr>
                <w:rFonts w:ascii="宋体" w:hAnsi="宋体" w:cs="宋体"/>
                <w:b w:val="0"/>
                <w:bCs w:val="0"/>
                <w:color w:val="auto"/>
                <w:sz w:val="21"/>
                <w:szCs w:val="21"/>
              </w:rPr>
            </w:pPr>
            <w:r>
              <w:rPr>
                <w:rFonts w:hint="eastAsia" w:ascii="宋体" w:hAnsi="宋体" w:eastAsia="宋体" w:cs="宋体"/>
                <w:b w:val="0"/>
                <w:bCs w:val="0"/>
                <w:kern w:val="2"/>
                <w:sz w:val="21"/>
                <w:szCs w:val="21"/>
                <w:vertAlign w:val="baseline"/>
                <w:lang w:val="en-US" w:eastAsia="zh-CN" w:bidi="ar-SA"/>
              </w:rPr>
              <w:t>浙江昊博、新多、盼盼</w:t>
            </w:r>
            <w:r>
              <w:rPr>
                <w:rFonts w:hint="eastAsia" w:hAnsi="宋体" w:eastAsia="宋体" w:cs="宋体"/>
                <w:b w:val="0"/>
                <w:bCs w:val="0"/>
                <w:kern w:val="2"/>
                <w:sz w:val="21"/>
                <w:szCs w:val="21"/>
                <w:vertAlign w:val="baseline"/>
                <w:lang w:val="en-US" w:eastAsia="zh-CN" w:bidi="ar-SA"/>
              </w:rPr>
              <w:t>、步阳、欧派门业</w:t>
            </w:r>
            <w:r>
              <w:rPr>
                <w:rFonts w:hint="eastAsia" w:ascii="宋体" w:hAnsi="宋体" w:eastAsia="宋体" w:cs="宋体"/>
                <w:b w:val="0"/>
                <w:bCs w:val="0"/>
                <w:kern w:val="2"/>
                <w:sz w:val="21"/>
                <w:szCs w:val="21"/>
                <w:vertAlign w:val="baseline"/>
                <w:lang w:val="en-US" w:eastAsia="zh-CN" w:bidi="ar-SA"/>
              </w:rPr>
              <w:t>或相当于</w:t>
            </w:r>
          </w:p>
        </w:tc>
        <w:tc>
          <w:tcPr>
            <w:tcW w:w="756" w:type="dxa"/>
            <w:tcMar>
              <w:top w:w="12" w:type="dxa"/>
              <w:left w:w="12" w:type="dxa"/>
              <w:right w:w="12" w:type="dxa"/>
            </w:tcMar>
            <w:vAlign w:val="center"/>
          </w:tcPr>
          <w:p w14:paraId="12CEA23C">
            <w:pPr>
              <w:ind w:firstLine="240" w:firstLineChars="100"/>
              <w:jc w:val="left"/>
              <w:rPr>
                <w:rFonts w:ascii="宋体" w:hAnsi="宋体" w:cs="宋体"/>
                <w:sz w:val="24"/>
              </w:rPr>
            </w:pPr>
          </w:p>
        </w:tc>
      </w:tr>
      <w:tr w14:paraId="34995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9" w:hRule="atLeast"/>
        </w:trPr>
        <w:tc>
          <w:tcPr>
            <w:tcW w:w="1189" w:type="dxa"/>
            <w:tcMar>
              <w:top w:w="12" w:type="dxa"/>
              <w:left w:w="12" w:type="dxa"/>
              <w:right w:w="12" w:type="dxa"/>
            </w:tcMar>
            <w:vAlign w:val="center"/>
          </w:tcPr>
          <w:p w14:paraId="0310CB7F">
            <w:pPr>
              <w:ind w:firstLine="240" w:firstLineChars="100"/>
              <w:jc w:val="left"/>
              <w:rPr>
                <w:rFonts w:hint="default" w:ascii="宋体" w:hAnsi="宋体" w:eastAsia="宋体" w:cs="宋体"/>
                <w:color w:val="auto"/>
                <w:sz w:val="24"/>
                <w:lang w:val="en-US" w:eastAsia="zh-CN"/>
              </w:rPr>
            </w:pPr>
            <w:r>
              <w:rPr>
                <w:rFonts w:hint="eastAsia" w:ascii="宋体" w:hAnsi="宋体" w:cs="宋体"/>
                <w:color w:val="auto"/>
                <w:sz w:val="24"/>
                <w:lang w:val="en-US" w:eastAsia="zh-CN"/>
              </w:rPr>
              <w:t>7</w:t>
            </w:r>
          </w:p>
        </w:tc>
        <w:tc>
          <w:tcPr>
            <w:tcW w:w="1955" w:type="dxa"/>
            <w:tcMar>
              <w:top w:w="12" w:type="dxa"/>
              <w:left w:w="12" w:type="dxa"/>
              <w:right w:w="12" w:type="dxa"/>
            </w:tcMar>
            <w:vAlign w:val="top"/>
          </w:tcPr>
          <w:p w14:paraId="2CEA155F">
            <w:pPr>
              <w:pStyle w:val="462"/>
              <w:numPr>
                <w:ilvl w:val="0"/>
                <w:numId w:val="0"/>
              </w:numPr>
              <w:tabs>
                <w:tab w:val="left" w:pos="0"/>
                <w:tab w:val="clear" w:pos="2790"/>
                <w:tab w:val="clear" w:pos="4230"/>
              </w:tabs>
              <w:spacing w:line="360" w:lineRule="auto"/>
              <w:ind w:left="0" w:leftChars="0" w:firstLine="0" w:firstLineChars="0"/>
              <w:jc w:val="both"/>
              <w:rPr>
                <w:rFonts w:ascii="宋体" w:hAnsi="宋体" w:cs="宋体"/>
                <w:b w:val="0"/>
                <w:bCs w:val="0"/>
                <w:color w:val="auto"/>
                <w:sz w:val="21"/>
                <w:szCs w:val="21"/>
              </w:rPr>
            </w:pPr>
            <w:r>
              <w:rPr>
                <w:rFonts w:hint="eastAsia" w:ascii="宋体" w:hAnsi="宋体" w:eastAsia="宋体" w:cs="宋体"/>
                <w:b w:val="0"/>
                <w:bCs w:val="0"/>
                <w:kern w:val="2"/>
                <w:sz w:val="21"/>
                <w:szCs w:val="21"/>
                <w:vertAlign w:val="baseline"/>
                <w:lang w:val="en-US" w:eastAsia="zh-CN" w:bidi="ar-SA"/>
              </w:rPr>
              <w:t>铝合金窗</w:t>
            </w:r>
          </w:p>
        </w:tc>
        <w:tc>
          <w:tcPr>
            <w:tcW w:w="5799" w:type="dxa"/>
            <w:tcMar>
              <w:top w:w="12" w:type="dxa"/>
              <w:left w:w="12" w:type="dxa"/>
              <w:right w:w="12" w:type="dxa"/>
            </w:tcMar>
            <w:vAlign w:val="top"/>
          </w:tcPr>
          <w:p w14:paraId="1E62DECB">
            <w:pPr>
              <w:pStyle w:val="462"/>
              <w:numPr>
                <w:ilvl w:val="0"/>
                <w:numId w:val="0"/>
              </w:numPr>
              <w:tabs>
                <w:tab w:val="left" w:pos="0"/>
                <w:tab w:val="clear" w:pos="2790"/>
                <w:tab w:val="clear" w:pos="4230"/>
              </w:tabs>
              <w:spacing w:line="360" w:lineRule="auto"/>
              <w:ind w:left="0" w:leftChars="0" w:firstLine="0" w:firstLineChars="0"/>
              <w:jc w:val="both"/>
              <w:rPr>
                <w:rFonts w:ascii="宋体" w:hAnsi="宋体" w:cs="宋体"/>
                <w:b w:val="0"/>
                <w:bCs w:val="0"/>
                <w:color w:val="auto"/>
                <w:sz w:val="21"/>
                <w:szCs w:val="21"/>
              </w:rPr>
            </w:pPr>
            <w:r>
              <w:rPr>
                <w:rFonts w:hint="eastAsia" w:ascii="宋体" w:hAnsi="宋体" w:eastAsia="宋体" w:cs="宋体"/>
                <w:b w:val="0"/>
                <w:bCs w:val="0"/>
                <w:kern w:val="2"/>
                <w:sz w:val="21"/>
                <w:szCs w:val="21"/>
                <w:vertAlign w:val="baseline"/>
                <w:lang w:val="en-US" w:eastAsia="zh-CN" w:bidi="ar-SA"/>
              </w:rPr>
              <w:t>凤铝铝业、奋安铝业、栋梁铝业或相当于</w:t>
            </w:r>
          </w:p>
        </w:tc>
        <w:tc>
          <w:tcPr>
            <w:tcW w:w="756" w:type="dxa"/>
            <w:tcMar>
              <w:top w:w="12" w:type="dxa"/>
              <w:left w:w="12" w:type="dxa"/>
              <w:right w:w="12" w:type="dxa"/>
            </w:tcMar>
            <w:vAlign w:val="center"/>
          </w:tcPr>
          <w:p w14:paraId="735BEA59">
            <w:pPr>
              <w:ind w:firstLine="240" w:firstLineChars="100"/>
              <w:jc w:val="left"/>
              <w:rPr>
                <w:rFonts w:ascii="宋体" w:hAnsi="宋体" w:cs="宋体"/>
                <w:sz w:val="24"/>
              </w:rPr>
            </w:pPr>
          </w:p>
        </w:tc>
      </w:tr>
      <w:tr w14:paraId="15FED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9" w:hRule="atLeast"/>
        </w:trPr>
        <w:tc>
          <w:tcPr>
            <w:tcW w:w="1189" w:type="dxa"/>
            <w:tcMar>
              <w:top w:w="12" w:type="dxa"/>
              <w:left w:w="12" w:type="dxa"/>
              <w:right w:w="12" w:type="dxa"/>
            </w:tcMar>
            <w:vAlign w:val="center"/>
          </w:tcPr>
          <w:p w14:paraId="229A6ACB">
            <w:pPr>
              <w:ind w:firstLine="240" w:firstLineChars="100"/>
              <w:jc w:val="left"/>
              <w:rPr>
                <w:rFonts w:hint="default" w:ascii="宋体" w:hAnsi="宋体" w:eastAsia="宋体" w:cs="宋体"/>
                <w:color w:val="auto"/>
                <w:sz w:val="24"/>
                <w:lang w:val="en-US" w:eastAsia="zh-CN"/>
              </w:rPr>
            </w:pPr>
            <w:r>
              <w:rPr>
                <w:rFonts w:hint="eastAsia" w:ascii="宋体" w:hAnsi="宋体" w:cs="宋体"/>
                <w:color w:val="auto"/>
                <w:sz w:val="24"/>
                <w:lang w:val="en-US" w:eastAsia="zh-CN"/>
              </w:rPr>
              <w:t>8</w:t>
            </w:r>
          </w:p>
        </w:tc>
        <w:tc>
          <w:tcPr>
            <w:tcW w:w="1955" w:type="dxa"/>
            <w:tcMar>
              <w:top w:w="12" w:type="dxa"/>
              <w:left w:w="12" w:type="dxa"/>
              <w:right w:w="12" w:type="dxa"/>
            </w:tcMar>
            <w:vAlign w:val="top"/>
          </w:tcPr>
          <w:p w14:paraId="6D4A5261">
            <w:pPr>
              <w:pStyle w:val="462"/>
              <w:numPr>
                <w:ilvl w:val="0"/>
                <w:numId w:val="0"/>
              </w:numPr>
              <w:tabs>
                <w:tab w:val="left" w:pos="0"/>
                <w:tab w:val="clear" w:pos="2790"/>
                <w:tab w:val="clear" w:pos="4230"/>
              </w:tabs>
              <w:spacing w:line="360" w:lineRule="auto"/>
              <w:ind w:left="0" w:leftChars="0" w:firstLine="0" w:firstLineChars="0"/>
              <w:jc w:val="both"/>
              <w:rPr>
                <w:rFonts w:ascii="宋体" w:hAnsi="宋体" w:cs="宋体"/>
                <w:b w:val="0"/>
                <w:bCs w:val="0"/>
                <w:color w:val="auto"/>
                <w:sz w:val="21"/>
                <w:szCs w:val="21"/>
              </w:rPr>
            </w:pPr>
            <w:r>
              <w:rPr>
                <w:rFonts w:hint="default" w:ascii="宋体" w:hAnsi="宋体" w:eastAsia="宋体" w:cs="宋体"/>
                <w:b w:val="0"/>
                <w:bCs w:val="0"/>
                <w:kern w:val="2"/>
                <w:sz w:val="21"/>
                <w:szCs w:val="21"/>
                <w:vertAlign w:val="baseline"/>
                <w:lang w:val="en-US" w:eastAsia="zh-CN" w:bidi="ar-SA"/>
              </w:rPr>
              <w:t>软木板</w:t>
            </w:r>
          </w:p>
        </w:tc>
        <w:tc>
          <w:tcPr>
            <w:tcW w:w="5799" w:type="dxa"/>
            <w:tcMar>
              <w:top w:w="12" w:type="dxa"/>
              <w:left w:w="12" w:type="dxa"/>
              <w:right w:w="12" w:type="dxa"/>
            </w:tcMar>
            <w:vAlign w:val="top"/>
          </w:tcPr>
          <w:p w14:paraId="1A7AF622">
            <w:pPr>
              <w:pStyle w:val="462"/>
              <w:numPr>
                <w:ilvl w:val="0"/>
                <w:numId w:val="0"/>
              </w:numPr>
              <w:tabs>
                <w:tab w:val="left" w:pos="0"/>
                <w:tab w:val="clear" w:pos="2790"/>
                <w:tab w:val="clear" w:pos="4230"/>
              </w:tabs>
              <w:spacing w:line="360" w:lineRule="auto"/>
              <w:ind w:left="0" w:leftChars="0" w:firstLine="0" w:firstLineChars="0"/>
              <w:jc w:val="both"/>
              <w:rPr>
                <w:rFonts w:ascii="宋体" w:hAnsi="宋体" w:cs="宋体"/>
                <w:b w:val="0"/>
                <w:bCs w:val="0"/>
                <w:color w:val="auto"/>
                <w:sz w:val="21"/>
                <w:szCs w:val="21"/>
              </w:rPr>
            </w:pPr>
            <w:r>
              <w:rPr>
                <w:rFonts w:hint="eastAsia" w:ascii="宋体" w:hAnsi="宋体" w:eastAsia="宋体" w:cs="宋体"/>
                <w:b w:val="0"/>
                <w:bCs w:val="0"/>
                <w:kern w:val="2"/>
                <w:sz w:val="21"/>
                <w:szCs w:val="21"/>
                <w:vertAlign w:val="baseline"/>
                <w:lang w:val="en-US" w:eastAsia="zh-CN" w:bidi="ar-SA"/>
              </w:rPr>
              <w:t>唯康</w:t>
            </w:r>
            <w:r>
              <w:rPr>
                <w:rFonts w:hint="eastAsia" w:hAnsi="宋体" w:eastAsia="宋体" w:cs="宋体"/>
                <w:b w:val="0"/>
                <w:bCs w:val="0"/>
                <w:kern w:val="2"/>
                <w:sz w:val="21"/>
                <w:szCs w:val="21"/>
                <w:vertAlign w:val="baseline"/>
                <w:lang w:val="en-US" w:eastAsia="zh-CN" w:bidi="ar-SA"/>
              </w:rPr>
              <w:t>、瑞贝斯、OUYA</w:t>
            </w:r>
            <w:r>
              <w:rPr>
                <w:rFonts w:hint="eastAsia" w:ascii="宋体" w:hAnsi="宋体" w:eastAsia="宋体" w:cs="宋体"/>
                <w:b w:val="0"/>
                <w:bCs w:val="0"/>
                <w:kern w:val="2"/>
                <w:sz w:val="21"/>
                <w:szCs w:val="21"/>
                <w:vertAlign w:val="baseline"/>
                <w:lang w:val="en-US" w:eastAsia="zh-CN" w:bidi="ar-SA"/>
              </w:rPr>
              <w:t>或相当于</w:t>
            </w:r>
          </w:p>
        </w:tc>
        <w:tc>
          <w:tcPr>
            <w:tcW w:w="756" w:type="dxa"/>
            <w:tcMar>
              <w:top w:w="12" w:type="dxa"/>
              <w:left w:w="12" w:type="dxa"/>
              <w:right w:w="12" w:type="dxa"/>
            </w:tcMar>
            <w:vAlign w:val="center"/>
          </w:tcPr>
          <w:p w14:paraId="1DBA86FA">
            <w:pPr>
              <w:ind w:firstLine="240" w:firstLineChars="100"/>
              <w:jc w:val="left"/>
              <w:rPr>
                <w:rFonts w:ascii="宋体" w:hAnsi="宋体" w:cs="宋体"/>
                <w:sz w:val="24"/>
              </w:rPr>
            </w:pPr>
          </w:p>
        </w:tc>
      </w:tr>
      <w:tr w14:paraId="2771F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9" w:hRule="atLeast"/>
        </w:trPr>
        <w:tc>
          <w:tcPr>
            <w:tcW w:w="1189" w:type="dxa"/>
            <w:tcMar>
              <w:top w:w="12" w:type="dxa"/>
              <w:left w:w="12" w:type="dxa"/>
              <w:right w:w="12" w:type="dxa"/>
            </w:tcMar>
            <w:vAlign w:val="center"/>
          </w:tcPr>
          <w:p w14:paraId="0E761C05">
            <w:pPr>
              <w:ind w:firstLine="240" w:firstLineChars="100"/>
              <w:jc w:val="left"/>
              <w:rPr>
                <w:rFonts w:hint="default" w:ascii="宋体" w:hAnsi="宋体" w:cs="宋体"/>
                <w:color w:val="auto"/>
                <w:sz w:val="24"/>
                <w:lang w:val="en-US" w:eastAsia="zh-CN"/>
              </w:rPr>
            </w:pPr>
            <w:r>
              <w:rPr>
                <w:rFonts w:hint="eastAsia" w:ascii="宋体" w:hAnsi="宋体" w:cs="宋体"/>
                <w:color w:val="auto"/>
                <w:sz w:val="24"/>
                <w:lang w:val="en-US" w:eastAsia="zh-CN"/>
              </w:rPr>
              <w:t>9</w:t>
            </w:r>
          </w:p>
        </w:tc>
        <w:tc>
          <w:tcPr>
            <w:tcW w:w="1955" w:type="dxa"/>
            <w:tcMar>
              <w:top w:w="12" w:type="dxa"/>
              <w:left w:w="12" w:type="dxa"/>
              <w:right w:w="12" w:type="dxa"/>
            </w:tcMar>
            <w:vAlign w:val="top"/>
          </w:tcPr>
          <w:p w14:paraId="4AD44476">
            <w:pPr>
              <w:pStyle w:val="462"/>
              <w:numPr>
                <w:ilvl w:val="0"/>
                <w:numId w:val="0"/>
              </w:numPr>
              <w:tabs>
                <w:tab w:val="left" w:pos="0"/>
                <w:tab w:val="clear" w:pos="2790"/>
                <w:tab w:val="clear" w:pos="4230"/>
              </w:tabs>
              <w:spacing w:line="360" w:lineRule="auto"/>
              <w:ind w:left="0" w:leftChars="0" w:firstLine="0" w:firstLineChars="0"/>
              <w:jc w:val="both"/>
              <w:rPr>
                <w:rFonts w:ascii="宋体" w:hAnsi="宋体" w:cs="宋体"/>
                <w:b w:val="0"/>
                <w:bCs w:val="0"/>
                <w:color w:val="auto"/>
                <w:sz w:val="21"/>
                <w:szCs w:val="21"/>
              </w:rPr>
            </w:pPr>
            <w:r>
              <w:rPr>
                <w:rFonts w:hint="default" w:ascii="宋体" w:hAnsi="宋体" w:eastAsia="宋体" w:cs="宋体"/>
                <w:b w:val="0"/>
                <w:bCs w:val="0"/>
                <w:kern w:val="2"/>
                <w:sz w:val="21"/>
                <w:szCs w:val="21"/>
                <w:vertAlign w:val="baseline"/>
                <w:lang w:val="en-US" w:eastAsia="zh-CN" w:bidi="ar-SA"/>
              </w:rPr>
              <w:t>配电箱内部元器件</w:t>
            </w:r>
          </w:p>
        </w:tc>
        <w:tc>
          <w:tcPr>
            <w:tcW w:w="5799" w:type="dxa"/>
            <w:tcMar>
              <w:top w:w="12" w:type="dxa"/>
              <w:left w:w="12" w:type="dxa"/>
              <w:right w:w="12" w:type="dxa"/>
            </w:tcMar>
            <w:vAlign w:val="top"/>
          </w:tcPr>
          <w:p w14:paraId="36570BEA">
            <w:pPr>
              <w:pStyle w:val="462"/>
              <w:numPr>
                <w:ilvl w:val="0"/>
                <w:numId w:val="0"/>
              </w:numPr>
              <w:tabs>
                <w:tab w:val="left" w:pos="0"/>
                <w:tab w:val="clear" w:pos="2790"/>
                <w:tab w:val="clear" w:pos="4230"/>
              </w:tabs>
              <w:spacing w:line="360" w:lineRule="auto"/>
              <w:ind w:left="0" w:leftChars="0" w:firstLine="0" w:firstLineChars="0"/>
              <w:jc w:val="both"/>
              <w:rPr>
                <w:rFonts w:ascii="宋体" w:hAnsi="宋体" w:cs="宋体"/>
                <w:b w:val="0"/>
                <w:bCs w:val="0"/>
                <w:color w:val="auto"/>
                <w:sz w:val="21"/>
                <w:szCs w:val="21"/>
              </w:rPr>
            </w:pPr>
            <w:r>
              <w:rPr>
                <w:rFonts w:hint="eastAsia" w:ascii="宋体" w:hAnsi="宋体" w:eastAsia="宋体" w:cs="宋体"/>
                <w:b w:val="0"/>
                <w:bCs w:val="0"/>
                <w:kern w:val="2"/>
                <w:sz w:val="21"/>
                <w:szCs w:val="21"/>
                <w:vertAlign w:val="baseline"/>
                <w:lang w:val="en-US" w:eastAsia="zh-CN" w:bidi="ar-SA"/>
              </w:rPr>
              <w:t>施耐德</w:t>
            </w:r>
            <w:r>
              <w:rPr>
                <w:rFonts w:hint="eastAsia" w:hAnsi="宋体" w:eastAsia="宋体" w:cs="宋体"/>
                <w:b w:val="0"/>
                <w:bCs w:val="0"/>
                <w:kern w:val="2"/>
                <w:sz w:val="21"/>
                <w:szCs w:val="21"/>
                <w:vertAlign w:val="baseline"/>
                <w:lang w:val="en-US" w:eastAsia="zh-CN" w:bidi="ar-SA"/>
              </w:rPr>
              <w:t>、ABB、西门子</w:t>
            </w:r>
            <w:r>
              <w:rPr>
                <w:rFonts w:hint="default" w:ascii="宋体" w:hAnsi="宋体" w:eastAsia="宋体" w:cs="宋体"/>
                <w:b w:val="0"/>
                <w:bCs w:val="0"/>
                <w:kern w:val="2"/>
                <w:sz w:val="21"/>
                <w:szCs w:val="21"/>
                <w:vertAlign w:val="baseline"/>
                <w:lang w:val="en-US" w:eastAsia="zh-CN" w:bidi="ar-SA"/>
              </w:rPr>
              <w:t>或相当</w:t>
            </w:r>
          </w:p>
        </w:tc>
        <w:tc>
          <w:tcPr>
            <w:tcW w:w="756" w:type="dxa"/>
            <w:tcMar>
              <w:top w:w="12" w:type="dxa"/>
              <w:left w:w="12" w:type="dxa"/>
              <w:right w:w="12" w:type="dxa"/>
            </w:tcMar>
            <w:vAlign w:val="center"/>
          </w:tcPr>
          <w:p w14:paraId="391F7005">
            <w:pPr>
              <w:ind w:firstLine="240" w:firstLineChars="100"/>
              <w:jc w:val="left"/>
              <w:rPr>
                <w:rFonts w:ascii="宋体" w:hAnsi="宋体" w:cs="宋体"/>
                <w:sz w:val="24"/>
              </w:rPr>
            </w:pPr>
          </w:p>
        </w:tc>
      </w:tr>
      <w:tr w14:paraId="3A779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9" w:hRule="atLeast"/>
        </w:trPr>
        <w:tc>
          <w:tcPr>
            <w:tcW w:w="1189" w:type="dxa"/>
            <w:tcMar>
              <w:top w:w="12" w:type="dxa"/>
              <w:left w:w="12" w:type="dxa"/>
              <w:right w:w="12" w:type="dxa"/>
            </w:tcMar>
            <w:vAlign w:val="center"/>
          </w:tcPr>
          <w:p w14:paraId="7366F4B7">
            <w:pPr>
              <w:ind w:firstLine="240" w:firstLineChars="100"/>
              <w:jc w:val="left"/>
              <w:rPr>
                <w:rFonts w:hint="default" w:ascii="宋体" w:hAnsi="宋体" w:cs="宋体"/>
                <w:color w:val="auto"/>
                <w:sz w:val="24"/>
                <w:lang w:val="en-US" w:eastAsia="zh-CN"/>
              </w:rPr>
            </w:pPr>
            <w:r>
              <w:rPr>
                <w:rFonts w:hint="eastAsia" w:ascii="宋体" w:hAnsi="宋体" w:cs="宋体"/>
                <w:color w:val="auto"/>
                <w:sz w:val="24"/>
                <w:lang w:val="en-US" w:eastAsia="zh-CN"/>
              </w:rPr>
              <w:t>10</w:t>
            </w:r>
          </w:p>
        </w:tc>
        <w:tc>
          <w:tcPr>
            <w:tcW w:w="1955" w:type="dxa"/>
            <w:tcMar>
              <w:top w:w="12" w:type="dxa"/>
              <w:left w:w="12" w:type="dxa"/>
              <w:right w:w="12" w:type="dxa"/>
            </w:tcMar>
            <w:vAlign w:val="top"/>
          </w:tcPr>
          <w:p w14:paraId="7A976EB5">
            <w:pPr>
              <w:pStyle w:val="462"/>
              <w:numPr>
                <w:ilvl w:val="0"/>
                <w:numId w:val="0"/>
              </w:numPr>
              <w:tabs>
                <w:tab w:val="left" w:pos="0"/>
                <w:tab w:val="clear" w:pos="2790"/>
                <w:tab w:val="clear" w:pos="4230"/>
              </w:tabs>
              <w:spacing w:line="360" w:lineRule="auto"/>
              <w:ind w:left="0" w:leftChars="0" w:firstLine="0" w:firstLineChars="0"/>
              <w:jc w:val="both"/>
              <w:rPr>
                <w:rFonts w:ascii="宋体" w:hAnsi="宋体" w:cs="宋体"/>
                <w:b w:val="0"/>
                <w:bCs w:val="0"/>
                <w:color w:val="auto"/>
                <w:sz w:val="21"/>
                <w:szCs w:val="21"/>
              </w:rPr>
            </w:pPr>
            <w:r>
              <w:rPr>
                <w:rFonts w:hint="default" w:ascii="宋体" w:hAnsi="宋体" w:eastAsia="宋体" w:cs="宋体"/>
                <w:b w:val="0"/>
                <w:bCs w:val="0"/>
                <w:kern w:val="2"/>
                <w:sz w:val="21"/>
                <w:szCs w:val="21"/>
                <w:vertAlign w:val="baseline"/>
                <w:lang w:val="en-US" w:eastAsia="zh-CN" w:bidi="ar-SA"/>
              </w:rPr>
              <w:t>电线、电缆</w:t>
            </w:r>
          </w:p>
        </w:tc>
        <w:tc>
          <w:tcPr>
            <w:tcW w:w="5799" w:type="dxa"/>
            <w:tcMar>
              <w:top w:w="12" w:type="dxa"/>
              <w:left w:w="12" w:type="dxa"/>
              <w:right w:w="12" w:type="dxa"/>
            </w:tcMar>
            <w:vAlign w:val="top"/>
          </w:tcPr>
          <w:p w14:paraId="130D274B">
            <w:pPr>
              <w:pStyle w:val="462"/>
              <w:numPr>
                <w:ilvl w:val="0"/>
                <w:numId w:val="0"/>
              </w:numPr>
              <w:tabs>
                <w:tab w:val="left" w:pos="0"/>
                <w:tab w:val="clear" w:pos="2790"/>
                <w:tab w:val="clear" w:pos="4230"/>
              </w:tabs>
              <w:spacing w:line="360" w:lineRule="auto"/>
              <w:ind w:left="0" w:leftChars="0" w:firstLine="0" w:firstLineChars="0"/>
              <w:jc w:val="both"/>
              <w:rPr>
                <w:rFonts w:ascii="宋体" w:hAnsi="宋体" w:cs="宋体"/>
                <w:b w:val="0"/>
                <w:bCs w:val="0"/>
                <w:color w:val="auto"/>
                <w:sz w:val="21"/>
                <w:szCs w:val="21"/>
              </w:rPr>
            </w:pPr>
            <w:r>
              <w:rPr>
                <w:rFonts w:hint="eastAsia" w:ascii="宋体" w:hAnsi="宋体" w:eastAsia="宋体" w:cs="宋体"/>
                <w:b w:val="0"/>
                <w:bCs w:val="0"/>
                <w:kern w:val="2"/>
                <w:sz w:val="21"/>
                <w:szCs w:val="21"/>
                <w:vertAlign w:val="baseline"/>
                <w:lang w:val="en-US" w:eastAsia="zh-CN" w:bidi="ar-SA"/>
              </w:rPr>
              <w:t>永通</w:t>
            </w:r>
            <w:r>
              <w:rPr>
                <w:rFonts w:hint="eastAsia" w:hAnsi="宋体" w:eastAsia="宋体" w:cs="宋体"/>
                <w:b w:val="0"/>
                <w:bCs w:val="0"/>
                <w:kern w:val="2"/>
                <w:sz w:val="21"/>
                <w:szCs w:val="21"/>
                <w:vertAlign w:val="baseline"/>
                <w:lang w:val="en-US" w:eastAsia="zh-CN" w:bidi="ar-SA"/>
              </w:rPr>
              <w:t>(杭州千岛湖永通)</w:t>
            </w:r>
            <w:r>
              <w:rPr>
                <w:rFonts w:hint="eastAsia" w:ascii="宋体" w:hAnsi="宋体" w:eastAsia="宋体" w:cs="宋体"/>
                <w:b w:val="0"/>
                <w:bCs w:val="0"/>
                <w:kern w:val="2"/>
                <w:sz w:val="21"/>
                <w:szCs w:val="21"/>
                <w:vertAlign w:val="baseline"/>
                <w:lang w:val="en-US" w:eastAsia="zh-CN" w:bidi="ar-SA"/>
              </w:rPr>
              <w:t>、万马、鸿雁</w:t>
            </w:r>
            <w:r>
              <w:rPr>
                <w:rFonts w:hint="default" w:ascii="宋体" w:hAnsi="宋体" w:eastAsia="宋体" w:cs="宋体"/>
                <w:b w:val="0"/>
                <w:bCs w:val="0"/>
                <w:kern w:val="2"/>
                <w:sz w:val="21"/>
                <w:szCs w:val="21"/>
                <w:vertAlign w:val="baseline"/>
                <w:lang w:val="en-US" w:eastAsia="zh-CN" w:bidi="ar-SA"/>
              </w:rPr>
              <w:t>或相当于</w:t>
            </w:r>
          </w:p>
        </w:tc>
        <w:tc>
          <w:tcPr>
            <w:tcW w:w="756" w:type="dxa"/>
            <w:tcMar>
              <w:top w:w="12" w:type="dxa"/>
              <w:left w:w="12" w:type="dxa"/>
              <w:right w:w="12" w:type="dxa"/>
            </w:tcMar>
            <w:vAlign w:val="center"/>
          </w:tcPr>
          <w:p w14:paraId="57C85EBC">
            <w:pPr>
              <w:ind w:firstLine="240" w:firstLineChars="100"/>
              <w:jc w:val="left"/>
              <w:rPr>
                <w:rFonts w:ascii="宋体" w:hAnsi="宋体" w:cs="宋体"/>
                <w:sz w:val="24"/>
              </w:rPr>
            </w:pPr>
          </w:p>
        </w:tc>
      </w:tr>
      <w:tr w14:paraId="367CF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9" w:hRule="atLeast"/>
        </w:trPr>
        <w:tc>
          <w:tcPr>
            <w:tcW w:w="1189" w:type="dxa"/>
            <w:tcMar>
              <w:top w:w="12" w:type="dxa"/>
              <w:left w:w="12" w:type="dxa"/>
              <w:right w:w="12" w:type="dxa"/>
            </w:tcMar>
            <w:vAlign w:val="center"/>
          </w:tcPr>
          <w:p w14:paraId="67843367">
            <w:pPr>
              <w:ind w:firstLine="240" w:firstLineChars="100"/>
              <w:jc w:val="left"/>
              <w:rPr>
                <w:rFonts w:hint="default" w:ascii="宋体" w:hAnsi="宋体" w:cs="宋体"/>
                <w:color w:val="auto"/>
                <w:sz w:val="24"/>
                <w:lang w:val="en-US" w:eastAsia="zh-CN"/>
              </w:rPr>
            </w:pPr>
            <w:r>
              <w:rPr>
                <w:rFonts w:hint="eastAsia" w:ascii="宋体" w:hAnsi="宋体" w:cs="宋体"/>
                <w:color w:val="auto"/>
                <w:sz w:val="24"/>
                <w:lang w:val="en-US" w:eastAsia="zh-CN"/>
              </w:rPr>
              <w:t>11</w:t>
            </w:r>
          </w:p>
        </w:tc>
        <w:tc>
          <w:tcPr>
            <w:tcW w:w="1955" w:type="dxa"/>
            <w:tcMar>
              <w:top w:w="12" w:type="dxa"/>
              <w:left w:w="12" w:type="dxa"/>
              <w:right w:w="12" w:type="dxa"/>
            </w:tcMar>
            <w:vAlign w:val="top"/>
          </w:tcPr>
          <w:p w14:paraId="0D9AE6E3">
            <w:pPr>
              <w:pStyle w:val="462"/>
              <w:numPr>
                <w:ilvl w:val="0"/>
                <w:numId w:val="0"/>
              </w:numPr>
              <w:tabs>
                <w:tab w:val="left" w:pos="0"/>
                <w:tab w:val="clear" w:pos="2790"/>
                <w:tab w:val="clear" w:pos="4230"/>
              </w:tabs>
              <w:spacing w:line="360" w:lineRule="auto"/>
              <w:ind w:left="0" w:leftChars="0" w:firstLine="0" w:firstLineChars="0"/>
              <w:jc w:val="both"/>
              <w:rPr>
                <w:rFonts w:ascii="宋体" w:hAnsi="宋体" w:cs="宋体"/>
                <w:b w:val="0"/>
                <w:bCs w:val="0"/>
                <w:color w:val="auto"/>
                <w:sz w:val="21"/>
                <w:szCs w:val="21"/>
              </w:rPr>
            </w:pPr>
            <w:r>
              <w:rPr>
                <w:rFonts w:hint="default" w:ascii="宋体" w:hAnsi="宋体" w:eastAsia="宋体" w:cs="宋体"/>
                <w:b w:val="0"/>
                <w:bCs w:val="0"/>
                <w:kern w:val="2"/>
                <w:sz w:val="21"/>
                <w:szCs w:val="21"/>
                <w:vertAlign w:val="baseline"/>
                <w:lang w:val="en-US" w:eastAsia="zh-CN" w:bidi="ar-SA"/>
              </w:rPr>
              <w:t>电线管</w:t>
            </w:r>
          </w:p>
        </w:tc>
        <w:tc>
          <w:tcPr>
            <w:tcW w:w="5799" w:type="dxa"/>
            <w:tcMar>
              <w:top w:w="12" w:type="dxa"/>
              <w:left w:w="12" w:type="dxa"/>
              <w:right w:w="12" w:type="dxa"/>
            </w:tcMar>
            <w:vAlign w:val="top"/>
          </w:tcPr>
          <w:p w14:paraId="5A5A5B4D">
            <w:pPr>
              <w:pStyle w:val="462"/>
              <w:numPr>
                <w:ilvl w:val="0"/>
                <w:numId w:val="0"/>
              </w:numPr>
              <w:tabs>
                <w:tab w:val="left" w:pos="0"/>
                <w:tab w:val="clear" w:pos="2790"/>
                <w:tab w:val="clear" w:pos="4230"/>
              </w:tabs>
              <w:spacing w:line="360" w:lineRule="auto"/>
              <w:ind w:left="0" w:leftChars="0" w:firstLine="0" w:firstLineChars="0"/>
              <w:jc w:val="both"/>
              <w:rPr>
                <w:rFonts w:ascii="宋体" w:hAnsi="宋体" w:cs="宋体"/>
                <w:b w:val="0"/>
                <w:bCs w:val="0"/>
                <w:color w:val="auto"/>
                <w:sz w:val="21"/>
                <w:szCs w:val="21"/>
              </w:rPr>
            </w:pPr>
            <w:r>
              <w:rPr>
                <w:rFonts w:hint="eastAsia" w:ascii="宋体" w:hAnsi="宋体" w:eastAsia="宋体" w:cs="宋体"/>
                <w:b w:val="0"/>
                <w:bCs w:val="0"/>
                <w:kern w:val="2"/>
                <w:sz w:val="21"/>
                <w:szCs w:val="21"/>
                <w:vertAlign w:val="baseline"/>
                <w:lang w:val="en-US" w:eastAsia="zh-CN" w:bidi="ar-SA"/>
              </w:rPr>
              <w:t>鸿雁、中财、浙江伟星或</w:t>
            </w:r>
            <w:r>
              <w:rPr>
                <w:rFonts w:hint="default" w:ascii="宋体" w:hAnsi="宋体" w:eastAsia="宋体" w:cs="宋体"/>
                <w:b w:val="0"/>
                <w:bCs w:val="0"/>
                <w:kern w:val="2"/>
                <w:sz w:val="21"/>
                <w:szCs w:val="21"/>
                <w:vertAlign w:val="baseline"/>
                <w:lang w:val="en-US" w:eastAsia="zh-CN" w:bidi="ar-SA"/>
              </w:rPr>
              <w:t>相当于</w:t>
            </w:r>
          </w:p>
        </w:tc>
        <w:tc>
          <w:tcPr>
            <w:tcW w:w="756" w:type="dxa"/>
            <w:tcMar>
              <w:top w:w="12" w:type="dxa"/>
              <w:left w:w="12" w:type="dxa"/>
              <w:right w:w="12" w:type="dxa"/>
            </w:tcMar>
            <w:vAlign w:val="center"/>
          </w:tcPr>
          <w:p w14:paraId="0BE10B45">
            <w:pPr>
              <w:ind w:firstLine="240" w:firstLineChars="100"/>
              <w:jc w:val="left"/>
              <w:rPr>
                <w:rFonts w:ascii="宋体" w:hAnsi="宋体" w:cs="宋体"/>
                <w:sz w:val="24"/>
              </w:rPr>
            </w:pPr>
          </w:p>
        </w:tc>
      </w:tr>
      <w:tr w14:paraId="707CB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9" w:hRule="atLeast"/>
        </w:trPr>
        <w:tc>
          <w:tcPr>
            <w:tcW w:w="1189" w:type="dxa"/>
            <w:tcMar>
              <w:top w:w="12" w:type="dxa"/>
              <w:left w:w="12" w:type="dxa"/>
              <w:right w:w="12" w:type="dxa"/>
            </w:tcMar>
            <w:vAlign w:val="center"/>
          </w:tcPr>
          <w:p w14:paraId="2EAAC38E">
            <w:pPr>
              <w:ind w:firstLine="240" w:firstLineChars="100"/>
              <w:jc w:val="left"/>
              <w:rPr>
                <w:rFonts w:hint="default" w:ascii="宋体" w:hAnsi="宋体" w:cs="宋体"/>
                <w:color w:val="auto"/>
                <w:sz w:val="24"/>
                <w:lang w:val="en-US" w:eastAsia="zh-CN"/>
              </w:rPr>
            </w:pPr>
            <w:r>
              <w:rPr>
                <w:rFonts w:hint="eastAsia" w:ascii="宋体" w:hAnsi="宋体" w:cs="宋体"/>
                <w:color w:val="auto"/>
                <w:sz w:val="24"/>
                <w:lang w:val="en-US" w:eastAsia="zh-CN"/>
              </w:rPr>
              <w:t>12</w:t>
            </w:r>
          </w:p>
        </w:tc>
        <w:tc>
          <w:tcPr>
            <w:tcW w:w="1955" w:type="dxa"/>
            <w:tcMar>
              <w:top w:w="12" w:type="dxa"/>
              <w:left w:w="12" w:type="dxa"/>
              <w:right w:w="12" w:type="dxa"/>
            </w:tcMar>
            <w:vAlign w:val="top"/>
          </w:tcPr>
          <w:p w14:paraId="0EF82D4D">
            <w:pPr>
              <w:pStyle w:val="462"/>
              <w:numPr>
                <w:ilvl w:val="0"/>
                <w:numId w:val="0"/>
              </w:numPr>
              <w:tabs>
                <w:tab w:val="left" w:pos="0"/>
                <w:tab w:val="clear" w:pos="2790"/>
                <w:tab w:val="clear" w:pos="4230"/>
              </w:tabs>
              <w:spacing w:line="360" w:lineRule="auto"/>
              <w:ind w:left="0" w:leftChars="0" w:firstLine="0" w:firstLineChars="0"/>
              <w:jc w:val="both"/>
              <w:rPr>
                <w:rFonts w:ascii="宋体" w:hAnsi="宋体" w:cs="宋体"/>
                <w:b w:val="0"/>
                <w:bCs w:val="0"/>
                <w:color w:val="auto"/>
                <w:sz w:val="21"/>
                <w:szCs w:val="21"/>
              </w:rPr>
            </w:pPr>
            <w:r>
              <w:rPr>
                <w:rFonts w:hint="eastAsia" w:hAnsi="宋体" w:eastAsia="宋体" w:cs="宋体"/>
                <w:b w:val="0"/>
                <w:bCs w:val="0"/>
                <w:kern w:val="2"/>
                <w:sz w:val="21"/>
                <w:szCs w:val="21"/>
                <w:vertAlign w:val="baseline"/>
                <w:lang w:val="en-US" w:eastAsia="zh-CN" w:bidi="ar-SA"/>
              </w:rPr>
              <w:t>给排水管</w:t>
            </w:r>
          </w:p>
        </w:tc>
        <w:tc>
          <w:tcPr>
            <w:tcW w:w="5799" w:type="dxa"/>
            <w:tcMar>
              <w:top w:w="12" w:type="dxa"/>
              <w:left w:w="12" w:type="dxa"/>
              <w:right w:w="12" w:type="dxa"/>
            </w:tcMar>
            <w:vAlign w:val="top"/>
          </w:tcPr>
          <w:p w14:paraId="0AC53626">
            <w:pPr>
              <w:pStyle w:val="462"/>
              <w:numPr>
                <w:ilvl w:val="0"/>
                <w:numId w:val="0"/>
              </w:numPr>
              <w:tabs>
                <w:tab w:val="left" w:pos="0"/>
                <w:tab w:val="clear" w:pos="2790"/>
                <w:tab w:val="clear" w:pos="4230"/>
              </w:tabs>
              <w:spacing w:line="360" w:lineRule="auto"/>
              <w:ind w:left="0" w:leftChars="0" w:firstLine="0" w:firstLineChars="0"/>
              <w:jc w:val="both"/>
              <w:rPr>
                <w:rFonts w:ascii="宋体" w:hAnsi="宋体" w:cs="宋体"/>
                <w:b w:val="0"/>
                <w:bCs w:val="0"/>
                <w:color w:val="auto"/>
                <w:sz w:val="21"/>
                <w:szCs w:val="21"/>
              </w:rPr>
            </w:pPr>
            <w:r>
              <w:rPr>
                <w:rFonts w:hint="eastAsia" w:ascii="宋体" w:hAnsi="宋体" w:eastAsia="宋体" w:cs="宋体"/>
                <w:b w:val="0"/>
                <w:bCs w:val="0"/>
                <w:kern w:val="2"/>
                <w:sz w:val="21"/>
                <w:szCs w:val="21"/>
                <w:vertAlign w:val="baseline"/>
                <w:lang w:val="en-US" w:eastAsia="zh-CN" w:bidi="ar-SA"/>
              </w:rPr>
              <w:t>杭州鸿雁</w:t>
            </w:r>
            <w:r>
              <w:rPr>
                <w:rFonts w:hint="eastAsia" w:hAnsi="宋体" w:eastAsia="宋体" w:cs="宋体"/>
                <w:b w:val="0"/>
                <w:bCs w:val="0"/>
                <w:kern w:val="2"/>
                <w:sz w:val="21"/>
                <w:szCs w:val="21"/>
                <w:vertAlign w:val="baseline"/>
                <w:lang w:val="en-US" w:eastAsia="zh-CN" w:bidi="ar-SA"/>
              </w:rPr>
              <w:t>、中财管道、浙江伟星</w:t>
            </w:r>
            <w:r>
              <w:rPr>
                <w:rFonts w:hint="eastAsia" w:ascii="宋体" w:hAnsi="宋体" w:eastAsia="宋体" w:cs="宋体"/>
                <w:b w:val="0"/>
                <w:bCs w:val="0"/>
                <w:kern w:val="2"/>
                <w:sz w:val="21"/>
                <w:szCs w:val="21"/>
                <w:vertAlign w:val="baseline"/>
                <w:lang w:val="en-US" w:eastAsia="zh-CN" w:bidi="ar-SA"/>
              </w:rPr>
              <w:t>或</w:t>
            </w:r>
            <w:r>
              <w:rPr>
                <w:rFonts w:hint="default" w:ascii="宋体" w:hAnsi="宋体" w:eastAsia="宋体" w:cs="宋体"/>
                <w:b w:val="0"/>
                <w:bCs w:val="0"/>
                <w:kern w:val="2"/>
                <w:sz w:val="21"/>
                <w:szCs w:val="21"/>
                <w:vertAlign w:val="baseline"/>
                <w:lang w:val="en-US" w:eastAsia="zh-CN" w:bidi="ar-SA"/>
              </w:rPr>
              <w:t>相当于</w:t>
            </w:r>
          </w:p>
        </w:tc>
        <w:tc>
          <w:tcPr>
            <w:tcW w:w="756" w:type="dxa"/>
            <w:tcMar>
              <w:top w:w="12" w:type="dxa"/>
              <w:left w:w="12" w:type="dxa"/>
              <w:right w:w="12" w:type="dxa"/>
            </w:tcMar>
            <w:vAlign w:val="center"/>
          </w:tcPr>
          <w:p w14:paraId="66F77FF9">
            <w:pPr>
              <w:ind w:firstLine="240" w:firstLineChars="100"/>
              <w:jc w:val="left"/>
              <w:rPr>
                <w:rFonts w:ascii="宋体" w:hAnsi="宋体" w:cs="宋体"/>
                <w:sz w:val="24"/>
              </w:rPr>
            </w:pPr>
          </w:p>
        </w:tc>
      </w:tr>
      <w:tr w14:paraId="1043F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9" w:hRule="atLeast"/>
        </w:trPr>
        <w:tc>
          <w:tcPr>
            <w:tcW w:w="1189" w:type="dxa"/>
            <w:tcMar>
              <w:top w:w="12" w:type="dxa"/>
              <w:left w:w="12" w:type="dxa"/>
              <w:right w:w="12" w:type="dxa"/>
            </w:tcMar>
            <w:vAlign w:val="center"/>
          </w:tcPr>
          <w:p w14:paraId="2F3C7EAF">
            <w:pPr>
              <w:ind w:firstLine="240" w:firstLineChars="100"/>
              <w:jc w:val="left"/>
              <w:rPr>
                <w:rFonts w:hint="default" w:ascii="宋体" w:hAnsi="宋体" w:cs="宋体"/>
                <w:color w:val="auto"/>
                <w:sz w:val="24"/>
                <w:lang w:val="en-US" w:eastAsia="zh-CN"/>
              </w:rPr>
            </w:pPr>
            <w:r>
              <w:rPr>
                <w:rFonts w:hint="eastAsia" w:ascii="宋体" w:hAnsi="宋体" w:cs="宋体"/>
                <w:color w:val="auto"/>
                <w:sz w:val="24"/>
                <w:lang w:val="en-US" w:eastAsia="zh-CN"/>
              </w:rPr>
              <w:t>13</w:t>
            </w:r>
          </w:p>
        </w:tc>
        <w:tc>
          <w:tcPr>
            <w:tcW w:w="1955" w:type="dxa"/>
            <w:tcMar>
              <w:top w:w="12" w:type="dxa"/>
              <w:left w:w="12" w:type="dxa"/>
              <w:right w:w="12" w:type="dxa"/>
            </w:tcMar>
            <w:vAlign w:val="top"/>
          </w:tcPr>
          <w:p w14:paraId="7027B3DE">
            <w:pPr>
              <w:pStyle w:val="462"/>
              <w:numPr>
                <w:ilvl w:val="0"/>
                <w:numId w:val="0"/>
              </w:numPr>
              <w:tabs>
                <w:tab w:val="left" w:pos="0"/>
                <w:tab w:val="clear" w:pos="2790"/>
                <w:tab w:val="clear" w:pos="4230"/>
              </w:tabs>
              <w:spacing w:line="360" w:lineRule="auto"/>
              <w:ind w:left="0" w:leftChars="0" w:firstLine="0" w:firstLineChars="0"/>
              <w:jc w:val="both"/>
              <w:rPr>
                <w:rFonts w:ascii="宋体" w:hAnsi="宋体" w:cs="宋体"/>
                <w:b w:val="0"/>
                <w:bCs w:val="0"/>
                <w:color w:val="auto"/>
                <w:sz w:val="21"/>
                <w:szCs w:val="21"/>
              </w:rPr>
            </w:pPr>
            <w:r>
              <w:rPr>
                <w:rFonts w:hint="default" w:ascii="宋体" w:hAnsi="宋体" w:eastAsia="宋体" w:cs="宋体"/>
                <w:b w:val="0"/>
                <w:bCs w:val="0"/>
                <w:kern w:val="2"/>
                <w:sz w:val="21"/>
                <w:szCs w:val="21"/>
                <w:vertAlign w:val="baseline"/>
                <w:lang w:val="en-US" w:eastAsia="zh-CN" w:bidi="ar-SA"/>
              </w:rPr>
              <w:t>开关、插座</w:t>
            </w:r>
          </w:p>
        </w:tc>
        <w:tc>
          <w:tcPr>
            <w:tcW w:w="5799" w:type="dxa"/>
            <w:tcMar>
              <w:top w:w="12" w:type="dxa"/>
              <w:left w:w="12" w:type="dxa"/>
              <w:right w:w="12" w:type="dxa"/>
            </w:tcMar>
            <w:vAlign w:val="top"/>
          </w:tcPr>
          <w:p w14:paraId="55FB962D">
            <w:pPr>
              <w:pStyle w:val="462"/>
              <w:numPr>
                <w:ilvl w:val="0"/>
                <w:numId w:val="0"/>
              </w:numPr>
              <w:tabs>
                <w:tab w:val="left" w:pos="0"/>
                <w:tab w:val="clear" w:pos="2790"/>
                <w:tab w:val="clear" w:pos="4230"/>
              </w:tabs>
              <w:spacing w:line="360" w:lineRule="auto"/>
              <w:ind w:left="0" w:leftChars="0" w:firstLine="0" w:firstLineChars="0"/>
              <w:jc w:val="both"/>
              <w:rPr>
                <w:rFonts w:ascii="宋体" w:hAnsi="宋体" w:cs="宋体"/>
                <w:b w:val="0"/>
                <w:bCs w:val="0"/>
                <w:color w:val="auto"/>
                <w:sz w:val="21"/>
                <w:szCs w:val="21"/>
              </w:rPr>
            </w:pPr>
            <w:r>
              <w:rPr>
                <w:rFonts w:hint="eastAsia" w:ascii="宋体" w:hAnsi="宋体" w:eastAsia="宋体" w:cs="宋体"/>
                <w:b w:val="0"/>
                <w:bCs w:val="0"/>
                <w:kern w:val="2"/>
                <w:sz w:val="21"/>
                <w:szCs w:val="21"/>
                <w:vertAlign w:val="baseline"/>
                <w:lang w:val="en-US" w:eastAsia="zh-CN" w:bidi="ar-SA"/>
              </w:rPr>
              <w:t>正泰、公元、鸿雁或</w:t>
            </w:r>
            <w:r>
              <w:rPr>
                <w:rFonts w:hint="default" w:ascii="宋体" w:hAnsi="宋体" w:eastAsia="宋体" w:cs="宋体"/>
                <w:b w:val="0"/>
                <w:bCs w:val="0"/>
                <w:kern w:val="2"/>
                <w:sz w:val="21"/>
                <w:szCs w:val="21"/>
                <w:vertAlign w:val="baseline"/>
                <w:lang w:val="en-US" w:eastAsia="zh-CN" w:bidi="ar-SA"/>
              </w:rPr>
              <w:t>相当于</w:t>
            </w:r>
          </w:p>
        </w:tc>
        <w:tc>
          <w:tcPr>
            <w:tcW w:w="756" w:type="dxa"/>
            <w:tcMar>
              <w:top w:w="12" w:type="dxa"/>
              <w:left w:w="12" w:type="dxa"/>
              <w:right w:w="12" w:type="dxa"/>
            </w:tcMar>
            <w:vAlign w:val="center"/>
          </w:tcPr>
          <w:p w14:paraId="3FBC65C2">
            <w:pPr>
              <w:ind w:firstLine="240" w:firstLineChars="100"/>
              <w:jc w:val="left"/>
              <w:rPr>
                <w:rFonts w:ascii="宋体" w:hAnsi="宋体" w:cs="宋体"/>
                <w:sz w:val="24"/>
              </w:rPr>
            </w:pPr>
          </w:p>
        </w:tc>
      </w:tr>
      <w:tr w14:paraId="3F931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9" w:hRule="atLeast"/>
        </w:trPr>
        <w:tc>
          <w:tcPr>
            <w:tcW w:w="1189" w:type="dxa"/>
            <w:tcMar>
              <w:top w:w="12" w:type="dxa"/>
              <w:left w:w="12" w:type="dxa"/>
              <w:right w:w="12" w:type="dxa"/>
            </w:tcMar>
            <w:vAlign w:val="center"/>
          </w:tcPr>
          <w:p w14:paraId="56F30394">
            <w:pPr>
              <w:ind w:firstLine="240" w:firstLineChars="100"/>
              <w:jc w:val="left"/>
              <w:rPr>
                <w:rFonts w:hint="default" w:ascii="宋体" w:hAnsi="宋体" w:cs="宋体"/>
                <w:color w:val="auto"/>
                <w:sz w:val="24"/>
                <w:lang w:val="en-US" w:eastAsia="zh-CN"/>
              </w:rPr>
            </w:pPr>
            <w:r>
              <w:rPr>
                <w:rFonts w:hint="eastAsia" w:ascii="宋体" w:hAnsi="宋体" w:cs="宋体"/>
                <w:color w:val="auto"/>
                <w:sz w:val="24"/>
                <w:lang w:val="en-US" w:eastAsia="zh-CN"/>
              </w:rPr>
              <w:t>14</w:t>
            </w:r>
          </w:p>
        </w:tc>
        <w:tc>
          <w:tcPr>
            <w:tcW w:w="1955" w:type="dxa"/>
            <w:tcMar>
              <w:top w:w="12" w:type="dxa"/>
              <w:left w:w="12" w:type="dxa"/>
              <w:right w:w="12" w:type="dxa"/>
            </w:tcMar>
            <w:vAlign w:val="top"/>
          </w:tcPr>
          <w:p w14:paraId="47C0CDD2">
            <w:pPr>
              <w:pStyle w:val="462"/>
              <w:numPr>
                <w:ilvl w:val="0"/>
                <w:numId w:val="0"/>
              </w:numPr>
              <w:tabs>
                <w:tab w:val="left" w:pos="0"/>
                <w:tab w:val="clear" w:pos="2790"/>
                <w:tab w:val="clear" w:pos="4230"/>
              </w:tabs>
              <w:spacing w:line="360" w:lineRule="auto"/>
              <w:ind w:left="0" w:leftChars="0" w:firstLine="0" w:firstLineChars="0"/>
              <w:jc w:val="both"/>
              <w:rPr>
                <w:rFonts w:ascii="宋体" w:hAnsi="宋体" w:cs="宋体"/>
                <w:b w:val="0"/>
                <w:bCs w:val="0"/>
                <w:color w:val="auto"/>
                <w:sz w:val="21"/>
                <w:szCs w:val="21"/>
              </w:rPr>
            </w:pPr>
            <w:r>
              <w:rPr>
                <w:rFonts w:hint="default" w:ascii="宋体" w:hAnsi="宋体" w:eastAsia="宋体" w:cs="宋体"/>
                <w:b w:val="0"/>
                <w:bCs w:val="0"/>
                <w:kern w:val="2"/>
                <w:sz w:val="21"/>
                <w:szCs w:val="21"/>
                <w:vertAlign w:val="baseline"/>
                <w:lang w:val="en-US" w:eastAsia="zh-CN" w:bidi="ar-SA"/>
              </w:rPr>
              <w:t>灯具</w:t>
            </w:r>
          </w:p>
        </w:tc>
        <w:tc>
          <w:tcPr>
            <w:tcW w:w="5799" w:type="dxa"/>
            <w:tcMar>
              <w:top w:w="12" w:type="dxa"/>
              <w:left w:w="12" w:type="dxa"/>
              <w:right w:w="12" w:type="dxa"/>
            </w:tcMar>
            <w:vAlign w:val="top"/>
          </w:tcPr>
          <w:p w14:paraId="78972750">
            <w:pPr>
              <w:pStyle w:val="462"/>
              <w:numPr>
                <w:ilvl w:val="0"/>
                <w:numId w:val="0"/>
              </w:numPr>
              <w:tabs>
                <w:tab w:val="left" w:pos="0"/>
                <w:tab w:val="clear" w:pos="2790"/>
                <w:tab w:val="clear" w:pos="4230"/>
              </w:tabs>
              <w:spacing w:line="360" w:lineRule="auto"/>
              <w:ind w:left="0" w:leftChars="0" w:firstLine="0" w:firstLineChars="0"/>
              <w:jc w:val="both"/>
              <w:rPr>
                <w:rFonts w:ascii="宋体" w:hAnsi="宋体" w:cs="宋体"/>
                <w:b w:val="0"/>
                <w:bCs w:val="0"/>
                <w:color w:val="auto"/>
                <w:sz w:val="21"/>
                <w:szCs w:val="21"/>
              </w:rPr>
            </w:pPr>
            <w:r>
              <w:rPr>
                <w:rFonts w:hint="eastAsia" w:ascii="宋体" w:hAnsi="宋体" w:eastAsia="宋体" w:cs="宋体"/>
                <w:b w:val="0"/>
                <w:bCs w:val="0"/>
                <w:kern w:val="2"/>
                <w:sz w:val="21"/>
                <w:szCs w:val="21"/>
                <w:vertAlign w:val="baseline"/>
                <w:lang w:val="en-US" w:eastAsia="zh-CN" w:bidi="ar-SA"/>
              </w:rPr>
              <w:t>飞利浦、三雄极光、松下(PANASONIC)或</w:t>
            </w:r>
            <w:r>
              <w:rPr>
                <w:rFonts w:hint="default" w:ascii="宋体" w:hAnsi="宋体" w:eastAsia="宋体" w:cs="宋体"/>
                <w:b w:val="0"/>
                <w:bCs w:val="0"/>
                <w:kern w:val="2"/>
                <w:sz w:val="21"/>
                <w:szCs w:val="21"/>
                <w:vertAlign w:val="baseline"/>
                <w:lang w:val="en-US" w:eastAsia="zh-CN" w:bidi="ar-SA"/>
              </w:rPr>
              <w:t>相当于</w:t>
            </w:r>
          </w:p>
        </w:tc>
        <w:tc>
          <w:tcPr>
            <w:tcW w:w="756" w:type="dxa"/>
            <w:tcMar>
              <w:top w:w="12" w:type="dxa"/>
              <w:left w:w="12" w:type="dxa"/>
              <w:right w:w="12" w:type="dxa"/>
            </w:tcMar>
            <w:vAlign w:val="center"/>
          </w:tcPr>
          <w:p w14:paraId="625A6D8C">
            <w:pPr>
              <w:ind w:firstLine="240" w:firstLineChars="100"/>
              <w:jc w:val="left"/>
              <w:rPr>
                <w:rFonts w:ascii="宋体" w:hAnsi="宋体" w:cs="宋体"/>
                <w:sz w:val="24"/>
              </w:rPr>
            </w:pPr>
          </w:p>
        </w:tc>
      </w:tr>
      <w:tr w14:paraId="0A6BD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9" w:hRule="atLeast"/>
        </w:trPr>
        <w:tc>
          <w:tcPr>
            <w:tcW w:w="1189" w:type="dxa"/>
            <w:tcMar>
              <w:top w:w="12" w:type="dxa"/>
              <w:left w:w="12" w:type="dxa"/>
              <w:right w:w="12" w:type="dxa"/>
            </w:tcMar>
            <w:vAlign w:val="center"/>
          </w:tcPr>
          <w:p w14:paraId="0AF1FF67">
            <w:pPr>
              <w:ind w:firstLine="240" w:firstLineChars="100"/>
              <w:jc w:val="left"/>
              <w:rPr>
                <w:rFonts w:hint="default" w:ascii="宋体" w:hAnsi="宋体" w:cs="宋体"/>
                <w:color w:val="auto"/>
                <w:sz w:val="24"/>
                <w:lang w:val="en-US" w:eastAsia="zh-CN"/>
              </w:rPr>
            </w:pPr>
            <w:r>
              <w:rPr>
                <w:rFonts w:hint="eastAsia" w:ascii="宋体" w:hAnsi="宋体" w:cs="宋体"/>
                <w:color w:val="auto"/>
                <w:sz w:val="24"/>
                <w:lang w:val="en-US" w:eastAsia="zh-CN"/>
              </w:rPr>
              <w:t>15</w:t>
            </w:r>
          </w:p>
        </w:tc>
        <w:tc>
          <w:tcPr>
            <w:tcW w:w="1955" w:type="dxa"/>
            <w:tcMar>
              <w:top w:w="12" w:type="dxa"/>
              <w:left w:w="12" w:type="dxa"/>
              <w:right w:w="12" w:type="dxa"/>
            </w:tcMar>
            <w:vAlign w:val="top"/>
          </w:tcPr>
          <w:p w14:paraId="7BF86DA0">
            <w:pPr>
              <w:pStyle w:val="462"/>
              <w:numPr>
                <w:ilvl w:val="0"/>
                <w:numId w:val="0"/>
              </w:numPr>
              <w:tabs>
                <w:tab w:val="left" w:pos="0"/>
                <w:tab w:val="clear" w:pos="2790"/>
                <w:tab w:val="clear" w:pos="4230"/>
              </w:tabs>
              <w:spacing w:line="360" w:lineRule="auto"/>
              <w:ind w:left="0" w:leftChars="0" w:firstLine="0" w:firstLineChars="0"/>
              <w:jc w:val="both"/>
              <w:rPr>
                <w:rFonts w:ascii="宋体" w:hAnsi="宋体" w:cs="宋体"/>
                <w:b w:val="0"/>
                <w:bCs w:val="0"/>
                <w:color w:val="auto"/>
                <w:sz w:val="21"/>
                <w:szCs w:val="21"/>
              </w:rPr>
            </w:pPr>
            <w:r>
              <w:rPr>
                <w:rFonts w:hint="default" w:ascii="宋体" w:hAnsi="宋体" w:eastAsia="宋体" w:cs="宋体"/>
                <w:b w:val="0"/>
                <w:bCs w:val="0"/>
                <w:kern w:val="2"/>
                <w:sz w:val="21"/>
                <w:szCs w:val="21"/>
                <w:vertAlign w:val="baseline"/>
                <w:lang w:val="en-US" w:eastAsia="zh-CN" w:bidi="ar-SA"/>
              </w:rPr>
              <w:t>吊扇</w:t>
            </w:r>
          </w:p>
        </w:tc>
        <w:tc>
          <w:tcPr>
            <w:tcW w:w="5799" w:type="dxa"/>
            <w:tcMar>
              <w:top w:w="12" w:type="dxa"/>
              <w:left w:w="12" w:type="dxa"/>
              <w:right w:w="12" w:type="dxa"/>
            </w:tcMar>
            <w:vAlign w:val="top"/>
          </w:tcPr>
          <w:p w14:paraId="0C758D0D">
            <w:pPr>
              <w:pStyle w:val="462"/>
              <w:numPr>
                <w:ilvl w:val="0"/>
                <w:numId w:val="0"/>
              </w:numPr>
              <w:tabs>
                <w:tab w:val="left" w:pos="0"/>
                <w:tab w:val="clear" w:pos="2790"/>
                <w:tab w:val="clear" w:pos="4230"/>
              </w:tabs>
              <w:spacing w:line="360" w:lineRule="auto"/>
              <w:ind w:left="0" w:leftChars="0" w:firstLine="0" w:firstLineChars="0"/>
              <w:jc w:val="both"/>
              <w:rPr>
                <w:rFonts w:ascii="宋体" w:hAnsi="宋体" w:cs="宋体"/>
                <w:b w:val="0"/>
                <w:bCs w:val="0"/>
                <w:color w:val="auto"/>
                <w:sz w:val="21"/>
                <w:szCs w:val="21"/>
              </w:rPr>
            </w:pPr>
            <w:r>
              <w:rPr>
                <w:rFonts w:hint="eastAsia" w:hAnsi="宋体" w:eastAsia="宋体" w:cs="宋体"/>
                <w:b w:val="0"/>
                <w:bCs w:val="0"/>
                <w:kern w:val="2"/>
                <w:sz w:val="21"/>
                <w:szCs w:val="21"/>
                <w:vertAlign w:val="baseline"/>
                <w:lang w:val="en-US" w:eastAsia="zh-CN" w:bidi="ar-SA"/>
              </w:rPr>
              <w:t>奥克斯、艾美特、美的</w:t>
            </w:r>
            <w:r>
              <w:rPr>
                <w:rFonts w:hint="default" w:ascii="宋体" w:hAnsi="宋体" w:eastAsia="宋体" w:cs="宋体"/>
                <w:b w:val="0"/>
                <w:bCs w:val="0"/>
                <w:kern w:val="2"/>
                <w:sz w:val="21"/>
                <w:szCs w:val="21"/>
                <w:vertAlign w:val="baseline"/>
                <w:lang w:val="en-US" w:eastAsia="zh-CN" w:bidi="ar-SA"/>
              </w:rPr>
              <w:t>或相当于</w:t>
            </w:r>
          </w:p>
        </w:tc>
        <w:tc>
          <w:tcPr>
            <w:tcW w:w="756" w:type="dxa"/>
            <w:tcMar>
              <w:top w:w="12" w:type="dxa"/>
              <w:left w:w="12" w:type="dxa"/>
              <w:right w:w="12" w:type="dxa"/>
            </w:tcMar>
            <w:vAlign w:val="center"/>
          </w:tcPr>
          <w:p w14:paraId="14195B18">
            <w:pPr>
              <w:ind w:firstLine="240" w:firstLineChars="100"/>
              <w:jc w:val="left"/>
              <w:rPr>
                <w:rFonts w:ascii="宋体" w:hAnsi="宋体" w:cs="宋体"/>
                <w:sz w:val="24"/>
              </w:rPr>
            </w:pPr>
          </w:p>
        </w:tc>
      </w:tr>
    </w:tbl>
    <w:p w14:paraId="529E8F0F">
      <w:pPr>
        <w:snapToGrid w:val="0"/>
        <w:spacing w:line="360" w:lineRule="auto"/>
        <w:jc w:val="center"/>
        <w:rPr>
          <w:rFonts w:ascii="宋体" w:hAnsi="宋体" w:cs="宋体"/>
          <w:b/>
          <w:color w:val="auto"/>
          <w:sz w:val="36"/>
          <w:szCs w:val="20"/>
          <w:highlight w:val="none"/>
        </w:rPr>
      </w:pPr>
      <w:r>
        <w:rPr>
          <w:rFonts w:hint="eastAsia" w:ascii="宋体" w:hAnsi="宋体" w:cs="宋体"/>
          <w:b/>
          <w:color w:val="auto"/>
          <w:sz w:val="24"/>
          <w:highlight w:val="none"/>
        </w:rPr>
        <w:br w:type="page"/>
      </w:r>
      <w:r>
        <w:rPr>
          <w:rFonts w:hint="eastAsia" w:ascii="宋体" w:hAnsi="宋体" w:cs="宋体"/>
          <w:b/>
          <w:color w:val="auto"/>
          <w:sz w:val="36"/>
          <w:szCs w:val="20"/>
          <w:highlight w:val="none"/>
        </w:rPr>
        <w:t>第四部分</w:t>
      </w:r>
      <w:bookmarkStart w:id="34" w:name="_Toc184310331"/>
      <w:bookmarkEnd w:id="34"/>
      <w:bookmarkStart w:id="35" w:name="_Toc184310341"/>
      <w:bookmarkEnd w:id="35"/>
      <w:bookmarkStart w:id="36" w:name="_Toc184313294"/>
      <w:bookmarkEnd w:id="36"/>
      <w:bookmarkStart w:id="37" w:name="_Toc184314480"/>
      <w:bookmarkEnd w:id="37"/>
      <w:bookmarkStart w:id="38" w:name="_Toc184313291"/>
      <w:bookmarkEnd w:id="38"/>
      <w:bookmarkStart w:id="39" w:name="_Toc184314421"/>
      <w:bookmarkEnd w:id="39"/>
      <w:bookmarkStart w:id="40" w:name="_Toc184312077"/>
      <w:bookmarkEnd w:id="40"/>
      <w:bookmarkStart w:id="41" w:name="_Toc184308040"/>
      <w:bookmarkEnd w:id="41"/>
      <w:bookmarkStart w:id="42" w:name="_Toc184313251"/>
      <w:bookmarkEnd w:id="42"/>
      <w:bookmarkStart w:id="43" w:name="_Toc184308037"/>
      <w:bookmarkEnd w:id="43"/>
      <w:bookmarkStart w:id="44" w:name="_Toc184310299"/>
      <w:bookmarkEnd w:id="44"/>
      <w:bookmarkStart w:id="45" w:name="_Toc184308043"/>
      <w:bookmarkEnd w:id="45"/>
      <w:bookmarkStart w:id="46" w:name="_Toc184308072"/>
      <w:bookmarkEnd w:id="46"/>
      <w:bookmarkStart w:id="47" w:name="_Toc184313297"/>
      <w:bookmarkEnd w:id="47"/>
      <w:bookmarkStart w:id="48" w:name="_Toc184310278"/>
      <w:bookmarkEnd w:id="48"/>
      <w:bookmarkStart w:id="49" w:name="_Toc184312099"/>
      <w:bookmarkEnd w:id="49"/>
      <w:bookmarkStart w:id="50" w:name="_Toc184312087"/>
      <w:bookmarkEnd w:id="50"/>
      <w:bookmarkStart w:id="51" w:name="_Toc184308089"/>
      <w:bookmarkEnd w:id="51"/>
      <w:bookmarkStart w:id="52" w:name="_Toc184313302"/>
      <w:bookmarkEnd w:id="52"/>
      <w:bookmarkStart w:id="53" w:name="_Toc184312112"/>
      <w:bookmarkEnd w:id="53"/>
      <w:bookmarkStart w:id="54" w:name="_Toc184313292"/>
      <w:bookmarkEnd w:id="54"/>
      <w:bookmarkStart w:id="55" w:name="_Toc184308080"/>
      <w:bookmarkEnd w:id="55"/>
      <w:bookmarkStart w:id="56" w:name="_Toc184314482"/>
      <w:bookmarkEnd w:id="56"/>
      <w:bookmarkStart w:id="57" w:name="_Toc184310287"/>
      <w:bookmarkEnd w:id="57"/>
      <w:bookmarkStart w:id="58" w:name="_Toc184310281"/>
      <w:bookmarkEnd w:id="58"/>
      <w:bookmarkStart w:id="59" w:name="_Toc184313262"/>
      <w:bookmarkEnd w:id="59"/>
      <w:bookmarkStart w:id="60" w:name="_Toc184310343"/>
      <w:bookmarkEnd w:id="60"/>
      <w:bookmarkStart w:id="61" w:name="_Toc184310337"/>
      <w:bookmarkEnd w:id="61"/>
      <w:bookmarkStart w:id="62" w:name="_Toc184313277"/>
      <w:bookmarkEnd w:id="62"/>
      <w:bookmarkStart w:id="63" w:name="_Toc184308084"/>
      <w:bookmarkEnd w:id="63"/>
      <w:bookmarkStart w:id="64" w:name="_Toc184313243"/>
      <w:bookmarkEnd w:id="64"/>
      <w:bookmarkStart w:id="65" w:name="_Toc184312103"/>
      <w:bookmarkEnd w:id="65"/>
      <w:bookmarkStart w:id="66" w:name="_Toc184314423"/>
      <w:bookmarkEnd w:id="66"/>
      <w:bookmarkStart w:id="67" w:name="_Toc184312101"/>
      <w:bookmarkEnd w:id="67"/>
      <w:bookmarkStart w:id="68" w:name="_Toc184313284"/>
      <w:bookmarkEnd w:id="68"/>
      <w:bookmarkStart w:id="69" w:name="_Toc184310322"/>
      <w:bookmarkEnd w:id="69"/>
      <w:bookmarkStart w:id="70" w:name="_Toc184308105"/>
      <w:bookmarkEnd w:id="70"/>
      <w:bookmarkStart w:id="71" w:name="_Toc184312116"/>
      <w:bookmarkEnd w:id="71"/>
      <w:bookmarkStart w:id="72" w:name="_Toc184308038"/>
      <w:bookmarkEnd w:id="72"/>
      <w:bookmarkStart w:id="73" w:name="_Toc184314430"/>
      <w:bookmarkEnd w:id="73"/>
      <w:bookmarkStart w:id="74" w:name="_Toc184308046"/>
      <w:bookmarkEnd w:id="74"/>
      <w:bookmarkStart w:id="75" w:name="_Toc184308079"/>
      <w:bookmarkEnd w:id="75"/>
      <w:bookmarkStart w:id="76" w:name="_Toc184313285"/>
      <w:bookmarkEnd w:id="76"/>
      <w:bookmarkStart w:id="77" w:name="_Toc184308053"/>
      <w:bookmarkEnd w:id="77"/>
      <w:bookmarkStart w:id="78" w:name="_Toc184310284"/>
      <w:bookmarkEnd w:id="78"/>
      <w:bookmarkStart w:id="79" w:name="_Toc184312089"/>
      <w:bookmarkEnd w:id="79"/>
      <w:bookmarkStart w:id="80" w:name="_Toc184314442"/>
      <w:bookmarkEnd w:id="80"/>
      <w:bookmarkStart w:id="81" w:name="_Toc184310277"/>
      <w:bookmarkEnd w:id="81"/>
      <w:bookmarkStart w:id="82" w:name="_Toc184308092"/>
      <w:bookmarkEnd w:id="82"/>
      <w:bookmarkStart w:id="83" w:name="_Toc184310302"/>
      <w:bookmarkEnd w:id="83"/>
      <w:bookmarkStart w:id="84" w:name="_Toc184308070"/>
      <w:bookmarkEnd w:id="84"/>
      <w:bookmarkStart w:id="85" w:name="_Toc184308076"/>
      <w:bookmarkEnd w:id="85"/>
      <w:bookmarkStart w:id="86" w:name="_Toc184313278"/>
      <w:bookmarkEnd w:id="86"/>
      <w:bookmarkStart w:id="87" w:name="_Toc184312080"/>
      <w:bookmarkEnd w:id="87"/>
      <w:bookmarkStart w:id="88" w:name="_Toc184308107"/>
      <w:bookmarkEnd w:id="88"/>
      <w:bookmarkStart w:id="89" w:name="_Toc184313259"/>
      <w:bookmarkEnd w:id="89"/>
      <w:bookmarkStart w:id="90" w:name="_Toc184314441"/>
      <w:bookmarkEnd w:id="90"/>
      <w:bookmarkStart w:id="91" w:name="_Toc184312125"/>
      <w:bookmarkEnd w:id="91"/>
      <w:bookmarkStart w:id="92" w:name="_Toc184308106"/>
      <w:bookmarkEnd w:id="92"/>
      <w:bookmarkStart w:id="93" w:name="_Toc184310295"/>
      <w:bookmarkEnd w:id="93"/>
      <w:bookmarkStart w:id="94" w:name="_Toc184312082"/>
      <w:bookmarkEnd w:id="94"/>
      <w:bookmarkStart w:id="95" w:name="_Toc184308057"/>
      <w:bookmarkEnd w:id="95"/>
      <w:bookmarkStart w:id="96" w:name="_Toc184313242"/>
      <w:bookmarkEnd w:id="96"/>
      <w:bookmarkStart w:id="97" w:name="_Toc184314428"/>
      <w:bookmarkEnd w:id="97"/>
      <w:bookmarkStart w:id="98" w:name="_Toc184308087"/>
      <w:bookmarkEnd w:id="98"/>
      <w:bookmarkStart w:id="99" w:name="_Toc184314470"/>
      <w:bookmarkEnd w:id="99"/>
      <w:bookmarkStart w:id="100" w:name="_Toc184310290"/>
      <w:bookmarkEnd w:id="100"/>
      <w:bookmarkStart w:id="101" w:name="_Toc184308103"/>
      <w:bookmarkEnd w:id="101"/>
      <w:bookmarkStart w:id="102" w:name="_Toc184310307"/>
      <w:bookmarkEnd w:id="102"/>
      <w:bookmarkStart w:id="103" w:name="_Toc184312122"/>
      <w:bookmarkEnd w:id="103"/>
      <w:bookmarkStart w:id="104" w:name="_Toc184313250"/>
      <w:bookmarkEnd w:id="104"/>
      <w:bookmarkStart w:id="105" w:name="_Toc184314473"/>
      <w:bookmarkEnd w:id="105"/>
      <w:bookmarkStart w:id="106" w:name="_Toc184312130"/>
      <w:bookmarkEnd w:id="106"/>
      <w:bookmarkStart w:id="107" w:name="_Toc184310325"/>
      <w:bookmarkEnd w:id="107"/>
      <w:bookmarkStart w:id="108" w:name="_Toc184314424"/>
      <w:bookmarkEnd w:id="108"/>
      <w:bookmarkStart w:id="109" w:name="_Toc184312139"/>
      <w:bookmarkEnd w:id="109"/>
      <w:bookmarkStart w:id="110" w:name="_Toc184313239"/>
      <w:bookmarkEnd w:id="110"/>
      <w:bookmarkStart w:id="111" w:name="_Toc184312109"/>
      <w:bookmarkEnd w:id="111"/>
      <w:bookmarkStart w:id="112" w:name="_Toc184314419"/>
      <w:bookmarkEnd w:id="112"/>
      <w:bookmarkStart w:id="113" w:name="_Toc184308083"/>
      <w:bookmarkEnd w:id="113"/>
      <w:bookmarkStart w:id="114" w:name="_Toc184312137"/>
      <w:bookmarkEnd w:id="114"/>
      <w:bookmarkStart w:id="115" w:name="_Toc184310282"/>
      <w:bookmarkEnd w:id="115"/>
      <w:bookmarkStart w:id="116" w:name="_Toc184314446"/>
      <w:bookmarkEnd w:id="116"/>
      <w:bookmarkStart w:id="117" w:name="_Toc184313258"/>
      <w:bookmarkEnd w:id="117"/>
      <w:bookmarkStart w:id="118" w:name="_Toc184312120"/>
      <w:bookmarkEnd w:id="118"/>
      <w:bookmarkStart w:id="119" w:name="_Toc184310315"/>
      <w:bookmarkEnd w:id="119"/>
      <w:bookmarkStart w:id="120" w:name="_Toc184308036"/>
      <w:bookmarkEnd w:id="120"/>
      <w:bookmarkStart w:id="121" w:name="_Toc184313289"/>
      <w:bookmarkEnd w:id="121"/>
      <w:bookmarkStart w:id="122" w:name="_Toc184313290"/>
      <w:bookmarkEnd w:id="122"/>
      <w:bookmarkStart w:id="123" w:name="_Toc184308050"/>
      <w:bookmarkEnd w:id="123"/>
      <w:bookmarkStart w:id="124" w:name="_Toc184310321"/>
      <w:bookmarkEnd w:id="124"/>
      <w:bookmarkStart w:id="125" w:name="_Toc184310323"/>
      <w:bookmarkEnd w:id="125"/>
      <w:bookmarkStart w:id="126" w:name="_Toc184313280"/>
      <w:bookmarkEnd w:id="126"/>
      <w:bookmarkStart w:id="127" w:name="_Toc184308049"/>
      <w:bookmarkEnd w:id="127"/>
      <w:bookmarkStart w:id="128" w:name="_Toc184314471"/>
      <w:bookmarkEnd w:id="128"/>
      <w:bookmarkStart w:id="129" w:name="_Toc184312132"/>
      <w:bookmarkEnd w:id="129"/>
      <w:bookmarkStart w:id="130" w:name="_Toc184312119"/>
      <w:bookmarkEnd w:id="130"/>
      <w:bookmarkStart w:id="131" w:name="_Toc184312083"/>
      <w:bookmarkEnd w:id="131"/>
      <w:bookmarkStart w:id="132" w:name="_Toc184313268"/>
      <w:bookmarkEnd w:id="132"/>
      <w:bookmarkStart w:id="133" w:name="_Toc184313304"/>
      <w:bookmarkEnd w:id="133"/>
      <w:bookmarkStart w:id="134" w:name="_Toc184313264"/>
      <w:bookmarkEnd w:id="134"/>
      <w:bookmarkStart w:id="135" w:name="_Toc184313257"/>
      <w:bookmarkEnd w:id="135"/>
      <w:bookmarkStart w:id="136" w:name="_Toc184308090"/>
      <w:bookmarkEnd w:id="136"/>
      <w:bookmarkStart w:id="137" w:name="_Toc184312097"/>
      <w:bookmarkEnd w:id="137"/>
      <w:bookmarkStart w:id="138" w:name="_Toc184314435"/>
      <w:bookmarkEnd w:id="138"/>
      <w:bookmarkStart w:id="139" w:name="_Toc184314420"/>
      <w:bookmarkEnd w:id="139"/>
      <w:bookmarkStart w:id="140" w:name="_Toc184312105"/>
      <w:bookmarkEnd w:id="140"/>
      <w:bookmarkStart w:id="141" w:name="_Toc184314472"/>
      <w:bookmarkEnd w:id="141"/>
      <w:bookmarkStart w:id="142" w:name="_Toc184312091"/>
      <w:bookmarkEnd w:id="142"/>
      <w:bookmarkStart w:id="143" w:name="_Toc184308063"/>
      <w:bookmarkEnd w:id="143"/>
      <w:bookmarkStart w:id="144" w:name="_Toc184313261"/>
      <w:bookmarkEnd w:id="144"/>
      <w:bookmarkStart w:id="145" w:name="_Toc184314410"/>
      <w:bookmarkEnd w:id="145"/>
      <w:bookmarkStart w:id="146" w:name="_Toc184313274"/>
      <w:bookmarkEnd w:id="146"/>
      <w:bookmarkStart w:id="147" w:name="_Toc184313249"/>
      <w:bookmarkEnd w:id="147"/>
      <w:bookmarkStart w:id="148" w:name="_Toc184313260"/>
      <w:bookmarkEnd w:id="148"/>
      <w:bookmarkStart w:id="149" w:name="_Toc184314443"/>
      <w:bookmarkEnd w:id="149"/>
      <w:bookmarkStart w:id="150" w:name="_Toc184312106"/>
      <w:bookmarkEnd w:id="150"/>
      <w:bookmarkStart w:id="151" w:name="_Toc184314451"/>
      <w:bookmarkEnd w:id="151"/>
      <w:bookmarkStart w:id="152" w:name="_Toc184310304"/>
      <w:bookmarkEnd w:id="152"/>
      <w:bookmarkStart w:id="153" w:name="_Toc184308060"/>
      <w:bookmarkEnd w:id="153"/>
      <w:bookmarkStart w:id="154" w:name="_Toc184308051"/>
      <w:bookmarkEnd w:id="154"/>
      <w:bookmarkStart w:id="155" w:name="_Toc184308039"/>
      <w:bookmarkEnd w:id="155"/>
      <w:bookmarkStart w:id="156" w:name="_Toc184310308"/>
      <w:bookmarkEnd w:id="156"/>
      <w:bookmarkStart w:id="157" w:name="_Toc184312079"/>
      <w:bookmarkEnd w:id="157"/>
      <w:bookmarkStart w:id="158" w:name="_Toc184313296"/>
      <w:bookmarkEnd w:id="158"/>
      <w:bookmarkStart w:id="159" w:name="_Toc184313295"/>
      <w:bookmarkEnd w:id="159"/>
      <w:bookmarkStart w:id="160" w:name="_Toc184308094"/>
      <w:bookmarkEnd w:id="160"/>
      <w:bookmarkStart w:id="161" w:name="_Toc184308047"/>
      <w:bookmarkEnd w:id="161"/>
      <w:bookmarkStart w:id="162" w:name="_Toc184314462"/>
      <w:bookmarkEnd w:id="162"/>
      <w:bookmarkStart w:id="163" w:name="_Toc184310286"/>
      <w:bookmarkEnd w:id="163"/>
      <w:bookmarkStart w:id="164" w:name="_Toc184308082"/>
      <w:bookmarkEnd w:id="164"/>
      <w:bookmarkStart w:id="165" w:name="_Toc184310300"/>
      <w:bookmarkEnd w:id="165"/>
      <w:bookmarkStart w:id="166" w:name="_Toc184312093"/>
      <w:bookmarkEnd w:id="166"/>
      <w:bookmarkStart w:id="167" w:name="_Toc184308066"/>
      <w:bookmarkEnd w:id="167"/>
      <w:bookmarkStart w:id="168" w:name="_Toc184314447"/>
      <w:bookmarkEnd w:id="168"/>
      <w:bookmarkStart w:id="169" w:name="_Toc184312092"/>
      <w:bookmarkEnd w:id="169"/>
      <w:bookmarkStart w:id="170" w:name="_Toc184313305"/>
      <w:bookmarkEnd w:id="170"/>
      <w:bookmarkStart w:id="171" w:name="_Toc184314479"/>
      <w:bookmarkEnd w:id="171"/>
      <w:bookmarkStart w:id="172" w:name="_Toc184313308"/>
      <w:bookmarkEnd w:id="172"/>
      <w:bookmarkStart w:id="173" w:name="_Toc184308064"/>
      <w:bookmarkEnd w:id="173"/>
      <w:bookmarkStart w:id="174" w:name="_Toc184314417"/>
      <w:bookmarkEnd w:id="174"/>
      <w:bookmarkStart w:id="175" w:name="_Toc184310324"/>
      <w:bookmarkEnd w:id="175"/>
      <w:bookmarkStart w:id="176" w:name="_Toc184313265"/>
      <w:bookmarkEnd w:id="176"/>
      <w:bookmarkStart w:id="177" w:name="_Toc184310340"/>
      <w:bookmarkEnd w:id="177"/>
      <w:bookmarkStart w:id="178" w:name="_Toc184312098"/>
      <w:bookmarkEnd w:id="178"/>
      <w:bookmarkStart w:id="179" w:name="_Toc184310283"/>
      <w:bookmarkEnd w:id="179"/>
      <w:bookmarkStart w:id="180" w:name="_Toc184314460"/>
      <w:bookmarkEnd w:id="180"/>
      <w:bookmarkStart w:id="181" w:name="_Toc184310333"/>
      <w:bookmarkEnd w:id="181"/>
      <w:bookmarkStart w:id="182" w:name="_Toc184312129"/>
      <w:bookmarkEnd w:id="182"/>
      <w:bookmarkStart w:id="183" w:name="_Toc184314425"/>
      <w:bookmarkEnd w:id="183"/>
      <w:bookmarkStart w:id="184" w:name="_Toc184310334"/>
      <w:bookmarkEnd w:id="184"/>
      <w:bookmarkStart w:id="185" w:name="_Toc184312131"/>
      <w:bookmarkEnd w:id="185"/>
      <w:bookmarkStart w:id="186" w:name="_Toc184308071"/>
      <w:bookmarkEnd w:id="186"/>
      <w:bookmarkStart w:id="187" w:name="_Toc184310276"/>
      <w:bookmarkEnd w:id="187"/>
      <w:bookmarkStart w:id="188" w:name="_Toc184312084"/>
      <w:bookmarkEnd w:id="188"/>
      <w:bookmarkStart w:id="189" w:name="_Toc184308095"/>
      <w:bookmarkEnd w:id="189"/>
      <w:bookmarkStart w:id="190" w:name="_Toc184313241"/>
      <w:bookmarkEnd w:id="190"/>
      <w:bookmarkStart w:id="191" w:name="_Toc184310313"/>
      <w:bookmarkEnd w:id="191"/>
      <w:bookmarkStart w:id="192" w:name="_Toc184314439"/>
      <w:bookmarkEnd w:id="192"/>
      <w:bookmarkStart w:id="193" w:name="_Toc184314475"/>
      <w:bookmarkEnd w:id="193"/>
      <w:bookmarkStart w:id="194" w:name="_Toc184310303"/>
      <w:bookmarkEnd w:id="194"/>
      <w:bookmarkStart w:id="195" w:name="_Toc184314476"/>
      <w:bookmarkEnd w:id="195"/>
      <w:bookmarkStart w:id="196" w:name="_Toc184310275"/>
      <w:bookmarkEnd w:id="196"/>
      <w:bookmarkStart w:id="197" w:name="_Toc184313300"/>
      <w:bookmarkEnd w:id="197"/>
      <w:bookmarkStart w:id="198" w:name="_Toc184314418"/>
      <w:bookmarkEnd w:id="198"/>
      <w:bookmarkStart w:id="199" w:name="_Toc184314422"/>
      <w:bookmarkEnd w:id="199"/>
      <w:bookmarkStart w:id="200" w:name="_Toc184312086"/>
      <w:bookmarkEnd w:id="200"/>
      <w:bookmarkStart w:id="201" w:name="_Toc184308108"/>
      <w:bookmarkEnd w:id="201"/>
      <w:bookmarkStart w:id="202" w:name="_Toc184314467"/>
      <w:bookmarkEnd w:id="202"/>
      <w:bookmarkStart w:id="203" w:name="_Toc184312135"/>
      <w:bookmarkEnd w:id="203"/>
      <w:bookmarkStart w:id="204" w:name="_Toc184314432"/>
      <w:bookmarkEnd w:id="204"/>
      <w:bookmarkStart w:id="205" w:name="_Toc184310342"/>
      <w:bookmarkEnd w:id="205"/>
      <w:bookmarkStart w:id="206" w:name="_Toc184314415"/>
      <w:bookmarkEnd w:id="206"/>
      <w:bookmarkStart w:id="207" w:name="_Toc184312073"/>
      <w:bookmarkEnd w:id="207"/>
      <w:bookmarkStart w:id="208" w:name="_Toc184310274"/>
      <w:bookmarkEnd w:id="208"/>
      <w:bookmarkStart w:id="209" w:name="_Toc184313303"/>
      <w:bookmarkEnd w:id="209"/>
      <w:bookmarkStart w:id="210" w:name="_Toc184312113"/>
      <w:bookmarkEnd w:id="210"/>
      <w:bookmarkStart w:id="211" w:name="_Toc184312138"/>
      <w:bookmarkEnd w:id="211"/>
      <w:bookmarkStart w:id="212" w:name="_Toc184310291"/>
      <w:bookmarkEnd w:id="212"/>
      <w:bookmarkStart w:id="213" w:name="_Toc184313255"/>
      <w:bookmarkEnd w:id="213"/>
      <w:bookmarkStart w:id="214" w:name="_Toc184314440"/>
      <w:bookmarkEnd w:id="214"/>
      <w:bookmarkStart w:id="215" w:name="_Toc184308098"/>
      <w:bookmarkEnd w:id="215"/>
      <w:bookmarkStart w:id="216" w:name="_Toc184310289"/>
      <w:bookmarkEnd w:id="216"/>
      <w:bookmarkStart w:id="217" w:name="_Toc184314452"/>
      <w:bookmarkEnd w:id="217"/>
      <w:bookmarkStart w:id="218" w:name="_Toc184312111"/>
      <w:bookmarkEnd w:id="218"/>
      <w:bookmarkStart w:id="219" w:name="_Toc184310273"/>
      <w:bookmarkEnd w:id="219"/>
      <w:bookmarkStart w:id="220" w:name="_Toc184313273"/>
      <w:bookmarkEnd w:id="220"/>
      <w:bookmarkStart w:id="221" w:name="_Toc184312126"/>
      <w:bookmarkEnd w:id="221"/>
      <w:bookmarkStart w:id="222" w:name="_Toc184308099"/>
      <w:bookmarkEnd w:id="222"/>
      <w:bookmarkStart w:id="223" w:name="_Toc184308088"/>
      <w:bookmarkEnd w:id="223"/>
      <w:bookmarkStart w:id="224" w:name="_Toc184314429"/>
      <w:bookmarkEnd w:id="224"/>
      <w:bookmarkStart w:id="225" w:name="_Toc184312121"/>
      <w:bookmarkEnd w:id="225"/>
      <w:bookmarkStart w:id="226" w:name="_Toc184310316"/>
      <w:bookmarkEnd w:id="226"/>
      <w:bookmarkStart w:id="227" w:name="_Toc184308085"/>
      <w:bookmarkEnd w:id="227"/>
      <w:bookmarkStart w:id="228" w:name="_Toc184312136"/>
      <w:bookmarkEnd w:id="228"/>
      <w:bookmarkStart w:id="229" w:name="_Toc184314414"/>
      <w:bookmarkEnd w:id="229"/>
      <w:bookmarkStart w:id="230" w:name="_Toc184314416"/>
      <w:bookmarkEnd w:id="230"/>
      <w:bookmarkStart w:id="231" w:name="_Toc184312068"/>
      <w:bookmarkEnd w:id="231"/>
      <w:bookmarkStart w:id="232" w:name="_Toc184310314"/>
      <w:bookmarkEnd w:id="232"/>
      <w:bookmarkStart w:id="233" w:name="_Toc184308061"/>
      <w:bookmarkEnd w:id="233"/>
      <w:bookmarkStart w:id="234" w:name="_Toc184313307"/>
      <w:bookmarkEnd w:id="234"/>
      <w:bookmarkStart w:id="235" w:name="_Toc184314457"/>
      <w:bookmarkEnd w:id="235"/>
      <w:bookmarkStart w:id="236" w:name="_Toc184314434"/>
      <w:bookmarkEnd w:id="236"/>
      <w:bookmarkStart w:id="237" w:name="_Toc184310297"/>
      <w:bookmarkEnd w:id="237"/>
      <w:bookmarkStart w:id="238" w:name="_Toc184314477"/>
      <w:bookmarkEnd w:id="238"/>
      <w:bookmarkStart w:id="239" w:name="_Toc184308045"/>
      <w:bookmarkEnd w:id="239"/>
      <w:bookmarkStart w:id="240" w:name="_Toc184314438"/>
      <w:bookmarkEnd w:id="240"/>
      <w:bookmarkStart w:id="241" w:name="_Toc184313248"/>
      <w:bookmarkEnd w:id="241"/>
      <w:bookmarkStart w:id="242" w:name="_Toc184312127"/>
      <w:bookmarkEnd w:id="242"/>
      <w:bookmarkStart w:id="243" w:name="_Toc184313252"/>
      <w:bookmarkEnd w:id="243"/>
      <w:bookmarkStart w:id="244" w:name="_Toc184313267"/>
      <w:bookmarkEnd w:id="244"/>
      <w:bookmarkStart w:id="245" w:name="_Toc184312117"/>
      <w:bookmarkEnd w:id="245"/>
      <w:bookmarkStart w:id="246" w:name="_Toc184310296"/>
      <w:bookmarkEnd w:id="246"/>
      <w:bookmarkStart w:id="247" w:name="_Toc184312133"/>
      <w:bookmarkEnd w:id="247"/>
      <w:bookmarkStart w:id="248" w:name="_Toc184312110"/>
      <w:bookmarkEnd w:id="248"/>
      <w:bookmarkStart w:id="249" w:name="_Toc184312070"/>
      <w:bookmarkEnd w:id="249"/>
      <w:bookmarkStart w:id="250" w:name="_Toc184308052"/>
      <w:bookmarkEnd w:id="250"/>
      <w:bookmarkStart w:id="251" w:name="_Toc184312108"/>
      <w:bookmarkEnd w:id="251"/>
      <w:bookmarkStart w:id="252" w:name="_Toc184314458"/>
      <w:bookmarkEnd w:id="252"/>
      <w:bookmarkStart w:id="253" w:name="_Toc184312095"/>
      <w:bookmarkEnd w:id="253"/>
      <w:bookmarkStart w:id="254" w:name="_Toc184308067"/>
      <w:bookmarkEnd w:id="254"/>
      <w:bookmarkStart w:id="255" w:name="_Toc184308059"/>
      <w:bookmarkEnd w:id="255"/>
      <w:bookmarkStart w:id="256" w:name="_Toc184312100"/>
      <w:bookmarkEnd w:id="256"/>
      <w:bookmarkStart w:id="257" w:name="_Toc184308074"/>
      <w:bookmarkEnd w:id="257"/>
      <w:bookmarkStart w:id="258" w:name="_Toc184308069"/>
      <w:bookmarkEnd w:id="258"/>
      <w:bookmarkStart w:id="259" w:name="_Toc184312128"/>
      <w:bookmarkEnd w:id="259"/>
      <w:bookmarkStart w:id="260" w:name="_Toc184312096"/>
      <w:bookmarkEnd w:id="260"/>
      <w:bookmarkStart w:id="261" w:name="_Toc184310326"/>
      <w:bookmarkEnd w:id="261"/>
      <w:bookmarkStart w:id="262" w:name="_Toc184312094"/>
      <w:bookmarkEnd w:id="262"/>
      <w:bookmarkStart w:id="263" w:name="_Toc184312115"/>
      <w:bookmarkEnd w:id="263"/>
      <w:bookmarkStart w:id="264" w:name="_Toc184314464"/>
      <w:bookmarkEnd w:id="264"/>
      <w:bookmarkStart w:id="265" w:name="_Toc184312078"/>
      <w:bookmarkEnd w:id="265"/>
      <w:bookmarkStart w:id="266" w:name="_Toc184313244"/>
      <w:bookmarkEnd w:id="266"/>
      <w:bookmarkStart w:id="267" w:name="_Toc184314453"/>
      <w:bookmarkEnd w:id="267"/>
      <w:bookmarkStart w:id="268" w:name="_Toc184312075"/>
      <w:bookmarkEnd w:id="268"/>
      <w:bookmarkStart w:id="269" w:name="_Toc184310339"/>
      <w:bookmarkEnd w:id="269"/>
      <w:bookmarkStart w:id="270" w:name="_Toc184313282"/>
      <w:bookmarkEnd w:id="270"/>
      <w:bookmarkStart w:id="271" w:name="_Toc184312074"/>
      <w:bookmarkEnd w:id="271"/>
      <w:bookmarkStart w:id="272" w:name="_Toc184314411"/>
      <w:bookmarkEnd w:id="272"/>
      <w:bookmarkStart w:id="273" w:name="_Toc184310318"/>
      <w:bookmarkEnd w:id="273"/>
      <w:bookmarkStart w:id="274" w:name="_Toc184314469"/>
      <w:bookmarkEnd w:id="274"/>
      <w:bookmarkStart w:id="275" w:name="_Toc184308041"/>
      <w:bookmarkEnd w:id="275"/>
      <w:bookmarkStart w:id="276" w:name="_Toc184314468"/>
      <w:bookmarkEnd w:id="276"/>
      <w:bookmarkStart w:id="277" w:name="_Toc184310338"/>
      <w:bookmarkEnd w:id="277"/>
      <w:bookmarkStart w:id="278" w:name="_Toc184308073"/>
      <w:bookmarkEnd w:id="278"/>
      <w:bookmarkStart w:id="279" w:name="_Toc184310279"/>
      <w:bookmarkEnd w:id="279"/>
      <w:bookmarkStart w:id="280" w:name="_Toc184312102"/>
      <w:bookmarkEnd w:id="280"/>
      <w:bookmarkStart w:id="281" w:name="_Toc184313272"/>
      <w:bookmarkEnd w:id="281"/>
      <w:bookmarkStart w:id="282" w:name="_Toc184308086"/>
      <w:bookmarkEnd w:id="282"/>
      <w:bookmarkStart w:id="283" w:name="_Toc184313246"/>
      <w:bookmarkEnd w:id="283"/>
      <w:bookmarkStart w:id="284" w:name="_Toc184308065"/>
      <w:bookmarkEnd w:id="284"/>
      <w:bookmarkStart w:id="285" w:name="_Toc184312072"/>
      <w:bookmarkEnd w:id="285"/>
      <w:bookmarkStart w:id="286" w:name="_Toc184312081"/>
      <w:bookmarkEnd w:id="286"/>
      <w:bookmarkStart w:id="287" w:name="_Toc184312104"/>
      <w:bookmarkEnd w:id="287"/>
      <w:bookmarkStart w:id="288" w:name="_Toc184314450"/>
      <w:bookmarkEnd w:id="288"/>
      <w:bookmarkStart w:id="289" w:name="_Toc184312067"/>
      <w:bookmarkEnd w:id="289"/>
      <w:bookmarkStart w:id="290" w:name="_Toc184310285"/>
      <w:bookmarkEnd w:id="290"/>
      <w:bookmarkStart w:id="291" w:name="_Toc184312107"/>
      <w:bookmarkEnd w:id="291"/>
      <w:bookmarkStart w:id="292" w:name="_Toc184308104"/>
      <w:bookmarkEnd w:id="292"/>
      <w:bookmarkStart w:id="293" w:name="_Toc184313279"/>
      <w:bookmarkEnd w:id="293"/>
      <w:bookmarkStart w:id="294" w:name="_Toc184313275"/>
      <w:bookmarkEnd w:id="294"/>
      <w:bookmarkStart w:id="295" w:name="_Toc184314478"/>
      <w:bookmarkEnd w:id="295"/>
      <w:bookmarkStart w:id="296" w:name="_Toc184314449"/>
      <w:bookmarkEnd w:id="296"/>
      <w:bookmarkStart w:id="297" w:name="_Toc184313287"/>
      <w:bookmarkEnd w:id="297"/>
      <w:bookmarkStart w:id="298" w:name="_Toc184310305"/>
      <w:bookmarkEnd w:id="298"/>
      <w:bookmarkStart w:id="299" w:name="_Toc184310312"/>
      <w:bookmarkEnd w:id="299"/>
      <w:bookmarkStart w:id="300" w:name="_Toc184312123"/>
      <w:bookmarkEnd w:id="300"/>
      <w:bookmarkStart w:id="301" w:name="_Toc184314444"/>
      <w:bookmarkEnd w:id="301"/>
      <w:bookmarkStart w:id="302" w:name="_Toc184312114"/>
      <w:bookmarkEnd w:id="302"/>
      <w:bookmarkStart w:id="303" w:name="_Toc184313270"/>
      <w:bookmarkEnd w:id="303"/>
      <w:bookmarkStart w:id="304" w:name="_Toc184308056"/>
      <w:bookmarkEnd w:id="304"/>
      <w:bookmarkStart w:id="305" w:name="_Toc184314427"/>
      <w:bookmarkEnd w:id="305"/>
      <w:bookmarkStart w:id="306" w:name="_Toc184313293"/>
      <w:bookmarkEnd w:id="306"/>
      <w:bookmarkStart w:id="307" w:name="_Toc184308062"/>
      <w:bookmarkEnd w:id="307"/>
      <w:bookmarkStart w:id="308" w:name="_Toc184308048"/>
      <w:bookmarkEnd w:id="308"/>
      <w:bookmarkStart w:id="309" w:name="_Toc184314459"/>
      <w:bookmarkEnd w:id="309"/>
      <w:bookmarkStart w:id="310" w:name="_Toc184313299"/>
      <w:bookmarkEnd w:id="310"/>
      <w:bookmarkStart w:id="311" w:name="_Toc184310330"/>
      <w:bookmarkEnd w:id="311"/>
      <w:bookmarkStart w:id="312" w:name="_Toc184308093"/>
      <w:bookmarkEnd w:id="312"/>
      <w:bookmarkStart w:id="313" w:name="_Toc184312134"/>
      <w:bookmarkEnd w:id="313"/>
      <w:bookmarkStart w:id="314" w:name="_Toc184310344"/>
      <w:bookmarkEnd w:id="314"/>
      <w:bookmarkStart w:id="315" w:name="_Toc184310329"/>
      <w:bookmarkEnd w:id="315"/>
      <w:bookmarkStart w:id="316" w:name="_Toc184314433"/>
      <w:bookmarkEnd w:id="316"/>
      <w:bookmarkStart w:id="317" w:name="_Toc184312124"/>
      <w:bookmarkEnd w:id="317"/>
      <w:bookmarkStart w:id="318" w:name="_Toc184314461"/>
      <w:bookmarkEnd w:id="318"/>
      <w:bookmarkStart w:id="319" w:name="_Toc184310320"/>
      <w:bookmarkEnd w:id="319"/>
      <w:bookmarkStart w:id="320" w:name="_Toc184308044"/>
      <w:bookmarkEnd w:id="320"/>
      <w:bookmarkStart w:id="321" w:name="_Toc184313306"/>
      <w:bookmarkEnd w:id="321"/>
      <w:bookmarkStart w:id="322" w:name="_Toc184310311"/>
      <w:bookmarkEnd w:id="322"/>
      <w:bookmarkStart w:id="323" w:name="_Toc184314465"/>
      <w:bookmarkEnd w:id="323"/>
      <w:bookmarkStart w:id="324" w:name="_Toc184310328"/>
      <w:bookmarkEnd w:id="324"/>
      <w:bookmarkStart w:id="325" w:name="_Toc184310306"/>
      <w:bookmarkEnd w:id="325"/>
      <w:bookmarkStart w:id="326" w:name="_Toc184308068"/>
      <w:bookmarkEnd w:id="326"/>
      <w:bookmarkStart w:id="327" w:name="_Toc184313281"/>
      <w:bookmarkEnd w:id="327"/>
      <w:bookmarkStart w:id="328" w:name="_Toc184314413"/>
      <w:bookmarkEnd w:id="328"/>
      <w:bookmarkStart w:id="329" w:name="_Toc184310309"/>
      <w:bookmarkEnd w:id="329"/>
      <w:bookmarkStart w:id="330" w:name="_Toc184310294"/>
      <w:bookmarkEnd w:id="330"/>
      <w:bookmarkStart w:id="331" w:name="_Toc184313238"/>
      <w:bookmarkEnd w:id="331"/>
      <w:bookmarkStart w:id="332" w:name="_Toc184314474"/>
      <w:bookmarkEnd w:id="332"/>
      <w:bookmarkStart w:id="333" w:name="_Toc184310319"/>
      <w:bookmarkEnd w:id="333"/>
      <w:bookmarkStart w:id="334" w:name="_Toc184313263"/>
      <w:bookmarkEnd w:id="334"/>
      <w:bookmarkStart w:id="335" w:name="_Toc184313286"/>
      <w:bookmarkEnd w:id="335"/>
      <w:bookmarkStart w:id="336" w:name="_Toc184308100"/>
      <w:bookmarkEnd w:id="336"/>
      <w:bookmarkStart w:id="337" w:name="_Toc184313256"/>
      <w:bookmarkEnd w:id="337"/>
      <w:bookmarkStart w:id="338" w:name="_Toc184313283"/>
      <w:bookmarkEnd w:id="338"/>
      <w:bookmarkStart w:id="339" w:name="_Toc184313298"/>
      <w:bookmarkEnd w:id="339"/>
      <w:bookmarkStart w:id="340" w:name="_Toc184310317"/>
      <w:bookmarkEnd w:id="340"/>
      <w:bookmarkStart w:id="341" w:name="_Toc184310301"/>
      <w:bookmarkEnd w:id="341"/>
      <w:bookmarkStart w:id="342" w:name="_Toc184314466"/>
      <w:bookmarkEnd w:id="342"/>
      <w:bookmarkStart w:id="343" w:name="_Toc184310272"/>
      <w:bookmarkEnd w:id="343"/>
      <w:bookmarkStart w:id="344" w:name="_Toc184312118"/>
      <w:bookmarkEnd w:id="344"/>
      <w:bookmarkStart w:id="345" w:name="_Toc184308055"/>
      <w:bookmarkEnd w:id="345"/>
      <w:bookmarkStart w:id="346" w:name="_Toc184310336"/>
      <w:bookmarkEnd w:id="346"/>
      <w:bookmarkStart w:id="347" w:name="_Toc184313309"/>
      <w:bookmarkEnd w:id="347"/>
      <w:bookmarkStart w:id="348" w:name="_Toc184313271"/>
      <w:bookmarkEnd w:id="348"/>
      <w:bookmarkStart w:id="349" w:name="_Toc184314456"/>
      <w:bookmarkEnd w:id="349"/>
      <w:bookmarkStart w:id="350" w:name="_Toc184314412"/>
      <w:bookmarkEnd w:id="350"/>
      <w:bookmarkStart w:id="351" w:name="_Toc184314436"/>
      <w:bookmarkEnd w:id="351"/>
      <w:bookmarkStart w:id="352" w:name="_Toc184308078"/>
      <w:bookmarkEnd w:id="352"/>
      <w:bookmarkStart w:id="353" w:name="_Toc184308101"/>
      <w:bookmarkEnd w:id="353"/>
      <w:bookmarkStart w:id="354" w:name="_Toc184308075"/>
      <w:bookmarkEnd w:id="354"/>
      <w:bookmarkStart w:id="355" w:name="_Toc184308058"/>
      <w:bookmarkEnd w:id="355"/>
      <w:bookmarkStart w:id="356" w:name="_Toc184314426"/>
      <w:bookmarkEnd w:id="356"/>
      <w:bookmarkStart w:id="357" w:name="_Toc184313310"/>
      <w:bookmarkEnd w:id="357"/>
      <w:bookmarkStart w:id="358" w:name="_Toc184313254"/>
      <w:bookmarkEnd w:id="358"/>
      <w:bookmarkStart w:id="359" w:name="_Toc184313240"/>
      <w:bookmarkEnd w:id="359"/>
      <w:bookmarkStart w:id="360" w:name="_Toc184308097"/>
      <w:bookmarkEnd w:id="360"/>
      <w:bookmarkStart w:id="361" w:name="_Toc184310292"/>
      <w:bookmarkEnd w:id="361"/>
      <w:bookmarkStart w:id="362" w:name="_Toc184312085"/>
      <w:bookmarkEnd w:id="362"/>
      <w:bookmarkStart w:id="363" w:name="_Toc184310335"/>
      <w:bookmarkEnd w:id="363"/>
      <w:bookmarkStart w:id="364" w:name="_Toc184310327"/>
      <w:bookmarkEnd w:id="364"/>
      <w:bookmarkStart w:id="365" w:name="_Toc184314431"/>
      <w:bookmarkEnd w:id="365"/>
      <w:bookmarkStart w:id="366" w:name="_Toc184308081"/>
      <w:bookmarkEnd w:id="366"/>
      <w:bookmarkStart w:id="367" w:name="_Toc184312069"/>
      <w:bookmarkEnd w:id="367"/>
      <w:bookmarkStart w:id="368" w:name="_Toc184308042"/>
      <w:bookmarkEnd w:id="368"/>
      <w:bookmarkStart w:id="369" w:name="_Toc184313288"/>
      <w:bookmarkEnd w:id="369"/>
      <w:bookmarkStart w:id="370" w:name="_Toc184314437"/>
      <w:bookmarkEnd w:id="370"/>
      <w:bookmarkStart w:id="371" w:name="_Toc184314463"/>
      <w:bookmarkEnd w:id="371"/>
      <w:bookmarkStart w:id="372" w:name="_Toc184308096"/>
      <w:bookmarkEnd w:id="372"/>
      <w:bookmarkStart w:id="373" w:name="_Toc184310280"/>
      <w:bookmarkEnd w:id="373"/>
      <w:bookmarkStart w:id="374" w:name="_Toc184314445"/>
      <w:bookmarkEnd w:id="374"/>
      <w:bookmarkStart w:id="375" w:name="_Toc184308054"/>
      <w:bookmarkEnd w:id="375"/>
      <w:bookmarkStart w:id="376" w:name="_Toc184310298"/>
      <w:bookmarkEnd w:id="376"/>
      <w:bookmarkStart w:id="377" w:name="_Toc184313247"/>
      <w:bookmarkEnd w:id="377"/>
      <w:bookmarkStart w:id="378" w:name="_Toc184310293"/>
      <w:bookmarkEnd w:id="378"/>
      <w:bookmarkStart w:id="379" w:name="_Toc184312071"/>
      <w:bookmarkEnd w:id="379"/>
      <w:bookmarkStart w:id="380" w:name="_Toc184308077"/>
      <w:bookmarkEnd w:id="380"/>
      <w:bookmarkStart w:id="381" w:name="_Toc184312090"/>
      <w:bookmarkEnd w:id="381"/>
      <w:bookmarkStart w:id="382" w:name="_Toc184314448"/>
      <w:bookmarkEnd w:id="382"/>
      <w:bookmarkStart w:id="383" w:name="_Toc184313276"/>
      <w:bookmarkEnd w:id="383"/>
      <w:bookmarkStart w:id="384" w:name="_Toc184313269"/>
      <w:bookmarkEnd w:id="384"/>
      <w:bookmarkStart w:id="385" w:name="_Toc184313245"/>
      <w:bookmarkEnd w:id="385"/>
      <w:bookmarkStart w:id="386" w:name="_Toc184308102"/>
      <w:bookmarkEnd w:id="386"/>
      <w:bookmarkStart w:id="387" w:name="_Toc184308091"/>
      <w:bookmarkEnd w:id="387"/>
      <w:bookmarkStart w:id="388" w:name="_Toc184314481"/>
      <w:bookmarkEnd w:id="388"/>
      <w:bookmarkStart w:id="389" w:name="_Toc184310332"/>
      <w:bookmarkEnd w:id="389"/>
      <w:bookmarkStart w:id="390" w:name="_Toc184313301"/>
      <w:bookmarkEnd w:id="390"/>
      <w:bookmarkStart w:id="391" w:name="_Toc184312088"/>
      <w:bookmarkEnd w:id="391"/>
      <w:bookmarkStart w:id="392" w:name="_Toc184310288"/>
      <w:bookmarkEnd w:id="392"/>
      <w:bookmarkStart w:id="393" w:name="_Toc184314455"/>
      <w:bookmarkEnd w:id="393"/>
      <w:bookmarkStart w:id="394" w:name="_Toc184314454"/>
      <w:bookmarkEnd w:id="394"/>
      <w:bookmarkStart w:id="395" w:name="_Toc184313253"/>
      <w:bookmarkEnd w:id="395"/>
      <w:bookmarkStart w:id="396" w:name="_Toc184313266"/>
      <w:bookmarkEnd w:id="396"/>
      <w:bookmarkStart w:id="397" w:name="_Toc184310310"/>
      <w:bookmarkEnd w:id="397"/>
      <w:bookmarkStart w:id="398" w:name="_Toc184312076"/>
      <w:bookmarkEnd w:id="398"/>
      <w:r>
        <w:rPr>
          <w:rFonts w:hint="eastAsia" w:ascii="宋体" w:hAnsi="宋体" w:cs="宋体"/>
          <w:b/>
          <w:color w:val="auto"/>
          <w:sz w:val="36"/>
          <w:szCs w:val="20"/>
          <w:highlight w:val="none"/>
        </w:rPr>
        <w:t xml:space="preserve"> 评审办法</w:t>
      </w:r>
    </w:p>
    <w:p w14:paraId="4ED3FD4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2"/>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5897"/>
        <w:gridCol w:w="793"/>
        <w:gridCol w:w="2133"/>
      </w:tblGrid>
      <w:tr w14:paraId="799A0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00312E10">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序号</w:t>
            </w:r>
          </w:p>
        </w:tc>
        <w:tc>
          <w:tcPr>
            <w:tcW w:w="5897" w:type="dxa"/>
            <w:vAlign w:val="center"/>
          </w:tcPr>
          <w:p w14:paraId="3B857EBE">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评审标准</w:t>
            </w:r>
          </w:p>
        </w:tc>
        <w:tc>
          <w:tcPr>
            <w:tcW w:w="793" w:type="dxa"/>
            <w:vAlign w:val="center"/>
          </w:tcPr>
          <w:p w14:paraId="69D7E653">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rPr>
              <w:t>权重</w:t>
            </w:r>
          </w:p>
        </w:tc>
        <w:tc>
          <w:tcPr>
            <w:tcW w:w="2133" w:type="dxa"/>
          </w:tcPr>
          <w:p w14:paraId="0EC74FE5">
            <w:pPr>
              <w:snapToGrid w:val="0"/>
              <w:outlineLvl w:val="0"/>
              <w:rPr>
                <w:rFonts w:ascii="宋体" w:hAnsi="宋体" w:cs="宋体"/>
                <w:bCs/>
                <w:color w:val="auto"/>
                <w:sz w:val="24"/>
                <w:highlight w:val="none"/>
              </w:rPr>
            </w:pPr>
            <w:r>
              <w:rPr>
                <w:rFonts w:hint="eastAsia" w:ascii="宋体" w:hAnsi="宋体" w:cs="宋体"/>
                <w:bCs/>
                <w:color w:val="auto"/>
                <w:sz w:val="24"/>
                <w:highlight w:val="none"/>
              </w:rPr>
              <w:t>响应文件中评审标准相应的商务技术资料目录</w:t>
            </w:r>
            <w:r>
              <w:rPr>
                <w:rFonts w:hint="eastAsia" w:ascii="宋体" w:hAnsi="宋体" w:cs="宋体"/>
                <w:color w:val="auto"/>
                <w:sz w:val="24"/>
                <w:highlight w:val="none"/>
                <w:shd w:val="clear" w:color="auto" w:fill="FFFFFF"/>
              </w:rPr>
              <w:t> *</w:t>
            </w:r>
          </w:p>
        </w:tc>
      </w:tr>
      <w:tr w14:paraId="6138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910" w:type="dxa"/>
            <w:vAlign w:val="center"/>
          </w:tcPr>
          <w:p w14:paraId="565AD210">
            <w:pPr>
              <w:snapToGrid w:val="0"/>
              <w:jc w:val="center"/>
              <w:outlineLvl w:val="0"/>
              <w:rPr>
                <w:rFonts w:ascii="宋体" w:hAnsi="宋体" w:cs="宋体"/>
                <w:color w:val="auto"/>
                <w:sz w:val="24"/>
                <w:highlight w:val="none"/>
              </w:rPr>
            </w:pPr>
            <w:r>
              <w:rPr>
                <w:rFonts w:hint="eastAsia" w:ascii="宋体" w:hAnsi="宋体" w:cs="宋体"/>
                <w:color w:val="auto"/>
                <w:sz w:val="24"/>
                <w:highlight w:val="none"/>
              </w:rPr>
              <w:t>1</w:t>
            </w:r>
          </w:p>
        </w:tc>
        <w:tc>
          <w:tcPr>
            <w:tcW w:w="5897" w:type="dxa"/>
            <w:vAlign w:val="center"/>
          </w:tcPr>
          <w:p w14:paraId="5CBE29D7">
            <w:pPr>
              <w:snapToGrid/>
              <w:spacing w:line="360" w:lineRule="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 xml:space="preserve">供应商自2022年1月以来承建过类似工程业绩的，每提供一项业绩证明材料得0.5分，本项最高得1.5分。（须提供合同原件的扫描件加盖公章）未按要求提供完整证明材料的，不予得分。   </w:t>
            </w:r>
          </w:p>
        </w:tc>
        <w:tc>
          <w:tcPr>
            <w:tcW w:w="793" w:type="dxa"/>
            <w:vAlign w:val="center"/>
          </w:tcPr>
          <w:p w14:paraId="4B371E72">
            <w:pPr>
              <w:snapToGrid w:val="0"/>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1.5分</w:t>
            </w:r>
          </w:p>
        </w:tc>
        <w:tc>
          <w:tcPr>
            <w:tcW w:w="2133" w:type="dxa"/>
            <w:vAlign w:val="center"/>
          </w:tcPr>
          <w:p w14:paraId="01373701">
            <w:pPr>
              <w:snapToGrid w:val="0"/>
              <w:jc w:val="center"/>
              <w:outlineLvl w:val="0"/>
              <w:rPr>
                <w:rFonts w:ascii="宋体" w:hAnsi="宋体" w:cs="宋体"/>
                <w:color w:val="auto"/>
                <w:sz w:val="24"/>
                <w:highlight w:val="none"/>
              </w:rPr>
            </w:pPr>
            <w:r>
              <w:rPr>
                <w:rFonts w:hint="eastAsia" w:ascii="宋体" w:hAnsi="宋体" w:cs="宋体"/>
                <w:color w:val="auto"/>
                <w:sz w:val="24"/>
                <w:highlight w:val="none"/>
              </w:rPr>
              <w:t>客观分</w:t>
            </w:r>
          </w:p>
        </w:tc>
      </w:tr>
      <w:tr w14:paraId="28E30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3616EFD3">
            <w:pPr>
              <w:snapToGrid w:val="0"/>
              <w:jc w:val="center"/>
              <w:outlineLvl w:val="0"/>
              <w:rPr>
                <w:rFonts w:ascii="宋体" w:hAnsi="宋体" w:cs="宋体"/>
                <w:color w:val="auto"/>
                <w:sz w:val="24"/>
                <w:highlight w:val="none"/>
              </w:rPr>
            </w:pPr>
            <w:r>
              <w:rPr>
                <w:rFonts w:hint="eastAsia" w:ascii="宋体" w:hAnsi="宋体" w:cs="宋体"/>
                <w:color w:val="auto"/>
                <w:sz w:val="24"/>
                <w:highlight w:val="none"/>
              </w:rPr>
              <w:t>2</w:t>
            </w:r>
          </w:p>
        </w:tc>
        <w:tc>
          <w:tcPr>
            <w:tcW w:w="5897" w:type="dxa"/>
            <w:vAlign w:val="center"/>
          </w:tcPr>
          <w:p w14:paraId="33BC4C0F">
            <w:pPr>
              <w:snapToGrid/>
              <w:spacing w:line="360" w:lineRule="auto"/>
              <w:rPr>
                <w:rFonts w:hint="eastAsia" w:ascii="宋体" w:hAnsi="宋体"/>
                <w:color w:val="auto"/>
                <w:sz w:val="24"/>
                <w:highlight w:val="none"/>
                <w:lang w:val="en-US" w:eastAsia="zh-CN"/>
              </w:rPr>
            </w:pPr>
            <w:r>
              <w:rPr>
                <w:rFonts w:hint="eastAsia" w:ascii="宋体" w:hAnsi="宋体" w:eastAsia="宋体" w:cs="宋体"/>
                <w:bCs/>
                <w:color w:val="auto"/>
                <w:sz w:val="24"/>
                <w:szCs w:val="24"/>
              </w:rPr>
              <w:t>具有</w:t>
            </w:r>
            <w:r>
              <w:rPr>
                <w:rFonts w:hint="eastAsia" w:ascii="宋体" w:hAnsi="宋体" w:eastAsia="宋体" w:cs="宋体"/>
                <w:bCs/>
                <w:color w:val="auto"/>
                <w:sz w:val="24"/>
                <w:szCs w:val="24"/>
                <w:lang w:val="en-US" w:eastAsia="zh-CN"/>
              </w:rPr>
              <w:t>有效期内的</w:t>
            </w:r>
            <w:r>
              <w:rPr>
                <w:rFonts w:hint="eastAsia" w:ascii="宋体" w:hAnsi="宋体" w:eastAsia="宋体" w:cs="宋体"/>
                <w:bCs/>
                <w:color w:val="auto"/>
                <w:sz w:val="24"/>
                <w:szCs w:val="24"/>
              </w:rPr>
              <w:t>质量管理体系</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环境管理体系、职业健康安全管理体系</w:t>
            </w:r>
            <w:r>
              <w:rPr>
                <w:rFonts w:hint="eastAsia" w:ascii="宋体" w:hAnsi="宋体" w:eastAsia="宋体" w:cs="宋体"/>
                <w:bCs/>
                <w:color w:val="auto"/>
                <w:sz w:val="24"/>
                <w:szCs w:val="24"/>
              </w:rPr>
              <w:t>认证证书</w:t>
            </w:r>
            <w:r>
              <w:rPr>
                <w:rFonts w:hint="eastAsia" w:ascii="宋体" w:hAnsi="宋体" w:eastAsia="宋体" w:cs="宋体"/>
                <w:bCs/>
                <w:color w:val="auto"/>
                <w:sz w:val="24"/>
                <w:szCs w:val="24"/>
                <w:lang w:eastAsia="zh-CN"/>
              </w:rPr>
              <w:t>的，</w:t>
            </w:r>
            <w:r>
              <w:rPr>
                <w:rFonts w:hint="eastAsia" w:ascii="宋体" w:hAnsi="宋体" w:eastAsia="宋体" w:cs="宋体"/>
                <w:bCs/>
                <w:color w:val="auto"/>
                <w:sz w:val="24"/>
                <w:szCs w:val="24"/>
                <w:lang w:val="en-US" w:eastAsia="zh-CN"/>
              </w:rPr>
              <w:t>每个</w:t>
            </w:r>
            <w:r>
              <w:rPr>
                <w:rFonts w:hint="eastAsia" w:ascii="宋体" w:hAnsi="宋体" w:eastAsia="宋体" w:cs="宋体"/>
                <w:bCs/>
                <w:color w:val="auto"/>
                <w:sz w:val="24"/>
                <w:szCs w:val="24"/>
              </w:rPr>
              <w:t>得</w:t>
            </w:r>
            <w:r>
              <w:rPr>
                <w:rFonts w:hint="eastAsia" w:ascii="宋体" w:hAnsi="宋体" w:cs="宋体"/>
                <w:bCs/>
                <w:color w:val="auto"/>
                <w:sz w:val="24"/>
                <w:szCs w:val="24"/>
                <w:lang w:val="en-US" w:eastAsia="zh-CN"/>
              </w:rPr>
              <w:t>0.5</w:t>
            </w:r>
            <w:r>
              <w:rPr>
                <w:rFonts w:hint="eastAsia" w:ascii="宋体" w:hAnsi="宋体" w:eastAsia="宋体" w:cs="宋体"/>
                <w:bCs/>
                <w:color w:val="auto"/>
                <w:sz w:val="24"/>
                <w:szCs w:val="24"/>
              </w:rPr>
              <w:t>分，</w:t>
            </w:r>
            <w:r>
              <w:rPr>
                <w:rFonts w:hint="eastAsia" w:ascii="宋体" w:hAnsi="宋体" w:eastAsia="宋体" w:cs="宋体"/>
                <w:bCs/>
                <w:color w:val="auto"/>
                <w:sz w:val="24"/>
                <w:szCs w:val="24"/>
                <w:lang w:val="en-US" w:eastAsia="zh-CN"/>
              </w:rPr>
              <w:t>最高得</w:t>
            </w:r>
            <w:r>
              <w:rPr>
                <w:rFonts w:hint="eastAsia" w:ascii="宋体" w:hAnsi="宋体" w:cs="宋体"/>
                <w:bCs/>
                <w:color w:val="auto"/>
                <w:sz w:val="24"/>
                <w:szCs w:val="24"/>
                <w:lang w:val="en-US" w:eastAsia="zh-CN"/>
              </w:rPr>
              <w:t>1.5</w:t>
            </w:r>
            <w:r>
              <w:rPr>
                <w:rFonts w:hint="eastAsia" w:ascii="宋体" w:hAnsi="宋体" w:eastAsia="宋体" w:cs="宋体"/>
                <w:bCs/>
                <w:color w:val="auto"/>
                <w:sz w:val="24"/>
                <w:szCs w:val="24"/>
                <w:lang w:val="en-US" w:eastAsia="zh-CN"/>
              </w:rPr>
              <w:t>分，</w:t>
            </w:r>
            <w:r>
              <w:rPr>
                <w:rFonts w:hint="eastAsia" w:ascii="宋体" w:hAnsi="宋体" w:eastAsia="宋体" w:cs="宋体"/>
                <w:bCs/>
                <w:color w:val="auto"/>
                <w:sz w:val="24"/>
                <w:szCs w:val="24"/>
              </w:rPr>
              <w:t>提供有效证书</w:t>
            </w:r>
            <w:r>
              <w:rPr>
                <w:rFonts w:hint="eastAsia" w:ascii="宋体" w:hAnsi="宋体" w:eastAsia="宋体" w:cs="宋体"/>
                <w:color w:val="auto"/>
                <w:sz w:val="24"/>
                <w:szCs w:val="24"/>
              </w:rPr>
              <w:t>加盖公章。</w:t>
            </w:r>
          </w:p>
        </w:tc>
        <w:tc>
          <w:tcPr>
            <w:tcW w:w="793" w:type="dxa"/>
            <w:vAlign w:val="center"/>
          </w:tcPr>
          <w:p w14:paraId="4B3B5213">
            <w:pPr>
              <w:snapToGrid w:val="0"/>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1.5分</w:t>
            </w:r>
          </w:p>
        </w:tc>
        <w:tc>
          <w:tcPr>
            <w:tcW w:w="2133" w:type="dxa"/>
            <w:vAlign w:val="center"/>
          </w:tcPr>
          <w:p w14:paraId="2E507361">
            <w:pPr>
              <w:snapToGrid w:val="0"/>
              <w:jc w:val="center"/>
              <w:outlineLvl w:val="0"/>
              <w:rPr>
                <w:rFonts w:hint="eastAsia" w:ascii="宋体" w:hAnsi="宋体" w:cs="宋体"/>
                <w:color w:val="auto"/>
                <w:sz w:val="24"/>
                <w:highlight w:val="none"/>
              </w:rPr>
            </w:pPr>
            <w:r>
              <w:rPr>
                <w:rFonts w:hint="eastAsia" w:ascii="宋体" w:hAnsi="宋体" w:cs="宋体"/>
                <w:color w:val="auto"/>
                <w:sz w:val="24"/>
                <w:highlight w:val="none"/>
              </w:rPr>
              <w:t>客观分</w:t>
            </w:r>
          </w:p>
        </w:tc>
      </w:tr>
      <w:tr w14:paraId="620F5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5CB4BE5E">
            <w:pPr>
              <w:snapToGrid w:val="0"/>
              <w:jc w:val="center"/>
              <w:outlineLvl w:val="0"/>
              <w:rPr>
                <w:rFonts w:ascii="宋体" w:hAnsi="宋体" w:cs="宋体"/>
                <w:color w:val="auto"/>
                <w:sz w:val="24"/>
                <w:highlight w:val="none"/>
              </w:rPr>
            </w:pPr>
            <w:r>
              <w:rPr>
                <w:rFonts w:hint="eastAsia" w:ascii="宋体" w:hAnsi="宋体" w:cs="宋体"/>
                <w:color w:val="auto"/>
                <w:sz w:val="24"/>
                <w:highlight w:val="none"/>
              </w:rPr>
              <w:t>3</w:t>
            </w:r>
          </w:p>
        </w:tc>
        <w:tc>
          <w:tcPr>
            <w:tcW w:w="5897" w:type="dxa"/>
            <w:vAlign w:val="center"/>
          </w:tcPr>
          <w:p w14:paraId="459F3E87">
            <w:pPr>
              <w:snapToGrid/>
              <w:spacing w:line="360" w:lineRule="auto"/>
              <w:rPr>
                <w:rFonts w:hint="eastAsia" w:ascii="宋体" w:hAnsi="宋体"/>
                <w:color w:val="auto"/>
                <w:sz w:val="24"/>
                <w:highlight w:val="none"/>
                <w:lang w:val="en-US" w:eastAsia="zh-CN"/>
              </w:rPr>
            </w:pPr>
            <w:r>
              <w:rPr>
                <w:rFonts w:hint="eastAsia" w:ascii="宋体" w:hAnsi="宋体" w:cs="宋体"/>
                <w:sz w:val="24"/>
              </w:rPr>
              <w:t>拟派项目经理具有中级工程师职称及以上的得</w:t>
            </w:r>
            <w:r>
              <w:rPr>
                <w:rFonts w:hint="eastAsia" w:ascii="宋体" w:hAnsi="宋体" w:cs="宋体"/>
                <w:sz w:val="24"/>
                <w:lang w:val="en-US" w:eastAsia="zh-CN"/>
              </w:rPr>
              <w:t>2</w:t>
            </w:r>
            <w:r>
              <w:rPr>
                <w:rFonts w:hint="eastAsia" w:ascii="宋体" w:hAnsi="宋体" w:cs="宋体"/>
                <w:sz w:val="24"/>
              </w:rPr>
              <w:t>分，其余不得分。(证明材料为职称证书复印件)</w:t>
            </w:r>
          </w:p>
        </w:tc>
        <w:tc>
          <w:tcPr>
            <w:tcW w:w="793" w:type="dxa"/>
            <w:vAlign w:val="top"/>
          </w:tcPr>
          <w:p w14:paraId="3B2394DB">
            <w:pPr>
              <w:snapToGrid w:val="0"/>
              <w:jc w:val="center"/>
              <w:outlineLvl w:val="0"/>
              <w:rPr>
                <w:rFonts w:ascii="宋体" w:hAnsi="宋体" w:cs="宋体"/>
                <w:bCs/>
                <w:color w:val="auto"/>
                <w:sz w:val="24"/>
                <w:highlight w:val="none"/>
              </w:rPr>
            </w:pPr>
          </w:p>
          <w:p w14:paraId="1DF15FB8">
            <w:pPr>
              <w:snapToGrid w:val="0"/>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2分</w:t>
            </w:r>
          </w:p>
        </w:tc>
        <w:tc>
          <w:tcPr>
            <w:tcW w:w="2133" w:type="dxa"/>
            <w:vAlign w:val="top"/>
          </w:tcPr>
          <w:p w14:paraId="5E8674AD">
            <w:pPr>
              <w:snapToGrid w:val="0"/>
              <w:jc w:val="center"/>
              <w:outlineLvl w:val="0"/>
              <w:rPr>
                <w:rFonts w:hint="eastAsia" w:ascii="宋体" w:hAnsi="宋体" w:eastAsia="宋体" w:cs="宋体"/>
                <w:color w:val="auto"/>
                <w:sz w:val="24"/>
                <w:highlight w:val="none"/>
              </w:rPr>
            </w:pPr>
          </w:p>
          <w:p w14:paraId="5D7F2F52">
            <w:pPr>
              <w:snapToGrid w:val="0"/>
              <w:jc w:val="center"/>
              <w:outlineLvl w:val="0"/>
              <w:rPr>
                <w:rFonts w:ascii="宋体" w:hAnsi="宋体" w:cs="宋体"/>
                <w:color w:val="auto"/>
                <w:sz w:val="24"/>
                <w:highlight w:val="none"/>
              </w:rPr>
            </w:pPr>
            <w:r>
              <w:rPr>
                <w:rFonts w:hint="eastAsia" w:ascii="宋体" w:hAnsi="宋体" w:cs="宋体"/>
                <w:color w:val="auto"/>
                <w:sz w:val="24"/>
                <w:highlight w:val="none"/>
                <w:lang w:eastAsia="zh-CN"/>
              </w:rPr>
              <w:t>客</w:t>
            </w:r>
            <w:r>
              <w:rPr>
                <w:rFonts w:hint="eastAsia" w:ascii="宋体" w:hAnsi="宋体" w:eastAsia="宋体" w:cs="宋体"/>
                <w:color w:val="auto"/>
                <w:sz w:val="24"/>
                <w:highlight w:val="none"/>
              </w:rPr>
              <w:t>观分</w:t>
            </w:r>
          </w:p>
        </w:tc>
      </w:tr>
      <w:tr w14:paraId="17084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0" w:type="dxa"/>
            <w:vAlign w:val="center"/>
          </w:tcPr>
          <w:p w14:paraId="6C4B8B42">
            <w:pPr>
              <w:snapToGrid w:val="0"/>
              <w:jc w:val="center"/>
              <w:rPr>
                <w:rFonts w:ascii="宋体" w:hAnsi="宋体" w:cs="宋体"/>
                <w:color w:val="auto"/>
                <w:highlight w:val="none"/>
              </w:rPr>
            </w:pPr>
            <w:r>
              <w:rPr>
                <w:rFonts w:hint="eastAsia" w:ascii="宋体" w:hAnsi="宋体" w:cs="宋体"/>
                <w:color w:val="auto"/>
                <w:sz w:val="24"/>
                <w:highlight w:val="none"/>
                <w:lang w:val="en-US" w:eastAsia="zh-CN"/>
              </w:rPr>
              <w:t>4</w:t>
            </w:r>
          </w:p>
        </w:tc>
        <w:tc>
          <w:tcPr>
            <w:tcW w:w="5897" w:type="dxa"/>
            <w:vAlign w:val="center"/>
          </w:tcPr>
          <w:p w14:paraId="530D0C93">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针对本次改造内容，主要分部施工方法是否符合本项目实际需求，工艺的可行性及合理性</w:t>
            </w:r>
          </w:p>
          <w:p w14:paraId="07B6155F">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措施方法科学、合理、到位，</w:t>
            </w:r>
            <w:r>
              <w:rPr>
                <w:rFonts w:hint="eastAsia" w:ascii="宋体" w:hAnsi="宋体" w:eastAsia="宋体" w:cs="宋体"/>
                <w:sz w:val="24"/>
                <w:szCs w:val="24"/>
                <w:lang w:val="zh-CN"/>
              </w:rPr>
              <w:t>完整可行</w:t>
            </w:r>
            <w:r>
              <w:rPr>
                <w:rFonts w:hint="eastAsia" w:ascii="宋体" w:hAnsi="宋体" w:eastAsia="宋体" w:cs="宋体"/>
                <w:sz w:val="24"/>
                <w:szCs w:val="24"/>
              </w:rPr>
              <w:t>的得5分；</w:t>
            </w:r>
          </w:p>
          <w:p w14:paraId="6607A9B0">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措施方法较为科学、合理、到位，</w:t>
            </w:r>
            <w:r>
              <w:rPr>
                <w:rFonts w:hint="eastAsia" w:ascii="宋体" w:hAnsi="宋体" w:eastAsia="宋体" w:cs="宋体"/>
                <w:sz w:val="24"/>
                <w:szCs w:val="24"/>
                <w:lang w:val="zh-CN"/>
              </w:rPr>
              <w:t>较完整可行</w:t>
            </w:r>
            <w:r>
              <w:rPr>
                <w:rFonts w:hint="eastAsia" w:ascii="宋体" w:hAnsi="宋体" w:eastAsia="宋体" w:cs="宋体"/>
                <w:sz w:val="24"/>
                <w:szCs w:val="24"/>
              </w:rPr>
              <w:t>，得4分；</w:t>
            </w:r>
          </w:p>
          <w:p w14:paraId="1100A484">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措施方法基本科学、合理，</w:t>
            </w:r>
            <w:r>
              <w:rPr>
                <w:rFonts w:hint="eastAsia" w:ascii="宋体" w:hAnsi="宋体" w:eastAsia="宋体" w:cs="宋体"/>
                <w:sz w:val="24"/>
                <w:szCs w:val="24"/>
                <w:lang w:val="zh-CN"/>
              </w:rPr>
              <w:t>基本满足需求</w:t>
            </w:r>
            <w:r>
              <w:rPr>
                <w:rFonts w:hint="eastAsia" w:ascii="宋体" w:hAnsi="宋体" w:eastAsia="宋体" w:cs="宋体"/>
                <w:sz w:val="24"/>
                <w:szCs w:val="24"/>
              </w:rPr>
              <w:t>，得3分</w:t>
            </w:r>
          </w:p>
          <w:p w14:paraId="443ABCEB">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措施方法欠科学、欠合理，存在瑕疵，得2分；</w:t>
            </w:r>
          </w:p>
          <w:p w14:paraId="577FFDAE">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措施方法欠科学、欠合理、</w:t>
            </w:r>
            <w:r>
              <w:rPr>
                <w:rFonts w:hint="eastAsia" w:ascii="宋体" w:hAnsi="宋体" w:eastAsia="宋体" w:cs="宋体"/>
                <w:sz w:val="24"/>
                <w:szCs w:val="24"/>
                <w:lang w:val="zh-CN"/>
              </w:rPr>
              <w:t>措施缺陷较多</w:t>
            </w:r>
            <w:r>
              <w:rPr>
                <w:rFonts w:hint="eastAsia" w:ascii="宋体" w:hAnsi="宋体" w:eastAsia="宋体" w:cs="宋体"/>
                <w:sz w:val="24"/>
                <w:szCs w:val="24"/>
              </w:rPr>
              <w:t>，得1分；</w:t>
            </w:r>
          </w:p>
          <w:p w14:paraId="3227A061">
            <w:pPr>
              <w:spacing w:line="360" w:lineRule="auto"/>
              <w:outlineLvl w:val="0"/>
              <w:rPr>
                <w:rFonts w:hint="eastAsia" w:ascii="宋体" w:hAnsi="宋体"/>
                <w:color w:val="auto"/>
                <w:sz w:val="24"/>
                <w:highlight w:val="none"/>
                <w:lang w:val="en-US" w:eastAsia="zh-CN"/>
              </w:rPr>
            </w:pPr>
            <w:r>
              <w:rPr>
                <w:rFonts w:hint="eastAsia" w:ascii="宋体" w:hAnsi="宋体" w:eastAsia="宋体" w:cs="宋体"/>
                <w:sz w:val="24"/>
                <w:szCs w:val="24"/>
              </w:rPr>
              <w:t>未提供不得分</w:t>
            </w:r>
            <w:r>
              <w:rPr>
                <w:rFonts w:hint="eastAsia" w:ascii="宋体" w:hAnsi="宋体" w:cs="宋体"/>
                <w:sz w:val="24"/>
                <w:szCs w:val="24"/>
                <w:lang w:eastAsia="zh-CN"/>
              </w:rPr>
              <w:t>。</w:t>
            </w:r>
          </w:p>
        </w:tc>
        <w:tc>
          <w:tcPr>
            <w:tcW w:w="793" w:type="dxa"/>
            <w:vAlign w:val="center"/>
          </w:tcPr>
          <w:p w14:paraId="24B58B9E">
            <w:pPr>
              <w:snapToGrid w:val="0"/>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5分</w:t>
            </w:r>
          </w:p>
        </w:tc>
        <w:tc>
          <w:tcPr>
            <w:tcW w:w="2133" w:type="dxa"/>
            <w:vAlign w:val="center"/>
          </w:tcPr>
          <w:p w14:paraId="53384F0D">
            <w:pPr>
              <w:snapToGrid w:val="0"/>
              <w:jc w:val="center"/>
              <w:rPr>
                <w:rFonts w:ascii="宋体" w:hAnsi="宋体" w:cs="宋体"/>
                <w:color w:val="auto"/>
                <w:highlight w:val="none"/>
              </w:rPr>
            </w:pPr>
            <w:r>
              <w:rPr>
                <w:rFonts w:hint="eastAsia" w:ascii="宋体" w:hAnsi="宋体" w:cs="宋体"/>
                <w:color w:val="auto"/>
                <w:sz w:val="24"/>
                <w:highlight w:val="none"/>
                <w:lang w:eastAsia="zh-CN"/>
              </w:rPr>
              <w:t>主</w:t>
            </w:r>
            <w:r>
              <w:rPr>
                <w:rFonts w:hint="eastAsia" w:ascii="宋体" w:hAnsi="宋体" w:eastAsia="宋体" w:cs="宋体"/>
                <w:color w:val="auto"/>
                <w:sz w:val="24"/>
                <w:highlight w:val="none"/>
              </w:rPr>
              <w:t>观分</w:t>
            </w:r>
          </w:p>
        </w:tc>
      </w:tr>
      <w:tr w14:paraId="28B2D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5641B043">
            <w:pPr>
              <w:snapToGrid w:val="0"/>
              <w:jc w:val="center"/>
              <w:rPr>
                <w:rFonts w:hint="eastAsia" w:ascii="宋体" w:hAnsi="宋体" w:eastAsia="宋体" w:cs="宋体"/>
                <w:color w:val="auto"/>
                <w:highlight w:val="none"/>
                <w:lang w:val="en-US" w:eastAsia="zh-CN"/>
              </w:rPr>
            </w:pPr>
            <w:r>
              <w:rPr>
                <w:rFonts w:hint="eastAsia" w:ascii="宋体" w:hAnsi="宋体" w:cs="宋体"/>
                <w:color w:val="auto"/>
                <w:sz w:val="24"/>
                <w:highlight w:val="none"/>
                <w:lang w:val="en-US" w:eastAsia="zh-CN"/>
              </w:rPr>
              <w:t>5</w:t>
            </w:r>
          </w:p>
        </w:tc>
        <w:tc>
          <w:tcPr>
            <w:tcW w:w="5897" w:type="dxa"/>
            <w:vAlign w:val="center"/>
          </w:tcPr>
          <w:p w14:paraId="08F5C712">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施工组织设计：施工组织设计内容是否全面合理，是否能够结合本项目特点进行整体施工组织计划</w:t>
            </w:r>
          </w:p>
          <w:p w14:paraId="423C444D">
            <w:pPr>
              <w:spacing w:line="360" w:lineRule="auto"/>
              <w:outlineLvl w:val="0"/>
              <w:rPr>
                <w:rFonts w:hint="eastAsia" w:ascii="宋体" w:hAnsi="宋体" w:eastAsia="宋体" w:cs="宋体"/>
                <w:sz w:val="24"/>
                <w:szCs w:val="24"/>
              </w:rPr>
            </w:pPr>
            <w:r>
              <w:rPr>
                <w:rFonts w:hint="eastAsia" w:ascii="宋体" w:hAnsi="宋体" w:cs="宋体"/>
                <w:sz w:val="24"/>
                <w:szCs w:val="24"/>
                <w:lang w:val="en-US" w:eastAsia="zh-CN"/>
              </w:rPr>
              <w:t>内容</w:t>
            </w:r>
            <w:r>
              <w:rPr>
                <w:rFonts w:hint="eastAsia" w:ascii="宋体" w:hAnsi="宋体" w:eastAsia="宋体" w:cs="宋体"/>
                <w:sz w:val="24"/>
                <w:szCs w:val="24"/>
              </w:rPr>
              <w:t>细致合理、可行，充分考虑到了采购人实际需求的得5分；</w:t>
            </w:r>
          </w:p>
          <w:p w14:paraId="1B0BD958">
            <w:pPr>
              <w:spacing w:line="360" w:lineRule="auto"/>
              <w:outlineLvl w:val="0"/>
              <w:rPr>
                <w:rFonts w:hint="eastAsia" w:ascii="宋体" w:hAnsi="宋体" w:eastAsia="宋体" w:cs="宋体"/>
                <w:sz w:val="24"/>
                <w:szCs w:val="24"/>
              </w:rPr>
            </w:pPr>
            <w:r>
              <w:rPr>
                <w:rFonts w:hint="eastAsia" w:ascii="宋体" w:hAnsi="宋体" w:cs="宋体"/>
                <w:sz w:val="24"/>
                <w:szCs w:val="24"/>
                <w:lang w:val="en-US" w:eastAsia="zh-CN"/>
              </w:rPr>
              <w:t>内容</w:t>
            </w:r>
            <w:r>
              <w:rPr>
                <w:rFonts w:hint="eastAsia" w:ascii="宋体" w:hAnsi="宋体" w:eastAsia="宋体" w:cs="宋体"/>
                <w:sz w:val="24"/>
                <w:szCs w:val="24"/>
              </w:rPr>
              <w:t>较为合理、可行，基本考虑到了采购人实际需求的得4分；</w:t>
            </w:r>
          </w:p>
          <w:p w14:paraId="7B07523E">
            <w:pPr>
              <w:spacing w:line="360" w:lineRule="auto"/>
              <w:outlineLvl w:val="0"/>
              <w:rPr>
                <w:rFonts w:hint="eastAsia" w:ascii="宋体" w:hAnsi="宋体" w:eastAsia="宋体" w:cs="宋体"/>
                <w:sz w:val="24"/>
                <w:szCs w:val="24"/>
              </w:rPr>
            </w:pPr>
            <w:r>
              <w:rPr>
                <w:rFonts w:hint="eastAsia" w:ascii="宋体" w:hAnsi="宋体" w:cs="宋体"/>
                <w:sz w:val="24"/>
                <w:szCs w:val="24"/>
                <w:lang w:val="en-US" w:eastAsia="zh-CN"/>
              </w:rPr>
              <w:t>内容</w:t>
            </w:r>
            <w:r>
              <w:rPr>
                <w:rFonts w:hint="eastAsia" w:ascii="宋体" w:hAnsi="宋体" w:eastAsia="宋体" w:cs="宋体"/>
                <w:sz w:val="24"/>
                <w:szCs w:val="24"/>
              </w:rPr>
              <w:t>内容简单，对采购人需求考虑有所疏漏的得3分；</w:t>
            </w:r>
          </w:p>
          <w:p w14:paraId="7E29934C">
            <w:pPr>
              <w:spacing w:line="360" w:lineRule="auto"/>
              <w:outlineLvl w:val="0"/>
              <w:rPr>
                <w:rFonts w:hint="eastAsia" w:ascii="宋体" w:hAnsi="宋体" w:eastAsia="宋体" w:cs="宋体"/>
                <w:sz w:val="24"/>
                <w:szCs w:val="24"/>
              </w:rPr>
            </w:pPr>
            <w:r>
              <w:rPr>
                <w:rFonts w:hint="eastAsia" w:ascii="宋体" w:hAnsi="宋体" w:cs="宋体"/>
                <w:sz w:val="24"/>
                <w:szCs w:val="24"/>
                <w:lang w:val="en-US" w:eastAsia="zh-CN"/>
              </w:rPr>
              <w:t>内容</w:t>
            </w:r>
            <w:r>
              <w:rPr>
                <w:rFonts w:hint="eastAsia" w:ascii="宋体" w:hAnsi="宋体" w:eastAsia="宋体" w:cs="宋体"/>
                <w:sz w:val="24"/>
                <w:szCs w:val="24"/>
              </w:rPr>
              <w:t>部分满足采购文件要求，内容略有欠缺的得2分；</w:t>
            </w:r>
          </w:p>
          <w:p w14:paraId="6D997BB6">
            <w:pPr>
              <w:spacing w:line="360" w:lineRule="auto"/>
              <w:outlineLvl w:val="0"/>
              <w:rPr>
                <w:rFonts w:hint="eastAsia" w:ascii="宋体" w:hAnsi="宋体" w:eastAsia="宋体" w:cs="宋体"/>
                <w:sz w:val="24"/>
                <w:szCs w:val="24"/>
              </w:rPr>
            </w:pPr>
            <w:r>
              <w:rPr>
                <w:rFonts w:hint="eastAsia" w:ascii="宋体" w:hAnsi="宋体" w:cs="宋体"/>
                <w:sz w:val="24"/>
                <w:szCs w:val="24"/>
                <w:lang w:val="en-US" w:eastAsia="zh-CN"/>
              </w:rPr>
              <w:t>内容</w:t>
            </w:r>
            <w:r>
              <w:rPr>
                <w:rFonts w:hint="eastAsia" w:ascii="宋体" w:hAnsi="宋体" w:eastAsia="宋体" w:cs="宋体"/>
                <w:sz w:val="24"/>
                <w:szCs w:val="24"/>
              </w:rPr>
              <w:t>不合理或内容混乱，内容缺失严重的得1分；</w:t>
            </w:r>
          </w:p>
          <w:p w14:paraId="4282264F">
            <w:pPr>
              <w:spacing w:line="360" w:lineRule="auto"/>
              <w:outlineLvl w:val="0"/>
              <w:rPr>
                <w:rFonts w:hint="eastAsia" w:ascii="宋体" w:hAnsi="宋体"/>
                <w:color w:val="auto"/>
                <w:sz w:val="24"/>
                <w:highlight w:val="none"/>
                <w:lang w:val="en-US" w:eastAsia="zh-CN"/>
              </w:rPr>
            </w:pPr>
            <w:r>
              <w:rPr>
                <w:rFonts w:hint="eastAsia" w:ascii="宋体" w:hAnsi="宋体" w:eastAsia="宋体" w:cs="宋体"/>
                <w:sz w:val="24"/>
                <w:szCs w:val="24"/>
              </w:rPr>
              <w:t>未提供不得分。</w:t>
            </w:r>
          </w:p>
        </w:tc>
        <w:tc>
          <w:tcPr>
            <w:tcW w:w="793" w:type="dxa"/>
            <w:vAlign w:val="center"/>
          </w:tcPr>
          <w:p w14:paraId="4B87A7EE">
            <w:pPr>
              <w:snapToGrid w:val="0"/>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5分</w:t>
            </w:r>
          </w:p>
        </w:tc>
        <w:tc>
          <w:tcPr>
            <w:tcW w:w="2133" w:type="dxa"/>
            <w:vAlign w:val="center"/>
          </w:tcPr>
          <w:p w14:paraId="657B362F">
            <w:pPr>
              <w:snapToGrid w:val="0"/>
              <w:jc w:val="center"/>
              <w:rPr>
                <w:rFonts w:ascii="宋体" w:hAnsi="宋体" w:cs="宋体"/>
                <w:color w:val="auto"/>
                <w:highlight w:val="none"/>
              </w:rPr>
            </w:pPr>
            <w:r>
              <w:rPr>
                <w:rFonts w:hint="eastAsia" w:ascii="宋体" w:hAnsi="宋体" w:cs="宋体"/>
                <w:color w:val="auto"/>
                <w:sz w:val="24"/>
                <w:highlight w:val="none"/>
                <w:lang w:eastAsia="zh-CN"/>
              </w:rPr>
              <w:t>主</w:t>
            </w:r>
            <w:r>
              <w:rPr>
                <w:rFonts w:hint="eastAsia" w:ascii="宋体" w:hAnsi="宋体" w:eastAsia="宋体" w:cs="宋体"/>
                <w:color w:val="auto"/>
                <w:sz w:val="24"/>
                <w:highlight w:val="none"/>
              </w:rPr>
              <w:t>观分</w:t>
            </w:r>
          </w:p>
        </w:tc>
      </w:tr>
      <w:tr w14:paraId="49022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1A417F6F">
            <w:pPr>
              <w:snapToGrid w:val="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5897" w:type="dxa"/>
            <w:vAlign w:val="center"/>
          </w:tcPr>
          <w:p w14:paraId="1FD71C9C">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关键工序、复杂环节的相应技术措施的全面性、可实施性和具有针对性</w:t>
            </w:r>
          </w:p>
          <w:p w14:paraId="4400F2EB">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措施科学、合理、到位，</w:t>
            </w:r>
            <w:r>
              <w:rPr>
                <w:rFonts w:hint="eastAsia" w:ascii="宋体" w:hAnsi="宋体" w:eastAsia="宋体" w:cs="宋体"/>
                <w:sz w:val="24"/>
                <w:szCs w:val="24"/>
                <w:lang w:val="zh-CN"/>
              </w:rPr>
              <w:t>完整可行</w:t>
            </w:r>
            <w:r>
              <w:rPr>
                <w:rFonts w:hint="eastAsia" w:ascii="宋体" w:hAnsi="宋体" w:eastAsia="宋体" w:cs="宋体"/>
                <w:sz w:val="24"/>
                <w:szCs w:val="24"/>
              </w:rPr>
              <w:t>的得5分；</w:t>
            </w:r>
          </w:p>
          <w:p w14:paraId="7A34BBE2">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措施较为科学、合理、到位，</w:t>
            </w:r>
            <w:r>
              <w:rPr>
                <w:rFonts w:hint="eastAsia" w:ascii="宋体" w:hAnsi="宋体" w:eastAsia="宋体" w:cs="宋体"/>
                <w:sz w:val="24"/>
                <w:szCs w:val="24"/>
                <w:lang w:val="zh-CN"/>
              </w:rPr>
              <w:t>较完整可行</w:t>
            </w:r>
            <w:r>
              <w:rPr>
                <w:rFonts w:hint="eastAsia" w:ascii="宋体" w:hAnsi="宋体" w:eastAsia="宋体" w:cs="宋体"/>
                <w:sz w:val="24"/>
                <w:szCs w:val="24"/>
              </w:rPr>
              <w:t>，得4分；</w:t>
            </w:r>
          </w:p>
          <w:p w14:paraId="44A2830F">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措施基本科学、合理，</w:t>
            </w:r>
            <w:r>
              <w:rPr>
                <w:rFonts w:hint="eastAsia" w:ascii="宋体" w:hAnsi="宋体" w:eastAsia="宋体" w:cs="宋体"/>
                <w:sz w:val="24"/>
                <w:szCs w:val="24"/>
                <w:lang w:val="zh-CN"/>
              </w:rPr>
              <w:t>基本满足需求</w:t>
            </w:r>
            <w:r>
              <w:rPr>
                <w:rFonts w:hint="eastAsia" w:ascii="宋体" w:hAnsi="宋体" w:eastAsia="宋体" w:cs="宋体"/>
                <w:sz w:val="24"/>
                <w:szCs w:val="24"/>
              </w:rPr>
              <w:t>，得3分</w:t>
            </w:r>
          </w:p>
          <w:p w14:paraId="6EDA6A29">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措施欠科学、欠合理，存在瑕疵，得2分；</w:t>
            </w:r>
          </w:p>
          <w:p w14:paraId="4ED8365F">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措施欠科学、欠合理、</w:t>
            </w:r>
            <w:r>
              <w:rPr>
                <w:rFonts w:hint="eastAsia" w:ascii="宋体" w:hAnsi="宋体" w:eastAsia="宋体" w:cs="宋体"/>
                <w:sz w:val="24"/>
                <w:szCs w:val="24"/>
                <w:lang w:val="zh-CN"/>
              </w:rPr>
              <w:t>措施缺陷较多</w:t>
            </w:r>
            <w:r>
              <w:rPr>
                <w:rFonts w:hint="eastAsia" w:ascii="宋体" w:hAnsi="宋体" w:eastAsia="宋体" w:cs="宋体"/>
                <w:sz w:val="24"/>
                <w:szCs w:val="24"/>
              </w:rPr>
              <w:t>，得1分；</w:t>
            </w:r>
          </w:p>
          <w:p w14:paraId="6D232A01">
            <w:pPr>
              <w:spacing w:line="360" w:lineRule="auto"/>
              <w:outlineLvl w:val="0"/>
              <w:rPr>
                <w:rFonts w:hint="eastAsia" w:ascii="宋体" w:hAnsi="宋体"/>
                <w:color w:val="0000FF"/>
                <w:sz w:val="24"/>
                <w:highlight w:val="none"/>
                <w:lang w:val="en-US" w:eastAsia="zh-CN"/>
              </w:rPr>
            </w:pPr>
            <w:r>
              <w:rPr>
                <w:rFonts w:hint="eastAsia" w:ascii="宋体" w:hAnsi="宋体" w:eastAsia="宋体" w:cs="宋体"/>
                <w:sz w:val="24"/>
                <w:szCs w:val="24"/>
              </w:rPr>
              <w:t>未提供不得分</w:t>
            </w:r>
            <w:r>
              <w:rPr>
                <w:rFonts w:hint="eastAsia" w:ascii="宋体" w:hAnsi="宋体" w:cs="宋体"/>
                <w:sz w:val="24"/>
                <w:szCs w:val="24"/>
                <w:lang w:eastAsia="zh-CN"/>
              </w:rPr>
              <w:t>。</w:t>
            </w:r>
          </w:p>
        </w:tc>
        <w:tc>
          <w:tcPr>
            <w:tcW w:w="793" w:type="dxa"/>
          </w:tcPr>
          <w:p w14:paraId="58AA5907">
            <w:pPr>
              <w:snapToGrid w:val="0"/>
              <w:jc w:val="center"/>
              <w:outlineLvl w:val="0"/>
              <w:rPr>
                <w:rFonts w:hint="eastAsia" w:ascii="宋体" w:hAnsi="宋体" w:cs="宋体"/>
                <w:bCs/>
                <w:color w:val="auto"/>
                <w:sz w:val="24"/>
                <w:highlight w:val="none"/>
                <w:lang w:val="en-US" w:eastAsia="zh-CN"/>
              </w:rPr>
            </w:pPr>
          </w:p>
          <w:p w14:paraId="19EE163E">
            <w:pPr>
              <w:snapToGrid w:val="0"/>
              <w:jc w:val="center"/>
              <w:outlineLvl w:val="0"/>
              <w:rPr>
                <w:rFonts w:hint="eastAsia" w:ascii="宋体" w:hAnsi="宋体" w:cs="宋体"/>
                <w:bCs/>
                <w:color w:val="auto"/>
                <w:sz w:val="24"/>
                <w:highlight w:val="none"/>
                <w:lang w:val="en-US" w:eastAsia="zh-CN"/>
              </w:rPr>
            </w:pPr>
          </w:p>
          <w:p w14:paraId="42476E81">
            <w:pPr>
              <w:snapToGrid w:val="0"/>
              <w:jc w:val="center"/>
              <w:outlineLvl w:val="0"/>
              <w:rPr>
                <w:rFonts w:hint="eastAsia" w:ascii="宋体" w:hAnsi="宋体" w:cs="宋体"/>
                <w:bCs/>
                <w:color w:val="auto"/>
                <w:sz w:val="24"/>
                <w:highlight w:val="none"/>
                <w:lang w:val="en-US" w:eastAsia="zh-CN"/>
              </w:rPr>
            </w:pPr>
          </w:p>
          <w:p w14:paraId="4EC1AF66">
            <w:pPr>
              <w:snapToGrid w:val="0"/>
              <w:jc w:val="center"/>
              <w:outlineLvl w:val="0"/>
              <w:rPr>
                <w:rFonts w:hint="eastAsia" w:ascii="宋体" w:hAnsi="宋体" w:cs="宋体"/>
                <w:bCs/>
                <w:color w:val="auto"/>
                <w:sz w:val="24"/>
                <w:highlight w:val="none"/>
                <w:lang w:val="en-US" w:eastAsia="zh-CN"/>
              </w:rPr>
            </w:pPr>
          </w:p>
          <w:p w14:paraId="258E05E8">
            <w:pPr>
              <w:snapToGrid w:val="0"/>
              <w:jc w:val="center"/>
              <w:outlineLvl w:val="0"/>
              <w:rPr>
                <w:rFonts w:hint="eastAsia" w:ascii="宋体" w:hAnsi="宋体" w:cs="宋体"/>
                <w:bCs/>
                <w:color w:val="auto"/>
                <w:sz w:val="24"/>
                <w:highlight w:val="none"/>
                <w:lang w:val="en-US" w:eastAsia="zh-CN"/>
              </w:rPr>
            </w:pPr>
          </w:p>
          <w:p w14:paraId="1C5DEEDC">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lang w:val="en-US" w:eastAsia="zh-CN"/>
              </w:rPr>
              <w:t>5分</w:t>
            </w:r>
          </w:p>
        </w:tc>
        <w:tc>
          <w:tcPr>
            <w:tcW w:w="2133" w:type="dxa"/>
          </w:tcPr>
          <w:p w14:paraId="770D6999">
            <w:pPr>
              <w:snapToGrid w:val="0"/>
              <w:rPr>
                <w:rFonts w:hint="eastAsia" w:ascii="宋体" w:hAnsi="宋体" w:cs="宋体"/>
                <w:color w:val="auto"/>
                <w:highlight w:val="none"/>
                <w:lang w:val="en-US" w:eastAsia="zh-CN"/>
              </w:rPr>
            </w:pPr>
          </w:p>
          <w:p w14:paraId="252B57B1">
            <w:pPr>
              <w:snapToGrid w:val="0"/>
              <w:jc w:val="center"/>
              <w:rPr>
                <w:rFonts w:hint="eastAsia" w:ascii="宋体" w:hAnsi="宋体" w:cs="宋体"/>
                <w:color w:val="auto"/>
                <w:sz w:val="24"/>
                <w:highlight w:val="none"/>
                <w:lang w:val="en-US" w:eastAsia="zh-CN"/>
              </w:rPr>
            </w:pPr>
          </w:p>
          <w:p w14:paraId="0292F178">
            <w:pPr>
              <w:snapToGrid w:val="0"/>
              <w:jc w:val="center"/>
              <w:rPr>
                <w:rFonts w:hint="eastAsia" w:ascii="宋体" w:hAnsi="宋体" w:cs="宋体"/>
                <w:color w:val="auto"/>
                <w:sz w:val="24"/>
                <w:highlight w:val="none"/>
                <w:lang w:val="en-US" w:eastAsia="zh-CN"/>
              </w:rPr>
            </w:pPr>
          </w:p>
          <w:p w14:paraId="71B6B163">
            <w:pPr>
              <w:snapToGrid w:val="0"/>
              <w:jc w:val="center"/>
              <w:rPr>
                <w:rFonts w:hint="eastAsia" w:ascii="宋体" w:hAnsi="宋体" w:cs="宋体"/>
                <w:color w:val="auto"/>
                <w:sz w:val="24"/>
                <w:highlight w:val="none"/>
                <w:lang w:val="en-US" w:eastAsia="zh-CN"/>
              </w:rPr>
            </w:pPr>
          </w:p>
          <w:p w14:paraId="7782C631">
            <w:pPr>
              <w:snapToGrid w:val="0"/>
              <w:jc w:val="center"/>
              <w:rPr>
                <w:rFonts w:hint="eastAsia" w:ascii="宋体" w:hAnsi="宋体" w:cs="宋体"/>
                <w:color w:val="auto"/>
                <w:sz w:val="24"/>
                <w:highlight w:val="none"/>
                <w:lang w:val="en-US" w:eastAsia="zh-CN"/>
              </w:rPr>
            </w:pPr>
          </w:p>
          <w:p w14:paraId="5AE5A3A2">
            <w:pPr>
              <w:snapToGrid w:val="0"/>
              <w:jc w:val="center"/>
              <w:rPr>
                <w:rFonts w:hint="eastAsia" w:ascii="宋体" w:hAnsi="宋体" w:eastAsia="宋体" w:cs="宋体"/>
                <w:color w:val="auto"/>
                <w:highlight w:val="none"/>
                <w:lang w:val="en-US" w:eastAsia="zh-CN"/>
              </w:rPr>
            </w:pPr>
            <w:r>
              <w:rPr>
                <w:rFonts w:hint="eastAsia" w:ascii="宋体" w:hAnsi="宋体" w:cs="宋体"/>
                <w:color w:val="auto"/>
                <w:sz w:val="24"/>
                <w:highlight w:val="none"/>
                <w:lang w:val="en-US" w:eastAsia="zh-CN"/>
              </w:rPr>
              <w:t>主观分</w:t>
            </w:r>
          </w:p>
        </w:tc>
      </w:tr>
      <w:tr w14:paraId="5F848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593B63FB">
            <w:pPr>
              <w:snapToGrid w:val="0"/>
              <w:jc w:val="center"/>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7</w:t>
            </w:r>
          </w:p>
        </w:tc>
        <w:tc>
          <w:tcPr>
            <w:tcW w:w="5897" w:type="dxa"/>
            <w:vAlign w:val="center"/>
          </w:tcPr>
          <w:p w14:paraId="62B6F685">
            <w:pPr>
              <w:spacing w:line="360" w:lineRule="auto"/>
              <w:outlineLvl w:val="0"/>
              <w:rPr>
                <w:rFonts w:hint="eastAsia" w:ascii="宋体" w:hAnsi="宋体" w:cs="Times New Roman"/>
                <w:color w:val="0000FF"/>
                <w:sz w:val="24"/>
                <w:highlight w:val="none"/>
              </w:rPr>
            </w:pPr>
            <w:r>
              <w:rPr>
                <w:rFonts w:hint="eastAsia" w:ascii="宋体" w:hAnsi="宋体" w:eastAsia="宋体" w:cs="宋体"/>
                <w:sz w:val="24"/>
                <w:szCs w:val="24"/>
              </w:rPr>
              <w:t>质量目标及质量控制措施，内容完善可实施性强得</w:t>
            </w:r>
            <w:r>
              <w:rPr>
                <w:rFonts w:hint="eastAsia" w:ascii="宋体" w:hAnsi="宋体" w:cs="宋体"/>
                <w:sz w:val="24"/>
                <w:szCs w:val="24"/>
                <w:lang w:val="en-US" w:eastAsia="zh-CN"/>
              </w:rPr>
              <w:t>6</w:t>
            </w:r>
            <w:r>
              <w:rPr>
                <w:rFonts w:hint="eastAsia" w:ascii="宋体" w:hAnsi="宋体" w:eastAsia="宋体" w:cs="宋体"/>
                <w:sz w:val="24"/>
                <w:szCs w:val="24"/>
              </w:rPr>
              <w:t>分，内容基本全面有针对性得</w:t>
            </w:r>
            <w:r>
              <w:rPr>
                <w:rFonts w:hint="eastAsia" w:ascii="宋体" w:hAnsi="宋体" w:cs="宋体"/>
                <w:sz w:val="24"/>
                <w:szCs w:val="24"/>
                <w:lang w:val="en-US" w:eastAsia="zh-CN"/>
              </w:rPr>
              <w:t>4</w:t>
            </w:r>
            <w:r>
              <w:rPr>
                <w:rFonts w:hint="eastAsia" w:ascii="宋体" w:hAnsi="宋体" w:eastAsia="宋体" w:cs="宋体"/>
                <w:sz w:val="24"/>
                <w:szCs w:val="24"/>
              </w:rPr>
              <w:t>分，内容基本全面针对性</w:t>
            </w:r>
            <w:r>
              <w:rPr>
                <w:rFonts w:hint="eastAsia" w:ascii="宋体" w:hAnsi="宋体" w:eastAsia="宋体" w:cs="宋体"/>
                <w:sz w:val="24"/>
                <w:szCs w:val="24"/>
                <w:lang w:val="en-US" w:eastAsia="zh-CN"/>
              </w:rPr>
              <w:t>欠缺</w:t>
            </w:r>
            <w:r>
              <w:rPr>
                <w:rFonts w:hint="eastAsia" w:ascii="宋体" w:hAnsi="宋体" w:eastAsia="宋体" w:cs="宋体"/>
                <w:sz w:val="24"/>
                <w:szCs w:val="24"/>
              </w:rPr>
              <w:t>得</w:t>
            </w:r>
            <w:r>
              <w:rPr>
                <w:rFonts w:hint="eastAsia" w:ascii="宋体" w:hAnsi="宋体" w:cs="宋体"/>
                <w:sz w:val="24"/>
                <w:szCs w:val="24"/>
                <w:lang w:val="en-US" w:eastAsia="zh-CN"/>
              </w:rPr>
              <w:t>2</w:t>
            </w:r>
            <w:r>
              <w:rPr>
                <w:rFonts w:hint="eastAsia" w:ascii="宋体" w:hAnsi="宋体" w:eastAsia="宋体" w:cs="宋体"/>
                <w:sz w:val="24"/>
                <w:szCs w:val="24"/>
              </w:rPr>
              <w:t>分，内容缺陷明显需完善后实施得</w:t>
            </w:r>
            <w:r>
              <w:rPr>
                <w:rFonts w:hint="eastAsia" w:ascii="宋体" w:hAnsi="宋体" w:cs="宋体"/>
                <w:sz w:val="24"/>
                <w:szCs w:val="24"/>
                <w:lang w:val="en-US" w:eastAsia="zh-CN"/>
              </w:rPr>
              <w:t>1</w:t>
            </w:r>
            <w:r>
              <w:rPr>
                <w:rFonts w:hint="eastAsia" w:ascii="宋体" w:hAnsi="宋体" w:eastAsia="宋体" w:cs="宋体"/>
                <w:sz w:val="24"/>
                <w:szCs w:val="24"/>
              </w:rPr>
              <w:t>分，不可行不得分。</w:t>
            </w:r>
          </w:p>
        </w:tc>
        <w:tc>
          <w:tcPr>
            <w:tcW w:w="793" w:type="dxa"/>
            <w:vAlign w:val="top"/>
          </w:tcPr>
          <w:p w14:paraId="00CC89DB">
            <w:pPr>
              <w:snapToGrid w:val="0"/>
              <w:jc w:val="center"/>
              <w:outlineLvl w:val="0"/>
              <w:rPr>
                <w:rFonts w:hint="eastAsia" w:ascii="宋体" w:hAnsi="宋体" w:cs="宋体"/>
                <w:bCs/>
                <w:color w:val="auto"/>
                <w:sz w:val="24"/>
                <w:highlight w:val="none"/>
                <w:lang w:val="en-US" w:eastAsia="zh-CN"/>
              </w:rPr>
            </w:pPr>
          </w:p>
          <w:p w14:paraId="15D5A599">
            <w:pPr>
              <w:snapToGrid w:val="0"/>
              <w:jc w:val="center"/>
              <w:outlineLvl w:val="0"/>
              <w:rPr>
                <w:rFonts w:hint="eastAsia" w:ascii="宋体" w:hAnsi="宋体" w:cs="宋体"/>
                <w:bCs/>
                <w:color w:val="auto"/>
                <w:sz w:val="24"/>
                <w:highlight w:val="none"/>
                <w:lang w:val="en-US" w:eastAsia="zh-CN"/>
              </w:rPr>
            </w:pPr>
          </w:p>
          <w:p w14:paraId="792EBE04">
            <w:pPr>
              <w:snapToGrid w:val="0"/>
              <w:jc w:val="center"/>
              <w:outlineLvl w:val="0"/>
              <w:rPr>
                <w:rFonts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6分</w:t>
            </w:r>
          </w:p>
        </w:tc>
        <w:tc>
          <w:tcPr>
            <w:tcW w:w="2133" w:type="dxa"/>
            <w:vAlign w:val="top"/>
          </w:tcPr>
          <w:p w14:paraId="54520F40">
            <w:pPr>
              <w:snapToGrid w:val="0"/>
              <w:rPr>
                <w:rFonts w:hint="eastAsia" w:ascii="宋体" w:hAnsi="宋体" w:cs="宋体"/>
                <w:color w:val="auto"/>
                <w:highlight w:val="none"/>
                <w:lang w:val="en-US" w:eastAsia="zh-CN"/>
              </w:rPr>
            </w:pPr>
          </w:p>
          <w:p w14:paraId="46178845">
            <w:pPr>
              <w:snapToGrid w:val="0"/>
              <w:jc w:val="center"/>
              <w:rPr>
                <w:rFonts w:hint="eastAsia" w:ascii="宋体" w:hAnsi="宋体" w:eastAsia="宋体" w:cs="宋体"/>
                <w:color w:val="auto"/>
                <w:sz w:val="24"/>
                <w:highlight w:val="none"/>
                <w:lang w:val="en-US" w:eastAsia="zh-CN"/>
              </w:rPr>
            </w:pPr>
          </w:p>
          <w:p w14:paraId="1AC8AFDA">
            <w:pPr>
              <w:snapToGrid w:val="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4"/>
                <w:highlight w:val="none"/>
                <w:lang w:val="en-US" w:eastAsia="zh-CN"/>
              </w:rPr>
              <w:t>主观分</w:t>
            </w:r>
          </w:p>
        </w:tc>
      </w:tr>
      <w:tr w14:paraId="18699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1DF27CD7">
            <w:pPr>
              <w:snapToGrid w:val="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5897" w:type="dxa"/>
            <w:vAlign w:val="center"/>
          </w:tcPr>
          <w:p w14:paraId="5F7B7B3A">
            <w:pPr>
              <w:spacing w:line="360" w:lineRule="auto"/>
              <w:outlineLvl w:val="0"/>
              <w:rPr>
                <w:rFonts w:hint="eastAsia" w:ascii="宋体" w:hAnsi="宋体" w:eastAsia="宋体" w:cs="宋体"/>
                <w:sz w:val="24"/>
                <w:szCs w:val="24"/>
                <w:lang w:eastAsia="zh-CN"/>
              </w:rPr>
            </w:pPr>
            <w:r>
              <w:rPr>
                <w:rFonts w:hint="eastAsia" w:ascii="宋体" w:hAnsi="宋体" w:eastAsia="宋体" w:cs="宋体"/>
                <w:sz w:val="24"/>
                <w:szCs w:val="24"/>
              </w:rPr>
              <w:t>项目进度安排（进度计划表、进度保障措施等）</w:t>
            </w:r>
            <w:r>
              <w:rPr>
                <w:rFonts w:hint="eastAsia" w:ascii="宋体" w:hAnsi="宋体" w:eastAsia="宋体" w:cs="宋体"/>
                <w:sz w:val="24"/>
                <w:szCs w:val="24"/>
                <w:lang w:eastAsia="zh-CN"/>
              </w:rPr>
              <w:t>：</w:t>
            </w:r>
          </w:p>
          <w:p w14:paraId="5795F4E8">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1）具有合理可行的进度计划表得</w:t>
            </w:r>
            <w:r>
              <w:rPr>
                <w:rFonts w:hint="eastAsia" w:ascii="宋体" w:hAnsi="宋体" w:cs="宋体"/>
                <w:sz w:val="24"/>
                <w:szCs w:val="24"/>
                <w:lang w:val="en-US" w:eastAsia="zh-CN"/>
              </w:rPr>
              <w:t>3</w:t>
            </w:r>
            <w:r>
              <w:rPr>
                <w:rFonts w:hint="eastAsia" w:ascii="宋体" w:hAnsi="宋体" w:eastAsia="宋体" w:cs="宋体"/>
                <w:sz w:val="24"/>
                <w:szCs w:val="24"/>
              </w:rPr>
              <w:t>分</w:t>
            </w:r>
            <w:r>
              <w:rPr>
                <w:rFonts w:hint="eastAsia" w:ascii="宋体" w:hAnsi="宋体" w:cs="宋体"/>
                <w:sz w:val="24"/>
                <w:szCs w:val="24"/>
                <w:lang w:eastAsia="zh-CN"/>
              </w:rPr>
              <w:t>，</w:t>
            </w:r>
            <w:r>
              <w:rPr>
                <w:rFonts w:hint="eastAsia" w:ascii="宋体" w:hAnsi="宋体" w:cs="宋体"/>
                <w:sz w:val="24"/>
                <w:szCs w:val="24"/>
                <w:lang w:val="en-US" w:eastAsia="zh-CN"/>
              </w:rPr>
              <w:t>大致合理的得2分，有欠缺的得1分，未提供不得分</w:t>
            </w:r>
            <w:r>
              <w:rPr>
                <w:rFonts w:hint="eastAsia" w:ascii="宋体" w:hAnsi="宋体" w:eastAsia="宋体" w:cs="宋体"/>
                <w:sz w:val="24"/>
                <w:szCs w:val="24"/>
              </w:rPr>
              <w:t>；</w:t>
            </w:r>
          </w:p>
          <w:p w14:paraId="7A98743E">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2）项目进度保障，工期提前措施，保障项目质量的前提，尽可能的提前工期，提供措施描述，合理得</w:t>
            </w:r>
            <w:r>
              <w:rPr>
                <w:rFonts w:hint="eastAsia" w:ascii="宋体" w:hAnsi="宋体" w:cs="宋体"/>
                <w:sz w:val="24"/>
                <w:szCs w:val="24"/>
                <w:lang w:val="en-US" w:eastAsia="zh-CN"/>
              </w:rPr>
              <w:t>3</w:t>
            </w:r>
            <w:r>
              <w:rPr>
                <w:rFonts w:hint="eastAsia" w:ascii="宋体" w:hAnsi="宋体" w:eastAsia="宋体" w:cs="宋体"/>
                <w:sz w:val="24"/>
                <w:szCs w:val="24"/>
              </w:rPr>
              <w:t>分，基本可行得</w:t>
            </w:r>
            <w:r>
              <w:rPr>
                <w:rFonts w:hint="eastAsia" w:ascii="宋体" w:hAnsi="宋体" w:cs="宋体"/>
                <w:sz w:val="24"/>
                <w:szCs w:val="24"/>
                <w:lang w:val="en-US" w:eastAsia="zh-CN"/>
              </w:rPr>
              <w:t>2</w:t>
            </w:r>
            <w:r>
              <w:rPr>
                <w:rFonts w:hint="eastAsia" w:ascii="宋体" w:hAnsi="宋体" w:eastAsia="宋体" w:cs="宋体"/>
                <w:sz w:val="24"/>
                <w:szCs w:val="24"/>
              </w:rPr>
              <w:t>分，</w:t>
            </w:r>
            <w:r>
              <w:rPr>
                <w:rFonts w:hint="eastAsia" w:ascii="宋体" w:hAnsi="宋体" w:cs="宋体"/>
                <w:sz w:val="24"/>
                <w:szCs w:val="24"/>
                <w:lang w:val="en-US" w:eastAsia="zh-CN"/>
              </w:rPr>
              <w:t>有欠缺的得1分，</w:t>
            </w:r>
            <w:r>
              <w:rPr>
                <w:rFonts w:hint="eastAsia" w:ascii="宋体" w:hAnsi="宋体" w:eastAsia="宋体" w:cs="宋体"/>
                <w:sz w:val="24"/>
                <w:szCs w:val="24"/>
              </w:rPr>
              <w:t>不可行或未提供不得分；</w:t>
            </w:r>
          </w:p>
          <w:p w14:paraId="7136F339">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3）主要器械进场安排，是否结合工期安排，合理可行得</w:t>
            </w:r>
            <w:r>
              <w:rPr>
                <w:rFonts w:hint="eastAsia" w:ascii="宋体" w:hAnsi="宋体" w:cs="宋体"/>
                <w:sz w:val="24"/>
                <w:szCs w:val="24"/>
                <w:lang w:val="en-US" w:eastAsia="zh-CN"/>
              </w:rPr>
              <w:t>3</w:t>
            </w:r>
            <w:r>
              <w:rPr>
                <w:rFonts w:hint="eastAsia" w:ascii="宋体" w:hAnsi="宋体" w:eastAsia="宋体" w:cs="宋体"/>
                <w:sz w:val="24"/>
                <w:szCs w:val="24"/>
              </w:rPr>
              <w:t>分，</w:t>
            </w:r>
            <w:r>
              <w:rPr>
                <w:rFonts w:hint="eastAsia" w:ascii="宋体" w:hAnsi="宋体" w:cs="宋体"/>
                <w:sz w:val="24"/>
                <w:szCs w:val="24"/>
                <w:lang w:val="en-US" w:eastAsia="zh-CN"/>
              </w:rPr>
              <w:t>大致合理的得2分，有欠缺的得1分，未提供不得分</w:t>
            </w:r>
            <w:r>
              <w:rPr>
                <w:rFonts w:hint="eastAsia" w:ascii="宋体" w:hAnsi="宋体" w:eastAsia="宋体" w:cs="宋体"/>
                <w:sz w:val="24"/>
                <w:szCs w:val="24"/>
              </w:rPr>
              <w:t>；</w:t>
            </w:r>
          </w:p>
          <w:p w14:paraId="19CF373A">
            <w:pPr>
              <w:spacing w:line="360" w:lineRule="auto"/>
              <w:outlineLvl w:val="0"/>
              <w:rPr>
                <w:rFonts w:hint="eastAsia" w:ascii="宋体" w:hAnsi="宋体"/>
                <w:color w:val="0000FF"/>
                <w:sz w:val="24"/>
                <w:highlight w:val="none"/>
                <w:lang w:val="en-US" w:eastAsia="zh-CN"/>
              </w:rPr>
            </w:pPr>
            <w:r>
              <w:rPr>
                <w:rFonts w:hint="eastAsia" w:ascii="宋体" w:hAnsi="宋体" w:eastAsia="宋体" w:cs="宋体"/>
                <w:sz w:val="24"/>
                <w:szCs w:val="24"/>
              </w:rPr>
              <w:t>4）突发应急保障能力，根据可能出现的突发事件，提出合理可行的应对措施，</w:t>
            </w:r>
            <w:r>
              <w:rPr>
                <w:rFonts w:hint="eastAsia" w:ascii="宋体" w:hAnsi="宋体" w:cs="宋体"/>
                <w:sz w:val="24"/>
                <w:szCs w:val="24"/>
                <w:lang w:val="en-US" w:eastAsia="zh-CN"/>
              </w:rPr>
              <w:t>合理的得3分，大致合理的得2分，有欠缺的得1分，未提供不得分</w:t>
            </w:r>
            <w:r>
              <w:rPr>
                <w:rFonts w:hint="eastAsia" w:ascii="宋体" w:hAnsi="宋体" w:eastAsia="宋体" w:cs="宋体"/>
                <w:sz w:val="24"/>
                <w:szCs w:val="24"/>
                <w:lang w:eastAsia="zh-CN"/>
              </w:rPr>
              <w:t>。</w:t>
            </w:r>
          </w:p>
        </w:tc>
        <w:tc>
          <w:tcPr>
            <w:tcW w:w="793" w:type="dxa"/>
            <w:vAlign w:val="top"/>
          </w:tcPr>
          <w:p w14:paraId="0B336BBD">
            <w:pPr>
              <w:snapToGrid w:val="0"/>
              <w:jc w:val="center"/>
              <w:outlineLvl w:val="0"/>
              <w:rPr>
                <w:rFonts w:hint="eastAsia" w:ascii="宋体" w:hAnsi="宋体" w:cs="宋体"/>
                <w:bCs/>
                <w:color w:val="auto"/>
                <w:sz w:val="24"/>
                <w:highlight w:val="none"/>
                <w:lang w:val="en-US" w:eastAsia="zh-CN"/>
              </w:rPr>
            </w:pPr>
          </w:p>
          <w:p w14:paraId="5D31AB52">
            <w:pPr>
              <w:snapToGrid w:val="0"/>
              <w:jc w:val="center"/>
              <w:outlineLvl w:val="0"/>
              <w:rPr>
                <w:rFonts w:hint="eastAsia" w:ascii="宋体" w:hAnsi="宋体" w:cs="宋体"/>
                <w:bCs/>
                <w:color w:val="auto"/>
                <w:sz w:val="24"/>
                <w:highlight w:val="none"/>
                <w:lang w:val="en-US" w:eastAsia="zh-CN"/>
              </w:rPr>
            </w:pPr>
          </w:p>
          <w:p w14:paraId="66F56D60">
            <w:pPr>
              <w:snapToGrid w:val="0"/>
              <w:jc w:val="center"/>
              <w:outlineLvl w:val="0"/>
              <w:rPr>
                <w:rFonts w:hint="eastAsia" w:ascii="宋体" w:hAnsi="宋体" w:cs="宋体"/>
                <w:bCs/>
                <w:color w:val="auto"/>
                <w:sz w:val="24"/>
                <w:highlight w:val="none"/>
                <w:lang w:val="en-US" w:eastAsia="zh-CN"/>
              </w:rPr>
            </w:pPr>
          </w:p>
          <w:p w14:paraId="7C2E3373">
            <w:pPr>
              <w:snapToGrid w:val="0"/>
              <w:jc w:val="center"/>
              <w:outlineLvl w:val="0"/>
              <w:rPr>
                <w:rFonts w:hint="eastAsia" w:ascii="宋体" w:hAnsi="宋体" w:cs="宋体"/>
                <w:bCs/>
                <w:color w:val="auto"/>
                <w:sz w:val="24"/>
                <w:highlight w:val="none"/>
                <w:lang w:val="en-US" w:eastAsia="zh-CN"/>
              </w:rPr>
            </w:pPr>
          </w:p>
          <w:p w14:paraId="38072F8D">
            <w:pPr>
              <w:snapToGrid w:val="0"/>
              <w:jc w:val="center"/>
              <w:outlineLvl w:val="0"/>
              <w:rPr>
                <w:rFonts w:hint="eastAsia" w:ascii="宋体" w:hAnsi="宋体" w:cs="宋体"/>
                <w:bCs/>
                <w:color w:val="auto"/>
                <w:sz w:val="24"/>
                <w:highlight w:val="none"/>
                <w:lang w:val="en-US" w:eastAsia="zh-CN"/>
              </w:rPr>
            </w:pPr>
          </w:p>
          <w:p w14:paraId="4F2260AB">
            <w:pPr>
              <w:snapToGrid w:val="0"/>
              <w:jc w:val="center"/>
              <w:outlineLvl w:val="0"/>
              <w:rPr>
                <w:rFonts w:hint="eastAsia" w:ascii="宋体" w:hAnsi="宋体" w:cs="宋体"/>
                <w:bCs/>
                <w:color w:val="auto"/>
                <w:sz w:val="24"/>
                <w:highlight w:val="none"/>
                <w:lang w:val="en-US" w:eastAsia="zh-CN"/>
              </w:rPr>
            </w:pPr>
          </w:p>
          <w:p w14:paraId="06908EB8">
            <w:pPr>
              <w:snapToGrid w:val="0"/>
              <w:jc w:val="center"/>
              <w:outlineLvl w:val="0"/>
              <w:rPr>
                <w:rFonts w:hint="eastAsia" w:ascii="宋体" w:hAnsi="宋体" w:cs="宋体"/>
                <w:bCs/>
                <w:color w:val="auto"/>
                <w:sz w:val="24"/>
                <w:highlight w:val="none"/>
                <w:lang w:val="en-US" w:eastAsia="zh-CN"/>
              </w:rPr>
            </w:pPr>
          </w:p>
          <w:p w14:paraId="7E984F46">
            <w:pPr>
              <w:snapToGrid w:val="0"/>
              <w:jc w:val="center"/>
              <w:outlineLvl w:val="0"/>
              <w:rPr>
                <w:rFonts w:hint="eastAsia" w:ascii="宋体" w:hAnsi="宋体" w:cs="宋体"/>
                <w:bCs/>
                <w:color w:val="auto"/>
                <w:sz w:val="24"/>
                <w:highlight w:val="none"/>
                <w:lang w:val="en-US" w:eastAsia="zh-CN"/>
              </w:rPr>
            </w:pPr>
          </w:p>
          <w:p w14:paraId="1BE2FE38">
            <w:pPr>
              <w:snapToGrid w:val="0"/>
              <w:jc w:val="center"/>
              <w:outlineLvl w:val="0"/>
              <w:rPr>
                <w:rFonts w:hint="eastAsia" w:ascii="宋体" w:hAnsi="宋体" w:cs="宋体"/>
                <w:bCs/>
                <w:color w:val="auto"/>
                <w:sz w:val="24"/>
                <w:highlight w:val="none"/>
                <w:lang w:val="en-US" w:eastAsia="zh-CN"/>
              </w:rPr>
            </w:pPr>
          </w:p>
          <w:p w14:paraId="520DCD5A">
            <w:pPr>
              <w:snapToGrid w:val="0"/>
              <w:jc w:val="center"/>
              <w:outlineLvl w:val="0"/>
              <w:rPr>
                <w:rFonts w:hint="eastAsia" w:ascii="宋体" w:hAnsi="宋体" w:cs="宋体"/>
                <w:bCs/>
                <w:color w:val="auto"/>
                <w:sz w:val="24"/>
                <w:highlight w:val="none"/>
                <w:lang w:val="en-US" w:eastAsia="zh-CN"/>
              </w:rPr>
            </w:pPr>
          </w:p>
          <w:p w14:paraId="50F32ACC">
            <w:pPr>
              <w:snapToGrid w:val="0"/>
              <w:jc w:val="center"/>
              <w:outlineLvl w:val="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12分</w:t>
            </w:r>
          </w:p>
        </w:tc>
        <w:tc>
          <w:tcPr>
            <w:tcW w:w="2133" w:type="dxa"/>
            <w:vAlign w:val="top"/>
          </w:tcPr>
          <w:p w14:paraId="4938ECC2">
            <w:pPr>
              <w:snapToGrid w:val="0"/>
              <w:rPr>
                <w:rFonts w:hint="eastAsia" w:ascii="宋体" w:hAnsi="宋体" w:cs="宋体"/>
                <w:color w:val="auto"/>
                <w:highlight w:val="none"/>
                <w:lang w:val="en-US" w:eastAsia="zh-CN"/>
              </w:rPr>
            </w:pPr>
          </w:p>
          <w:p w14:paraId="6724DB69">
            <w:pPr>
              <w:snapToGrid w:val="0"/>
              <w:jc w:val="center"/>
              <w:rPr>
                <w:rFonts w:hint="eastAsia" w:ascii="宋体" w:hAnsi="宋体" w:eastAsia="宋体" w:cs="宋体"/>
                <w:color w:val="auto"/>
                <w:sz w:val="24"/>
                <w:highlight w:val="none"/>
                <w:lang w:val="en-US" w:eastAsia="zh-CN"/>
              </w:rPr>
            </w:pPr>
          </w:p>
          <w:p w14:paraId="0BEF474B">
            <w:pPr>
              <w:snapToGrid w:val="0"/>
              <w:jc w:val="center"/>
              <w:rPr>
                <w:rFonts w:hint="eastAsia" w:ascii="宋体" w:hAnsi="宋体" w:eastAsia="宋体" w:cs="宋体"/>
                <w:color w:val="auto"/>
                <w:sz w:val="24"/>
                <w:highlight w:val="none"/>
                <w:lang w:val="en-US" w:eastAsia="zh-CN"/>
              </w:rPr>
            </w:pPr>
          </w:p>
          <w:p w14:paraId="1336C0F3">
            <w:pPr>
              <w:snapToGrid w:val="0"/>
              <w:jc w:val="center"/>
              <w:rPr>
                <w:rFonts w:hint="eastAsia" w:ascii="宋体" w:hAnsi="宋体" w:eastAsia="宋体" w:cs="宋体"/>
                <w:color w:val="auto"/>
                <w:sz w:val="24"/>
                <w:highlight w:val="none"/>
                <w:lang w:val="en-US" w:eastAsia="zh-CN"/>
              </w:rPr>
            </w:pPr>
          </w:p>
          <w:p w14:paraId="1A4AB76C">
            <w:pPr>
              <w:snapToGrid w:val="0"/>
              <w:jc w:val="center"/>
              <w:rPr>
                <w:rFonts w:hint="eastAsia" w:ascii="宋体" w:hAnsi="宋体" w:eastAsia="宋体" w:cs="宋体"/>
                <w:color w:val="auto"/>
                <w:sz w:val="24"/>
                <w:highlight w:val="none"/>
                <w:lang w:val="en-US" w:eastAsia="zh-CN"/>
              </w:rPr>
            </w:pPr>
          </w:p>
          <w:p w14:paraId="76FD9DC4">
            <w:pPr>
              <w:snapToGrid w:val="0"/>
              <w:jc w:val="center"/>
              <w:rPr>
                <w:rFonts w:hint="eastAsia" w:ascii="宋体" w:hAnsi="宋体" w:eastAsia="宋体" w:cs="宋体"/>
                <w:color w:val="auto"/>
                <w:sz w:val="24"/>
                <w:highlight w:val="none"/>
                <w:lang w:val="en-US" w:eastAsia="zh-CN"/>
              </w:rPr>
            </w:pPr>
          </w:p>
          <w:p w14:paraId="37305CCA">
            <w:pPr>
              <w:snapToGrid w:val="0"/>
              <w:jc w:val="center"/>
              <w:rPr>
                <w:rFonts w:hint="eastAsia" w:ascii="宋体" w:hAnsi="宋体" w:eastAsia="宋体" w:cs="宋体"/>
                <w:color w:val="auto"/>
                <w:sz w:val="24"/>
                <w:highlight w:val="none"/>
                <w:lang w:val="en-US" w:eastAsia="zh-CN"/>
              </w:rPr>
            </w:pPr>
          </w:p>
          <w:p w14:paraId="780EFB1E">
            <w:pPr>
              <w:snapToGrid w:val="0"/>
              <w:jc w:val="center"/>
              <w:rPr>
                <w:rFonts w:hint="eastAsia" w:ascii="宋体" w:hAnsi="宋体" w:eastAsia="宋体" w:cs="宋体"/>
                <w:color w:val="auto"/>
                <w:sz w:val="24"/>
                <w:highlight w:val="none"/>
                <w:lang w:val="en-US" w:eastAsia="zh-CN"/>
              </w:rPr>
            </w:pPr>
          </w:p>
          <w:p w14:paraId="5C60493E">
            <w:pPr>
              <w:snapToGrid w:val="0"/>
              <w:jc w:val="center"/>
              <w:rPr>
                <w:rFonts w:hint="eastAsia" w:ascii="宋体" w:hAnsi="宋体" w:eastAsia="宋体" w:cs="宋体"/>
                <w:color w:val="auto"/>
                <w:sz w:val="24"/>
                <w:highlight w:val="none"/>
                <w:lang w:val="en-US" w:eastAsia="zh-CN"/>
              </w:rPr>
            </w:pPr>
          </w:p>
          <w:p w14:paraId="2190EEAF">
            <w:pPr>
              <w:snapToGrid w:val="0"/>
              <w:jc w:val="center"/>
              <w:rPr>
                <w:rFonts w:hint="eastAsia" w:ascii="宋体" w:hAnsi="宋体" w:eastAsia="宋体" w:cs="宋体"/>
                <w:color w:val="auto"/>
                <w:sz w:val="24"/>
                <w:highlight w:val="none"/>
                <w:lang w:val="en-US" w:eastAsia="zh-CN"/>
              </w:rPr>
            </w:pPr>
          </w:p>
          <w:p w14:paraId="55FE29C2">
            <w:pPr>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r>
      <w:tr w14:paraId="6E167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4BB33AAC">
            <w:pPr>
              <w:snapToGrid w:val="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p>
        </w:tc>
        <w:tc>
          <w:tcPr>
            <w:tcW w:w="5897" w:type="dxa"/>
            <w:vAlign w:val="center"/>
          </w:tcPr>
          <w:p w14:paraId="2979523F">
            <w:pPr>
              <w:spacing w:line="360" w:lineRule="auto"/>
              <w:outlineLvl w:val="0"/>
              <w:rPr>
                <w:rFonts w:hint="eastAsia" w:ascii="宋体" w:hAnsi="宋体" w:eastAsia="宋体" w:cs="宋体"/>
                <w:color w:val="0000FF"/>
                <w:sz w:val="24"/>
                <w:highlight w:val="none"/>
              </w:rPr>
            </w:pPr>
            <w:r>
              <w:rPr>
                <w:rFonts w:hint="eastAsia" w:ascii="宋体" w:hAnsi="宋体" w:eastAsia="宋体" w:cs="宋体"/>
                <w:sz w:val="24"/>
                <w:szCs w:val="24"/>
              </w:rPr>
              <w:t>拟投入主要施工机械设备情况，明确器械名称、数量等信息，设备设施充足得</w:t>
            </w:r>
            <w:r>
              <w:rPr>
                <w:rFonts w:hint="eastAsia" w:ascii="宋体" w:hAnsi="宋体" w:cs="宋体"/>
                <w:sz w:val="24"/>
                <w:szCs w:val="24"/>
                <w:lang w:val="en-US" w:eastAsia="zh-CN"/>
              </w:rPr>
              <w:t>3</w:t>
            </w:r>
            <w:r>
              <w:rPr>
                <w:rFonts w:hint="eastAsia" w:ascii="宋体" w:hAnsi="宋体" w:eastAsia="宋体" w:cs="宋体"/>
                <w:sz w:val="24"/>
                <w:szCs w:val="24"/>
              </w:rPr>
              <w:t>分，数量</w:t>
            </w:r>
            <w:r>
              <w:rPr>
                <w:rFonts w:hint="eastAsia" w:ascii="宋体" w:hAnsi="宋体" w:cs="宋体"/>
                <w:sz w:val="24"/>
                <w:szCs w:val="24"/>
                <w:lang w:val="en-US" w:eastAsia="zh-CN"/>
              </w:rPr>
              <w:t>基本</w:t>
            </w:r>
            <w:r>
              <w:rPr>
                <w:rFonts w:hint="eastAsia" w:ascii="宋体" w:hAnsi="宋体" w:eastAsia="宋体" w:cs="宋体"/>
                <w:sz w:val="24"/>
                <w:szCs w:val="24"/>
              </w:rPr>
              <w:t>满足需求</w:t>
            </w:r>
            <w:r>
              <w:rPr>
                <w:rFonts w:hint="eastAsia" w:ascii="宋体" w:hAnsi="宋体" w:cs="宋体"/>
                <w:sz w:val="24"/>
                <w:szCs w:val="24"/>
                <w:lang w:eastAsia="zh-CN"/>
              </w:rPr>
              <w:t>的</w:t>
            </w:r>
            <w:r>
              <w:rPr>
                <w:rFonts w:hint="eastAsia" w:ascii="宋体" w:hAnsi="宋体" w:cs="宋体"/>
                <w:sz w:val="24"/>
                <w:szCs w:val="24"/>
                <w:lang w:val="en-US" w:eastAsia="zh-CN"/>
              </w:rPr>
              <w:t>得2分</w:t>
            </w:r>
            <w:r>
              <w:rPr>
                <w:rFonts w:hint="eastAsia" w:ascii="宋体" w:hAnsi="宋体" w:eastAsia="宋体" w:cs="宋体"/>
                <w:sz w:val="24"/>
                <w:szCs w:val="24"/>
              </w:rPr>
              <w:t>，略有欠缺基本可行得</w:t>
            </w:r>
            <w:r>
              <w:rPr>
                <w:rFonts w:hint="eastAsia" w:ascii="宋体" w:hAnsi="宋体" w:cs="宋体"/>
                <w:sz w:val="24"/>
                <w:szCs w:val="24"/>
                <w:lang w:val="en-US" w:eastAsia="zh-CN"/>
              </w:rPr>
              <w:t>1</w:t>
            </w:r>
            <w:r>
              <w:rPr>
                <w:rFonts w:hint="eastAsia" w:ascii="宋体" w:hAnsi="宋体" w:eastAsia="宋体" w:cs="宋体"/>
                <w:sz w:val="24"/>
                <w:szCs w:val="24"/>
              </w:rPr>
              <w:t>分，未明确或不合理不得分。</w:t>
            </w:r>
          </w:p>
        </w:tc>
        <w:tc>
          <w:tcPr>
            <w:tcW w:w="793" w:type="dxa"/>
            <w:vAlign w:val="top"/>
          </w:tcPr>
          <w:p w14:paraId="48B419F4">
            <w:pPr>
              <w:snapToGrid w:val="0"/>
              <w:jc w:val="center"/>
              <w:outlineLvl w:val="0"/>
              <w:rPr>
                <w:rFonts w:hint="eastAsia" w:ascii="宋体" w:hAnsi="宋体" w:cs="宋体"/>
                <w:bCs/>
                <w:color w:val="auto"/>
                <w:sz w:val="24"/>
                <w:highlight w:val="none"/>
                <w:lang w:val="en-US" w:eastAsia="zh-CN"/>
              </w:rPr>
            </w:pPr>
          </w:p>
          <w:p w14:paraId="6A7B89D7">
            <w:pPr>
              <w:snapToGrid w:val="0"/>
              <w:jc w:val="center"/>
              <w:outlineLvl w:val="0"/>
              <w:rPr>
                <w:rFonts w:hint="eastAsia" w:ascii="宋体" w:hAnsi="宋体" w:cs="宋体"/>
                <w:bCs/>
                <w:color w:val="auto"/>
                <w:sz w:val="24"/>
                <w:highlight w:val="none"/>
                <w:lang w:val="en-US" w:eastAsia="zh-CN"/>
              </w:rPr>
            </w:pPr>
          </w:p>
          <w:p w14:paraId="358A199D">
            <w:pPr>
              <w:snapToGrid w:val="0"/>
              <w:jc w:val="center"/>
              <w:outlineLvl w:val="0"/>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3分</w:t>
            </w:r>
          </w:p>
        </w:tc>
        <w:tc>
          <w:tcPr>
            <w:tcW w:w="2133" w:type="dxa"/>
            <w:vAlign w:val="top"/>
          </w:tcPr>
          <w:p w14:paraId="7E304BCA">
            <w:pPr>
              <w:snapToGrid w:val="0"/>
              <w:rPr>
                <w:rFonts w:hint="eastAsia" w:ascii="宋体" w:hAnsi="宋体" w:cs="宋体"/>
                <w:color w:val="auto"/>
                <w:highlight w:val="none"/>
                <w:lang w:val="en-US" w:eastAsia="zh-CN"/>
              </w:rPr>
            </w:pPr>
          </w:p>
          <w:p w14:paraId="18D03230">
            <w:pPr>
              <w:snapToGrid w:val="0"/>
              <w:jc w:val="center"/>
              <w:rPr>
                <w:rFonts w:hint="eastAsia" w:ascii="宋体" w:hAnsi="宋体" w:eastAsia="宋体" w:cs="宋体"/>
                <w:color w:val="auto"/>
                <w:sz w:val="24"/>
                <w:highlight w:val="none"/>
                <w:lang w:val="en-US" w:eastAsia="zh-CN"/>
              </w:rPr>
            </w:pPr>
          </w:p>
          <w:p w14:paraId="7AFDFB66">
            <w:pPr>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r>
      <w:tr w14:paraId="05D3B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shd w:val="clear" w:color="auto" w:fill="auto"/>
            <w:vAlign w:val="center"/>
          </w:tcPr>
          <w:p w14:paraId="6C61F2EA">
            <w:pPr>
              <w:snapToGrid w:val="0"/>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10</w:t>
            </w:r>
          </w:p>
        </w:tc>
        <w:tc>
          <w:tcPr>
            <w:tcW w:w="5897" w:type="dxa"/>
            <w:shd w:val="clear" w:color="auto" w:fill="auto"/>
            <w:vAlign w:val="center"/>
          </w:tcPr>
          <w:p w14:paraId="2FAE290C">
            <w:pPr>
              <w:spacing w:line="276" w:lineRule="auto"/>
              <w:outlineLvl w:val="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施工现场：</w:t>
            </w:r>
          </w:p>
          <w:p w14:paraId="54E9ABD2">
            <w:pPr>
              <w:spacing w:line="276" w:lineRule="auto"/>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施工现场项目机构设置合理得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分，内容一般得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分，不合理不得分；</w:t>
            </w:r>
          </w:p>
        </w:tc>
        <w:tc>
          <w:tcPr>
            <w:tcW w:w="793" w:type="dxa"/>
            <w:shd w:val="clear" w:color="auto" w:fill="auto"/>
            <w:vAlign w:val="center"/>
          </w:tcPr>
          <w:p w14:paraId="13EA4254">
            <w:pPr>
              <w:spacing w:line="360" w:lineRule="auto"/>
              <w:ind w:firstLine="33" w:firstLineChars="14"/>
              <w:jc w:val="center"/>
              <w:outlineLvl w:val="0"/>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2分</w:t>
            </w:r>
          </w:p>
        </w:tc>
        <w:tc>
          <w:tcPr>
            <w:tcW w:w="2133" w:type="dxa"/>
            <w:vAlign w:val="top"/>
          </w:tcPr>
          <w:p w14:paraId="02CB09A7">
            <w:pPr>
              <w:snapToGrid w:val="0"/>
              <w:jc w:val="center"/>
              <w:rPr>
                <w:rFonts w:hint="eastAsia" w:ascii="宋体" w:hAnsi="宋体" w:eastAsia="宋体" w:cs="宋体"/>
                <w:color w:val="auto"/>
                <w:sz w:val="24"/>
                <w:highlight w:val="none"/>
                <w:lang w:val="en-US" w:eastAsia="zh-CN"/>
              </w:rPr>
            </w:pPr>
          </w:p>
          <w:p w14:paraId="23566A5B">
            <w:pPr>
              <w:pStyle w:val="44"/>
              <w:jc w:val="center"/>
              <w:rPr>
                <w:rFonts w:hint="eastAsia"/>
                <w:color w:val="auto"/>
                <w:lang w:val="en-US" w:eastAsia="zh-CN"/>
              </w:rPr>
            </w:pPr>
            <w:r>
              <w:rPr>
                <w:rFonts w:hint="eastAsia" w:ascii="宋体" w:hAnsi="宋体" w:cs="宋体"/>
                <w:color w:val="auto"/>
                <w:sz w:val="24"/>
                <w:highlight w:val="none"/>
                <w:lang w:val="en-US" w:eastAsia="zh-CN"/>
              </w:rPr>
              <w:t>主观分</w:t>
            </w:r>
          </w:p>
        </w:tc>
      </w:tr>
      <w:tr w14:paraId="3F779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2FA0ECC5">
            <w:pPr>
              <w:snapToGrid w:val="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1</w:t>
            </w:r>
          </w:p>
        </w:tc>
        <w:tc>
          <w:tcPr>
            <w:tcW w:w="5897" w:type="dxa"/>
            <w:vAlign w:val="center"/>
          </w:tcPr>
          <w:p w14:paraId="70C60FBA">
            <w:pPr>
              <w:snapToGrid w:val="0"/>
              <w:spacing w:line="360" w:lineRule="auto"/>
              <w:outlineLvl w:val="0"/>
              <w:rPr>
                <w:rFonts w:ascii="宋体" w:hAnsi="宋体" w:cs="宋体"/>
                <w:sz w:val="24"/>
              </w:rPr>
            </w:pPr>
            <w:r>
              <w:rPr>
                <w:rFonts w:hint="eastAsia" w:ascii="宋体" w:hAnsi="宋体" w:cs="宋体"/>
                <w:sz w:val="24"/>
              </w:rPr>
              <w:t>选用材料质量保证措施能否满足要求。</w:t>
            </w:r>
          </w:p>
          <w:p w14:paraId="3A7E19B3">
            <w:pPr>
              <w:spacing w:line="360" w:lineRule="auto"/>
              <w:ind w:right="-97" w:rightChars="-46"/>
              <w:jc w:val="left"/>
              <w:rPr>
                <w:rFonts w:ascii="宋体" w:hAnsi="宋体" w:cs="宋体"/>
                <w:spacing w:val="-6"/>
                <w:sz w:val="24"/>
              </w:rPr>
            </w:pPr>
            <w:r>
              <w:rPr>
                <w:rFonts w:hint="eastAsia" w:ascii="宋体" w:hAnsi="宋体" w:cs="宋体"/>
                <w:spacing w:val="-6"/>
                <w:sz w:val="24"/>
              </w:rPr>
              <w:t>材料的选用能完全满足项目的要求，供货计划能完全满足项目的进度要求，质量保证措施合理的，</w:t>
            </w:r>
            <w:r>
              <w:rPr>
                <w:rFonts w:hint="eastAsia" w:ascii="宋体" w:hAnsi="宋体" w:cs="宋体"/>
                <w:spacing w:val="-6"/>
                <w:sz w:val="24"/>
                <w:lang w:val="en-US" w:eastAsia="zh-CN"/>
              </w:rPr>
              <w:t>5</w:t>
            </w:r>
            <w:r>
              <w:rPr>
                <w:rFonts w:hint="eastAsia" w:ascii="宋体" w:hAnsi="宋体" w:cs="宋体"/>
                <w:spacing w:val="-6"/>
                <w:sz w:val="24"/>
              </w:rPr>
              <w:t>分；</w:t>
            </w:r>
          </w:p>
          <w:p w14:paraId="55F3060C">
            <w:pPr>
              <w:spacing w:line="360" w:lineRule="auto"/>
              <w:ind w:right="-97" w:rightChars="-46"/>
              <w:jc w:val="left"/>
              <w:rPr>
                <w:rFonts w:ascii="宋体" w:hAnsi="宋体" w:cs="宋体"/>
                <w:spacing w:val="-6"/>
                <w:sz w:val="24"/>
              </w:rPr>
            </w:pPr>
            <w:r>
              <w:rPr>
                <w:rFonts w:hint="eastAsia" w:ascii="宋体" w:hAnsi="宋体" w:cs="宋体"/>
                <w:spacing w:val="-6"/>
                <w:sz w:val="24"/>
              </w:rPr>
              <w:t>材料的选用能基本满足项目的要求，供货计划基本满足项目的进度要求，质量保证措施比较合理的</w:t>
            </w:r>
            <w:r>
              <w:rPr>
                <w:rFonts w:hint="eastAsia" w:ascii="宋体" w:hAnsi="宋体" w:cs="宋体"/>
                <w:spacing w:val="-6"/>
                <w:sz w:val="24"/>
                <w:lang w:val="en-US" w:eastAsia="zh-CN"/>
              </w:rPr>
              <w:t>3</w:t>
            </w:r>
            <w:r>
              <w:rPr>
                <w:rFonts w:hint="eastAsia" w:ascii="宋体" w:hAnsi="宋体" w:cs="宋体"/>
                <w:spacing w:val="-6"/>
                <w:sz w:val="24"/>
              </w:rPr>
              <w:t>分；</w:t>
            </w:r>
          </w:p>
          <w:p w14:paraId="2D3B5DD9">
            <w:pPr>
              <w:spacing w:line="360" w:lineRule="auto"/>
              <w:ind w:right="-97" w:rightChars="-46"/>
              <w:jc w:val="left"/>
              <w:rPr>
                <w:rFonts w:ascii="宋体" w:hAnsi="宋体" w:cs="宋体"/>
                <w:spacing w:val="-6"/>
                <w:sz w:val="24"/>
              </w:rPr>
            </w:pPr>
            <w:r>
              <w:rPr>
                <w:rFonts w:hint="eastAsia" w:ascii="宋体" w:hAnsi="宋体" w:cs="宋体"/>
                <w:spacing w:val="-6"/>
                <w:sz w:val="24"/>
              </w:rPr>
              <w:t>材料的选用、供货计划以及质量保证措施一般，存在瑕疵，得</w:t>
            </w:r>
            <w:r>
              <w:rPr>
                <w:rFonts w:hint="eastAsia" w:ascii="宋体" w:hAnsi="宋体" w:cs="宋体"/>
                <w:spacing w:val="-6"/>
                <w:sz w:val="24"/>
                <w:lang w:val="en-US" w:eastAsia="zh-CN"/>
              </w:rPr>
              <w:t>1</w:t>
            </w:r>
            <w:r>
              <w:rPr>
                <w:rFonts w:hint="eastAsia" w:ascii="宋体" w:hAnsi="宋体" w:cs="宋体"/>
                <w:spacing w:val="-6"/>
                <w:sz w:val="24"/>
              </w:rPr>
              <w:t>分；</w:t>
            </w:r>
          </w:p>
          <w:p w14:paraId="7D2CDF57">
            <w:pPr>
              <w:spacing w:line="360" w:lineRule="auto"/>
              <w:outlineLvl w:val="0"/>
              <w:rPr>
                <w:rFonts w:hint="eastAsia" w:ascii="宋体" w:hAnsi="宋体"/>
                <w:color w:val="0000FF"/>
                <w:sz w:val="24"/>
                <w:highlight w:val="none"/>
                <w:lang w:val="en-US" w:eastAsia="zh-CN"/>
              </w:rPr>
            </w:pPr>
            <w:r>
              <w:rPr>
                <w:rFonts w:hint="eastAsia" w:ascii="宋体" w:hAnsi="宋体" w:cs="宋体"/>
                <w:spacing w:val="-6"/>
                <w:sz w:val="24"/>
              </w:rPr>
              <w:t>未提供不得分。</w:t>
            </w:r>
          </w:p>
        </w:tc>
        <w:tc>
          <w:tcPr>
            <w:tcW w:w="793" w:type="dxa"/>
            <w:vAlign w:val="top"/>
          </w:tcPr>
          <w:p w14:paraId="46A64B0D">
            <w:pPr>
              <w:snapToGrid w:val="0"/>
              <w:jc w:val="center"/>
              <w:outlineLvl w:val="0"/>
              <w:rPr>
                <w:rFonts w:hint="eastAsia" w:ascii="宋体" w:hAnsi="宋体" w:cs="宋体"/>
                <w:bCs/>
                <w:color w:val="auto"/>
                <w:sz w:val="24"/>
                <w:highlight w:val="none"/>
                <w:lang w:val="en-US" w:eastAsia="zh-CN"/>
              </w:rPr>
            </w:pPr>
          </w:p>
          <w:p w14:paraId="5DF5B770">
            <w:pPr>
              <w:snapToGrid w:val="0"/>
              <w:jc w:val="center"/>
              <w:outlineLvl w:val="0"/>
              <w:rPr>
                <w:rFonts w:hint="eastAsia" w:ascii="宋体" w:hAnsi="宋体" w:cs="宋体"/>
                <w:bCs/>
                <w:color w:val="auto"/>
                <w:sz w:val="24"/>
                <w:highlight w:val="none"/>
                <w:lang w:val="en-US" w:eastAsia="zh-CN"/>
              </w:rPr>
            </w:pPr>
          </w:p>
          <w:p w14:paraId="3CCCD5BD">
            <w:pPr>
              <w:snapToGrid w:val="0"/>
              <w:jc w:val="center"/>
              <w:outlineLvl w:val="0"/>
              <w:rPr>
                <w:rFonts w:hint="eastAsia" w:ascii="宋体" w:hAnsi="宋体" w:cs="宋体"/>
                <w:bCs/>
                <w:color w:val="auto"/>
                <w:sz w:val="24"/>
                <w:highlight w:val="none"/>
                <w:lang w:val="en-US" w:eastAsia="zh-CN"/>
              </w:rPr>
            </w:pPr>
          </w:p>
          <w:p w14:paraId="6FD07223">
            <w:pPr>
              <w:snapToGrid w:val="0"/>
              <w:jc w:val="center"/>
              <w:outlineLvl w:val="0"/>
              <w:rPr>
                <w:rFonts w:hint="eastAsia" w:ascii="宋体" w:hAnsi="宋体" w:cs="宋体"/>
                <w:bCs/>
                <w:color w:val="auto"/>
                <w:sz w:val="24"/>
                <w:highlight w:val="none"/>
                <w:lang w:val="en-US" w:eastAsia="zh-CN"/>
              </w:rPr>
            </w:pPr>
          </w:p>
          <w:p w14:paraId="4A64908B">
            <w:pPr>
              <w:snapToGrid w:val="0"/>
              <w:jc w:val="center"/>
              <w:outlineLvl w:val="0"/>
              <w:rPr>
                <w:rFonts w:hint="eastAsia" w:ascii="宋体" w:hAnsi="宋体" w:cs="宋体"/>
                <w:bCs/>
                <w:color w:val="auto"/>
                <w:sz w:val="24"/>
                <w:highlight w:val="none"/>
                <w:lang w:val="en-US" w:eastAsia="zh-CN"/>
              </w:rPr>
            </w:pPr>
          </w:p>
          <w:p w14:paraId="61767DA6">
            <w:pPr>
              <w:snapToGrid w:val="0"/>
              <w:jc w:val="center"/>
              <w:outlineLvl w:val="0"/>
              <w:rPr>
                <w:rFonts w:hint="eastAsia" w:ascii="宋体" w:hAnsi="宋体" w:cs="宋体"/>
                <w:bCs/>
                <w:color w:val="auto"/>
                <w:sz w:val="24"/>
                <w:highlight w:val="none"/>
                <w:lang w:val="en-US" w:eastAsia="zh-CN"/>
              </w:rPr>
            </w:pPr>
          </w:p>
          <w:p w14:paraId="6FD06CAA">
            <w:pPr>
              <w:snapToGrid w:val="0"/>
              <w:jc w:val="center"/>
              <w:outlineLvl w:val="0"/>
              <w:rPr>
                <w:rFonts w:hint="eastAsia" w:ascii="宋体" w:hAnsi="宋体" w:cs="宋体"/>
                <w:bCs/>
                <w:color w:val="auto"/>
                <w:sz w:val="24"/>
                <w:highlight w:val="none"/>
                <w:lang w:val="en-US" w:eastAsia="zh-CN"/>
              </w:rPr>
            </w:pPr>
          </w:p>
          <w:p w14:paraId="38E736FC">
            <w:pPr>
              <w:snapToGrid w:val="0"/>
              <w:jc w:val="center"/>
              <w:outlineLvl w:val="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5分</w:t>
            </w:r>
          </w:p>
        </w:tc>
        <w:tc>
          <w:tcPr>
            <w:tcW w:w="2133" w:type="dxa"/>
            <w:vAlign w:val="top"/>
          </w:tcPr>
          <w:p w14:paraId="496F4E67">
            <w:pPr>
              <w:snapToGrid w:val="0"/>
              <w:jc w:val="center"/>
              <w:rPr>
                <w:rFonts w:hint="eastAsia" w:ascii="宋体" w:hAnsi="宋体" w:cs="宋体"/>
                <w:color w:val="auto"/>
                <w:highlight w:val="none"/>
                <w:lang w:val="en-US" w:eastAsia="zh-CN"/>
              </w:rPr>
            </w:pPr>
          </w:p>
          <w:p w14:paraId="16411C23">
            <w:pPr>
              <w:snapToGrid w:val="0"/>
              <w:jc w:val="center"/>
              <w:rPr>
                <w:rFonts w:hint="eastAsia" w:ascii="宋体" w:hAnsi="宋体" w:eastAsia="宋体" w:cs="宋体"/>
                <w:color w:val="auto"/>
                <w:sz w:val="24"/>
                <w:highlight w:val="none"/>
                <w:lang w:val="en-US" w:eastAsia="zh-CN"/>
              </w:rPr>
            </w:pPr>
          </w:p>
          <w:p w14:paraId="25E96B98">
            <w:pPr>
              <w:snapToGrid w:val="0"/>
              <w:jc w:val="center"/>
              <w:rPr>
                <w:rFonts w:hint="eastAsia" w:ascii="宋体" w:hAnsi="宋体" w:eastAsia="宋体" w:cs="宋体"/>
                <w:color w:val="auto"/>
                <w:sz w:val="24"/>
                <w:highlight w:val="none"/>
                <w:lang w:val="en-US" w:eastAsia="zh-CN"/>
              </w:rPr>
            </w:pPr>
          </w:p>
          <w:p w14:paraId="3B0AEAC1">
            <w:pPr>
              <w:snapToGrid w:val="0"/>
              <w:jc w:val="center"/>
              <w:rPr>
                <w:rFonts w:hint="eastAsia" w:ascii="宋体" w:hAnsi="宋体" w:eastAsia="宋体" w:cs="宋体"/>
                <w:color w:val="auto"/>
                <w:sz w:val="24"/>
                <w:highlight w:val="none"/>
                <w:lang w:val="en-US" w:eastAsia="zh-CN"/>
              </w:rPr>
            </w:pPr>
          </w:p>
          <w:p w14:paraId="3CA3F4D2">
            <w:pPr>
              <w:snapToGrid w:val="0"/>
              <w:jc w:val="center"/>
              <w:rPr>
                <w:rFonts w:hint="eastAsia" w:ascii="宋体" w:hAnsi="宋体" w:eastAsia="宋体" w:cs="宋体"/>
                <w:color w:val="auto"/>
                <w:sz w:val="24"/>
                <w:highlight w:val="none"/>
                <w:lang w:val="en-US" w:eastAsia="zh-CN"/>
              </w:rPr>
            </w:pPr>
          </w:p>
          <w:p w14:paraId="0C33BE8D">
            <w:pPr>
              <w:snapToGrid w:val="0"/>
              <w:jc w:val="center"/>
              <w:rPr>
                <w:rFonts w:hint="eastAsia" w:ascii="宋体" w:hAnsi="宋体" w:eastAsia="宋体" w:cs="宋体"/>
                <w:color w:val="auto"/>
                <w:sz w:val="24"/>
                <w:highlight w:val="none"/>
                <w:lang w:val="en-US" w:eastAsia="zh-CN"/>
              </w:rPr>
            </w:pPr>
          </w:p>
          <w:p w14:paraId="47BB8710">
            <w:pPr>
              <w:snapToGrid w:val="0"/>
              <w:jc w:val="center"/>
              <w:rPr>
                <w:rFonts w:hint="eastAsia" w:ascii="宋体" w:hAnsi="宋体" w:eastAsia="宋体" w:cs="宋体"/>
                <w:color w:val="auto"/>
                <w:sz w:val="24"/>
                <w:highlight w:val="none"/>
                <w:lang w:val="en-US" w:eastAsia="zh-CN"/>
              </w:rPr>
            </w:pPr>
          </w:p>
          <w:p w14:paraId="4466C69F">
            <w:pPr>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主观分</w:t>
            </w:r>
          </w:p>
        </w:tc>
      </w:tr>
      <w:tr w14:paraId="1AF9D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79A37825">
            <w:pPr>
              <w:snapToGrid w:val="0"/>
              <w:jc w:val="center"/>
              <w:rPr>
                <w:rFonts w:hint="default" w:ascii="宋体" w:hAnsi="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2</w:t>
            </w:r>
          </w:p>
        </w:tc>
        <w:tc>
          <w:tcPr>
            <w:tcW w:w="5897" w:type="dxa"/>
            <w:vAlign w:val="center"/>
          </w:tcPr>
          <w:p w14:paraId="572B96D7">
            <w:pPr>
              <w:spacing w:line="360" w:lineRule="auto"/>
              <w:outlineLvl w:val="0"/>
              <w:rPr>
                <w:rFonts w:hint="eastAsia" w:ascii="宋体" w:hAnsi="宋体" w:cs="Times New Roman"/>
                <w:color w:val="0000FF"/>
                <w:sz w:val="24"/>
                <w:highlight w:val="none"/>
              </w:rPr>
            </w:pPr>
            <w:r>
              <w:rPr>
                <w:rFonts w:hint="eastAsia" w:ascii="宋体" w:hAnsi="宋体" w:eastAsia="宋体" w:cs="宋体"/>
                <w:sz w:val="24"/>
                <w:szCs w:val="24"/>
              </w:rPr>
              <w:t>成品保护措施，针对车辆进出路边、施工场地周边等采取的成品保护措施，内容完善，考虑全面可实施性强得</w:t>
            </w:r>
            <w:r>
              <w:rPr>
                <w:rFonts w:hint="eastAsia" w:ascii="宋体" w:hAnsi="宋体" w:cs="宋体"/>
                <w:sz w:val="24"/>
                <w:szCs w:val="24"/>
                <w:lang w:val="en-US" w:eastAsia="zh-CN"/>
              </w:rPr>
              <w:t>3</w:t>
            </w:r>
            <w:r>
              <w:rPr>
                <w:rFonts w:hint="eastAsia" w:ascii="宋体" w:hAnsi="宋体" w:eastAsia="宋体" w:cs="宋体"/>
                <w:sz w:val="24"/>
                <w:szCs w:val="24"/>
              </w:rPr>
              <w:t>分，内容基本完善</w:t>
            </w:r>
            <w:r>
              <w:rPr>
                <w:rFonts w:hint="eastAsia" w:ascii="宋体" w:hAnsi="宋体" w:eastAsia="宋体" w:cs="宋体"/>
                <w:sz w:val="24"/>
                <w:szCs w:val="24"/>
                <w:lang w:val="en-US" w:eastAsia="zh-CN"/>
              </w:rPr>
              <w:t>得</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w:t>
            </w:r>
            <w:r>
              <w:rPr>
                <w:rFonts w:hint="eastAsia" w:ascii="宋体" w:hAnsi="宋体" w:eastAsia="宋体" w:cs="宋体"/>
                <w:sz w:val="24"/>
                <w:szCs w:val="24"/>
              </w:rPr>
              <w:t>，考虑略有欠缺基本可行得</w:t>
            </w:r>
            <w:r>
              <w:rPr>
                <w:rFonts w:hint="eastAsia" w:ascii="宋体" w:hAnsi="宋体" w:cs="宋体"/>
                <w:sz w:val="24"/>
                <w:szCs w:val="24"/>
                <w:lang w:val="en-US" w:eastAsia="zh-CN"/>
              </w:rPr>
              <w:t>1</w:t>
            </w:r>
            <w:r>
              <w:rPr>
                <w:rFonts w:hint="eastAsia" w:ascii="宋体" w:hAnsi="宋体" w:eastAsia="宋体" w:cs="宋体"/>
                <w:sz w:val="24"/>
                <w:szCs w:val="24"/>
              </w:rPr>
              <w:t>分，缺陷明显或不可行不得分。</w:t>
            </w:r>
          </w:p>
        </w:tc>
        <w:tc>
          <w:tcPr>
            <w:tcW w:w="793" w:type="dxa"/>
            <w:vAlign w:val="top"/>
          </w:tcPr>
          <w:p w14:paraId="73683152">
            <w:pPr>
              <w:snapToGrid w:val="0"/>
              <w:jc w:val="center"/>
              <w:outlineLvl w:val="0"/>
              <w:rPr>
                <w:rFonts w:hint="eastAsia" w:ascii="宋体" w:hAnsi="宋体" w:cs="宋体"/>
                <w:bCs/>
                <w:color w:val="auto"/>
                <w:sz w:val="24"/>
                <w:highlight w:val="none"/>
                <w:lang w:val="en-US" w:eastAsia="zh-CN"/>
              </w:rPr>
            </w:pPr>
          </w:p>
          <w:p w14:paraId="5926E8DE">
            <w:pPr>
              <w:snapToGrid w:val="0"/>
              <w:jc w:val="center"/>
              <w:outlineLvl w:val="0"/>
              <w:rPr>
                <w:rFonts w:hint="eastAsia" w:ascii="宋体" w:hAnsi="宋体" w:cs="宋体"/>
                <w:bCs/>
                <w:color w:val="auto"/>
                <w:sz w:val="24"/>
                <w:highlight w:val="none"/>
                <w:lang w:val="en-US" w:eastAsia="zh-CN"/>
              </w:rPr>
            </w:pPr>
          </w:p>
          <w:p w14:paraId="64BA3244">
            <w:pPr>
              <w:snapToGrid w:val="0"/>
              <w:jc w:val="center"/>
              <w:outlineLvl w:val="0"/>
              <w:rPr>
                <w:rFonts w:hint="eastAsia" w:ascii="宋体" w:hAnsi="宋体" w:cs="宋体"/>
                <w:bCs/>
                <w:color w:val="auto"/>
                <w:sz w:val="24"/>
                <w:highlight w:val="none"/>
                <w:lang w:val="en-US" w:eastAsia="zh-CN"/>
              </w:rPr>
            </w:pPr>
          </w:p>
          <w:p w14:paraId="4AFA59FB">
            <w:pPr>
              <w:snapToGrid w:val="0"/>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3分</w:t>
            </w:r>
          </w:p>
        </w:tc>
        <w:tc>
          <w:tcPr>
            <w:tcW w:w="2133" w:type="dxa"/>
            <w:vAlign w:val="top"/>
          </w:tcPr>
          <w:p w14:paraId="247ADF7C">
            <w:pPr>
              <w:snapToGrid w:val="0"/>
              <w:jc w:val="center"/>
              <w:rPr>
                <w:rFonts w:hint="eastAsia" w:ascii="宋体" w:hAnsi="宋体" w:cs="宋体"/>
                <w:color w:val="auto"/>
                <w:highlight w:val="none"/>
                <w:lang w:val="en-US" w:eastAsia="zh-CN"/>
              </w:rPr>
            </w:pPr>
          </w:p>
          <w:p w14:paraId="33D93891">
            <w:pPr>
              <w:snapToGrid w:val="0"/>
              <w:jc w:val="center"/>
              <w:rPr>
                <w:rFonts w:hint="eastAsia" w:ascii="宋体" w:hAnsi="宋体" w:eastAsia="宋体" w:cs="宋体"/>
                <w:color w:val="auto"/>
                <w:sz w:val="24"/>
                <w:highlight w:val="none"/>
                <w:lang w:val="en-US" w:eastAsia="zh-CN"/>
              </w:rPr>
            </w:pPr>
          </w:p>
          <w:p w14:paraId="7949A361">
            <w:pPr>
              <w:snapToGrid w:val="0"/>
              <w:jc w:val="center"/>
              <w:rPr>
                <w:rFonts w:hint="eastAsia" w:ascii="宋体" w:hAnsi="宋体" w:eastAsia="宋体" w:cs="宋体"/>
                <w:color w:val="auto"/>
                <w:sz w:val="24"/>
                <w:highlight w:val="none"/>
                <w:lang w:val="en-US" w:eastAsia="zh-CN"/>
              </w:rPr>
            </w:pPr>
          </w:p>
          <w:p w14:paraId="45822852">
            <w:pPr>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主观分</w:t>
            </w:r>
          </w:p>
        </w:tc>
      </w:tr>
      <w:tr w14:paraId="5B32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142DEA7A">
            <w:pPr>
              <w:snapToGrid w:val="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3</w:t>
            </w:r>
          </w:p>
        </w:tc>
        <w:tc>
          <w:tcPr>
            <w:tcW w:w="5897" w:type="dxa"/>
            <w:vAlign w:val="center"/>
          </w:tcPr>
          <w:p w14:paraId="643B68DD">
            <w:pPr>
              <w:spacing w:line="360" w:lineRule="auto"/>
              <w:outlineLvl w:val="0"/>
              <w:rPr>
                <w:rFonts w:hint="eastAsia" w:ascii="宋体" w:hAnsi="宋体"/>
                <w:color w:val="0000FF"/>
                <w:sz w:val="24"/>
                <w:highlight w:val="none"/>
                <w:lang w:val="en-US" w:eastAsia="zh-CN"/>
              </w:rPr>
            </w:pPr>
            <w:r>
              <w:rPr>
                <w:rFonts w:hint="eastAsia" w:ascii="宋体" w:hAnsi="宋体" w:eastAsia="宋体" w:cs="宋体"/>
                <w:sz w:val="24"/>
                <w:szCs w:val="24"/>
              </w:rPr>
              <w:t>安全文明施工措施，内容完善，考虑全面可实施性强得</w:t>
            </w:r>
            <w:r>
              <w:rPr>
                <w:rFonts w:hint="eastAsia" w:ascii="宋体" w:hAnsi="宋体" w:cs="宋体"/>
                <w:sz w:val="24"/>
                <w:szCs w:val="24"/>
                <w:lang w:val="en-US" w:eastAsia="zh-CN"/>
              </w:rPr>
              <w:t>3</w:t>
            </w:r>
            <w:r>
              <w:rPr>
                <w:rFonts w:hint="eastAsia" w:ascii="宋体" w:hAnsi="宋体" w:eastAsia="宋体" w:cs="宋体"/>
                <w:sz w:val="24"/>
                <w:szCs w:val="24"/>
              </w:rPr>
              <w:t>分，内容基本完善</w:t>
            </w:r>
            <w:r>
              <w:rPr>
                <w:rFonts w:hint="eastAsia" w:ascii="宋体" w:hAnsi="宋体" w:eastAsia="宋体" w:cs="宋体"/>
                <w:sz w:val="24"/>
                <w:szCs w:val="24"/>
                <w:lang w:val="en-US" w:eastAsia="zh-CN"/>
              </w:rPr>
              <w:t>得</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w:t>
            </w:r>
            <w:r>
              <w:rPr>
                <w:rFonts w:hint="eastAsia" w:ascii="宋体" w:hAnsi="宋体" w:eastAsia="宋体" w:cs="宋体"/>
                <w:sz w:val="24"/>
                <w:szCs w:val="24"/>
              </w:rPr>
              <w:t>，考虑略有欠缺基本可行得</w:t>
            </w:r>
            <w:r>
              <w:rPr>
                <w:rFonts w:hint="eastAsia" w:ascii="宋体" w:hAnsi="宋体" w:cs="宋体"/>
                <w:sz w:val="24"/>
                <w:szCs w:val="24"/>
                <w:lang w:val="en-US" w:eastAsia="zh-CN"/>
              </w:rPr>
              <w:t>1</w:t>
            </w:r>
            <w:r>
              <w:rPr>
                <w:rFonts w:hint="eastAsia" w:ascii="宋体" w:hAnsi="宋体" w:eastAsia="宋体" w:cs="宋体"/>
                <w:sz w:val="24"/>
                <w:szCs w:val="24"/>
              </w:rPr>
              <w:t>分，缺陷明显或不可行不得分。</w:t>
            </w:r>
          </w:p>
        </w:tc>
        <w:tc>
          <w:tcPr>
            <w:tcW w:w="793" w:type="dxa"/>
            <w:vAlign w:val="top"/>
          </w:tcPr>
          <w:p w14:paraId="37EFE285">
            <w:pPr>
              <w:snapToGrid w:val="0"/>
              <w:jc w:val="center"/>
              <w:outlineLvl w:val="0"/>
              <w:rPr>
                <w:rFonts w:hint="eastAsia" w:ascii="宋体" w:hAnsi="宋体" w:cs="宋体"/>
                <w:bCs/>
                <w:color w:val="auto"/>
                <w:sz w:val="24"/>
                <w:highlight w:val="none"/>
                <w:lang w:val="en-US" w:eastAsia="zh-CN"/>
              </w:rPr>
            </w:pPr>
          </w:p>
          <w:p w14:paraId="51EC4DC2">
            <w:pPr>
              <w:snapToGrid w:val="0"/>
              <w:jc w:val="both"/>
              <w:outlineLvl w:val="0"/>
              <w:rPr>
                <w:rFonts w:hint="eastAsia" w:ascii="宋体" w:hAnsi="宋体" w:cs="宋体"/>
                <w:bCs/>
                <w:color w:val="auto"/>
                <w:sz w:val="24"/>
                <w:highlight w:val="none"/>
                <w:lang w:val="en-US" w:eastAsia="zh-CN"/>
              </w:rPr>
            </w:pPr>
          </w:p>
          <w:p w14:paraId="2FDF270B">
            <w:pPr>
              <w:snapToGrid w:val="0"/>
              <w:jc w:val="center"/>
              <w:outlineLvl w:val="0"/>
              <w:rPr>
                <w:rFonts w:ascii="宋体" w:hAnsi="宋体" w:cs="宋体"/>
                <w:bCs/>
                <w:color w:val="auto"/>
                <w:sz w:val="24"/>
                <w:highlight w:val="none"/>
              </w:rPr>
            </w:pPr>
            <w:r>
              <w:rPr>
                <w:rFonts w:hint="eastAsia" w:ascii="宋体" w:hAnsi="宋体" w:cs="宋体"/>
                <w:bCs/>
                <w:color w:val="auto"/>
                <w:sz w:val="24"/>
                <w:highlight w:val="none"/>
                <w:lang w:val="en-US" w:eastAsia="zh-CN"/>
              </w:rPr>
              <w:t>3分</w:t>
            </w:r>
          </w:p>
        </w:tc>
        <w:tc>
          <w:tcPr>
            <w:tcW w:w="2133" w:type="dxa"/>
            <w:vAlign w:val="top"/>
          </w:tcPr>
          <w:p w14:paraId="54CB8DB4">
            <w:pPr>
              <w:snapToGrid w:val="0"/>
              <w:jc w:val="center"/>
              <w:rPr>
                <w:rFonts w:hint="eastAsia" w:ascii="宋体" w:hAnsi="宋体" w:cs="宋体"/>
                <w:color w:val="auto"/>
                <w:highlight w:val="none"/>
                <w:lang w:val="en-US" w:eastAsia="zh-CN"/>
              </w:rPr>
            </w:pPr>
          </w:p>
          <w:p w14:paraId="3CBE6E2A">
            <w:pPr>
              <w:snapToGrid w:val="0"/>
              <w:jc w:val="both"/>
              <w:rPr>
                <w:rFonts w:hint="eastAsia" w:ascii="宋体" w:hAnsi="宋体" w:eastAsia="宋体" w:cs="宋体"/>
                <w:color w:val="auto"/>
                <w:sz w:val="24"/>
                <w:highlight w:val="none"/>
                <w:lang w:val="en-US" w:eastAsia="zh-CN"/>
              </w:rPr>
            </w:pPr>
          </w:p>
          <w:p w14:paraId="22768D49">
            <w:pPr>
              <w:snapToGrid w:val="0"/>
              <w:jc w:val="center"/>
              <w:rPr>
                <w:rFonts w:ascii="宋体" w:hAnsi="宋体" w:cs="宋体"/>
                <w:color w:val="auto"/>
                <w:highlight w:val="none"/>
              </w:rPr>
            </w:pPr>
            <w:r>
              <w:rPr>
                <w:rFonts w:hint="eastAsia" w:ascii="宋体" w:hAnsi="宋体" w:eastAsia="宋体" w:cs="宋体"/>
                <w:color w:val="auto"/>
                <w:sz w:val="24"/>
                <w:highlight w:val="none"/>
                <w:lang w:val="en-US" w:eastAsia="zh-CN"/>
              </w:rPr>
              <w:t>主观分</w:t>
            </w:r>
          </w:p>
        </w:tc>
      </w:tr>
      <w:tr w14:paraId="5D4C0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6C9AA5A2">
            <w:pPr>
              <w:snapToGrid w:val="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4</w:t>
            </w:r>
          </w:p>
        </w:tc>
        <w:tc>
          <w:tcPr>
            <w:tcW w:w="5897" w:type="dxa"/>
            <w:vAlign w:val="center"/>
          </w:tcPr>
          <w:p w14:paraId="57F4B495">
            <w:pPr>
              <w:spacing w:line="360" w:lineRule="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对项目总体认知程度和图纸分析解读：</w:t>
            </w:r>
          </w:p>
          <w:p w14:paraId="619B4F04">
            <w:pPr>
              <w:spacing w:line="360" w:lineRule="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1）分析科学合理、完全符合采购人需求的得5分；</w:t>
            </w:r>
          </w:p>
          <w:p w14:paraId="6E77BCD2">
            <w:pPr>
              <w:spacing w:line="360" w:lineRule="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2）分析较为科学合理、符合采购人需求的得4分；</w:t>
            </w:r>
          </w:p>
          <w:p w14:paraId="1E7FE182">
            <w:pPr>
              <w:spacing w:line="360" w:lineRule="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3）分析基本科学合理、比较符合采购人需求的得3分；</w:t>
            </w:r>
          </w:p>
          <w:p w14:paraId="64175379">
            <w:pPr>
              <w:spacing w:line="360" w:lineRule="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4）分析欠合理、对采购人需求符合性不强的的得2分；</w:t>
            </w:r>
          </w:p>
          <w:p w14:paraId="744CA088">
            <w:pPr>
              <w:spacing w:line="360" w:lineRule="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5）分析不完善、不符合采购人需求的得1分；</w:t>
            </w:r>
          </w:p>
          <w:p w14:paraId="56E87292">
            <w:pPr>
              <w:spacing w:line="360" w:lineRule="auto"/>
              <w:outlineLvl w:val="0"/>
              <w:rPr>
                <w:rFonts w:hint="eastAsia" w:ascii="宋体" w:hAnsi="宋体" w:eastAsia="宋体" w:cs="宋体"/>
                <w:b w:val="0"/>
                <w:bCs w:val="0"/>
                <w:color w:val="0000FF"/>
                <w:sz w:val="24"/>
                <w:szCs w:val="24"/>
                <w:highlight w:val="none"/>
              </w:rPr>
            </w:pPr>
            <w:r>
              <w:rPr>
                <w:rFonts w:hint="eastAsia" w:ascii="宋体" w:hAnsi="宋体" w:eastAsia="宋体" w:cs="宋体"/>
                <w:sz w:val="24"/>
                <w:szCs w:val="24"/>
                <w:highlight w:val="none"/>
              </w:rPr>
              <w:t>6）未提供的不得分。</w:t>
            </w:r>
          </w:p>
        </w:tc>
        <w:tc>
          <w:tcPr>
            <w:tcW w:w="793" w:type="dxa"/>
            <w:vAlign w:val="top"/>
          </w:tcPr>
          <w:p w14:paraId="7A4708D8">
            <w:pPr>
              <w:snapToGrid w:val="0"/>
              <w:jc w:val="center"/>
              <w:outlineLvl w:val="0"/>
              <w:rPr>
                <w:rFonts w:hint="eastAsia" w:ascii="宋体" w:hAnsi="宋体" w:cs="宋体"/>
                <w:bCs/>
                <w:color w:val="auto"/>
                <w:sz w:val="24"/>
                <w:highlight w:val="none"/>
                <w:lang w:val="en-US" w:eastAsia="zh-CN"/>
              </w:rPr>
            </w:pPr>
          </w:p>
          <w:p w14:paraId="2C0F4964">
            <w:pPr>
              <w:rPr>
                <w:color w:val="auto"/>
                <w:highlight w:val="none"/>
              </w:rPr>
            </w:pPr>
          </w:p>
          <w:p w14:paraId="37BDD87C">
            <w:pPr>
              <w:snapToGrid w:val="0"/>
              <w:jc w:val="center"/>
              <w:outlineLvl w:val="0"/>
              <w:rPr>
                <w:rFonts w:hint="eastAsia" w:ascii="宋体" w:hAnsi="宋体" w:cs="宋体"/>
                <w:bCs/>
                <w:color w:val="auto"/>
                <w:sz w:val="24"/>
                <w:highlight w:val="none"/>
                <w:lang w:val="en-US" w:eastAsia="zh-CN"/>
              </w:rPr>
            </w:pPr>
          </w:p>
          <w:p w14:paraId="4FD241A2">
            <w:pPr>
              <w:snapToGrid w:val="0"/>
              <w:jc w:val="center"/>
              <w:outlineLvl w:val="0"/>
              <w:rPr>
                <w:rFonts w:hint="eastAsia" w:ascii="宋体" w:hAnsi="宋体" w:cs="宋体"/>
                <w:bCs/>
                <w:color w:val="auto"/>
                <w:sz w:val="24"/>
                <w:highlight w:val="none"/>
                <w:lang w:val="en-US" w:eastAsia="zh-CN"/>
              </w:rPr>
            </w:pPr>
          </w:p>
          <w:p w14:paraId="0C68375F">
            <w:pPr>
              <w:snapToGrid w:val="0"/>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5分</w:t>
            </w:r>
          </w:p>
        </w:tc>
        <w:tc>
          <w:tcPr>
            <w:tcW w:w="2133" w:type="dxa"/>
            <w:vAlign w:val="top"/>
          </w:tcPr>
          <w:p w14:paraId="1B57442A">
            <w:pPr>
              <w:snapToGrid w:val="0"/>
              <w:jc w:val="center"/>
              <w:rPr>
                <w:rFonts w:hint="eastAsia" w:ascii="宋体" w:hAnsi="宋体" w:cs="宋体"/>
                <w:color w:val="auto"/>
                <w:highlight w:val="none"/>
                <w:lang w:val="en-US" w:eastAsia="zh-CN"/>
              </w:rPr>
            </w:pPr>
          </w:p>
          <w:p w14:paraId="08B7E686">
            <w:pPr>
              <w:rPr>
                <w:color w:val="auto"/>
                <w:highlight w:val="none"/>
              </w:rPr>
            </w:pPr>
          </w:p>
          <w:p w14:paraId="102CCFDA">
            <w:pPr>
              <w:snapToGrid w:val="0"/>
              <w:jc w:val="center"/>
              <w:rPr>
                <w:rFonts w:hint="eastAsia" w:ascii="宋体" w:hAnsi="宋体" w:eastAsia="宋体" w:cs="宋体"/>
                <w:color w:val="auto"/>
                <w:sz w:val="24"/>
                <w:highlight w:val="none"/>
                <w:lang w:val="en-US" w:eastAsia="zh-CN"/>
              </w:rPr>
            </w:pPr>
          </w:p>
          <w:p w14:paraId="27660E5B">
            <w:pPr>
              <w:snapToGrid w:val="0"/>
              <w:jc w:val="center"/>
              <w:rPr>
                <w:rFonts w:hint="eastAsia" w:ascii="宋体" w:hAnsi="宋体" w:eastAsia="宋体" w:cs="宋体"/>
                <w:color w:val="auto"/>
                <w:sz w:val="24"/>
                <w:highlight w:val="none"/>
                <w:lang w:val="en-US" w:eastAsia="zh-CN"/>
              </w:rPr>
            </w:pPr>
          </w:p>
          <w:p w14:paraId="4CCA92FE">
            <w:pPr>
              <w:snapToGrid w:val="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4"/>
                <w:highlight w:val="none"/>
                <w:lang w:val="en-US" w:eastAsia="zh-CN"/>
              </w:rPr>
              <w:t>主观分</w:t>
            </w:r>
          </w:p>
        </w:tc>
      </w:tr>
      <w:tr w14:paraId="35485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1CA742FC">
            <w:pPr>
              <w:snapToGrid w:val="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5</w:t>
            </w:r>
          </w:p>
        </w:tc>
        <w:tc>
          <w:tcPr>
            <w:tcW w:w="5897" w:type="dxa"/>
            <w:vAlign w:val="center"/>
          </w:tcPr>
          <w:p w14:paraId="3B242A1C">
            <w:pPr>
              <w:widowControl/>
              <w:spacing w:line="360" w:lineRule="auto"/>
              <w:ind w:right="84" w:rightChars="40"/>
              <w:rPr>
                <w:rFonts w:hint="eastAsia" w:ascii="宋体" w:hAnsi="宋体" w:eastAsia="宋体" w:cs="宋体"/>
                <w:sz w:val="24"/>
                <w:szCs w:val="24"/>
              </w:rPr>
            </w:pPr>
            <w:r>
              <w:rPr>
                <w:rFonts w:hint="eastAsia" w:ascii="宋体" w:hAnsi="宋体" w:eastAsia="宋体" w:cs="宋体"/>
                <w:sz w:val="24"/>
                <w:szCs w:val="24"/>
              </w:rPr>
              <w:t>项目团队（至少包含主要管理人员）：专业</w:t>
            </w:r>
            <w:r>
              <w:rPr>
                <w:rFonts w:hint="eastAsia" w:ascii="宋体" w:hAnsi="宋体" w:eastAsia="宋体" w:cs="宋体"/>
                <w:sz w:val="24"/>
                <w:szCs w:val="24"/>
                <w:lang w:val="en-US" w:eastAsia="zh-CN"/>
              </w:rPr>
              <w:t>是否</w:t>
            </w:r>
            <w:r>
              <w:rPr>
                <w:rFonts w:hint="eastAsia" w:ascii="宋体" w:hAnsi="宋体" w:eastAsia="宋体" w:cs="宋体"/>
                <w:sz w:val="24"/>
                <w:szCs w:val="24"/>
              </w:rPr>
              <w:t>分工合理，配备专职安全员，人数满足施工进度需求，经验丰富</w:t>
            </w:r>
          </w:p>
          <w:p w14:paraId="35167C71">
            <w:pPr>
              <w:widowControl/>
              <w:spacing w:line="360" w:lineRule="auto"/>
              <w:ind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人员配置和投入满足施工需求，得5分；</w:t>
            </w:r>
          </w:p>
          <w:p w14:paraId="6E283F55">
            <w:pPr>
              <w:widowControl/>
              <w:spacing w:line="360" w:lineRule="auto"/>
              <w:ind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人员配置和投入较为满足施工需求，得4分；</w:t>
            </w:r>
          </w:p>
          <w:p w14:paraId="204C6854">
            <w:pPr>
              <w:widowControl/>
              <w:spacing w:line="360" w:lineRule="auto"/>
              <w:ind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人员配置和投入基本满足施工需求，得3分；</w:t>
            </w:r>
          </w:p>
          <w:p w14:paraId="3B670AD8">
            <w:pPr>
              <w:widowControl/>
              <w:spacing w:line="360" w:lineRule="auto"/>
              <w:ind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人员配置和投入不能完全满足施工需求，得2分；</w:t>
            </w:r>
          </w:p>
          <w:p w14:paraId="3DF9CCE1">
            <w:pPr>
              <w:widowControl/>
              <w:spacing w:line="360" w:lineRule="auto"/>
              <w:ind w:right="84" w:rightChars="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只提供了简单的人员投入情况资料，基本不满足施工需求得1分</w:t>
            </w:r>
          </w:p>
          <w:p w14:paraId="1B6FF25B">
            <w:pPr>
              <w:widowControl/>
              <w:spacing w:line="360" w:lineRule="auto"/>
              <w:ind w:right="84" w:rightChars="40"/>
              <w:rPr>
                <w:rFonts w:hint="eastAsia" w:ascii="宋体" w:hAnsi="宋体"/>
                <w:color w:val="0000FF"/>
                <w:sz w:val="24"/>
                <w:highlight w:val="none"/>
              </w:rPr>
            </w:pPr>
            <w:r>
              <w:rPr>
                <w:rFonts w:hint="eastAsia" w:ascii="宋体" w:hAnsi="宋体" w:eastAsia="宋体" w:cs="宋体"/>
                <w:sz w:val="24"/>
                <w:szCs w:val="24"/>
                <w:lang w:val="en-US" w:eastAsia="zh-CN"/>
              </w:rPr>
              <w:t>未提供不得分。</w:t>
            </w:r>
          </w:p>
        </w:tc>
        <w:tc>
          <w:tcPr>
            <w:tcW w:w="793" w:type="dxa"/>
            <w:vAlign w:val="center"/>
          </w:tcPr>
          <w:p w14:paraId="74239CA1">
            <w:pPr>
              <w:snapToGrid w:val="0"/>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5分</w:t>
            </w:r>
          </w:p>
        </w:tc>
        <w:tc>
          <w:tcPr>
            <w:tcW w:w="2133" w:type="dxa"/>
            <w:vAlign w:val="center"/>
          </w:tcPr>
          <w:p w14:paraId="5D89F4EF">
            <w:pPr>
              <w:snapToGrid w:val="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4"/>
                <w:highlight w:val="none"/>
                <w:lang w:val="en-US" w:eastAsia="zh-CN"/>
              </w:rPr>
              <w:t>主观分</w:t>
            </w:r>
          </w:p>
        </w:tc>
      </w:tr>
      <w:tr w14:paraId="55490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628D4D9A">
            <w:pPr>
              <w:snapToGrid w:val="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6</w:t>
            </w:r>
          </w:p>
        </w:tc>
        <w:tc>
          <w:tcPr>
            <w:tcW w:w="5897" w:type="dxa"/>
            <w:vAlign w:val="center"/>
          </w:tcPr>
          <w:p w14:paraId="087ADF25">
            <w:pPr>
              <w:widowControl/>
              <w:spacing w:line="360" w:lineRule="auto"/>
              <w:ind w:right="84" w:rightChars="40"/>
              <w:rPr>
                <w:rFonts w:hint="eastAsia" w:ascii="宋体" w:hAnsi="宋体"/>
                <w:color w:val="auto"/>
                <w:sz w:val="24"/>
                <w:highlight w:val="none"/>
              </w:rPr>
            </w:pPr>
            <w:r>
              <w:rPr>
                <w:rFonts w:hint="eastAsia" w:ascii="宋体" w:hAnsi="宋体" w:eastAsia="宋体" w:cs="宋体"/>
                <w:color w:val="auto"/>
                <w:sz w:val="24"/>
                <w:szCs w:val="24"/>
              </w:rPr>
              <w:t>工程竣工后的保修服务的承诺和保证措施，内容完善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可实施性强得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分，内容基本完善</w:t>
            </w:r>
            <w:r>
              <w:rPr>
                <w:rFonts w:hint="eastAsia" w:ascii="宋体" w:hAnsi="宋体" w:eastAsia="宋体" w:cs="宋体"/>
                <w:color w:val="auto"/>
                <w:sz w:val="24"/>
                <w:szCs w:val="24"/>
                <w:lang w:val="en-US" w:eastAsia="zh-CN"/>
              </w:rPr>
              <w:t>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rPr>
              <w:t>，考虑有欠缺得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w:t>
            </w:r>
            <w:r>
              <w:rPr>
                <w:rFonts w:hint="eastAsia" w:ascii="宋体" w:hAnsi="宋体" w:cs="宋体"/>
                <w:color w:val="auto"/>
                <w:sz w:val="24"/>
                <w:szCs w:val="24"/>
                <w:lang w:val="en-US" w:eastAsia="zh-CN"/>
              </w:rPr>
              <w:t>不合理或未提供的不得分</w:t>
            </w:r>
            <w:r>
              <w:rPr>
                <w:rFonts w:hint="eastAsia" w:ascii="宋体" w:hAnsi="宋体" w:eastAsia="宋体" w:cs="宋体"/>
                <w:color w:val="auto"/>
                <w:sz w:val="24"/>
                <w:szCs w:val="24"/>
              </w:rPr>
              <w:t>。</w:t>
            </w:r>
          </w:p>
        </w:tc>
        <w:tc>
          <w:tcPr>
            <w:tcW w:w="793" w:type="dxa"/>
            <w:vAlign w:val="top"/>
          </w:tcPr>
          <w:p w14:paraId="676354B9">
            <w:pPr>
              <w:snapToGrid w:val="0"/>
              <w:jc w:val="center"/>
              <w:outlineLvl w:val="0"/>
              <w:rPr>
                <w:rFonts w:hint="eastAsia" w:ascii="宋体" w:hAnsi="宋体" w:cs="宋体"/>
                <w:bCs/>
                <w:color w:val="auto"/>
                <w:sz w:val="24"/>
                <w:highlight w:val="none"/>
                <w:lang w:val="en-US" w:eastAsia="zh-CN"/>
              </w:rPr>
            </w:pPr>
          </w:p>
          <w:p w14:paraId="18F46778">
            <w:pPr>
              <w:snapToGrid w:val="0"/>
              <w:jc w:val="both"/>
              <w:outlineLvl w:val="0"/>
              <w:rPr>
                <w:rFonts w:hint="eastAsia" w:ascii="宋体" w:hAnsi="宋体" w:cs="宋体"/>
                <w:bCs/>
                <w:color w:val="auto"/>
                <w:sz w:val="24"/>
                <w:highlight w:val="none"/>
                <w:lang w:val="en-US" w:eastAsia="zh-CN"/>
              </w:rPr>
            </w:pPr>
          </w:p>
          <w:p w14:paraId="0A27ACE4">
            <w:pPr>
              <w:snapToGrid w:val="0"/>
              <w:jc w:val="center"/>
              <w:outlineLvl w:val="0"/>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3分</w:t>
            </w:r>
          </w:p>
        </w:tc>
        <w:tc>
          <w:tcPr>
            <w:tcW w:w="2133" w:type="dxa"/>
            <w:vAlign w:val="top"/>
          </w:tcPr>
          <w:p w14:paraId="088F8C93">
            <w:pPr>
              <w:snapToGrid w:val="0"/>
              <w:jc w:val="center"/>
              <w:rPr>
                <w:rFonts w:hint="eastAsia" w:ascii="宋体" w:hAnsi="宋体" w:cs="宋体"/>
                <w:color w:val="auto"/>
                <w:highlight w:val="none"/>
                <w:lang w:val="en-US" w:eastAsia="zh-CN"/>
              </w:rPr>
            </w:pPr>
          </w:p>
          <w:p w14:paraId="004EA21C">
            <w:pPr>
              <w:snapToGrid w:val="0"/>
              <w:jc w:val="both"/>
              <w:rPr>
                <w:rFonts w:hint="eastAsia" w:ascii="宋体" w:hAnsi="宋体" w:eastAsia="宋体" w:cs="宋体"/>
                <w:color w:val="auto"/>
                <w:sz w:val="24"/>
                <w:highlight w:val="none"/>
                <w:lang w:val="en-US" w:eastAsia="zh-CN"/>
              </w:rPr>
            </w:pPr>
          </w:p>
          <w:p w14:paraId="12FB534C">
            <w:pPr>
              <w:snapToGrid w:val="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4"/>
                <w:highlight w:val="none"/>
                <w:lang w:val="en-US" w:eastAsia="zh-CN"/>
              </w:rPr>
              <w:t>主观分</w:t>
            </w:r>
          </w:p>
        </w:tc>
      </w:tr>
      <w:tr w14:paraId="077D8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26AFB8A0">
            <w:pPr>
              <w:snapToGrid w:val="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7</w:t>
            </w:r>
          </w:p>
        </w:tc>
        <w:tc>
          <w:tcPr>
            <w:tcW w:w="5897" w:type="dxa"/>
            <w:vAlign w:val="center"/>
          </w:tcPr>
          <w:p w14:paraId="42242EDF">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优惠</w:t>
            </w:r>
            <w:r>
              <w:rPr>
                <w:rFonts w:hint="eastAsia" w:ascii="宋体" w:hAnsi="宋体" w:cs="宋体"/>
                <w:sz w:val="24"/>
                <w:szCs w:val="24"/>
                <w:lang w:eastAsia="zh-CN"/>
              </w:rPr>
              <w:t>措施及合理化建议</w:t>
            </w:r>
            <w:r>
              <w:rPr>
                <w:rFonts w:hint="eastAsia" w:ascii="宋体" w:hAnsi="宋体" w:eastAsia="宋体" w:cs="宋体"/>
                <w:sz w:val="24"/>
                <w:szCs w:val="24"/>
              </w:rPr>
              <w:t>：</w:t>
            </w:r>
          </w:p>
          <w:p w14:paraId="2D866D4E">
            <w:pPr>
              <w:spacing w:line="360" w:lineRule="auto"/>
              <w:outlineLvl w:val="0"/>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）优惠措施，视有利于项目实施程度打分，</w:t>
            </w:r>
            <w:r>
              <w:rPr>
                <w:rFonts w:hint="eastAsia" w:ascii="宋体" w:hAnsi="宋体" w:cs="宋体"/>
                <w:sz w:val="24"/>
                <w:szCs w:val="24"/>
                <w:lang w:val="en-US" w:eastAsia="zh-CN"/>
              </w:rPr>
              <w:t>完整合理的得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cs="宋体"/>
                <w:sz w:val="24"/>
                <w:szCs w:val="24"/>
                <w:lang w:eastAsia="zh-CN"/>
              </w:rPr>
              <w:t>，</w:t>
            </w:r>
            <w:r>
              <w:rPr>
                <w:rFonts w:hint="eastAsia" w:ascii="宋体" w:hAnsi="宋体" w:cs="宋体"/>
                <w:sz w:val="24"/>
                <w:szCs w:val="24"/>
                <w:lang w:val="en-US" w:eastAsia="zh-CN"/>
              </w:rPr>
              <w:t>内容有欠缺的得1分，不合理或未提供的不得分</w:t>
            </w:r>
            <w:r>
              <w:rPr>
                <w:rFonts w:hint="eastAsia" w:ascii="宋体" w:hAnsi="宋体" w:eastAsia="宋体" w:cs="宋体"/>
                <w:sz w:val="24"/>
                <w:szCs w:val="24"/>
              </w:rPr>
              <w:t>；</w:t>
            </w:r>
          </w:p>
          <w:p w14:paraId="7827E48D">
            <w:pPr>
              <w:spacing w:line="360" w:lineRule="auto"/>
              <w:outlineLvl w:val="0"/>
              <w:rPr>
                <w:rFonts w:hint="eastAsia" w:ascii="宋体" w:hAnsi="宋体"/>
                <w:color w:val="0000FF"/>
                <w:sz w:val="24"/>
                <w:highlight w:val="none"/>
              </w:rPr>
            </w:pPr>
            <w:r>
              <w:rPr>
                <w:rFonts w:hint="eastAsia" w:ascii="宋体" w:hAnsi="宋体" w:cs="宋体"/>
                <w:sz w:val="24"/>
                <w:szCs w:val="24"/>
                <w:lang w:val="en-US" w:eastAsia="zh-CN"/>
              </w:rPr>
              <w:t>2</w:t>
            </w:r>
            <w:r>
              <w:rPr>
                <w:rFonts w:hint="eastAsia" w:ascii="宋体" w:hAnsi="宋体" w:eastAsia="宋体" w:cs="宋体"/>
                <w:sz w:val="24"/>
                <w:szCs w:val="24"/>
              </w:rPr>
              <w:t>）提供合理的设计建议、施工建议，确有利于项目实施的每条得</w:t>
            </w:r>
            <w:r>
              <w:rPr>
                <w:rFonts w:hint="eastAsia" w:ascii="宋体" w:hAnsi="宋体" w:eastAsia="宋体" w:cs="宋体"/>
                <w:sz w:val="24"/>
                <w:szCs w:val="24"/>
                <w:lang w:val="en-US" w:eastAsia="zh-CN"/>
              </w:rPr>
              <w:t>0.5</w:t>
            </w:r>
            <w:r>
              <w:rPr>
                <w:rFonts w:hint="eastAsia" w:ascii="宋体" w:hAnsi="宋体" w:eastAsia="宋体" w:cs="宋体"/>
                <w:sz w:val="24"/>
                <w:szCs w:val="24"/>
              </w:rPr>
              <w:t>分，最高得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tc>
        <w:tc>
          <w:tcPr>
            <w:tcW w:w="793" w:type="dxa"/>
            <w:vAlign w:val="center"/>
          </w:tcPr>
          <w:p w14:paraId="164EEBEA">
            <w:pPr>
              <w:snapToGrid w:val="0"/>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3分</w:t>
            </w:r>
          </w:p>
        </w:tc>
        <w:tc>
          <w:tcPr>
            <w:tcW w:w="2133" w:type="dxa"/>
            <w:vAlign w:val="center"/>
          </w:tcPr>
          <w:p w14:paraId="0BDC4A38">
            <w:pPr>
              <w:snapToGrid w:val="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4"/>
                <w:highlight w:val="none"/>
                <w:lang w:val="en-US" w:eastAsia="zh-CN"/>
              </w:rPr>
              <w:t>主观分</w:t>
            </w:r>
          </w:p>
        </w:tc>
      </w:tr>
      <w:tr w14:paraId="087D0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0F671D9F">
            <w:pPr>
              <w:snapToGrid w:val="0"/>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5897" w:type="dxa"/>
          </w:tcPr>
          <w:p w14:paraId="5CACF8A0">
            <w:pPr>
              <w:snapToGrid/>
              <w:spacing w:line="360" w:lineRule="auto"/>
              <w:rPr>
                <w:rFonts w:hint="eastAsia" w:ascii="宋体" w:hAnsi="宋体"/>
                <w:color w:val="auto"/>
                <w:sz w:val="24"/>
                <w:highlight w:val="none"/>
              </w:rPr>
            </w:pPr>
            <w:r>
              <w:rPr>
                <w:rFonts w:hint="eastAsia" w:ascii="宋体" w:hAnsi="宋体"/>
                <w:color w:val="auto"/>
                <w:sz w:val="24"/>
                <w:highlight w:val="none"/>
              </w:rPr>
              <w:t>有效最后报价的最低价作为评审基准价，其最低报价为满分；按［最后报价得分=（评审基准价/最后报价）*</w:t>
            </w:r>
            <w:r>
              <w:rPr>
                <w:rFonts w:hint="eastAsia" w:ascii="宋体" w:hAnsi="宋体"/>
                <w:color w:val="auto"/>
                <w:sz w:val="24"/>
                <w:highlight w:val="none"/>
                <w:lang w:val="en-US" w:eastAsia="zh-CN"/>
              </w:rPr>
              <w:t>3</w:t>
            </w:r>
            <w:r>
              <w:rPr>
                <w:rFonts w:hint="eastAsia" w:ascii="宋体" w:hAnsi="宋体"/>
                <w:color w:val="auto"/>
                <w:sz w:val="24"/>
                <w:highlight w:val="none"/>
              </w:rPr>
              <w:t>0］的计算公式计算。</w:t>
            </w:r>
          </w:p>
          <w:p w14:paraId="706356D5">
            <w:pPr>
              <w:snapToGrid/>
              <w:spacing w:line="360" w:lineRule="auto"/>
              <w:rPr>
                <w:rFonts w:hint="eastAsia" w:ascii="宋体" w:hAnsi="宋体"/>
                <w:color w:val="auto"/>
                <w:sz w:val="24"/>
                <w:highlight w:val="none"/>
              </w:rPr>
            </w:pPr>
            <w:r>
              <w:rPr>
                <w:rFonts w:hint="eastAsia" w:ascii="宋体" w:hAnsi="宋体"/>
                <w:color w:val="auto"/>
                <w:sz w:val="24"/>
                <w:highlight w:val="none"/>
              </w:rPr>
              <w:t>评审过程中，不得去掉报价中的最高报价和最低报价。</w:t>
            </w:r>
          </w:p>
          <w:p w14:paraId="3232E175">
            <w:pPr>
              <w:snapToGrid/>
              <w:spacing w:line="360" w:lineRule="auto"/>
              <w:rPr>
                <w:rFonts w:hint="eastAsia" w:ascii="宋体" w:hAnsi="宋体"/>
                <w:color w:val="auto"/>
                <w:sz w:val="24"/>
                <w:highlight w:val="none"/>
              </w:rPr>
            </w:pPr>
            <w:r>
              <w:rPr>
                <w:rFonts w:hint="eastAsia" w:ascii="宋体" w:hAnsi="宋体"/>
                <w:color w:val="auto"/>
                <w:sz w:val="24"/>
                <w:highlight w:val="none"/>
              </w:rPr>
              <w:t>因落实政府采购政策需要进行价格调整的，以调整后的价格计算评审基准价和最后报价。</w:t>
            </w:r>
          </w:p>
        </w:tc>
        <w:tc>
          <w:tcPr>
            <w:tcW w:w="793" w:type="dxa"/>
            <w:vAlign w:val="center"/>
          </w:tcPr>
          <w:p w14:paraId="25A9B382">
            <w:pPr>
              <w:snapToGrid w:val="0"/>
              <w:jc w:val="center"/>
              <w:outlineLvl w:val="0"/>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0</w:t>
            </w:r>
            <w:r>
              <w:rPr>
                <w:rFonts w:hint="eastAsia" w:ascii="宋体" w:hAnsi="宋体" w:cs="宋体"/>
                <w:bCs/>
                <w:color w:val="auto"/>
                <w:sz w:val="24"/>
                <w:highlight w:val="none"/>
                <w:lang w:val="en-US" w:eastAsia="zh-CN"/>
              </w:rPr>
              <w:t>分</w:t>
            </w:r>
          </w:p>
        </w:tc>
        <w:tc>
          <w:tcPr>
            <w:tcW w:w="2133" w:type="dxa"/>
            <w:vAlign w:val="center"/>
          </w:tcPr>
          <w:p w14:paraId="0866AABC">
            <w:pPr>
              <w:snapToGrid w:val="0"/>
              <w:jc w:val="center"/>
              <w:outlineLvl w:val="0"/>
              <w:rPr>
                <w:rFonts w:ascii="宋体" w:hAnsi="宋体" w:cs="宋体"/>
                <w:color w:val="auto"/>
                <w:sz w:val="24"/>
                <w:highlight w:val="none"/>
              </w:rPr>
            </w:pPr>
            <w:r>
              <w:rPr>
                <w:rFonts w:hint="eastAsia" w:ascii="宋体" w:hAnsi="宋体" w:cs="宋体"/>
                <w:color w:val="auto"/>
                <w:sz w:val="24"/>
                <w:highlight w:val="none"/>
              </w:rPr>
              <w:t>/</w:t>
            </w:r>
          </w:p>
        </w:tc>
      </w:tr>
    </w:tbl>
    <w:p w14:paraId="6DE011CF">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供应商编制响应文件（商务技术文件部分）时，建议按此目录（序号和内容）提供评审标准相应的商务技术资料。 </w:t>
      </w:r>
    </w:p>
    <w:p w14:paraId="7EABF1F1">
      <w:pPr>
        <w:jc w:val="left"/>
        <w:rPr>
          <w:rFonts w:ascii="宋体" w:hAnsi="宋体" w:cs="宋体"/>
          <w:b/>
          <w:color w:val="auto"/>
          <w:sz w:val="32"/>
          <w:highlight w:val="none"/>
        </w:rPr>
      </w:pPr>
      <w:r>
        <w:rPr>
          <w:rFonts w:hint="eastAsia" w:ascii="宋体" w:hAnsi="宋体" w:cs="宋体"/>
          <w:b/>
          <w:color w:val="auto"/>
          <w:sz w:val="32"/>
          <w:highlight w:val="none"/>
        </w:rPr>
        <w:br w:type="page"/>
      </w:r>
    </w:p>
    <w:p w14:paraId="4A8EB009">
      <w:pPr>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32"/>
          <w:highlight w:val="none"/>
        </w:rPr>
        <w:t>一、评审方法</w:t>
      </w:r>
    </w:p>
    <w:p w14:paraId="1870C52E">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75516FE2">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二、评审标准</w:t>
      </w:r>
    </w:p>
    <w:p w14:paraId="55BB8CB9">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14:paraId="28E24E5E">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三、评审程序</w:t>
      </w:r>
    </w:p>
    <w:p w14:paraId="6F912DA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0F30356B">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59C63FE7">
      <w:pP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p>
    <w:p w14:paraId="097CBD69">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607E023E">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 xml:space="preserve">3.2.3 </w:t>
      </w:r>
      <w:r>
        <w:rPr>
          <w:rFonts w:hint="eastAsia" w:ascii="宋体" w:hAnsi="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highlight w:val="none"/>
        </w:rPr>
        <w:t>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00439A58">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4F0F44DE">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58F4380C">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13BB5C64">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3.3.3 已提交响应文件的供应商，在提交最后报价之前，可以根据磋商情况退出磋商</w:t>
      </w:r>
    </w:p>
    <w:p w14:paraId="10CF9A8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7DFD56B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14:paraId="66D78B84">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14:paraId="574AE603">
      <w:pPr>
        <w:pStyle w:val="134"/>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14:paraId="7D7DD8E0">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14:paraId="1E06BBE6">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14:paraId="16ADE5C2">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14:paraId="62838C33">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14:paraId="7E3BF6DC">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14:paraId="1CC21D6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14:paraId="0D66B78B">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14:paraId="3E3BBBC7">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4412EDA1">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22E73F2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5E1A73D5">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48C9E4B3">
      <w:pPr>
        <w:pStyle w:val="134"/>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A9ACC32">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14:paraId="3985EA7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14:paraId="76F3684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0533E23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283282B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14:paraId="53144E4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4.2.5响应文件中承诺的响应文件有效期少于采购文件中载明的响应文件有效期的；</w:t>
      </w:r>
    </w:p>
    <w:p w14:paraId="33D1FA4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4.2.6响应文件出现不是唯一的、有选择性最后报价的;</w:t>
      </w:r>
    </w:p>
    <w:p w14:paraId="0D6D5B8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4.2.7最后报价超过采购文件中规定的预算金额或者最高限价的;</w:t>
      </w:r>
    </w:p>
    <w:p w14:paraId="745C09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252E4FD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4.2.9供应商对根据修正原则修正后的报价不确认的；</w:t>
      </w:r>
    </w:p>
    <w:p w14:paraId="50F188E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4.2.10供应商提供虚假材料响应的；</w:t>
      </w:r>
    </w:p>
    <w:p w14:paraId="629484A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4.2.11供应商有恶意串通、妨碍其他供应商的竞争行为、损害采购人或者其他供应商的合法权益情形的；</w:t>
      </w:r>
    </w:p>
    <w:p w14:paraId="71C97F9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4.2.12供应商仅提交备份响应文件，未在电子交易平台传输递交响应文件的，响应文件无效；</w:t>
      </w:r>
    </w:p>
    <w:p w14:paraId="19DAFAC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 响应文件不满足采购文件的其它实质性要求的；</w:t>
      </w:r>
    </w:p>
    <w:p w14:paraId="660A5ED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04ADE036">
      <w:pPr>
        <w:pStyle w:val="26"/>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14:paraId="1066662B">
      <w:pPr>
        <w:pStyle w:val="26"/>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14:paraId="33850D35">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78A1173A">
      <w:pPr>
        <w:pStyle w:val="26"/>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14:paraId="441518F4">
      <w:pPr>
        <w:pStyle w:val="26"/>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2205A612">
      <w:pPr>
        <w:pStyle w:val="26"/>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14:paraId="1623A6EE">
      <w:pPr>
        <w:pStyle w:val="26"/>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14:paraId="47EE5905">
      <w:pPr>
        <w:pStyle w:val="26"/>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06607CD8">
      <w:pPr>
        <w:pStyle w:val="26"/>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14:paraId="3385B527">
      <w:pPr>
        <w:pStyle w:val="26"/>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14:paraId="0A1B08C3">
      <w:pPr>
        <w:pStyle w:val="26"/>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3E6499C8">
      <w:pPr>
        <w:pStyle w:val="26"/>
        <w:snapToGrid w:val="0"/>
        <w:spacing w:line="360" w:lineRule="auto"/>
        <w:ind w:firstLine="0" w:firstLineChars="0"/>
        <w:rPr>
          <w:rFonts w:cs="宋体"/>
          <w:color w:val="auto"/>
          <w:highlight w:val="none"/>
        </w:rPr>
        <w:sectPr>
          <w:pgSz w:w="11907" w:h="16840"/>
          <w:pgMar w:top="1440" w:right="1080" w:bottom="1440" w:left="1080" w:header="851" w:footer="851" w:gutter="0"/>
          <w:cols w:space="720" w:num="1"/>
        </w:sectPr>
      </w:pPr>
    </w:p>
    <w:bookmarkEnd w:id="31"/>
    <w:p w14:paraId="79B6E3FD">
      <w:pPr>
        <w:spacing w:line="360" w:lineRule="auto"/>
        <w:jc w:val="center"/>
        <w:outlineLvl w:val="0"/>
        <w:rPr>
          <w:rFonts w:ascii="宋体" w:hAnsi="宋体" w:cs="宋体"/>
          <w:b/>
          <w:color w:val="auto"/>
          <w:sz w:val="36"/>
          <w:szCs w:val="36"/>
          <w:highlight w:val="none"/>
        </w:rPr>
      </w:pPr>
      <w:bookmarkStart w:id="399" w:name="第五部分"/>
      <w:bookmarkStart w:id="400" w:name="_Toc86217003"/>
      <w:r>
        <w:rPr>
          <w:rFonts w:hint="eastAsia" w:ascii="宋体" w:hAnsi="宋体" w:cs="宋体"/>
          <w:b/>
          <w:color w:val="auto"/>
          <w:sz w:val="36"/>
          <w:szCs w:val="36"/>
          <w:highlight w:val="none"/>
        </w:rPr>
        <w:t>第五部分 拟签订的合同文本</w:t>
      </w:r>
    </w:p>
    <w:p w14:paraId="3E5230C4">
      <w:pPr>
        <w:snapToGrid w:val="0"/>
        <w:spacing w:line="360" w:lineRule="auto"/>
        <w:ind w:firstLine="480" w:firstLineChars="200"/>
        <w:jc w:val="left"/>
        <w:rPr>
          <w:rFonts w:ascii="宋体" w:hAnsi="宋体"/>
          <w:snapToGrid w:val="0"/>
          <w:color w:val="auto"/>
          <w:kern w:val="0"/>
          <w:sz w:val="24"/>
          <w:szCs w:val="20"/>
          <w:highlight w:val="none"/>
        </w:rPr>
      </w:pPr>
      <w:r>
        <w:rPr>
          <w:rFonts w:hint="eastAsia" w:ascii="宋体" w:hAnsi="宋体"/>
          <w:snapToGrid w:val="0"/>
          <w:color w:val="auto"/>
          <w:kern w:val="0"/>
          <w:sz w:val="24"/>
          <w:szCs w:val="20"/>
          <w:highlight w:val="none"/>
        </w:rPr>
        <w:t>参考住房城乡建设部、原国家工商行政管理总局制定的《建设工程施工合同（示范文本）》（GF-2017-0201）。</w:t>
      </w:r>
    </w:p>
    <w:p w14:paraId="15C55230">
      <w:pPr>
        <w:spacing w:line="360" w:lineRule="auto"/>
        <w:ind w:left="-420" w:leftChars="-200" w:right="-420" w:rightChars="-200" w:firstLine="480" w:firstLineChars="200"/>
        <w:jc w:val="center"/>
        <w:outlineLvl w:val="0"/>
        <w:rPr>
          <w:rFonts w:hint="eastAsia" w:ascii="宋体" w:hAnsi="宋体" w:cs="宋体"/>
          <w:snapToGrid w:val="0"/>
          <w:color w:val="auto"/>
          <w:kern w:val="44"/>
          <w:sz w:val="24"/>
          <w:szCs w:val="20"/>
          <w:highlight w:val="none"/>
        </w:rPr>
        <w:sectPr>
          <w:headerReference r:id="rId7" w:type="first"/>
          <w:footerReference r:id="rId9" w:type="first"/>
          <w:footerReference r:id="rId8" w:type="default"/>
          <w:pgSz w:w="11906" w:h="16838"/>
          <w:pgMar w:top="1440" w:right="1080" w:bottom="1440" w:left="1080" w:header="851" w:footer="992" w:gutter="0"/>
          <w:cols w:space="720" w:num="1"/>
          <w:titlePg/>
          <w:docGrid w:linePitch="312" w:charSpace="0"/>
        </w:sectPr>
      </w:pPr>
      <w:r>
        <w:rPr>
          <w:rFonts w:hint="eastAsia" w:ascii="宋体" w:hAnsi="宋体" w:cs="宋体"/>
          <w:snapToGrid w:val="0"/>
          <w:color w:val="auto"/>
          <w:kern w:val="44"/>
          <w:sz w:val="24"/>
          <w:szCs w:val="20"/>
          <w:highlight w:val="none"/>
        </w:rPr>
        <w:br w:type="page"/>
      </w:r>
    </w:p>
    <w:p w14:paraId="3C4F7384">
      <w:pPr>
        <w:keepNext/>
        <w:keepLines/>
        <w:numPr>
          <w:ilvl w:val="1"/>
          <w:numId w:val="0"/>
        </w:numPr>
        <w:snapToGrid w:val="0"/>
        <w:spacing w:before="100" w:line="360" w:lineRule="auto"/>
        <w:jc w:val="center"/>
        <w:rPr>
          <w:rFonts w:ascii="宋体" w:hAnsi="宋体" w:cs="宋体"/>
          <w:snapToGrid w:val="0"/>
          <w:color w:val="auto"/>
          <w:kern w:val="44"/>
          <w:sz w:val="28"/>
          <w:szCs w:val="20"/>
          <w:highlight w:val="none"/>
        </w:rPr>
      </w:pPr>
      <w:bookmarkStart w:id="401" w:name="_Toc97299497"/>
      <w:bookmarkStart w:id="402" w:name="_Toc32130"/>
      <w:r>
        <w:rPr>
          <w:rFonts w:hint="eastAsia" w:ascii="宋体" w:hAnsi="宋体" w:cs="宋体"/>
          <w:snapToGrid w:val="0"/>
          <w:color w:val="auto"/>
          <w:kern w:val="44"/>
          <w:sz w:val="28"/>
          <w:szCs w:val="20"/>
          <w:highlight w:val="none"/>
        </w:rPr>
        <w:t>第一部分  合同协议书</w:t>
      </w:r>
      <w:bookmarkEnd w:id="401"/>
      <w:bookmarkEnd w:id="402"/>
    </w:p>
    <w:p w14:paraId="01B842A5">
      <w:pPr>
        <w:snapToGrid w:val="0"/>
        <w:spacing w:line="360" w:lineRule="auto"/>
        <w:ind w:firstLine="470" w:firstLineChars="196"/>
        <w:rPr>
          <w:rFonts w:hint="default" w:ascii="宋体" w:hAnsi="宋体" w:cs="宋体"/>
          <w:snapToGrid w:val="0"/>
          <w:color w:val="auto"/>
          <w:kern w:val="0"/>
          <w:sz w:val="24"/>
          <w:highlight w:val="none"/>
          <w:u w:val="single"/>
          <w:lang w:val="en-US"/>
        </w:rPr>
      </w:pPr>
      <w:r>
        <w:rPr>
          <w:rFonts w:hint="eastAsia" w:ascii="宋体" w:hAnsi="宋体" w:cs="宋体"/>
          <w:snapToGrid w:val="0"/>
          <w:color w:val="auto"/>
          <w:kern w:val="0"/>
          <w:sz w:val="24"/>
          <w:highlight w:val="none"/>
        </w:rPr>
        <w:t>发包人（全称）：</w:t>
      </w:r>
      <w:r>
        <w:rPr>
          <w:rFonts w:hint="eastAsia" w:ascii="宋体" w:hAnsi="宋体" w:cs="宋体"/>
          <w:snapToGrid w:val="0"/>
          <w:color w:val="auto"/>
          <w:kern w:val="0"/>
          <w:sz w:val="24"/>
          <w:highlight w:val="none"/>
          <w:u w:val="single"/>
          <w:lang w:val="en-US" w:eastAsia="zh-CN"/>
        </w:rPr>
        <w:t xml:space="preserve">杭州市长寿桥小学      </w:t>
      </w:r>
    </w:p>
    <w:p w14:paraId="5C9C2535">
      <w:pPr>
        <w:snapToGrid w:val="0"/>
        <w:spacing w:line="360" w:lineRule="auto"/>
        <w:ind w:firstLine="470" w:firstLineChars="196"/>
        <w:rPr>
          <w:rFonts w:ascii="宋体" w:hAnsi="宋体" w:cs="宋体"/>
          <w:b/>
          <w:snapToGrid w:val="0"/>
          <w:color w:val="auto"/>
          <w:kern w:val="0"/>
          <w:sz w:val="24"/>
          <w:highlight w:val="none"/>
          <w:u w:val="single"/>
        </w:rPr>
      </w:pPr>
      <w:r>
        <w:rPr>
          <w:rFonts w:hint="eastAsia" w:ascii="宋体" w:hAnsi="宋体" w:cs="宋体"/>
          <w:snapToGrid w:val="0"/>
          <w:color w:val="auto"/>
          <w:kern w:val="0"/>
          <w:sz w:val="24"/>
          <w:highlight w:val="none"/>
        </w:rPr>
        <w:t>承包人（全称）：</w:t>
      </w:r>
      <w:r>
        <w:rPr>
          <w:rFonts w:hint="eastAsia" w:ascii="宋体" w:hAnsi="宋体" w:cs="宋体"/>
          <w:snapToGrid w:val="0"/>
          <w:color w:val="auto"/>
          <w:kern w:val="0"/>
          <w:sz w:val="24"/>
          <w:highlight w:val="none"/>
          <w:u w:val="single"/>
        </w:rPr>
        <w:t xml:space="preserve">                  </w:t>
      </w:r>
      <w:bookmarkStart w:id="403" w:name="SOA_hhxys_cbr"/>
      <w:r>
        <w:rPr>
          <w:rFonts w:hint="eastAsia" w:ascii="宋体" w:hAnsi="宋体" w:cs="宋体"/>
          <w:snapToGrid w:val="0"/>
          <w:color w:val="auto"/>
          <w:kern w:val="0"/>
          <w:sz w:val="24"/>
          <w:highlight w:val="none"/>
          <w:u w:val="single"/>
        </w:rPr>
        <w:t xml:space="preserve">  </w:t>
      </w:r>
      <w:r>
        <w:rPr>
          <w:rFonts w:hint="eastAsia" w:ascii="宋体" w:hAnsi="宋体" w:cs="宋体"/>
          <w:b/>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rPr>
        <w:t xml:space="preserve">    </w:t>
      </w:r>
      <w:bookmarkEnd w:id="403"/>
      <w:r>
        <w:rPr>
          <w:rFonts w:hint="eastAsia" w:ascii="宋体" w:hAnsi="宋体" w:cs="宋体"/>
          <w:snapToGrid w:val="0"/>
          <w:color w:val="auto"/>
          <w:kern w:val="0"/>
          <w:sz w:val="24"/>
          <w:highlight w:val="none"/>
          <w:u w:val="single"/>
        </w:rPr>
        <w:t xml:space="preserve">   </w:t>
      </w:r>
    </w:p>
    <w:p w14:paraId="0E80C154">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根据《中华人民共和国民法典》、 《中华人民共和国建筑法》及有关法律规定，遵循平等、自愿、公平和诚实信用的原则，双方就</w:t>
      </w:r>
      <w:r>
        <w:rPr>
          <w:rFonts w:hint="eastAsia" w:ascii="宋体" w:hAnsi="宋体" w:cs="宋体"/>
          <w:snapToGrid w:val="0"/>
          <w:color w:val="auto"/>
          <w:kern w:val="0"/>
          <w:sz w:val="24"/>
          <w:highlight w:val="none"/>
          <w:u w:val="single"/>
          <w:lang w:eastAsia="zh-CN"/>
        </w:rPr>
        <w:t>长寿桥小学维修改造工程</w:t>
      </w:r>
      <w:r>
        <w:rPr>
          <w:rFonts w:hint="eastAsia" w:ascii="宋体" w:hAnsi="宋体" w:cs="宋体"/>
          <w:snapToGrid w:val="0"/>
          <w:color w:val="auto"/>
          <w:kern w:val="0"/>
          <w:sz w:val="24"/>
          <w:highlight w:val="none"/>
        </w:rPr>
        <w:t>施工及有关事项协商一致，共同达成如下协议：</w:t>
      </w:r>
    </w:p>
    <w:p w14:paraId="1CFB0F70">
      <w:pPr>
        <w:snapToGrid w:val="0"/>
        <w:spacing w:before="24" w:beforeLines="10" w:after="24" w:afterLines="10" w:line="360" w:lineRule="auto"/>
        <w:outlineLvl w:val="1"/>
        <w:rPr>
          <w:rFonts w:ascii="宋体" w:hAnsi="宋体" w:cs="宋体"/>
          <w:b/>
          <w:bCs/>
          <w:snapToGrid w:val="0"/>
          <w:color w:val="auto"/>
          <w:kern w:val="0"/>
          <w:sz w:val="24"/>
          <w:highlight w:val="none"/>
        </w:rPr>
      </w:pPr>
      <w:bookmarkStart w:id="404" w:name="_Toc361220410"/>
      <w:bookmarkStart w:id="405" w:name="_Toc97299498"/>
      <w:r>
        <w:rPr>
          <w:rFonts w:hint="eastAsia" w:ascii="宋体" w:hAnsi="宋体" w:cs="宋体"/>
          <w:b/>
          <w:bCs/>
          <w:snapToGrid w:val="0"/>
          <w:color w:val="auto"/>
          <w:kern w:val="0"/>
          <w:sz w:val="24"/>
          <w:highlight w:val="none"/>
        </w:rPr>
        <w:t>一、工程概况</w:t>
      </w:r>
      <w:bookmarkEnd w:id="404"/>
      <w:bookmarkEnd w:id="405"/>
    </w:p>
    <w:p w14:paraId="72C846BC">
      <w:pPr>
        <w:snapToGrid w:val="0"/>
        <w:spacing w:line="360" w:lineRule="auto"/>
        <w:ind w:firstLine="470" w:firstLineChars="196"/>
        <w:rPr>
          <w:rFonts w:ascii="宋体" w:hAnsi="宋体" w:cs="宋体"/>
          <w:snapToGrid w:val="0"/>
          <w:color w:val="auto"/>
          <w:kern w:val="0"/>
          <w:sz w:val="24"/>
          <w:highlight w:val="none"/>
          <w:u w:val="single"/>
        </w:rPr>
      </w:pPr>
      <w:r>
        <w:rPr>
          <w:rFonts w:hint="eastAsia" w:ascii="宋体" w:hAnsi="宋体" w:cs="宋体"/>
          <w:bCs/>
          <w:snapToGrid w:val="0"/>
          <w:color w:val="auto"/>
          <w:kern w:val="0"/>
          <w:sz w:val="24"/>
          <w:highlight w:val="none"/>
        </w:rPr>
        <w:t>1.工程名称</w:t>
      </w:r>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lang w:eastAsia="zh-CN"/>
        </w:rPr>
        <w:t>长寿桥小学维修改造工程</w:t>
      </w:r>
      <w:r>
        <w:rPr>
          <w:rFonts w:hint="eastAsia" w:ascii="宋体" w:hAnsi="宋体" w:cs="宋体"/>
          <w:snapToGrid w:val="0"/>
          <w:color w:val="auto"/>
          <w:kern w:val="0"/>
          <w:sz w:val="24"/>
          <w:highlight w:val="none"/>
        </w:rPr>
        <w:t>。</w:t>
      </w:r>
    </w:p>
    <w:p w14:paraId="52C1CD74">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2.工程地点：</w:t>
      </w:r>
      <w:r>
        <w:rPr>
          <w:rFonts w:hint="eastAsia" w:ascii="宋体" w:hAnsi="宋体" w:cs="宋体"/>
          <w:snapToGrid w:val="0"/>
          <w:color w:val="auto"/>
          <w:kern w:val="0"/>
          <w:sz w:val="24"/>
          <w:highlight w:val="none"/>
          <w:u w:val="single"/>
          <w:lang w:val="en-US" w:eastAsia="zh-CN"/>
        </w:rPr>
        <w:t>杭州市长寿桥小学</w:t>
      </w:r>
      <w:r>
        <w:rPr>
          <w:rFonts w:hint="eastAsia" w:ascii="宋体" w:hAnsi="宋体" w:cs="宋体"/>
          <w:snapToGrid w:val="0"/>
          <w:color w:val="auto"/>
          <w:kern w:val="0"/>
          <w:sz w:val="24"/>
          <w:highlight w:val="none"/>
        </w:rPr>
        <w:t>。</w:t>
      </w:r>
    </w:p>
    <w:p w14:paraId="69A527BE">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3.工程立项批准文号：</w:t>
      </w:r>
      <w:r>
        <w:rPr>
          <w:rFonts w:hint="eastAsia" w:ascii="宋体" w:hAnsi="宋体" w:cs="宋体"/>
          <w:snapToGrid w:val="0"/>
          <w:color w:val="auto"/>
          <w:kern w:val="0"/>
          <w:sz w:val="24"/>
          <w:highlight w:val="none"/>
          <w:u w:val="single"/>
        </w:rPr>
        <w:t xml:space="preserve">       </w:t>
      </w:r>
      <w:r>
        <w:rPr>
          <w:rFonts w:hint="eastAsia" w:ascii="宋体" w:hAnsi="宋体" w:cs="宋体"/>
          <w:bCs/>
          <w:snapToGrid w:val="0"/>
          <w:color w:val="auto"/>
          <w:kern w:val="0"/>
          <w:sz w:val="24"/>
          <w:highlight w:val="none"/>
        </w:rPr>
        <w:t>。</w:t>
      </w:r>
    </w:p>
    <w:p w14:paraId="5222FCE0">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4.资金来源：</w:t>
      </w:r>
      <w:r>
        <w:rPr>
          <w:rFonts w:hint="eastAsia" w:ascii="宋体" w:hAnsi="宋体" w:cs="宋体"/>
          <w:snapToGrid w:val="0"/>
          <w:color w:val="auto"/>
          <w:kern w:val="0"/>
          <w:sz w:val="24"/>
          <w:highlight w:val="none"/>
          <w:u w:val="single"/>
        </w:rPr>
        <w:t></w:t>
      </w:r>
      <w:r>
        <w:rPr>
          <w:rFonts w:hint="eastAsia" w:ascii="宋体" w:hAnsi="宋体" w:cs="宋体"/>
          <w:snapToGrid w:val="0"/>
          <w:color w:val="auto"/>
          <w:kern w:val="0"/>
          <w:sz w:val="24"/>
          <w:highlight w:val="none"/>
          <w:u w:val="single"/>
          <w:lang w:val="en-US" w:eastAsia="zh-CN"/>
        </w:rPr>
        <w:t>财政100%</w:t>
      </w:r>
      <w:r>
        <w:rPr>
          <w:rFonts w:hint="eastAsia" w:ascii="宋体" w:hAnsi="宋体" w:cs="宋体"/>
          <w:snapToGrid w:val="0"/>
          <w:color w:val="auto"/>
          <w:kern w:val="0"/>
          <w:sz w:val="24"/>
          <w:highlight w:val="none"/>
          <w:u w:val="single"/>
        </w:rPr>
        <w:t xml:space="preserve"> </w:t>
      </w:r>
      <w:r>
        <w:rPr>
          <w:rFonts w:hint="eastAsia" w:ascii="宋体" w:hAnsi="宋体" w:cs="宋体"/>
          <w:bCs/>
          <w:snapToGrid w:val="0"/>
          <w:color w:val="auto"/>
          <w:kern w:val="0"/>
          <w:sz w:val="24"/>
          <w:highlight w:val="none"/>
        </w:rPr>
        <w:t>。</w:t>
      </w:r>
    </w:p>
    <w:p w14:paraId="632C51A6">
      <w:pPr>
        <w:snapToGrid w:val="0"/>
        <w:spacing w:line="360" w:lineRule="auto"/>
        <w:ind w:firstLine="463" w:firstLineChars="193"/>
        <w:rPr>
          <w:rFonts w:ascii="宋体" w:hAnsi="宋体" w:cs="宋体"/>
          <w:snapToGrid w:val="0"/>
          <w:color w:val="auto"/>
          <w:kern w:val="0"/>
          <w:sz w:val="24"/>
          <w:highlight w:val="none"/>
        </w:rPr>
      </w:pPr>
      <w:r>
        <w:rPr>
          <w:rFonts w:hint="eastAsia" w:ascii="宋体" w:hAnsi="宋体" w:cs="宋体"/>
          <w:bCs/>
          <w:snapToGrid w:val="0"/>
          <w:color w:val="auto"/>
          <w:kern w:val="0"/>
          <w:sz w:val="24"/>
          <w:highlight w:val="none"/>
        </w:rPr>
        <w:t xml:space="preserve">5.工程内容：                           </w:t>
      </w:r>
      <w:r>
        <w:rPr>
          <w:rFonts w:hint="eastAsia" w:ascii="宋体" w:hAnsi="宋体" w:cs="宋体"/>
          <w:snapToGrid w:val="0"/>
          <w:color w:val="auto"/>
          <w:kern w:val="0"/>
          <w:sz w:val="24"/>
          <w:highlight w:val="none"/>
        </w:rPr>
        <w:t xml:space="preserve"> </w:t>
      </w:r>
    </w:p>
    <w:p w14:paraId="5E39CE19">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6.工程承包范围：</w:t>
      </w:r>
    </w:p>
    <w:p w14:paraId="59886DED">
      <w:pPr>
        <w:snapToGrid w:val="0"/>
        <w:spacing w:line="360" w:lineRule="auto"/>
        <w:ind w:firstLine="463" w:firstLineChars="193"/>
        <w:rPr>
          <w:rFonts w:ascii="宋体" w:hAnsi="宋体" w:cs="宋体"/>
          <w:bCs/>
          <w:snapToGrid w:val="0"/>
          <w:color w:val="auto"/>
          <w:kern w:val="0"/>
          <w:sz w:val="24"/>
          <w:highlight w:val="none"/>
        </w:rPr>
      </w:pPr>
      <w:bookmarkStart w:id="406" w:name="_Toc361220411"/>
      <w:r>
        <w:rPr>
          <w:rFonts w:hint="eastAsia" w:ascii="宋体" w:hAnsi="宋体" w:cs="宋体"/>
          <w:bCs/>
          <w:snapToGrid w:val="0"/>
          <w:color w:val="auto"/>
          <w:kern w:val="0"/>
          <w:sz w:val="24"/>
          <w:highlight w:val="none"/>
        </w:rPr>
        <w:t>本项目为</w:t>
      </w:r>
      <w:r>
        <w:rPr>
          <w:rFonts w:hint="eastAsia" w:ascii="宋体" w:hAnsi="宋体" w:cs="宋体"/>
          <w:bCs/>
          <w:snapToGrid w:val="0"/>
          <w:color w:val="auto"/>
          <w:kern w:val="0"/>
          <w:sz w:val="24"/>
          <w:highlight w:val="none"/>
          <w:lang w:eastAsia="zh-CN"/>
        </w:rPr>
        <w:t>长寿桥小学维修改造工程</w:t>
      </w:r>
      <w:r>
        <w:rPr>
          <w:rFonts w:hint="eastAsia" w:ascii="宋体" w:hAnsi="宋体" w:cs="宋体"/>
          <w:bCs/>
          <w:snapToGrid w:val="0"/>
          <w:color w:val="auto"/>
          <w:kern w:val="0"/>
          <w:sz w:val="24"/>
          <w:highlight w:val="none"/>
        </w:rPr>
        <w:t>项目，详见图纸、工程量清单以及采购文件要求</w:t>
      </w:r>
    </w:p>
    <w:p w14:paraId="04BF148B">
      <w:pPr>
        <w:snapToGrid w:val="0"/>
        <w:spacing w:line="360" w:lineRule="auto"/>
        <w:outlineLvl w:val="1"/>
        <w:rPr>
          <w:rFonts w:ascii="宋体" w:hAnsi="宋体" w:cs="宋体"/>
          <w:b/>
          <w:bCs/>
          <w:snapToGrid w:val="0"/>
          <w:color w:val="auto"/>
          <w:kern w:val="0"/>
          <w:sz w:val="24"/>
          <w:highlight w:val="none"/>
        </w:rPr>
      </w:pPr>
      <w:bookmarkStart w:id="407" w:name="_Toc97299499"/>
      <w:r>
        <w:rPr>
          <w:rFonts w:hint="eastAsia" w:ascii="宋体" w:hAnsi="宋体" w:cs="宋体"/>
          <w:b/>
          <w:bCs/>
          <w:snapToGrid w:val="0"/>
          <w:color w:val="auto"/>
          <w:kern w:val="0"/>
          <w:sz w:val="24"/>
          <w:highlight w:val="none"/>
        </w:rPr>
        <w:t>二、合同工期</w:t>
      </w:r>
      <w:bookmarkEnd w:id="406"/>
      <w:bookmarkEnd w:id="407"/>
    </w:p>
    <w:p w14:paraId="6601C1D8">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计划开工日期：</w:t>
      </w:r>
      <w:r>
        <w:rPr>
          <w:rFonts w:hint="eastAsia" w:ascii="宋体" w:hAnsi="宋体" w:cs="宋体"/>
          <w:snapToGrid w:val="0"/>
          <w:color w:val="auto"/>
          <w:kern w:val="0"/>
          <w:sz w:val="24"/>
          <w:highlight w:val="none"/>
          <w:u w:val="single"/>
        </w:rPr>
        <w:t>20</w:t>
      </w:r>
      <w:r>
        <w:rPr>
          <w:rFonts w:hint="eastAsia" w:ascii="宋体" w:hAnsi="宋体" w:cs="宋体"/>
          <w:snapToGrid w:val="0"/>
          <w:color w:val="auto"/>
          <w:kern w:val="0"/>
          <w:sz w:val="24"/>
          <w:highlight w:val="none"/>
          <w:u w:val="single"/>
          <w:lang w:val="en-US" w:eastAsia="zh-CN"/>
        </w:rPr>
        <w:t>25</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p>
    <w:p w14:paraId="0F7EFB34">
      <w:pPr>
        <w:snapToGrid w:val="0"/>
        <w:spacing w:line="360" w:lineRule="auto"/>
        <w:ind w:firstLine="459"/>
        <w:rPr>
          <w:rFonts w:ascii="宋体" w:hAnsi="宋体" w:cs="宋体"/>
          <w:snapToGrid w:val="0"/>
          <w:color w:val="auto"/>
          <w:kern w:val="0"/>
          <w:sz w:val="24"/>
          <w:highlight w:val="none"/>
        </w:rPr>
      </w:pPr>
      <w:bookmarkStart w:id="408" w:name="SOA_hhxys_jgn"/>
      <w:r>
        <w:rPr>
          <w:rFonts w:hint="eastAsia" w:ascii="宋体" w:hAnsi="宋体" w:cs="宋体"/>
          <w:snapToGrid w:val="0"/>
          <w:color w:val="auto"/>
          <w:kern w:val="0"/>
          <w:sz w:val="24"/>
          <w:highlight w:val="none"/>
        </w:rPr>
        <w:t>计划竣工日期：</w:t>
      </w:r>
      <w:r>
        <w:rPr>
          <w:rFonts w:hint="eastAsia" w:ascii="宋体" w:hAnsi="宋体" w:cs="宋体"/>
          <w:snapToGrid w:val="0"/>
          <w:color w:val="auto"/>
          <w:kern w:val="0"/>
          <w:sz w:val="24"/>
          <w:highlight w:val="none"/>
          <w:u w:val="single"/>
        </w:rPr>
        <w:t>20</w:t>
      </w:r>
      <w:r>
        <w:rPr>
          <w:rFonts w:hint="eastAsia" w:ascii="宋体" w:hAnsi="宋体" w:cs="宋体"/>
          <w:snapToGrid w:val="0"/>
          <w:color w:val="auto"/>
          <w:kern w:val="0"/>
          <w:sz w:val="24"/>
          <w:highlight w:val="none"/>
          <w:u w:val="single"/>
          <w:lang w:val="en-US" w:eastAsia="zh-CN"/>
        </w:rPr>
        <w:t>25</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bookmarkEnd w:id="408"/>
    </w:p>
    <w:p w14:paraId="1B22FCCD">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工期总日历天数：</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天。工期总日历天数与根据前述计划开竣工日期计算的工期天数不一致的，以工期总日历天数为准。</w:t>
      </w:r>
    </w:p>
    <w:p w14:paraId="10A477A9">
      <w:pPr>
        <w:snapToGrid w:val="0"/>
        <w:spacing w:line="360" w:lineRule="auto"/>
        <w:outlineLvl w:val="1"/>
        <w:rPr>
          <w:rFonts w:ascii="宋体" w:hAnsi="宋体" w:cs="宋体"/>
          <w:b/>
          <w:bCs/>
          <w:snapToGrid w:val="0"/>
          <w:color w:val="auto"/>
          <w:kern w:val="0"/>
          <w:sz w:val="24"/>
          <w:highlight w:val="none"/>
        </w:rPr>
      </w:pPr>
      <w:bookmarkStart w:id="409" w:name="_Toc97299500"/>
      <w:bookmarkStart w:id="410" w:name="_Toc361220412"/>
      <w:r>
        <w:rPr>
          <w:rFonts w:hint="eastAsia" w:ascii="宋体" w:hAnsi="宋体" w:cs="宋体"/>
          <w:b/>
          <w:bCs/>
          <w:snapToGrid w:val="0"/>
          <w:color w:val="auto"/>
          <w:kern w:val="0"/>
          <w:sz w:val="24"/>
          <w:highlight w:val="none"/>
        </w:rPr>
        <w:t>三、质量标准</w:t>
      </w:r>
      <w:bookmarkEnd w:id="409"/>
      <w:bookmarkEnd w:id="410"/>
    </w:p>
    <w:p w14:paraId="55507F4D">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工程质量符合</w:t>
      </w:r>
      <w:r>
        <w:rPr>
          <w:rFonts w:hint="eastAsia" w:ascii="宋体" w:hAnsi="宋体" w:cs="宋体"/>
          <w:snapToGrid w:val="0"/>
          <w:color w:val="auto"/>
          <w:kern w:val="0"/>
          <w:sz w:val="24"/>
          <w:highlight w:val="none"/>
          <w:u w:val="single"/>
        </w:rPr>
        <w:t></w:t>
      </w:r>
      <w:bookmarkStart w:id="411" w:name="SOA_hhxys_zlbz"/>
      <w:r>
        <w:rPr>
          <w:rFonts w:hint="eastAsia" w:ascii="宋体" w:hAnsi="宋体" w:cs="宋体"/>
          <w:snapToGrid w:val="0"/>
          <w:color w:val="auto"/>
          <w:kern w:val="0"/>
          <w:sz w:val="24"/>
          <w:highlight w:val="none"/>
          <w:u w:val="single"/>
          <w:lang w:val="en-US" w:eastAsia="zh-CN"/>
        </w:rPr>
        <w:t>合格</w:t>
      </w:r>
      <w:r>
        <w:rPr>
          <w:rFonts w:hint="eastAsia" w:ascii="宋体" w:hAnsi="宋体" w:cs="宋体"/>
          <w:snapToGrid w:val="0"/>
          <w:color w:val="auto"/>
          <w:kern w:val="0"/>
          <w:sz w:val="24"/>
          <w:highlight w:val="none"/>
          <w:u w:val="single"/>
        </w:rPr>
        <w:t xml:space="preserve"> </w:t>
      </w:r>
      <w:bookmarkEnd w:id="411"/>
      <w:r>
        <w:rPr>
          <w:rFonts w:hint="eastAsia" w:ascii="宋体" w:hAnsi="宋体" w:cs="宋体"/>
          <w:snapToGrid w:val="0"/>
          <w:color w:val="auto"/>
          <w:kern w:val="0"/>
          <w:sz w:val="24"/>
          <w:highlight w:val="none"/>
          <w:u w:val="single"/>
        </w:rPr>
        <w:t></w:t>
      </w:r>
      <w:r>
        <w:rPr>
          <w:rFonts w:hint="eastAsia" w:ascii="宋体" w:hAnsi="宋体" w:cs="宋体"/>
          <w:snapToGrid w:val="0"/>
          <w:color w:val="auto"/>
          <w:kern w:val="0"/>
          <w:sz w:val="24"/>
          <w:highlight w:val="none"/>
        </w:rPr>
        <w:t>标准。</w:t>
      </w:r>
    </w:p>
    <w:p w14:paraId="24607F36">
      <w:pPr>
        <w:snapToGrid w:val="0"/>
        <w:spacing w:line="360" w:lineRule="auto"/>
        <w:outlineLvl w:val="1"/>
        <w:rPr>
          <w:rFonts w:ascii="宋体" w:hAnsi="宋体" w:cs="宋体"/>
          <w:b/>
          <w:bCs/>
          <w:snapToGrid w:val="0"/>
          <w:color w:val="auto"/>
          <w:kern w:val="0"/>
          <w:sz w:val="24"/>
          <w:highlight w:val="none"/>
        </w:rPr>
      </w:pPr>
      <w:bookmarkStart w:id="412" w:name="_Toc97299501"/>
      <w:bookmarkStart w:id="413" w:name="_Toc361220413"/>
      <w:r>
        <w:rPr>
          <w:rFonts w:hint="eastAsia" w:ascii="宋体" w:hAnsi="宋体" w:cs="宋体"/>
          <w:b/>
          <w:bCs/>
          <w:snapToGrid w:val="0"/>
          <w:color w:val="auto"/>
          <w:kern w:val="0"/>
          <w:sz w:val="24"/>
          <w:highlight w:val="none"/>
        </w:rPr>
        <w:t>四、签约合同价与合同价格形式</w:t>
      </w:r>
      <w:bookmarkEnd w:id="412"/>
      <w:bookmarkEnd w:id="413"/>
    </w:p>
    <w:p w14:paraId="03B73D76">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1.签约合同价为：</w:t>
      </w:r>
    </w:p>
    <w:p w14:paraId="7331EE34">
      <w:pPr>
        <w:snapToGrid w:val="0"/>
        <w:spacing w:line="360" w:lineRule="auto"/>
        <w:ind w:firstLine="600" w:firstLineChars="25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人民币（大写）</w:t>
      </w:r>
      <w:bookmarkStart w:id="414" w:name="SOA_hhxys_htjdx"/>
      <w:r>
        <w:rPr>
          <w:rFonts w:hint="eastAsia" w:ascii="宋体" w:hAnsi="宋体" w:cs="宋体"/>
          <w:snapToGrid w:val="0"/>
          <w:color w:val="auto"/>
          <w:kern w:val="0"/>
          <w:sz w:val="24"/>
          <w:highlight w:val="none"/>
          <w:u w:val="single"/>
        </w:rPr>
        <w:t xml:space="preserve">                   </w:t>
      </w:r>
      <w:bookmarkEnd w:id="414"/>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rPr>
        <w:t xml:space="preserve"> </w:t>
      </w:r>
      <w:bookmarkStart w:id="415" w:name="SOA_hhxys_htjxx"/>
      <w:r>
        <w:rPr>
          <w:rFonts w:hint="eastAsia" w:ascii="宋体" w:hAnsi="宋体" w:cs="宋体"/>
          <w:snapToGrid w:val="0"/>
          <w:color w:val="auto"/>
          <w:kern w:val="0"/>
          <w:sz w:val="24"/>
          <w:highlight w:val="none"/>
          <w:u w:val="single"/>
        </w:rPr>
        <w:t xml:space="preserve">            </w:t>
      </w:r>
      <w:bookmarkEnd w:id="415"/>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元)；</w:t>
      </w:r>
    </w:p>
    <w:p w14:paraId="3C2A5790">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其中：</w:t>
      </w:r>
    </w:p>
    <w:p w14:paraId="37E09D3E">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（1）安全文明施工费：</w:t>
      </w:r>
    </w:p>
    <w:p w14:paraId="4181538D">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6" w:name="SOA_hhxys_wmsgfdx"/>
      <w:r>
        <w:rPr>
          <w:rFonts w:hint="eastAsia" w:ascii="宋体" w:hAnsi="宋体" w:cs="宋体"/>
          <w:snapToGrid w:val="0"/>
          <w:color w:val="auto"/>
          <w:kern w:val="0"/>
          <w:sz w:val="24"/>
          <w:highlight w:val="none"/>
          <w:u w:val="single"/>
        </w:rPr>
        <w:t xml:space="preserve">                </w:t>
      </w:r>
      <w:bookmarkEnd w:id="416"/>
      <w:r>
        <w:rPr>
          <w:rFonts w:hint="eastAsia" w:ascii="宋体" w:hAnsi="宋体" w:cs="宋体"/>
          <w:snapToGrid w:val="0"/>
          <w:color w:val="auto"/>
          <w:kern w:val="0"/>
          <w:sz w:val="24"/>
          <w:highlight w:val="none"/>
        </w:rPr>
        <w:t>(¥</w:t>
      </w:r>
      <w:bookmarkStart w:id="417" w:name="SOA_hhxys_wmsgfxx"/>
      <w:r>
        <w:rPr>
          <w:rFonts w:hint="eastAsia" w:ascii="宋体" w:hAnsi="宋体" w:cs="宋体"/>
          <w:snapToGrid w:val="0"/>
          <w:color w:val="auto"/>
          <w:kern w:val="0"/>
          <w:sz w:val="24"/>
          <w:highlight w:val="none"/>
          <w:u w:val="single"/>
        </w:rPr>
        <w:t xml:space="preserve">                  </w:t>
      </w:r>
      <w:bookmarkEnd w:id="417"/>
      <w:r>
        <w:rPr>
          <w:rFonts w:hint="eastAsia" w:ascii="宋体" w:hAnsi="宋体" w:cs="宋体"/>
          <w:snapToGrid w:val="0"/>
          <w:color w:val="auto"/>
          <w:kern w:val="0"/>
          <w:sz w:val="24"/>
          <w:highlight w:val="none"/>
        </w:rPr>
        <w:t>元)；</w:t>
      </w:r>
    </w:p>
    <w:p w14:paraId="5266D1A4">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（2）材料和工程设备暂估价金额：</w:t>
      </w:r>
    </w:p>
    <w:p w14:paraId="29D5E804">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18" w:name="SOA_hhxys_sbzgjdx"/>
      <w:r>
        <w:rPr>
          <w:rFonts w:hint="eastAsia" w:ascii="宋体" w:hAnsi="宋体" w:cs="宋体"/>
          <w:snapToGrid w:val="0"/>
          <w:color w:val="auto"/>
          <w:kern w:val="0"/>
          <w:sz w:val="24"/>
          <w:highlight w:val="none"/>
          <w:u w:val="single"/>
        </w:rPr>
        <w:t xml:space="preserve">       </w:t>
      </w:r>
      <w:bookmarkEnd w:id="418"/>
      <w:r>
        <w:rPr>
          <w:rFonts w:hint="eastAsia" w:ascii="宋体" w:hAnsi="宋体" w:cs="宋体"/>
          <w:snapToGrid w:val="0"/>
          <w:color w:val="auto"/>
          <w:kern w:val="0"/>
          <w:sz w:val="24"/>
          <w:highlight w:val="none"/>
        </w:rPr>
        <w:t>(¥</w:t>
      </w:r>
      <w:bookmarkStart w:id="419" w:name="SOA_hhxys_sbzgjxx"/>
      <w:r>
        <w:rPr>
          <w:rFonts w:hint="eastAsia" w:ascii="宋体" w:hAnsi="宋体" w:cs="宋体"/>
          <w:snapToGrid w:val="0"/>
          <w:color w:val="auto"/>
          <w:kern w:val="0"/>
          <w:sz w:val="24"/>
          <w:highlight w:val="none"/>
          <w:u w:val="single"/>
        </w:rPr>
        <w:t xml:space="preserve">      </w:t>
      </w:r>
      <w:bookmarkEnd w:id="419"/>
      <w:r>
        <w:rPr>
          <w:rFonts w:hint="eastAsia" w:ascii="宋体" w:hAnsi="宋体" w:cs="宋体"/>
          <w:snapToGrid w:val="0"/>
          <w:color w:val="auto"/>
          <w:kern w:val="0"/>
          <w:sz w:val="24"/>
          <w:highlight w:val="none"/>
        </w:rPr>
        <w:t>元)；</w:t>
      </w:r>
    </w:p>
    <w:p w14:paraId="64ED8AB1">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（3）专业工程暂估价金额：</w:t>
      </w:r>
    </w:p>
    <w:p w14:paraId="47CB4A5A">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20" w:name="SOA_hhxys_gczgjdx"/>
      <w:r>
        <w:rPr>
          <w:rFonts w:hint="eastAsia" w:ascii="宋体" w:hAnsi="宋体" w:cs="宋体"/>
          <w:snapToGrid w:val="0"/>
          <w:color w:val="auto"/>
          <w:kern w:val="0"/>
          <w:sz w:val="24"/>
          <w:highlight w:val="none"/>
          <w:u w:val="single"/>
        </w:rPr>
        <w:t xml:space="preserve">       </w:t>
      </w:r>
      <w:bookmarkEnd w:id="420"/>
      <w:r>
        <w:rPr>
          <w:rFonts w:hint="eastAsia" w:ascii="宋体" w:hAnsi="宋体" w:cs="宋体"/>
          <w:snapToGrid w:val="0"/>
          <w:color w:val="auto"/>
          <w:kern w:val="0"/>
          <w:sz w:val="24"/>
          <w:highlight w:val="none"/>
        </w:rPr>
        <w:t>(¥</w:t>
      </w:r>
      <w:bookmarkStart w:id="421" w:name="SOA_hhxys_gczgjxx"/>
      <w:r>
        <w:rPr>
          <w:rFonts w:hint="eastAsia" w:ascii="宋体" w:hAnsi="宋体" w:cs="宋体"/>
          <w:snapToGrid w:val="0"/>
          <w:color w:val="auto"/>
          <w:kern w:val="0"/>
          <w:sz w:val="24"/>
          <w:highlight w:val="none"/>
          <w:u w:val="single"/>
        </w:rPr>
        <w:t xml:space="preserve">       </w:t>
      </w:r>
      <w:bookmarkEnd w:id="421"/>
      <w:r>
        <w:rPr>
          <w:rFonts w:hint="eastAsia" w:ascii="宋体" w:hAnsi="宋体" w:cs="宋体"/>
          <w:snapToGrid w:val="0"/>
          <w:color w:val="auto"/>
          <w:kern w:val="0"/>
          <w:sz w:val="24"/>
          <w:highlight w:val="none"/>
        </w:rPr>
        <w:t>元)；</w:t>
      </w:r>
    </w:p>
    <w:p w14:paraId="0E758909">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（4）暂列金额：</w:t>
      </w:r>
    </w:p>
    <w:p w14:paraId="029617A9">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22" w:name="SOA_hhxys_zljedx"/>
      <w:r>
        <w:rPr>
          <w:rFonts w:hint="eastAsia" w:ascii="宋体" w:hAnsi="宋体" w:cs="宋体"/>
          <w:snapToGrid w:val="0"/>
          <w:color w:val="auto"/>
          <w:kern w:val="0"/>
          <w:sz w:val="24"/>
          <w:highlight w:val="none"/>
          <w:u w:val="single"/>
        </w:rPr>
        <w:t xml:space="preserve">       </w:t>
      </w:r>
      <w:bookmarkEnd w:id="422"/>
      <w:r>
        <w:rPr>
          <w:rFonts w:hint="eastAsia" w:ascii="宋体" w:hAnsi="宋体" w:cs="宋体"/>
          <w:snapToGrid w:val="0"/>
          <w:color w:val="auto"/>
          <w:kern w:val="0"/>
          <w:sz w:val="24"/>
          <w:highlight w:val="none"/>
        </w:rPr>
        <w:t>(¥</w:t>
      </w:r>
      <w:bookmarkStart w:id="423" w:name="SOA_hhxys_zljexx"/>
      <w:r>
        <w:rPr>
          <w:rFonts w:hint="eastAsia" w:ascii="宋体" w:hAnsi="宋体" w:cs="宋体"/>
          <w:snapToGrid w:val="0"/>
          <w:color w:val="auto"/>
          <w:kern w:val="0"/>
          <w:sz w:val="24"/>
          <w:highlight w:val="none"/>
          <w:u w:val="single"/>
        </w:rPr>
        <w:t xml:space="preserve">        </w:t>
      </w:r>
      <w:bookmarkEnd w:id="423"/>
      <w:r>
        <w:rPr>
          <w:rFonts w:hint="eastAsia" w:ascii="宋体" w:hAnsi="宋体" w:cs="宋体"/>
          <w:snapToGrid w:val="0"/>
          <w:color w:val="auto"/>
          <w:kern w:val="0"/>
          <w:sz w:val="24"/>
          <w:highlight w:val="none"/>
        </w:rPr>
        <w:t>元)。</w:t>
      </w:r>
    </w:p>
    <w:p w14:paraId="1F093F30">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2.合同价格形式：</w:t>
      </w:r>
      <w:r>
        <w:rPr>
          <w:rFonts w:hint="eastAsia" w:ascii="宋体" w:hAnsi="宋体" w:cs="宋体"/>
          <w:snapToGrid w:val="0"/>
          <w:color w:val="auto"/>
          <w:kern w:val="0"/>
          <w:sz w:val="24"/>
          <w:highlight w:val="none"/>
          <w:u w:val="single"/>
        </w:rPr>
        <w:t></w:t>
      </w:r>
      <w:bookmarkStart w:id="424" w:name="SOA_hhxys_htjgxs"/>
      <w:r>
        <w:rPr>
          <w:rFonts w:hint="eastAsia" w:ascii="宋体" w:hAnsi="宋体" w:cs="宋体"/>
          <w:snapToGrid w:val="0"/>
          <w:color w:val="auto"/>
          <w:kern w:val="0"/>
          <w:sz w:val="24"/>
          <w:highlight w:val="none"/>
          <w:u w:val="single"/>
        </w:rPr>
        <w:t xml:space="preserve">  </w:t>
      </w:r>
      <w:bookmarkEnd w:id="424"/>
      <w:r>
        <w:rPr>
          <w:rFonts w:hint="eastAsia" w:ascii="宋体" w:hAnsi="宋体" w:cs="宋体"/>
          <w:snapToGrid w:val="0"/>
          <w:color w:val="auto"/>
          <w:kern w:val="0"/>
          <w:sz w:val="24"/>
          <w:highlight w:val="none"/>
          <w:u w:val="single"/>
        </w:rPr>
        <w:t xml:space="preserve">      </w:t>
      </w:r>
      <w:r>
        <w:rPr>
          <w:rFonts w:hint="eastAsia" w:ascii="宋体" w:hAnsi="宋体" w:cs="宋体"/>
          <w:snapToGrid w:val="0"/>
          <w:color w:val="auto"/>
          <w:kern w:val="0"/>
          <w:sz w:val="24"/>
          <w:highlight w:val="none"/>
        </w:rPr>
        <w:t>。</w:t>
      </w:r>
    </w:p>
    <w:p w14:paraId="440DCB4C">
      <w:pPr>
        <w:snapToGrid w:val="0"/>
        <w:spacing w:line="360" w:lineRule="auto"/>
        <w:outlineLvl w:val="1"/>
        <w:rPr>
          <w:rFonts w:ascii="宋体" w:hAnsi="宋体" w:cs="宋体"/>
          <w:b/>
          <w:bCs/>
          <w:snapToGrid w:val="0"/>
          <w:color w:val="auto"/>
          <w:kern w:val="0"/>
          <w:sz w:val="24"/>
          <w:highlight w:val="none"/>
        </w:rPr>
      </w:pPr>
      <w:bookmarkStart w:id="425" w:name="_Toc97299502"/>
      <w:bookmarkStart w:id="426" w:name="_Toc361220414"/>
      <w:r>
        <w:rPr>
          <w:rFonts w:hint="eastAsia" w:ascii="宋体" w:hAnsi="宋体" w:cs="宋体"/>
          <w:b/>
          <w:bCs/>
          <w:snapToGrid w:val="0"/>
          <w:color w:val="auto"/>
          <w:kern w:val="0"/>
          <w:sz w:val="24"/>
          <w:highlight w:val="none"/>
        </w:rPr>
        <w:t>五、项目经理</w:t>
      </w:r>
      <w:bookmarkEnd w:id="425"/>
      <w:bookmarkEnd w:id="426"/>
    </w:p>
    <w:p w14:paraId="2DB64115">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承包人项目经理：</w:t>
      </w:r>
      <w:r>
        <w:rPr>
          <w:rFonts w:hint="eastAsia" w:ascii="宋体" w:hAnsi="宋体" w:cs="宋体"/>
          <w:snapToGrid w:val="0"/>
          <w:color w:val="auto"/>
          <w:kern w:val="0"/>
          <w:sz w:val="24"/>
          <w:highlight w:val="none"/>
          <w:u w:val="single"/>
        </w:rPr>
        <w:t></w:t>
      </w:r>
      <w:bookmarkStart w:id="427" w:name="SOA_hhxys_cbrxmjl"/>
      <w:r>
        <w:rPr>
          <w:rFonts w:hint="eastAsia" w:ascii="宋体" w:hAnsi="宋体" w:cs="宋体"/>
          <w:snapToGrid w:val="0"/>
          <w:color w:val="auto"/>
          <w:kern w:val="0"/>
          <w:sz w:val="24"/>
          <w:highlight w:val="none"/>
          <w:u w:val="single"/>
        </w:rPr>
        <w:t xml:space="preserve">        </w:t>
      </w:r>
      <w:bookmarkEnd w:id="427"/>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52A7E047">
      <w:pPr>
        <w:snapToGrid w:val="0"/>
        <w:spacing w:line="360" w:lineRule="auto"/>
        <w:outlineLvl w:val="1"/>
        <w:rPr>
          <w:rFonts w:ascii="宋体" w:hAnsi="宋体" w:cs="宋体"/>
          <w:b/>
          <w:bCs/>
          <w:snapToGrid w:val="0"/>
          <w:color w:val="auto"/>
          <w:kern w:val="0"/>
          <w:sz w:val="24"/>
          <w:highlight w:val="none"/>
        </w:rPr>
      </w:pPr>
      <w:bookmarkStart w:id="428" w:name="_Toc361220415"/>
      <w:bookmarkStart w:id="429" w:name="_Toc97299503"/>
      <w:r>
        <w:rPr>
          <w:rFonts w:hint="eastAsia" w:ascii="宋体" w:hAnsi="宋体" w:cs="宋体"/>
          <w:b/>
          <w:bCs/>
          <w:snapToGrid w:val="0"/>
          <w:color w:val="auto"/>
          <w:kern w:val="0"/>
          <w:sz w:val="24"/>
          <w:highlight w:val="none"/>
        </w:rPr>
        <w:t>六、合同文件构成</w:t>
      </w:r>
      <w:bookmarkEnd w:id="428"/>
      <w:bookmarkEnd w:id="429"/>
    </w:p>
    <w:p w14:paraId="0F796F27">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本协议书与下列文件一起构成合同文件：</w:t>
      </w:r>
    </w:p>
    <w:p w14:paraId="088CECFF">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（1）成交通知书（如果有）；</w:t>
      </w:r>
    </w:p>
    <w:p w14:paraId="0E48DD5F">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（2）响应函及其附录（如果有）； </w:t>
      </w:r>
    </w:p>
    <w:p w14:paraId="387A20E9">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（3）专用合同条款及其附件；</w:t>
      </w:r>
    </w:p>
    <w:p w14:paraId="368FF6D9">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（4）通用合同条款；</w:t>
      </w:r>
    </w:p>
    <w:p w14:paraId="5C96F92B">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（5）技术标准和要求；</w:t>
      </w:r>
    </w:p>
    <w:p w14:paraId="568C29C4">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（6）图纸；</w:t>
      </w:r>
    </w:p>
    <w:p w14:paraId="60906444">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（7）已标价工程量清单或预算书；</w:t>
      </w:r>
    </w:p>
    <w:p w14:paraId="763A9F78">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（8）其他合同文件。</w:t>
      </w:r>
    </w:p>
    <w:p w14:paraId="3B972366">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在合同订立及履行过程中形成的与合同有关的文件均构成合同文件组成部分。</w:t>
      </w:r>
    </w:p>
    <w:p w14:paraId="4C86AA67">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上述各项合同文件包括合同当事人就该项合同文件所作出的补充和修改，属于同一类内容的文件，应以最新签署的为准。专用合同条款及其附件须经合同当事人签字或盖章。</w:t>
      </w:r>
    </w:p>
    <w:p w14:paraId="7C6F490C">
      <w:pPr>
        <w:snapToGrid w:val="0"/>
        <w:spacing w:line="360" w:lineRule="auto"/>
        <w:outlineLvl w:val="1"/>
        <w:rPr>
          <w:rFonts w:ascii="宋体" w:hAnsi="宋体" w:cs="宋体"/>
          <w:b/>
          <w:bCs/>
          <w:snapToGrid w:val="0"/>
          <w:color w:val="auto"/>
          <w:kern w:val="0"/>
          <w:sz w:val="24"/>
          <w:highlight w:val="none"/>
        </w:rPr>
      </w:pPr>
      <w:bookmarkStart w:id="430" w:name="_Toc361220416"/>
      <w:bookmarkStart w:id="431" w:name="_Toc97299504"/>
      <w:r>
        <w:rPr>
          <w:rFonts w:hint="eastAsia" w:ascii="宋体" w:hAnsi="宋体" w:cs="宋体"/>
          <w:b/>
          <w:bCs/>
          <w:snapToGrid w:val="0"/>
          <w:color w:val="auto"/>
          <w:kern w:val="0"/>
          <w:sz w:val="24"/>
          <w:highlight w:val="none"/>
        </w:rPr>
        <w:t>七、承诺</w:t>
      </w:r>
      <w:bookmarkEnd w:id="430"/>
      <w:bookmarkEnd w:id="431"/>
    </w:p>
    <w:p w14:paraId="0B8558B7">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1.发包人承诺按照法律规定履行项目审批手续、筹集工程建设资金并按照合同约定的期限和方式支付合同价款。</w:t>
      </w:r>
    </w:p>
    <w:p w14:paraId="6043E8DC">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2.承包人承诺按照法律规定及合同约定组织完成工程施工，确保工程质量和安全，不进行转包及违法分包，并在缺陷责任期及保修期内承担相应的工程维修责任。</w:t>
      </w:r>
    </w:p>
    <w:p w14:paraId="507772A8">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3.发包人和承包人通过</w:t>
      </w:r>
      <w:r>
        <w:rPr>
          <w:rFonts w:hint="eastAsia"/>
          <w:color w:val="auto"/>
          <w:highlight w:val="none"/>
        </w:rPr>
        <w:t>政府采购</w:t>
      </w:r>
      <w:r>
        <w:rPr>
          <w:rFonts w:hint="eastAsia" w:ascii="宋体" w:hAnsi="宋体" w:cs="宋体"/>
          <w:bCs/>
          <w:snapToGrid w:val="0"/>
          <w:color w:val="auto"/>
          <w:kern w:val="0"/>
          <w:sz w:val="24"/>
          <w:highlight w:val="none"/>
        </w:rPr>
        <w:t>形式签订合同的，双方理解并承诺不再就同一工程另行签订与合同实质性内容相背离的协议。</w:t>
      </w:r>
    </w:p>
    <w:p w14:paraId="3B397765">
      <w:pPr>
        <w:snapToGrid w:val="0"/>
        <w:spacing w:line="360" w:lineRule="auto"/>
        <w:outlineLvl w:val="1"/>
        <w:rPr>
          <w:rFonts w:ascii="宋体" w:hAnsi="宋体" w:cs="宋体"/>
          <w:b/>
          <w:bCs/>
          <w:snapToGrid w:val="0"/>
          <w:color w:val="auto"/>
          <w:kern w:val="0"/>
          <w:sz w:val="24"/>
          <w:highlight w:val="none"/>
        </w:rPr>
      </w:pPr>
      <w:bookmarkStart w:id="432" w:name="_Toc97299505"/>
      <w:bookmarkStart w:id="433" w:name="_Toc361220417"/>
      <w:r>
        <w:rPr>
          <w:rFonts w:hint="eastAsia" w:ascii="宋体" w:hAnsi="宋体" w:cs="宋体"/>
          <w:b/>
          <w:bCs/>
          <w:snapToGrid w:val="0"/>
          <w:color w:val="auto"/>
          <w:kern w:val="0"/>
          <w:sz w:val="24"/>
          <w:highlight w:val="none"/>
        </w:rPr>
        <w:t>八、词语含义</w:t>
      </w:r>
      <w:bookmarkEnd w:id="432"/>
      <w:bookmarkEnd w:id="433"/>
    </w:p>
    <w:p w14:paraId="2E909629">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本协议书中词语含义与第二部分通用合同条款中赋予的含义相同。</w:t>
      </w:r>
    </w:p>
    <w:p w14:paraId="12649F5F">
      <w:pPr>
        <w:snapToGrid w:val="0"/>
        <w:spacing w:line="360" w:lineRule="auto"/>
        <w:outlineLvl w:val="1"/>
        <w:rPr>
          <w:rFonts w:ascii="宋体" w:hAnsi="宋体" w:cs="宋体"/>
          <w:b/>
          <w:bCs/>
          <w:snapToGrid w:val="0"/>
          <w:color w:val="auto"/>
          <w:kern w:val="0"/>
          <w:sz w:val="24"/>
          <w:highlight w:val="none"/>
        </w:rPr>
      </w:pPr>
      <w:bookmarkStart w:id="434" w:name="_Toc97299506"/>
      <w:bookmarkStart w:id="435" w:name="_Toc361220418"/>
      <w:r>
        <w:rPr>
          <w:rFonts w:hint="eastAsia" w:ascii="宋体" w:hAnsi="宋体" w:cs="宋体"/>
          <w:b/>
          <w:bCs/>
          <w:snapToGrid w:val="0"/>
          <w:color w:val="auto"/>
          <w:kern w:val="0"/>
          <w:sz w:val="24"/>
          <w:highlight w:val="none"/>
        </w:rPr>
        <w:t>九、签订时间</w:t>
      </w:r>
      <w:bookmarkEnd w:id="434"/>
      <w:bookmarkEnd w:id="435"/>
    </w:p>
    <w:p w14:paraId="1600D46E">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本合同于</w:t>
      </w:r>
      <w:bookmarkStart w:id="436" w:name="SOA_hhxys_htqdn"/>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u w:val="single"/>
          <w:lang w:val="en-US" w:eastAsia="zh-CN"/>
        </w:rPr>
        <w:t>202</w:t>
      </w:r>
      <w:bookmarkEnd w:id="436"/>
      <w:r>
        <w:rPr>
          <w:rFonts w:hint="eastAsia" w:ascii="宋体" w:hAnsi="宋体" w:cs="宋体"/>
          <w:bCs/>
          <w:snapToGrid w:val="0"/>
          <w:color w:val="auto"/>
          <w:kern w:val="0"/>
          <w:sz w:val="24"/>
          <w:highlight w:val="none"/>
          <w:u w:val="single"/>
          <w:lang w:val="en-US" w:eastAsia="zh-CN"/>
        </w:rPr>
        <w:t>5</w:t>
      </w:r>
      <w:r>
        <w:rPr>
          <w:rFonts w:hint="eastAsia" w:ascii="宋体" w:hAnsi="宋体" w:cs="宋体"/>
          <w:bCs/>
          <w:snapToGrid w:val="0"/>
          <w:color w:val="auto"/>
          <w:kern w:val="0"/>
          <w:sz w:val="24"/>
          <w:highlight w:val="none"/>
        </w:rPr>
        <w:t>年</w:t>
      </w:r>
      <w:bookmarkStart w:id="437" w:name="SOA_hhxys_htqdy"/>
      <w:r>
        <w:rPr>
          <w:rFonts w:hint="eastAsia" w:ascii="宋体" w:hAnsi="宋体" w:cs="宋体"/>
          <w:bCs/>
          <w:snapToGrid w:val="0"/>
          <w:color w:val="auto"/>
          <w:kern w:val="0"/>
          <w:sz w:val="24"/>
          <w:highlight w:val="none"/>
          <w:u w:val="single"/>
        </w:rPr>
        <w:t xml:space="preserve">      </w:t>
      </w:r>
      <w:bookmarkEnd w:id="437"/>
      <w:r>
        <w:rPr>
          <w:rFonts w:hint="eastAsia" w:ascii="宋体" w:hAnsi="宋体" w:cs="宋体"/>
          <w:bCs/>
          <w:snapToGrid w:val="0"/>
          <w:color w:val="auto"/>
          <w:kern w:val="0"/>
          <w:sz w:val="24"/>
          <w:highlight w:val="none"/>
        </w:rPr>
        <w:t>月</w:t>
      </w:r>
      <w:bookmarkStart w:id="438" w:name="SOA_hhxys_htqdr"/>
      <w:r>
        <w:rPr>
          <w:rFonts w:hint="eastAsia" w:ascii="宋体" w:hAnsi="宋体" w:cs="宋体"/>
          <w:bCs/>
          <w:snapToGrid w:val="0"/>
          <w:color w:val="auto"/>
          <w:kern w:val="0"/>
          <w:sz w:val="24"/>
          <w:highlight w:val="none"/>
          <w:u w:val="single"/>
        </w:rPr>
        <w:t xml:space="preserve">      </w:t>
      </w:r>
      <w:bookmarkEnd w:id="438"/>
      <w:r>
        <w:rPr>
          <w:rFonts w:hint="eastAsia" w:ascii="宋体" w:hAnsi="宋体" w:cs="宋体"/>
          <w:bCs/>
          <w:snapToGrid w:val="0"/>
          <w:color w:val="auto"/>
          <w:kern w:val="0"/>
          <w:sz w:val="24"/>
          <w:highlight w:val="none"/>
        </w:rPr>
        <w:t>日签订。</w:t>
      </w:r>
    </w:p>
    <w:p w14:paraId="3ACEF3C0">
      <w:pPr>
        <w:snapToGrid w:val="0"/>
        <w:spacing w:line="360" w:lineRule="auto"/>
        <w:outlineLvl w:val="1"/>
        <w:rPr>
          <w:rFonts w:ascii="宋体" w:hAnsi="宋体" w:cs="宋体"/>
          <w:b/>
          <w:bCs/>
          <w:snapToGrid w:val="0"/>
          <w:color w:val="auto"/>
          <w:kern w:val="0"/>
          <w:sz w:val="24"/>
          <w:highlight w:val="none"/>
        </w:rPr>
      </w:pPr>
      <w:bookmarkStart w:id="439" w:name="_Toc361220419"/>
      <w:bookmarkStart w:id="440" w:name="_Toc97299507"/>
      <w:r>
        <w:rPr>
          <w:rFonts w:hint="eastAsia" w:ascii="宋体" w:hAnsi="宋体" w:cs="宋体"/>
          <w:b/>
          <w:bCs/>
          <w:snapToGrid w:val="0"/>
          <w:color w:val="auto"/>
          <w:kern w:val="0"/>
          <w:sz w:val="24"/>
          <w:highlight w:val="none"/>
        </w:rPr>
        <w:t>十、签订地点</w:t>
      </w:r>
      <w:bookmarkEnd w:id="439"/>
      <w:bookmarkEnd w:id="440"/>
    </w:p>
    <w:p w14:paraId="367FB56D">
      <w:pPr>
        <w:snapToGrid w:val="0"/>
        <w:spacing w:line="360" w:lineRule="auto"/>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 xml:space="preserve">    本合同在</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u w:val="single"/>
          <w:lang w:eastAsia="zh-CN"/>
        </w:rPr>
        <w:t>杭州市长寿桥小学</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签订。</w:t>
      </w:r>
    </w:p>
    <w:p w14:paraId="64D83833">
      <w:pPr>
        <w:snapToGrid w:val="0"/>
        <w:spacing w:line="360" w:lineRule="auto"/>
        <w:outlineLvl w:val="1"/>
        <w:rPr>
          <w:rFonts w:ascii="宋体" w:hAnsi="宋体" w:cs="宋体"/>
          <w:b/>
          <w:bCs/>
          <w:snapToGrid w:val="0"/>
          <w:color w:val="auto"/>
          <w:kern w:val="0"/>
          <w:sz w:val="24"/>
          <w:highlight w:val="none"/>
        </w:rPr>
      </w:pPr>
      <w:bookmarkStart w:id="441" w:name="_Toc97299508"/>
      <w:bookmarkStart w:id="442" w:name="_Toc361220420"/>
      <w:r>
        <w:rPr>
          <w:rFonts w:hint="eastAsia" w:ascii="宋体" w:hAnsi="宋体" w:cs="宋体"/>
          <w:b/>
          <w:bCs/>
          <w:snapToGrid w:val="0"/>
          <w:color w:val="auto"/>
          <w:kern w:val="0"/>
          <w:sz w:val="24"/>
          <w:highlight w:val="none"/>
        </w:rPr>
        <w:t>十一、补充协议</w:t>
      </w:r>
      <w:bookmarkEnd w:id="441"/>
      <w:bookmarkEnd w:id="442"/>
    </w:p>
    <w:p w14:paraId="25D63395">
      <w:pPr>
        <w:snapToGrid w:val="0"/>
        <w:spacing w:line="360" w:lineRule="auto"/>
        <w:ind w:firstLine="480" w:firstLineChars="200"/>
        <w:rPr>
          <w:rFonts w:ascii="宋体" w:hAnsi="宋体" w:cs="宋体"/>
          <w:b/>
          <w:bCs/>
          <w:snapToGrid w:val="0"/>
          <w:color w:val="auto"/>
          <w:kern w:val="0"/>
          <w:sz w:val="24"/>
          <w:highlight w:val="none"/>
        </w:rPr>
      </w:pPr>
      <w:r>
        <w:rPr>
          <w:rFonts w:hint="eastAsia" w:ascii="宋体" w:hAnsi="宋体" w:cs="宋体"/>
          <w:bCs/>
          <w:snapToGrid w:val="0"/>
          <w:color w:val="auto"/>
          <w:kern w:val="0"/>
          <w:sz w:val="24"/>
          <w:highlight w:val="none"/>
        </w:rPr>
        <w:t>合同未尽事宜，合同当事人另行签订补充协议，补充协议是合同的组成部分。</w:t>
      </w:r>
    </w:p>
    <w:p w14:paraId="28EEBD00">
      <w:pPr>
        <w:snapToGrid w:val="0"/>
        <w:spacing w:line="360" w:lineRule="auto"/>
        <w:outlineLvl w:val="1"/>
        <w:rPr>
          <w:rFonts w:ascii="宋体" w:hAnsi="宋体" w:cs="宋体"/>
          <w:b/>
          <w:bCs/>
          <w:snapToGrid w:val="0"/>
          <w:color w:val="auto"/>
          <w:kern w:val="0"/>
          <w:sz w:val="24"/>
          <w:highlight w:val="none"/>
        </w:rPr>
      </w:pPr>
      <w:bookmarkStart w:id="443" w:name="_Toc97299509"/>
      <w:bookmarkStart w:id="444" w:name="_Toc361220421"/>
      <w:r>
        <w:rPr>
          <w:rFonts w:hint="eastAsia" w:ascii="宋体" w:hAnsi="宋体" w:cs="宋体"/>
          <w:b/>
          <w:bCs/>
          <w:snapToGrid w:val="0"/>
          <w:color w:val="auto"/>
          <w:kern w:val="0"/>
          <w:sz w:val="24"/>
          <w:highlight w:val="none"/>
        </w:rPr>
        <w:t>十二、合同生效</w:t>
      </w:r>
      <w:bookmarkEnd w:id="443"/>
      <w:bookmarkEnd w:id="444"/>
    </w:p>
    <w:p w14:paraId="4876E159">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本合同自</w:t>
      </w:r>
      <w:r>
        <w:rPr>
          <w:rFonts w:hint="eastAsia" w:ascii="宋体" w:hAnsi="宋体" w:cs="宋体"/>
          <w:bCs/>
          <w:snapToGrid w:val="0"/>
          <w:color w:val="auto"/>
          <w:kern w:val="0"/>
          <w:sz w:val="24"/>
          <w:highlight w:val="none"/>
          <w:u w:val="single"/>
        </w:rPr>
        <w:t xml:space="preserve">  </w:t>
      </w:r>
      <w:bookmarkStart w:id="445" w:name="SOA_hhxys_htsx"/>
      <w:r>
        <w:rPr>
          <w:rFonts w:hint="eastAsia" w:ascii="宋体" w:hAnsi="宋体" w:cs="宋体"/>
          <w:bCs/>
          <w:snapToGrid w:val="0"/>
          <w:color w:val="auto"/>
          <w:kern w:val="0"/>
          <w:sz w:val="24"/>
          <w:highlight w:val="none"/>
          <w:u w:val="single"/>
          <w:lang w:val="en-US" w:eastAsia="zh-CN"/>
        </w:rPr>
        <w:t>双盖章签字后</w:t>
      </w:r>
      <w:bookmarkEnd w:id="445"/>
      <w:r>
        <w:rPr>
          <w:rFonts w:hint="eastAsia" w:ascii="宋体" w:hAnsi="宋体" w:cs="宋体"/>
          <w:bCs/>
          <w:snapToGrid w:val="0"/>
          <w:color w:val="auto"/>
          <w:kern w:val="0"/>
          <w:sz w:val="24"/>
          <w:highlight w:val="none"/>
          <w:u w:val="single"/>
          <w:lang w:val="en-US" w:eastAsia="zh-CN"/>
        </w:rPr>
        <w:t xml:space="preserve"> </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生效。</w:t>
      </w:r>
    </w:p>
    <w:p w14:paraId="61E4E3C7">
      <w:pPr>
        <w:snapToGrid w:val="0"/>
        <w:spacing w:line="360" w:lineRule="auto"/>
        <w:outlineLvl w:val="1"/>
        <w:rPr>
          <w:rFonts w:ascii="宋体" w:hAnsi="宋体" w:cs="宋体"/>
          <w:b/>
          <w:bCs/>
          <w:snapToGrid w:val="0"/>
          <w:color w:val="auto"/>
          <w:kern w:val="0"/>
          <w:sz w:val="24"/>
          <w:highlight w:val="none"/>
        </w:rPr>
      </w:pPr>
      <w:bookmarkStart w:id="446" w:name="_Toc97299510"/>
      <w:bookmarkStart w:id="447" w:name="_Toc361220422"/>
      <w:r>
        <w:rPr>
          <w:rFonts w:hint="eastAsia" w:ascii="宋体" w:hAnsi="宋体" w:cs="宋体"/>
          <w:b/>
          <w:bCs/>
          <w:snapToGrid w:val="0"/>
          <w:color w:val="auto"/>
          <w:kern w:val="0"/>
          <w:sz w:val="24"/>
          <w:highlight w:val="none"/>
        </w:rPr>
        <w:t>十三、合同份数</w:t>
      </w:r>
      <w:bookmarkEnd w:id="446"/>
      <w:bookmarkEnd w:id="447"/>
    </w:p>
    <w:p w14:paraId="280F15B2">
      <w:pPr>
        <w:snapToGrid w:val="0"/>
        <w:spacing w:line="360" w:lineRule="auto"/>
        <w:ind w:left="210" w:leftChars="100" w:firstLine="240" w:firstLineChars="1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本合同一式</w:t>
      </w:r>
      <w:r>
        <w:rPr>
          <w:rFonts w:hint="eastAsia" w:ascii="宋体" w:hAnsi="宋体" w:cs="宋体"/>
          <w:b/>
          <w:bCs/>
          <w:snapToGrid w:val="0"/>
          <w:color w:val="auto"/>
          <w:kern w:val="0"/>
          <w:sz w:val="24"/>
          <w:highlight w:val="none"/>
          <w:u w:val="single"/>
        </w:rPr>
        <w:t xml:space="preserve"> </w:t>
      </w:r>
      <w:r>
        <w:rPr>
          <w:rFonts w:hint="eastAsia" w:ascii="宋体" w:hAnsi="宋体" w:cs="宋体"/>
          <w:b/>
          <w:bCs/>
          <w:snapToGrid w:val="0"/>
          <w:color w:val="auto"/>
          <w:kern w:val="0"/>
          <w:sz w:val="24"/>
          <w:highlight w:val="none"/>
          <w:u w:val="single"/>
          <w:lang w:val="en-US" w:eastAsia="zh-CN"/>
        </w:rPr>
        <w:t>捌</w:t>
      </w:r>
      <w:r>
        <w:rPr>
          <w:rFonts w:hint="eastAsia" w:ascii="宋体" w:hAnsi="宋体" w:cs="宋体"/>
          <w:b/>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份，均具有同等法律效力，发包人执</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u w:val="single"/>
          <w:lang w:val="en-US" w:eastAsia="zh-CN"/>
        </w:rPr>
        <w:t>伍</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份，承包人执</w:t>
      </w:r>
      <w:r>
        <w:rPr>
          <w:rFonts w:hint="eastAsia" w:ascii="宋体" w:hAnsi="宋体" w:cs="宋体"/>
          <w:b/>
          <w:snapToGrid w:val="0"/>
          <w:color w:val="auto"/>
          <w:kern w:val="0"/>
          <w:sz w:val="24"/>
          <w:highlight w:val="none"/>
          <w:u w:val="single"/>
        </w:rPr>
        <w:t xml:space="preserve"> </w:t>
      </w:r>
      <w:r>
        <w:rPr>
          <w:rFonts w:hint="eastAsia" w:ascii="宋体" w:hAnsi="宋体" w:cs="宋体"/>
          <w:b/>
          <w:snapToGrid w:val="0"/>
          <w:color w:val="auto"/>
          <w:kern w:val="0"/>
          <w:sz w:val="24"/>
          <w:highlight w:val="none"/>
          <w:u w:val="single"/>
          <w:lang w:val="en-US" w:eastAsia="zh-CN"/>
        </w:rPr>
        <w:t>叁</w:t>
      </w:r>
      <w:r>
        <w:rPr>
          <w:rFonts w:hint="eastAsia" w:ascii="宋体" w:hAnsi="宋体" w:cs="宋体"/>
          <w:b/>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w:t>
      </w:r>
    </w:p>
    <w:p w14:paraId="1F2716A1">
      <w:pPr>
        <w:snapToGrid w:val="0"/>
        <w:spacing w:line="360" w:lineRule="auto"/>
        <w:ind w:firstLine="480" w:firstLineChars="200"/>
        <w:rPr>
          <w:rFonts w:ascii="宋体" w:hAnsi="宋体" w:cs="宋体"/>
          <w:snapToGrid w:val="0"/>
          <w:color w:val="auto"/>
          <w:kern w:val="0"/>
          <w:sz w:val="24"/>
          <w:highlight w:val="none"/>
        </w:rPr>
      </w:pPr>
    </w:p>
    <w:p w14:paraId="7625AB60">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发包人：  (公章)</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承包人：  (公章)</w:t>
      </w:r>
    </w:p>
    <w:p w14:paraId="27DCAD06">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snapToGrid w:val="0"/>
          <w:color w:val="auto"/>
          <w:kern w:val="0"/>
          <w:sz w:val="24"/>
          <w:highlight w:val="none"/>
        </w:rPr>
        <w:t>法定代表人或其委托代理人：</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法定代表人或其委托代理人：</w:t>
      </w:r>
    </w:p>
    <w:p w14:paraId="748C4435">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（签字）</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（签字）</w:t>
      </w:r>
    </w:p>
    <w:p w14:paraId="261F6DB9">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组织机构代码：</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组织机构代码：</w:t>
      </w:r>
      <w:bookmarkStart w:id="448" w:name="SOA_hhxys_zjjgdm1"/>
      <w:r>
        <w:rPr>
          <w:rFonts w:hint="eastAsia" w:ascii="宋体" w:hAnsi="宋体" w:cs="宋体"/>
          <w:snapToGrid w:val="0"/>
          <w:color w:val="auto"/>
          <w:kern w:val="0"/>
          <w:sz w:val="24"/>
          <w:highlight w:val="none"/>
          <w:u w:val="single"/>
        </w:rPr>
        <w:t xml:space="preserve">      </w:t>
      </w:r>
      <w:bookmarkEnd w:id="448"/>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341FEAF0">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0744EC1B">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邮政编码：</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邮政编码：</w:t>
      </w:r>
      <w:bookmarkStart w:id="449" w:name="SOA_hhxys_cbryb"/>
      <w:r>
        <w:rPr>
          <w:rFonts w:hint="eastAsia" w:ascii="宋体" w:hAnsi="宋体" w:cs="宋体"/>
          <w:snapToGrid w:val="0"/>
          <w:color w:val="auto"/>
          <w:kern w:val="0"/>
          <w:sz w:val="24"/>
          <w:highlight w:val="none"/>
          <w:u w:val="single"/>
        </w:rPr>
        <w:t xml:space="preserve">             </w:t>
      </w:r>
      <w:bookmarkEnd w:id="449"/>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28DD2CF8">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法定代表人：</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法定代表人：</w:t>
      </w:r>
      <w:bookmarkStart w:id="450" w:name="SOA_hhxys_fddbr1"/>
      <w:r>
        <w:rPr>
          <w:rFonts w:hint="eastAsia" w:ascii="宋体" w:hAnsi="宋体" w:cs="宋体"/>
          <w:snapToGrid w:val="0"/>
          <w:color w:val="auto"/>
          <w:kern w:val="0"/>
          <w:sz w:val="24"/>
          <w:highlight w:val="none"/>
          <w:u w:val="single"/>
        </w:rPr>
        <w:t xml:space="preserve">     </w:t>
      </w:r>
      <w:bookmarkEnd w:id="450"/>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4677F0CE">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委托代理人：</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委托代理人：</w:t>
      </w:r>
      <w:bookmarkStart w:id="451" w:name="SOA_hhxys_wtdlr1"/>
      <w:r>
        <w:rPr>
          <w:rFonts w:hint="eastAsia" w:ascii="宋体" w:hAnsi="宋体" w:cs="宋体"/>
          <w:snapToGrid w:val="0"/>
          <w:color w:val="auto"/>
          <w:kern w:val="0"/>
          <w:sz w:val="24"/>
          <w:highlight w:val="none"/>
          <w:u w:val="single"/>
        </w:rPr>
        <w:t xml:space="preserve">    </w:t>
      </w:r>
      <w:bookmarkEnd w:id="451"/>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30BA227D">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电  话：</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电  话：</w:t>
      </w:r>
      <w:bookmarkStart w:id="452" w:name="SOA_hhxys_cbrdh"/>
      <w:r>
        <w:rPr>
          <w:rFonts w:hint="eastAsia" w:ascii="宋体" w:hAnsi="宋体" w:cs="宋体"/>
          <w:snapToGrid w:val="0"/>
          <w:color w:val="auto"/>
          <w:kern w:val="0"/>
          <w:sz w:val="24"/>
          <w:highlight w:val="none"/>
          <w:u w:val="single"/>
        </w:rPr>
        <w:t xml:space="preserve">            </w:t>
      </w:r>
      <w:bookmarkEnd w:id="452"/>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10D88AAE">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传  真：</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传  真：</w:t>
      </w:r>
      <w:bookmarkStart w:id="453" w:name="SOA_hhxys_cbrcz"/>
      <w:r>
        <w:rPr>
          <w:rFonts w:hint="eastAsia" w:ascii="宋体" w:hAnsi="宋体" w:cs="宋体"/>
          <w:snapToGrid w:val="0"/>
          <w:color w:val="auto"/>
          <w:kern w:val="0"/>
          <w:sz w:val="24"/>
          <w:highlight w:val="none"/>
          <w:u w:val="single"/>
        </w:rPr>
        <w:t xml:space="preserve">              </w:t>
      </w:r>
      <w:bookmarkEnd w:id="453"/>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1A63AFE9">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电子信箱：</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电子信箱：</w:t>
      </w:r>
      <w:bookmarkStart w:id="454" w:name="SOA_hhxys_cbrdzxx"/>
      <w:r>
        <w:rPr>
          <w:rFonts w:hint="eastAsia" w:ascii="宋体" w:hAnsi="宋体" w:cs="宋体"/>
          <w:snapToGrid w:val="0"/>
          <w:color w:val="auto"/>
          <w:kern w:val="0"/>
          <w:sz w:val="24"/>
          <w:highlight w:val="none"/>
          <w:u w:val="single"/>
        </w:rPr>
        <w:t xml:space="preserve">      </w:t>
      </w:r>
      <w:bookmarkEnd w:id="454"/>
      <w:r>
        <w:rPr>
          <w:rFonts w:hint="eastAsia" w:ascii="宋体" w:hAnsi="宋体" w:cs="宋体"/>
          <w:snapToGrid w:val="0"/>
          <w:color w:val="auto"/>
          <w:kern w:val="0"/>
          <w:sz w:val="24"/>
          <w:highlight w:val="none"/>
          <w:u w:val="single"/>
        </w:rPr>
        <w:t xml:space="preserve">  </w:t>
      </w:r>
    </w:p>
    <w:p w14:paraId="724D16C6">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开户银行：</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开户银行：</w:t>
      </w:r>
      <w:r>
        <w:rPr>
          <w:rFonts w:hint="eastAsia" w:ascii="宋体" w:hAnsi="宋体" w:cs="宋体"/>
          <w:snapToGrid w:val="0"/>
          <w:color w:val="auto"/>
          <w:kern w:val="0"/>
          <w:sz w:val="24"/>
          <w:highlight w:val="none"/>
          <w:u w:val="single"/>
        </w:rPr>
        <w:t xml:space="preserve">                 </w:t>
      </w:r>
    </w:p>
    <w:p w14:paraId="7A70B407">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账  号：</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账  号：</w:t>
      </w:r>
      <w:r>
        <w:rPr>
          <w:rFonts w:hint="eastAsia" w:ascii="宋体" w:hAnsi="宋体" w:cs="宋体"/>
          <w:snapToGrid w:val="0"/>
          <w:color w:val="auto"/>
          <w:kern w:val="0"/>
          <w:sz w:val="24"/>
          <w:highlight w:val="none"/>
          <w:u w:val="single"/>
        </w:rPr>
        <w:t></w:t>
      </w:r>
      <w:bookmarkStart w:id="455" w:name="SOA_hhxys_cbrzh"/>
      <w:r>
        <w:rPr>
          <w:rFonts w:hint="eastAsia" w:ascii="宋体" w:hAnsi="宋体" w:cs="宋体"/>
          <w:snapToGrid w:val="0"/>
          <w:color w:val="auto"/>
          <w:kern w:val="0"/>
          <w:sz w:val="24"/>
          <w:highlight w:val="none"/>
          <w:u w:val="single"/>
        </w:rPr>
        <w:t xml:space="preserve"> </w:t>
      </w:r>
      <w:bookmarkEnd w:id="455"/>
      <w:r>
        <w:rPr>
          <w:rFonts w:hint="eastAsia" w:ascii="宋体" w:hAnsi="宋体" w:cs="宋体"/>
          <w:snapToGrid w:val="0"/>
          <w:color w:val="auto"/>
          <w:kern w:val="0"/>
          <w:sz w:val="24"/>
          <w:highlight w:val="none"/>
          <w:u w:val="single"/>
        </w:rPr>
        <w:t xml:space="preserve">        </w:t>
      </w:r>
    </w:p>
    <w:p w14:paraId="6A14AD93">
      <w:pPr>
        <w:keepNext/>
        <w:keepLines/>
        <w:numPr>
          <w:ilvl w:val="0"/>
          <w:numId w:val="1"/>
        </w:numPr>
        <w:spacing w:before="100" w:line="400" w:lineRule="exact"/>
        <w:jc w:val="center"/>
        <w:outlineLvl w:val="1"/>
        <w:rPr>
          <w:rFonts w:hint="eastAsia" w:ascii="宋体" w:hAnsi="宋体" w:cs="宋体"/>
          <w:snapToGrid w:val="0"/>
          <w:color w:val="auto"/>
          <w:kern w:val="44"/>
          <w:sz w:val="28"/>
          <w:szCs w:val="20"/>
          <w:highlight w:val="none"/>
        </w:rPr>
      </w:pPr>
      <w:r>
        <w:rPr>
          <w:rFonts w:hint="eastAsia" w:ascii="宋体" w:hAnsi="宋体" w:cs="宋体"/>
          <w:snapToGrid w:val="0"/>
          <w:color w:val="auto"/>
          <w:kern w:val="0"/>
          <w:sz w:val="24"/>
          <w:highlight w:val="none"/>
        </w:rPr>
        <w:br w:type="page"/>
      </w:r>
      <w:bookmarkStart w:id="456" w:name="_Toc97299511"/>
      <w:bookmarkStart w:id="457" w:name="_Toc31640"/>
      <w:bookmarkStart w:id="458" w:name="_Toc69485879"/>
      <w:r>
        <w:rPr>
          <w:rFonts w:hint="eastAsia" w:ascii="宋体" w:hAnsi="宋体" w:cs="宋体"/>
          <w:snapToGrid w:val="0"/>
          <w:color w:val="auto"/>
          <w:kern w:val="44"/>
          <w:sz w:val="28"/>
          <w:szCs w:val="20"/>
          <w:highlight w:val="none"/>
        </w:rPr>
        <w:t xml:space="preserve"> 通用条款（略）</w:t>
      </w:r>
      <w:bookmarkEnd w:id="456"/>
      <w:bookmarkEnd w:id="457"/>
      <w:bookmarkEnd w:id="458"/>
    </w:p>
    <w:p w14:paraId="7D0D66EA">
      <w:pPr>
        <w:spacing w:line="360" w:lineRule="auto"/>
        <w:ind w:firstLine="480" w:firstLineChars="200"/>
        <w:rPr>
          <w:rFonts w:ascii="宋体" w:hAnsi="宋体" w:cs="宋体"/>
          <w:sz w:val="24"/>
        </w:rPr>
      </w:pPr>
      <w:r>
        <w:rPr>
          <w:rFonts w:hint="eastAsia" w:ascii="宋体" w:hAnsi="宋体" w:cs="宋体"/>
          <w:sz w:val="24"/>
        </w:rPr>
        <w:t>通用合同条款采用住房城乡建设部、国家工商行政管理总局制定的《建设工程施工合同（示范文本）》（GF-2017-0201）的通用合同条款。</w:t>
      </w:r>
    </w:p>
    <w:p w14:paraId="24E5E249">
      <w:pPr>
        <w:pStyle w:val="82"/>
        <w:numPr>
          <w:ilvl w:val="0"/>
          <w:numId w:val="0"/>
        </w:numPr>
      </w:pPr>
    </w:p>
    <w:p w14:paraId="73284478">
      <w:pPr>
        <w:keepNext/>
        <w:keepLines/>
        <w:numPr>
          <w:ilvl w:val="1"/>
          <w:numId w:val="0"/>
        </w:numPr>
        <w:spacing w:before="100" w:line="400" w:lineRule="exact"/>
        <w:jc w:val="center"/>
        <w:outlineLvl w:val="1"/>
        <w:rPr>
          <w:rFonts w:ascii="宋体" w:hAnsi="宋体" w:cs="宋体"/>
          <w:snapToGrid w:val="0"/>
          <w:color w:val="auto"/>
          <w:kern w:val="44"/>
          <w:sz w:val="28"/>
          <w:szCs w:val="20"/>
          <w:highlight w:val="none"/>
        </w:rPr>
      </w:pPr>
      <w:bookmarkStart w:id="459" w:name="_Toc97299512"/>
      <w:bookmarkStart w:id="460" w:name="_Toc69485880"/>
      <w:bookmarkStart w:id="461" w:name="_Toc8278"/>
      <w:r>
        <w:rPr>
          <w:rFonts w:hint="eastAsia" w:ascii="宋体" w:hAnsi="宋体" w:cs="宋体"/>
          <w:snapToGrid w:val="0"/>
          <w:color w:val="auto"/>
          <w:kern w:val="44"/>
          <w:sz w:val="28"/>
          <w:szCs w:val="20"/>
          <w:highlight w:val="none"/>
        </w:rPr>
        <w:t>第三部分  专用条款</w:t>
      </w:r>
      <w:bookmarkEnd w:id="459"/>
      <w:bookmarkEnd w:id="460"/>
      <w:bookmarkEnd w:id="461"/>
    </w:p>
    <w:p w14:paraId="0FDB54D0">
      <w:pPr>
        <w:spacing w:line="360" w:lineRule="auto"/>
        <w:ind w:firstLine="482" w:firstLineChars="200"/>
        <w:rPr>
          <w:rFonts w:ascii="宋体" w:hAnsi="宋体" w:cs="宋体"/>
          <w:b/>
          <w:bCs/>
          <w:sz w:val="24"/>
        </w:rPr>
      </w:pPr>
      <w:r>
        <w:rPr>
          <w:rFonts w:hint="eastAsia" w:ascii="宋体" w:hAnsi="宋体" w:cs="宋体"/>
          <w:b/>
          <w:bCs/>
          <w:sz w:val="24"/>
        </w:rPr>
        <w:t>1、一般约定</w:t>
      </w:r>
    </w:p>
    <w:p w14:paraId="457E9CDA">
      <w:pPr>
        <w:spacing w:line="360" w:lineRule="auto"/>
        <w:ind w:firstLine="480" w:firstLineChars="200"/>
        <w:rPr>
          <w:rFonts w:ascii="宋体" w:hAnsi="宋体" w:cs="宋体"/>
          <w:sz w:val="24"/>
        </w:rPr>
      </w:pPr>
      <w:r>
        <w:rPr>
          <w:rFonts w:hint="eastAsia" w:ascii="宋体" w:hAnsi="宋体" w:cs="宋体"/>
          <w:sz w:val="24"/>
        </w:rPr>
        <w:t>1.1词语定义</w:t>
      </w:r>
    </w:p>
    <w:p w14:paraId="7E64D8B0">
      <w:pPr>
        <w:spacing w:line="360" w:lineRule="auto"/>
        <w:ind w:firstLine="480" w:firstLineChars="200"/>
        <w:rPr>
          <w:rFonts w:ascii="宋体" w:hAnsi="宋体" w:cs="宋体"/>
          <w:sz w:val="24"/>
        </w:rPr>
      </w:pPr>
      <w:r>
        <w:rPr>
          <w:rFonts w:hint="eastAsia" w:ascii="宋体" w:hAnsi="宋体" w:cs="宋体"/>
          <w:kern w:val="0"/>
          <w:sz w:val="24"/>
        </w:rPr>
        <w:t>1.1.1合同</w:t>
      </w:r>
    </w:p>
    <w:p w14:paraId="54C986BC">
      <w:pPr>
        <w:spacing w:line="360" w:lineRule="auto"/>
        <w:ind w:firstLine="480" w:firstLineChars="200"/>
        <w:rPr>
          <w:rFonts w:ascii="宋体" w:hAnsi="宋体" w:cs="宋体"/>
          <w:b/>
          <w:bCs/>
          <w:sz w:val="24"/>
          <w:u w:val="single"/>
        </w:rPr>
      </w:pPr>
      <w:r>
        <w:rPr>
          <w:rFonts w:hint="eastAsia" w:ascii="宋体" w:hAnsi="宋体" w:cs="宋体"/>
          <w:kern w:val="0"/>
          <w:sz w:val="24"/>
        </w:rPr>
        <w:t>1.1.1.1其他合同文件包括：</w:t>
      </w:r>
      <w:r>
        <w:rPr>
          <w:rFonts w:hint="eastAsia" w:ascii="宋体" w:hAnsi="宋体" w:cs="宋体"/>
          <w:kern w:val="0"/>
          <w:sz w:val="24"/>
          <w:u w:val="single"/>
        </w:rPr>
        <w:t xml:space="preserve"> </w:t>
      </w:r>
      <w:r>
        <w:rPr>
          <w:rFonts w:hint="eastAsia" w:ascii="宋体" w:hAnsi="宋体" w:cs="宋体"/>
          <w:b/>
          <w:bCs/>
          <w:kern w:val="0"/>
          <w:sz w:val="24"/>
          <w:u w:val="single"/>
        </w:rPr>
        <w:t xml:space="preserve">施工组织设计，竞争性磋商文件及招标答疑。 </w:t>
      </w:r>
    </w:p>
    <w:p w14:paraId="3A88F76D">
      <w:pPr>
        <w:spacing w:line="360" w:lineRule="auto"/>
        <w:ind w:firstLine="480" w:firstLineChars="200"/>
        <w:rPr>
          <w:rFonts w:ascii="宋体" w:hAnsi="宋体" w:cs="宋体"/>
          <w:sz w:val="24"/>
        </w:rPr>
      </w:pPr>
      <w:r>
        <w:rPr>
          <w:rFonts w:hint="eastAsia" w:ascii="宋体" w:hAnsi="宋体" w:cs="宋体"/>
          <w:sz w:val="24"/>
        </w:rPr>
        <w:t>1.1.2合同当事人及其他相关方：</w:t>
      </w:r>
    </w:p>
    <w:p w14:paraId="65987F97">
      <w:pPr>
        <w:spacing w:line="360" w:lineRule="auto"/>
        <w:ind w:firstLine="480" w:firstLineChars="200"/>
        <w:rPr>
          <w:rFonts w:ascii="宋体" w:hAnsi="宋体" w:cs="宋体"/>
          <w:sz w:val="24"/>
        </w:rPr>
      </w:pPr>
      <w:r>
        <w:rPr>
          <w:rFonts w:hint="eastAsia" w:ascii="宋体" w:hAnsi="宋体" w:cs="宋体"/>
          <w:sz w:val="24"/>
        </w:rPr>
        <w:t>1.1.2.1发包人代表：</w:t>
      </w:r>
    </w:p>
    <w:p w14:paraId="73BF8D0F">
      <w:pPr>
        <w:spacing w:line="360" w:lineRule="auto"/>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w:t>
      </w:r>
      <w:r>
        <w:rPr>
          <w:rFonts w:hint="eastAsia" w:ascii="宋体" w:hAnsi="宋体" w:cs="宋体"/>
          <w:sz w:val="24"/>
        </w:rPr>
        <w:t>；</w:t>
      </w:r>
    </w:p>
    <w:p w14:paraId="46427E0A">
      <w:pPr>
        <w:spacing w:line="360" w:lineRule="auto"/>
        <w:ind w:firstLine="480" w:firstLineChars="200"/>
        <w:rPr>
          <w:rFonts w:ascii="宋体" w:hAnsi="宋体" w:cs="宋体"/>
          <w:sz w:val="24"/>
        </w:rPr>
      </w:pPr>
      <w:r>
        <w:rPr>
          <w:rFonts w:hint="eastAsia" w:ascii="宋体" w:hAnsi="宋体" w:cs="宋体"/>
          <w:sz w:val="24"/>
        </w:rPr>
        <w:t>身份证号：</w:t>
      </w:r>
      <w:r>
        <w:rPr>
          <w:rFonts w:hint="eastAsia" w:ascii="宋体" w:hAnsi="宋体" w:cs="宋体"/>
          <w:sz w:val="24"/>
          <w:u w:val="single"/>
        </w:rPr>
        <w:t></w:t>
      </w:r>
      <w:r>
        <w:rPr>
          <w:rFonts w:hint="eastAsia" w:ascii="宋体" w:hAnsi="宋体" w:cs="宋体"/>
          <w:sz w:val="24"/>
        </w:rPr>
        <w:t>；</w:t>
      </w:r>
    </w:p>
    <w:p w14:paraId="4982240D">
      <w:pPr>
        <w:spacing w:line="36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w:t>
      </w:r>
      <w:r>
        <w:rPr>
          <w:rFonts w:hint="eastAsia" w:ascii="宋体" w:hAnsi="宋体" w:cs="宋体"/>
          <w:sz w:val="24"/>
        </w:rPr>
        <w:t>；</w:t>
      </w:r>
    </w:p>
    <w:p w14:paraId="7EBB3143">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w:t>
      </w:r>
      <w:r>
        <w:rPr>
          <w:rFonts w:hint="eastAsia" w:ascii="宋体" w:hAnsi="宋体" w:cs="宋体"/>
          <w:sz w:val="24"/>
        </w:rPr>
        <w:t>；</w:t>
      </w:r>
    </w:p>
    <w:p w14:paraId="313682E3">
      <w:pPr>
        <w:spacing w:line="360" w:lineRule="auto"/>
        <w:ind w:firstLine="480" w:firstLineChars="200"/>
        <w:rPr>
          <w:rFonts w:ascii="宋体" w:hAnsi="宋体" w:cs="宋体"/>
          <w:sz w:val="24"/>
        </w:rPr>
      </w:pPr>
      <w:r>
        <w:rPr>
          <w:rFonts w:hint="eastAsia" w:ascii="宋体" w:hAnsi="宋体" w:cs="宋体"/>
          <w:kern w:val="0"/>
          <w:sz w:val="24"/>
        </w:rPr>
        <w:t>1.1.2.2承包人</w:t>
      </w:r>
      <w:r>
        <w:rPr>
          <w:rFonts w:hint="eastAsia" w:ascii="宋体" w:hAnsi="宋体" w:cs="宋体"/>
          <w:sz w:val="24"/>
        </w:rPr>
        <w:t>项目经理：</w:t>
      </w:r>
    </w:p>
    <w:p w14:paraId="2E660A0E">
      <w:pPr>
        <w:spacing w:line="360" w:lineRule="auto"/>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w:t>
      </w:r>
    </w:p>
    <w:p w14:paraId="2848419E">
      <w:pPr>
        <w:spacing w:line="360" w:lineRule="auto"/>
        <w:ind w:firstLine="480" w:firstLineChars="200"/>
        <w:rPr>
          <w:rFonts w:ascii="宋体" w:hAnsi="宋体" w:cs="宋体"/>
          <w:sz w:val="24"/>
        </w:rPr>
      </w:pPr>
      <w:r>
        <w:rPr>
          <w:rFonts w:hint="eastAsia" w:ascii="宋体" w:hAnsi="宋体" w:cs="宋体"/>
          <w:sz w:val="24"/>
        </w:rPr>
        <w:t>身份证号：</w:t>
      </w:r>
      <w:r>
        <w:rPr>
          <w:rFonts w:hint="eastAsia" w:ascii="宋体" w:hAnsi="宋体" w:cs="宋体"/>
          <w:sz w:val="24"/>
          <w:u w:val="single"/>
        </w:rPr>
        <w:t></w:t>
      </w:r>
    </w:p>
    <w:p w14:paraId="29C964BA">
      <w:pPr>
        <w:spacing w:line="360" w:lineRule="auto"/>
        <w:ind w:firstLine="480" w:firstLineChars="200"/>
        <w:rPr>
          <w:rFonts w:ascii="宋体" w:hAnsi="宋体" w:cs="宋体"/>
          <w:sz w:val="24"/>
        </w:rPr>
      </w:pPr>
      <w:r>
        <w:rPr>
          <w:rFonts w:hint="eastAsia" w:ascii="宋体" w:hAnsi="宋体" w:cs="宋体"/>
          <w:sz w:val="24"/>
        </w:rPr>
        <w:t>建造师执业资格等级：</w:t>
      </w:r>
      <w:r>
        <w:rPr>
          <w:rFonts w:hint="eastAsia" w:ascii="宋体" w:hAnsi="宋体" w:cs="宋体"/>
          <w:sz w:val="24"/>
          <w:u w:val="single"/>
        </w:rPr>
        <w:t></w:t>
      </w:r>
    </w:p>
    <w:p w14:paraId="6B862EAE">
      <w:pPr>
        <w:spacing w:line="360" w:lineRule="auto"/>
        <w:ind w:firstLine="480" w:firstLineChars="200"/>
        <w:rPr>
          <w:rFonts w:ascii="宋体" w:hAnsi="宋体" w:cs="宋体"/>
          <w:sz w:val="24"/>
        </w:rPr>
      </w:pPr>
      <w:r>
        <w:rPr>
          <w:rFonts w:hint="eastAsia" w:ascii="宋体" w:hAnsi="宋体" w:cs="宋体"/>
          <w:sz w:val="24"/>
        </w:rPr>
        <w:t>建造师注册证书号：</w:t>
      </w:r>
      <w:r>
        <w:rPr>
          <w:rFonts w:hint="eastAsia" w:ascii="宋体" w:hAnsi="宋体" w:cs="宋体"/>
          <w:sz w:val="24"/>
          <w:u w:val="single"/>
        </w:rPr>
        <w:t></w:t>
      </w:r>
    </w:p>
    <w:p w14:paraId="707B8E41">
      <w:pPr>
        <w:spacing w:line="360" w:lineRule="auto"/>
        <w:ind w:firstLine="480" w:firstLineChars="200"/>
        <w:rPr>
          <w:rFonts w:ascii="宋体" w:hAnsi="宋体" w:cs="宋体"/>
          <w:sz w:val="24"/>
        </w:rPr>
      </w:pPr>
      <w:r>
        <w:rPr>
          <w:rFonts w:hint="eastAsia" w:ascii="宋体" w:hAnsi="宋体" w:cs="宋体"/>
          <w:sz w:val="24"/>
        </w:rPr>
        <w:t>建造师执业印章号：</w:t>
      </w:r>
      <w:r>
        <w:rPr>
          <w:rFonts w:hint="eastAsia" w:ascii="宋体" w:hAnsi="宋体" w:cs="宋体"/>
          <w:sz w:val="24"/>
          <w:u w:val="single"/>
        </w:rPr>
        <w:t></w:t>
      </w:r>
    </w:p>
    <w:p w14:paraId="52ED5697">
      <w:pPr>
        <w:spacing w:line="360" w:lineRule="auto"/>
        <w:ind w:firstLine="480" w:firstLineChars="200"/>
        <w:rPr>
          <w:rFonts w:ascii="宋体" w:hAnsi="宋体" w:cs="宋体"/>
          <w:sz w:val="24"/>
        </w:rPr>
      </w:pPr>
      <w:r>
        <w:rPr>
          <w:rFonts w:hint="eastAsia" w:ascii="宋体" w:hAnsi="宋体" w:cs="宋体"/>
          <w:sz w:val="24"/>
        </w:rPr>
        <w:t>安全生产考核合格证书号：</w:t>
      </w:r>
      <w:r>
        <w:rPr>
          <w:rFonts w:hint="eastAsia" w:ascii="宋体" w:hAnsi="宋体" w:cs="宋体"/>
          <w:sz w:val="24"/>
          <w:u w:val="single"/>
        </w:rPr>
        <w:t></w:t>
      </w:r>
    </w:p>
    <w:p w14:paraId="5BEB08F3">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w:t>
      </w:r>
    </w:p>
    <w:p w14:paraId="5655507D">
      <w:pPr>
        <w:spacing w:line="360" w:lineRule="auto"/>
        <w:ind w:firstLine="480" w:firstLineChars="200"/>
        <w:rPr>
          <w:rFonts w:ascii="宋体" w:hAnsi="宋体" w:cs="宋体"/>
          <w:sz w:val="24"/>
        </w:rPr>
      </w:pPr>
      <w:r>
        <w:rPr>
          <w:rFonts w:hint="eastAsia" w:ascii="宋体" w:hAnsi="宋体" w:cs="宋体"/>
          <w:sz w:val="24"/>
        </w:rPr>
        <w:t>1.1.2.3监理人全称：</w:t>
      </w:r>
      <w:r>
        <w:rPr>
          <w:rFonts w:hint="eastAsia" w:ascii="宋体" w:hAnsi="宋体" w:cs="宋体"/>
          <w:sz w:val="24"/>
          <w:u w:val="single"/>
        </w:rPr>
        <w:t></w:t>
      </w:r>
      <w:r>
        <w:rPr>
          <w:rFonts w:hint="eastAsia" w:ascii="宋体" w:hAnsi="宋体" w:cs="宋体"/>
          <w:sz w:val="24"/>
        </w:rPr>
        <w:t>；</w:t>
      </w:r>
    </w:p>
    <w:p w14:paraId="67DAB539">
      <w:pPr>
        <w:spacing w:line="360" w:lineRule="auto"/>
        <w:ind w:firstLine="480" w:firstLineChars="200"/>
        <w:rPr>
          <w:rFonts w:ascii="宋体" w:hAnsi="宋体" w:cs="宋体"/>
          <w:sz w:val="24"/>
        </w:rPr>
      </w:pPr>
      <w:r>
        <w:rPr>
          <w:rFonts w:hint="eastAsia" w:ascii="宋体" w:hAnsi="宋体" w:cs="宋体"/>
          <w:sz w:val="24"/>
        </w:rPr>
        <w:t>总监理工程师：</w:t>
      </w:r>
    </w:p>
    <w:p w14:paraId="2ECA3FDE">
      <w:pPr>
        <w:spacing w:line="360" w:lineRule="auto"/>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w:t>
      </w:r>
      <w:r>
        <w:rPr>
          <w:rFonts w:hint="eastAsia" w:ascii="宋体" w:hAnsi="宋体" w:cs="宋体"/>
          <w:sz w:val="24"/>
        </w:rPr>
        <w:t>；</w:t>
      </w:r>
    </w:p>
    <w:p w14:paraId="0230FDF2">
      <w:pPr>
        <w:spacing w:line="360" w:lineRule="auto"/>
        <w:ind w:firstLine="480" w:firstLineChars="200"/>
        <w:rPr>
          <w:rFonts w:ascii="宋体" w:hAnsi="宋体" w:cs="宋体"/>
          <w:sz w:val="24"/>
        </w:rPr>
      </w:pPr>
      <w:r>
        <w:rPr>
          <w:rFonts w:hint="eastAsia" w:ascii="宋体" w:hAnsi="宋体" w:cs="宋体"/>
          <w:sz w:val="24"/>
        </w:rPr>
        <w:t>身份证号：</w:t>
      </w:r>
      <w:r>
        <w:rPr>
          <w:rFonts w:hint="eastAsia" w:ascii="宋体" w:hAnsi="宋体" w:cs="宋体"/>
          <w:sz w:val="24"/>
          <w:u w:val="single"/>
        </w:rPr>
        <w:t></w:t>
      </w:r>
      <w:r>
        <w:rPr>
          <w:rFonts w:hint="eastAsia" w:ascii="宋体" w:hAnsi="宋体" w:cs="宋体"/>
          <w:sz w:val="24"/>
        </w:rPr>
        <w:t>；</w:t>
      </w:r>
    </w:p>
    <w:p w14:paraId="46CC70B0">
      <w:pPr>
        <w:spacing w:line="360" w:lineRule="auto"/>
        <w:ind w:firstLine="480" w:firstLineChars="200"/>
        <w:rPr>
          <w:rFonts w:ascii="宋体" w:hAnsi="宋体" w:cs="宋体"/>
          <w:sz w:val="24"/>
        </w:rPr>
      </w:pPr>
      <w:r>
        <w:rPr>
          <w:rFonts w:hint="eastAsia" w:ascii="宋体" w:hAnsi="宋体" w:cs="宋体"/>
          <w:sz w:val="24"/>
        </w:rPr>
        <w:t>监理工程师执业资格证书号：</w:t>
      </w:r>
      <w:r>
        <w:rPr>
          <w:rFonts w:hint="eastAsia" w:ascii="宋体" w:hAnsi="宋体" w:cs="宋体"/>
          <w:sz w:val="24"/>
          <w:u w:val="single"/>
        </w:rPr>
        <w:t></w:t>
      </w:r>
      <w:r>
        <w:rPr>
          <w:rFonts w:hint="eastAsia" w:ascii="宋体" w:hAnsi="宋体" w:cs="宋体"/>
          <w:sz w:val="24"/>
        </w:rPr>
        <w:t>；</w:t>
      </w:r>
    </w:p>
    <w:p w14:paraId="0D599589">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w:t>
      </w:r>
      <w:r>
        <w:rPr>
          <w:rFonts w:hint="eastAsia" w:ascii="宋体" w:hAnsi="宋体" w:cs="宋体"/>
          <w:sz w:val="24"/>
        </w:rPr>
        <w:t>；</w:t>
      </w:r>
    </w:p>
    <w:p w14:paraId="1C1584F9">
      <w:pPr>
        <w:spacing w:line="360" w:lineRule="auto"/>
        <w:ind w:firstLine="480" w:firstLineChars="200"/>
        <w:rPr>
          <w:rFonts w:ascii="宋体" w:hAnsi="宋体" w:cs="宋体"/>
          <w:sz w:val="24"/>
        </w:rPr>
      </w:pPr>
      <w:r>
        <w:rPr>
          <w:rFonts w:hint="eastAsia" w:ascii="宋体" w:hAnsi="宋体" w:cs="宋体"/>
          <w:sz w:val="24"/>
        </w:rPr>
        <w:t>1.1.2.4设计人全称：</w:t>
      </w:r>
      <w:r>
        <w:rPr>
          <w:rFonts w:hint="eastAsia" w:ascii="宋体" w:hAnsi="宋体" w:cs="宋体"/>
          <w:sz w:val="24"/>
          <w:u w:val="single"/>
        </w:rPr>
        <w:t xml:space="preserve">                      </w:t>
      </w:r>
    </w:p>
    <w:p w14:paraId="5691B036">
      <w:pPr>
        <w:spacing w:line="360" w:lineRule="auto"/>
        <w:ind w:firstLine="480" w:firstLineChars="200"/>
        <w:rPr>
          <w:rFonts w:ascii="宋体" w:hAnsi="宋体" w:cs="宋体"/>
          <w:sz w:val="24"/>
        </w:rPr>
      </w:pPr>
      <w:r>
        <w:rPr>
          <w:rFonts w:hint="eastAsia" w:ascii="宋体" w:hAnsi="宋体" w:cs="宋体"/>
          <w:sz w:val="24"/>
        </w:rPr>
        <w:t>设计人代表：</w:t>
      </w:r>
      <w:r>
        <w:rPr>
          <w:rFonts w:hint="eastAsia" w:ascii="宋体" w:hAnsi="宋体" w:cs="宋体"/>
          <w:sz w:val="24"/>
          <w:u w:val="single"/>
        </w:rPr>
        <w:t></w:t>
      </w:r>
      <w:r>
        <w:rPr>
          <w:rFonts w:hint="eastAsia" w:ascii="宋体" w:hAnsi="宋体" w:cs="宋体"/>
          <w:sz w:val="24"/>
        </w:rPr>
        <w:t>；</w:t>
      </w:r>
    </w:p>
    <w:p w14:paraId="79168F4B">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  </w:t>
      </w:r>
      <w:r>
        <w:rPr>
          <w:rFonts w:hint="eastAsia" w:ascii="宋体" w:hAnsi="宋体" w:cs="宋体"/>
          <w:sz w:val="24"/>
        </w:rPr>
        <w:t>；</w:t>
      </w:r>
    </w:p>
    <w:p w14:paraId="0738A5C3">
      <w:pPr>
        <w:spacing w:line="360" w:lineRule="auto"/>
        <w:ind w:firstLine="480" w:firstLineChars="200"/>
        <w:rPr>
          <w:rFonts w:ascii="宋体" w:hAnsi="宋体" w:cs="宋体"/>
          <w:sz w:val="24"/>
        </w:rPr>
      </w:pPr>
      <w:r>
        <w:rPr>
          <w:rFonts w:hint="eastAsia" w:ascii="宋体" w:hAnsi="宋体" w:cs="宋体"/>
          <w:sz w:val="24"/>
        </w:rPr>
        <w:t>1.1.3工程和设备</w:t>
      </w:r>
    </w:p>
    <w:p w14:paraId="15CB981D">
      <w:pPr>
        <w:spacing w:line="360" w:lineRule="auto"/>
        <w:ind w:firstLine="480" w:firstLineChars="200"/>
        <w:rPr>
          <w:rFonts w:ascii="宋体" w:hAnsi="宋体" w:cs="宋体"/>
          <w:sz w:val="24"/>
        </w:rPr>
      </w:pPr>
      <w:r>
        <w:rPr>
          <w:rFonts w:hint="eastAsia" w:ascii="宋体" w:hAnsi="宋体" w:cs="宋体"/>
          <w:sz w:val="24"/>
        </w:rPr>
        <w:t>1.1.3.7作为施工现场组成部分的其他场所包括：</w:t>
      </w:r>
      <w:r>
        <w:rPr>
          <w:rFonts w:hint="eastAsia" w:ascii="宋体" w:hAnsi="宋体" w:cs="宋体"/>
          <w:sz w:val="24"/>
          <w:u w:val="single"/>
        </w:rPr>
        <w:t xml:space="preserve">  /  </w:t>
      </w:r>
    </w:p>
    <w:p w14:paraId="01780EFA">
      <w:pPr>
        <w:spacing w:line="360" w:lineRule="auto"/>
        <w:ind w:firstLine="480" w:firstLineChars="200"/>
        <w:rPr>
          <w:rFonts w:ascii="宋体" w:hAnsi="宋体" w:cs="宋体"/>
          <w:sz w:val="24"/>
        </w:rPr>
      </w:pPr>
      <w:r>
        <w:rPr>
          <w:rFonts w:hint="eastAsia" w:ascii="宋体" w:hAnsi="宋体" w:cs="宋体"/>
          <w:kern w:val="0"/>
          <w:sz w:val="24"/>
        </w:rPr>
        <w:t>1.1.3.9永久占地包括：</w:t>
      </w:r>
      <w:r>
        <w:rPr>
          <w:rFonts w:hint="eastAsia" w:ascii="宋体" w:hAnsi="宋体" w:cs="宋体"/>
          <w:kern w:val="0"/>
          <w:sz w:val="24"/>
          <w:u w:val="single"/>
        </w:rPr>
        <w:t xml:space="preserve"> </w:t>
      </w:r>
      <w:r>
        <w:rPr>
          <w:rFonts w:hint="eastAsia" w:ascii="宋体" w:hAnsi="宋体" w:cs="宋体"/>
          <w:b/>
          <w:bCs/>
          <w:sz w:val="24"/>
          <w:u w:val="single"/>
        </w:rPr>
        <w:t>实施工程需永久占用的土地</w:t>
      </w:r>
      <w:r>
        <w:rPr>
          <w:rFonts w:hint="eastAsia" w:ascii="宋体" w:hAnsi="宋体" w:cs="宋体"/>
          <w:kern w:val="0"/>
          <w:sz w:val="24"/>
          <w:u w:val="single"/>
        </w:rPr>
        <w:t>。</w:t>
      </w:r>
    </w:p>
    <w:p w14:paraId="7BD88CB2">
      <w:pPr>
        <w:spacing w:line="360" w:lineRule="auto"/>
        <w:ind w:firstLine="480" w:firstLineChars="200"/>
        <w:rPr>
          <w:rFonts w:ascii="宋体" w:hAnsi="宋体" w:cs="宋体"/>
          <w:sz w:val="24"/>
        </w:rPr>
      </w:pPr>
      <w:r>
        <w:rPr>
          <w:rFonts w:hint="eastAsia" w:ascii="宋体" w:hAnsi="宋体" w:cs="宋体"/>
          <w:kern w:val="0"/>
          <w:sz w:val="24"/>
        </w:rPr>
        <w:t>1.1.3.10临时占地包括：</w:t>
      </w:r>
      <w:r>
        <w:rPr>
          <w:rFonts w:hint="eastAsia" w:ascii="宋体" w:hAnsi="宋体" w:cs="宋体"/>
          <w:kern w:val="0"/>
          <w:sz w:val="24"/>
          <w:u w:val="single"/>
        </w:rPr>
        <w:t xml:space="preserve"> </w:t>
      </w:r>
      <w:r>
        <w:rPr>
          <w:rFonts w:hint="eastAsia" w:ascii="宋体" w:hAnsi="宋体" w:cs="宋体"/>
          <w:b/>
          <w:bCs/>
          <w:sz w:val="24"/>
          <w:u w:val="single"/>
        </w:rPr>
        <w:t>为实施工程需临时占用的土地</w:t>
      </w:r>
      <w:r>
        <w:rPr>
          <w:rFonts w:hint="eastAsia" w:ascii="宋体" w:hAnsi="宋体" w:cs="宋体"/>
          <w:kern w:val="0"/>
          <w:sz w:val="24"/>
          <w:u w:val="single"/>
        </w:rPr>
        <w:t>。</w:t>
      </w:r>
    </w:p>
    <w:p w14:paraId="191DD400">
      <w:pPr>
        <w:spacing w:line="360" w:lineRule="auto"/>
        <w:ind w:firstLine="480" w:firstLineChars="200"/>
        <w:rPr>
          <w:rFonts w:ascii="宋体" w:hAnsi="宋体" w:cs="宋体"/>
          <w:sz w:val="24"/>
        </w:rPr>
      </w:pPr>
      <w:r>
        <w:rPr>
          <w:rFonts w:hint="eastAsia" w:ascii="宋体" w:hAnsi="宋体" w:cs="宋体"/>
          <w:sz w:val="24"/>
        </w:rPr>
        <w:t xml:space="preserve">1.3法律 </w:t>
      </w:r>
    </w:p>
    <w:p w14:paraId="06CC0440">
      <w:pPr>
        <w:spacing w:line="360" w:lineRule="auto"/>
        <w:ind w:firstLine="480" w:firstLineChars="200"/>
        <w:rPr>
          <w:rFonts w:ascii="宋体" w:hAnsi="宋体" w:cs="宋体"/>
          <w:sz w:val="24"/>
        </w:rPr>
      </w:pPr>
      <w:r>
        <w:rPr>
          <w:rFonts w:hint="eastAsia" w:ascii="宋体" w:hAnsi="宋体" w:cs="宋体"/>
          <w:sz w:val="24"/>
        </w:rPr>
        <w:t>适用于合同的其他规范性文件：</w:t>
      </w:r>
    </w:p>
    <w:p w14:paraId="1E02428E">
      <w:pPr>
        <w:spacing w:line="360" w:lineRule="auto"/>
        <w:ind w:firstLine="482" w:firstLineChars="200"/>
        <w:rPr>
          <w:rFonts w:ascii="宋体" w:hAnsi="宋体" w:cs="宋体"/>
          <w:b/>
          <w:sz w:val="24"/>
          <w:u w:val="single"/>
        </w:rPr>
      </w:pPr>
      <w:r>
        <w:rPr>
          <w:rFonts w:hint="eastAsia" w:ascii="宋体" w:hAnsi="宋体" w:cs="宋体"/>
          <w:b/>
          <w:sz w:val="24"/>
          <w:u w:val="single"/>
        </w:rPr>
        <w:t>（1）关于印发《杭州市建设工程工程量清单计价实施细则》（2018年修订）的通知（杭建市发【2018】578号）</w:t>
      </w:r>
    </w:p>
    <w:p w14:paraId="4147A54A">
      <w:pPr>
        <w:spacing w:line="360" w:lineRule="auto"/>
        <w:ind w:firstLine="482" w:firstLineChars="200"/>
        <w:rPr>
          <w:rFonts w:ascii="宋体" w:hAnsi="宋体" w:cs="宋体"/>
          <w:sz w:val="24"/>
        </w:rPr>
      </w:pPr>
      <w:r>
        <w:rPr>
          <w:rFonts w:hint="eastAsia" w:ascii="宋体" w:hAnsi="宋体" w:cs="宋体"/>
          <w:b/>
          <w:bCs/>
          <w:sz w:val="24"/>
          <w:u w:val="single"/>
        </w:rPr>
        <w:t xml:space="preserve">（2）《关于进一步加强建筑施工领域企业安全生产工作的实施意见》的通知 （杭建工发〔2011〕130号） </w:t>
      </w:r>
    </w:p>
    <w:p w14:paraId="075D3F85">
      <w:pPr>
        <w:spacing w:line="360" w:lineRule="auto"/>
        <w:ind w:firstLine="482" w:firstLineChars="200"/>
        <w:rPr>
          <w:rFonts w:ascii="宋体" w:hAnsi="宋体" w:cs="宋体"/>
          <w:sz w:val="24"/>
        </w:rPr>
      </w:pPr>
      <w:r>
        <w:rPr>
          <w:rFonts w:hint="eastAsia" w:ascii="宋体" w:hAnsi="宋体" w:cs="宋体"/>
          <w:b/>
          <w:bCs/>
          <w:sz w:val="24"/>
          <w:u w:val="single"/>
        </w:rPr>
        <w:t>（3）《关于进一步加强建设工程安全质量物联网管理应用平台建设的通知》（</w:t>
      </w:r>
      <w:r>
        <w:rPr>
          <w:rFonts w:hint="eastAsia" w:ascii="宋体" w:hAnsi="宋体" w:cs="宋体"/>
          <w:b/>
          <w:bCs/>
          <w:kern w:val="0"/>
          <w:sz w:val="24"/>
          <w:u w:val="single"/>
        </w:rPr>
        <w:t xml:space="preserve">杭建工发【2012】426号） </w:t>
      </w:r>
    </w:p>
    <w:p w14:paraId="0CD1820B">
      <w:pPr>
        <w:spacing w:line="360" w:lineRule="auto"/>
        <w:ind w:firstLine="482" w:firstLineChars="200"/>
        <w:rPr>
          <w:rFonts w:ascii="宋体" w:hAnsi="宋体" w:cs="宋体"/>
          <w:sz w:val="24"/>
        </w:rPr>
      </w:pPr>
      <w:r>
        <w:rPr>
          <w:rFonts w:hint="eastAsia" w:ascii="宋体" w:hAnsi="宋体" w:cs="宋体"/>
          <w:b/>
          <w:bCs/>
          <w:kern w:val="0"/>
          <w:sz w:val="24"/>
          <w:u w:val="single"/>
        </w:rPr>
        <w:t xml:space="preserve">（4）《杭州市人民政府办公厅关于印发杭州市建设工程推广应用预拌砂浆管理办法的通知》（杭政办函（2011）32号） </w:t>
      </w:r>
    </w:p>
    <w:p w14:paraId="70756F12">
      <w:pPr>
        <w:spacing w:line="360" w:lineRule="auto"/>
        <w:ind w:firstLine="482" w:firstLineChars="200"/>
        <w:rPr>
          <w:rFonts w:ascii="宋体" w:hAnsi="宋体" w:cs="宋体"/>
          <w:sz w:val="24"/>
        </w:rPr>
      </w:pPr>
      <w:r>
        <w:rPr>
          <w:rFonts w:hint="eastAsia" w:ascii="宋体" w:hAnsi="宋体" w:cs="宋体"/>
          <w:b/>
          <w:bCs/>
          <w:sz w:val="24"/>
          <w:u w:val="single"/>
        </w:rPr>
        <w:t>（5）</w:t>
      </w:r>
      <w:r>
        <w:rPr>
          <w:rFonts w:hint="eastAsia" w:ascii="宋体" w:hAnsi="宋体" w:cs="宋体"/>
          <w:b/>
          <w:bCs/>
          <w:kern w:val="0"/>
          <w:sz w:val="24"/>
          <w:u w:val="single"/>
        </w:rPr>
        <w:t>《关于落实建筑工棚安装空调事宜的通知》（</w:t>
      </w:r>
      <w:r>
        <w:rPr>
          <w:rFonts w:hint="eastAsia" w:ascii="宋体" w:hAnsi="宋体" w:cs="宋体"/>
          <w:b/>
          <w:bCs/>
          <w:sz w:val="24"/>
          <w:u w:val="single"/>
        </w:rPr>
        <w:t xml:space="preserve">杭建工发【2011】237号） </w:t>
      </w:r>
    </w:p>
    <w:p w14:paraId="7A8561C3">
      <w:pPr>
        <w:spacing w:line="360" w:lineRule="auto"/>
        <w:ind w:firstLine="482" w:firstLineChars="200"/>
        <w:rPr>
          <w:rFonts w:ascii="宋体" w:hAnsi="宋体" w:cs="宋体"/>
          <w:sz w:val="24"/>
        </w:rPr>
      </w:pPr>
      <w:r>
        <w:rPr>
          <w:rFonts w:hint="eastAsia" w:ascii="宋体" w:hAnsi="宋体" w:cs="宋体"/>
          <w:b/>
          <w:bCs/>
          <w:sz w:val="24"/>
          <w:u w:val="single"/>
        </w:rPr>
        <w:t>（6）《关于进一步加强杭州市建设工程市场要素价格动态管理的指导意见》（杭建市发【2018】579号）</w:t>
      </w:r>
    </w:p>
    <w:p w14:paraId="59E38400">
      <w:pPr>
        <w:spacing w:line="360" w:lineRule="auto"/>
        <w:ind w:firstLine="482" w:firstLineChars="200"/>
        <w:rPr>
          <w:rFonts w:ascii="宋体" w:hAnsi="宋体" w:cs="宋体"/>
          <w:kern w:val="0"/>
          <w:sz w:val="24"/>
          <w:u w:val="single"/>
        </w:rPr>
      </w:pPr>
      <w:r>
        <w:rPr>
          <w:rFonts w:hint="eastAsia" w:ascii="宋体" w:hAnsi="宋体" w:cs="宋体"/>
          <w:b/>
          <w:bCs/>
          <w:sz w:val="24"/>
          <w:u w:val="single"/>
        </w:rPr>
        <w:t>（7）新工艺、新技术的约定：</w:t>
      </w:r>
      <w:r>
        <w:rPr>
          <w:rFonts w:hint="eastAsia" w:ascii="宋体" w:hAnsi="宋体" w:cs="宋体"/>
          <w:kern w:val="0"/>
          <w:sz w:val="24"/>
          <w:u w:val="single"/>
        </w:rPr>
        <w:t xml:space="preserve">    /   </w:t>
      </w:r>
    </w:p>
    <w:p w14:paraId="77F09EEC">
      <w:pPr>
        <w:spacing w:line="360" w:lineRule="auto"/>
        <w:ind w:firstLine="482" w:firstLineChars="200"/>
        <w:rPr>
          <w:rFonts w:ascii="宋体" w:hAnsi="宋体" w:cs="宋体"/>
          <w:b/>
          <w:bCs/>
          <w:sz w:val="24"/>
          <w:u w:val="single"/>
        </w:rPr>
      </w:pPr>
      <w:r>
        <w:rPr>
          <w:rFonts w:hint="eastAsia" w:ascii="宋体" w:hAnsi="宋体" w:cs="宋体"/>
          <w:b/>
          <w:bCs/>
          <w:sz w:val="24"/>
          <w:u w:val="single"/>
        </w:rPr>
        <w:t>（8）其他：</w:t>
      </w:r>
    </w:p>
    <w:p w14:paraId="06BBF62C">
      <w:pPr>
        <w:spacing w:line="360" w:lineRule="auto"/>
        <w:ind w:firstLine="482" w:firstLineChars="200"/>
        <w:rPr>
          <w:rFonts w:ascii="宋体" w:hAnsi="宋体" w:cs="宋体"/>
          <w:b/>
          <w:bCs/>
          <w:sz w:val="24"/>
          <w:u w:val="single"/>
        </w:rPr>
      </w:pPr>
      <w:r>
        <w:rPr>
          <w:rFonts w:hint="eastAsia" w:ascii="宋体" w:hAnsi="宋体" w:cs="宋体"/>
          <w:b/>
          <w:bCs/>
          <w:sz w:val="24"/>
          <w:u w:val="single"/>
        </w:rPr>
        <w:t>《杭州市建筑市场管理若干规定》（杭州市人民政府令第277号）</w:t>
      </w:r>
    </w:p>
    <w:p w14:paraId="64EAB83A">
      <w:pPr>
        <w:spacing w:line="360" w:lineRule="auto"/>
        <w:ind w:firstLine="482" w:firstLineChars="200"/>
        <w:rPr>
          <w:rFonts w:ascii="宋体" w:hAnsi="宋体" w:cs="宋体"/>
          <w:b/>
          <w:bCs/>
          <w:sz w:val="24"/>
          <w:u w:val="single"/>
        </w:rPr>
      </w:pPr>
      <w:r>
        <w:rPr>
          <w:rFonts w:hint="eastAsia" w:ascii="宋体" w:hAnsi="宋体" w:cs="宋体"/>
          <w:b/>
          <w:bCs/>
          <w:sz w:val="24"/>
          <w:u w:val="single"/>
        </w:rPr>
        <w:t>《杭州市建设工程文明施工管理规定》（杭州市人民政府令第278号）</w:t>
      </w:r>
    </w:p>
    <w:p w14:paraId="13EA2312">
      <w:pPr>
        <w:spacing w:line="360" w:lineRule="auto"/>
        <w:ind w:firstLine="482" w:firstLineChars="200"/>
        <w:rPr>
          <w:rFonts w:ascii="宋体" w:hAnsi="宋体" w:cs="宋体"/>
          <w:b/>
          <w:bCs/>
          <w:sz w:val="24"/>
          <w:u w:val="single"/>
        </w:rPr>
      </w:pPr>
      <w:r>
        <w:rPr>
          <w:rFonts w:hint="eastAsia" w:ascii="宋体" w:hAnsi="宋体" w:cs="宋体"/>
          <w:b/>
          <w:bCs/>
          <w:sz w:val="24"/>
          <w:u w:val="single"/>
        </w:rPr>
        <w:t>《杭州市政府投资项目概算管理办法（试行）》（杭发改投资[2013]422号）</w:t>
      </w:r>
    </w:p>
    <w:p w14:paraId="15459786">
      <w:pPr>
        <w:spacing w:line="360" w:lineRule="auto"/>
        <w:ind w:firstLine="482" w:firstLineChars="200"/>
        <w:rPr>
          <w:rFonts w:ascii="宋体" w:hAnsi="宋体" w:cs="宋体"/>
          <w:b/>
          <w:bCs/>
          <w:sz w:val="24"/>
          <w:u w:val="single"/>
        </w:rPr>
      </w:pPr>
      <w:r>
        <w:rPr>
          <w:rFonts w:hint="eastAsia" w:ascii="宋体" w:hAnsi="宋体" w:cs="宋体"/>
          <w:b/>
          <w:bCs/>
          <w:sz w:val="24"/>
          <w:u w:val="single"/>
        </w:rPr>
        <w:t>《杭州市政府投资项目工程变更管理暂行办法》（杭财建[2013]1246号）</w:t>
      </w:r>
    </w:p>
    <w:p w14:paraId="59C5CC58">
      <w:pPr>
        <w:spacing w:line="360" w:lineRule="auto"/>
        <w:ind w:firstLine="482" w:firstLineChars="200"/>
        <w:rPr>
          <w:rFonts w:ascii="宋体" w:hAnsi="宋体" w:cs="宋体"/>
          <w:b/>
          <w:bCs/>
          <w:sz w:val="24"/>
          <w:u w:val="single"/>
        </w:rPr>
      </w:pPr>
      <w:r>
        <w:rPr>
          <w:rFonts w:hint="eastAsia" w:ascii="宋体" w:hAnsi="宋体" w:cs="宋体"/>
          <w:b/>
          <w:bCs/>
          <w:sz w:val="24"/>
          <w:u w:val="single"/>
        </w:rPr>
        <w:t>《关于进一步明确本市政府投资项目工程结算审查费用管理相关事项的通知》（杭财基[2014]109号）</w:t>
      </w:r>
    </w:p>
    <w:p w14:paraId="0BC34CBB">
      <w:pPr>
        <w:snapToGrid w:val="0"/>
        <w:spacing w:line="400" w:lineRule="exact"/>
        <w:ind w:firstLine="420" w:firstLineChars="200"/>
        <w:rPr>
          <w:rFonts w:ascii="宋体" w:hAnsi="宋体" w:cs="宋体"/>
          <w:szCs w:val="21"/>
          <w:u w:val="single"/>
        </w:rPr>
      </w:pPr>
      <w:r>
        <w:rPr>
          <w:rFonts w:hint="eastAsia" w:ascii="宋体" w:hAnsi="宋体" w:cs="宋体"/>
          <w:szCs w:val="21"/>
          <w:u w:val="single"/>
        </w:rPr>
        <w:t>《杭州市拱墅区住房和城市建设局关于印发加强拱墅区政府投资项目工程总承包管理的实施意见的通知》（拱住建局【2016】101号）</w:t>
      </w:r>
    </w:p>
    <w:p w14:paraId="70FFB222">
      <w:pPr>
        <w:snapToGrid w:val="0"/>
        <w:spacing w:line="400" w:lineRule="exact"/>
        <w:ind w:firstLine="420" w:firstLineChars="200"/>
        <w:rPr>
          <w:rFonts w:ascii="宋体" w:hAnsi="宋体" w:cs="宋体"/>
          <w:szCs w:val="21"/>
          <w:u w:val="single"/>
        </w:rPr>
      </w:pPr>
      <w:r>
        <w:rPr>
          <w:rFonts w:hint="eastAsia" w:ascii="宋体" w:hAnsi="宋体" w:cs="宋体"/>
          <w:szCs w:val="21"/>
          <w:u w:val="single"/>
        </w:rPr>
        <w:t>《关于进一步规范区政府投资建设项目工程变更管理的通知（试行）》的通知（拱建管办[2021]1号）</w:t>
      </w:r>
    </w:p>
    <w:p w14:paraId="373966FE">
      <w:pPr>
        <w:snapToGrid w:val="0"/>
        <w:spacing w:line="400" w:lineRule="exact"/>
        <w:ind w:firstLine="420" w:firstLineChars="200"/>
        <w:rPr>
          <w:rFonts w:ascii="宋体" w:hAnsi="宋体" w:cs="宋体"/>
          <w:szCs w:val="21"/>
          <w:u w:val="single"/>
        </w:rPr>
      </w:pPr>
      <w:r>
        <w:rPr>
          <w:rFonts w:hint="eastAsia" w:ascii="宋体" w:hAnsi="宋体" w:cs="宋体"/>
          <w:szCs w:val="21"/>
          <w:u w:val="single"/>
        </w:rPr>
        <w:t>（《杭州市拱墅区人民政府办公室关于印发拱墅区政府投资项目审计办法的通知》（拱政办发〔2018〕13号）</w:t>
      </w:r>
    </w:p>
    <w:p w14:paraId="2AAFD3AC">
      <w:pPr>
        <w:snapToGrid w:val="0"/>
        <w:spacing w:line="400" w:lineRule="exact"/>
        <w:ind w:firstLine="420" w:firstLineChars="200"/>
        <w:rPr>
          <w:rFonts w:ascii="宋体" w:hAnsi="宋体" w:cs="宋体"/>
          <w:szCs w:val="21"/>
          <w:u w:val="single"/>
        </w:rPr>
      </w:pPr>
      <w:r>
        <w:rPr>
          <w:rFonts w:hint="eastAsia" w:ascii="宋体" w:hAnsi="宋体" w:cs="宋体"/>
          <w:szCs w:val="21"/>
          <w:u w:val="single"/>
        </w:rPr>
        <w:t>《关于在区城建系统各单位深化开展“廉政文化进工地”活动的通知》（拱驻建纪【2013】2号）</w:t>
      </w:r>
    </w:p>
    <w:p w14:paraId="2AC28BEA">
      <w:pPr>
        <w:snapToGrid w:val="0"/>
        <w:spacing w:line="400" w:lineRule="exact"/>
        <w:ind w:firstLine="420" w:firstLineChars="200"/>
        <w:rPr>
          <w:rFonts w:ascii="宋体" w:hAnsi="宋体" w:cs="宋体"/>
          <w:szCs w:val="21"/>
          <w:u w:val="single"/>
        </w:rPr>
      </w:pPr>
      <w:r>
        <w:rPr>
          <w:rFonts w:hint="eastAsia" w:ascii="宋体" w:hAnsi="宋体" w:cs="宋体"/>
          <w:szCs w:val="21"/>
          <w:u w:val="single"/>
        </w:rPr>
        <w:t>《拱墅区“平安工地”创建工作建设标准》</w:t>
      </w:r>
    </w:p>
    <w:p w14:paraId="0A2AE53F">
      <w:pPr>
        <w:pStyle w:val="84"/>
        <w:ind w:firstLine="422" w:firstLineChars="200"/>
      </w:pPr>
      <w:r>
        <w:rPr>
          <w:rFonts w:hint="eastAsia" w:ascii="宋体" w:hAnsi="宋体" w:cs="宋体"/>
          <w:b/>
          <w:bCs/>
          <w:szCs w:val="21"/>
          <w:u w:val="single"/>
        </w:rPr>
        <w:t>拱教局2023（6</w:t>
      </w:r>
      <w:r>
        <w:rPr>
          <w:rFonts w:ascii="宋体" w:hAnsi="宋体" w:cs="宋体"/>
          <w:b/>
          <w:bCs/>
          <w:szCs w:val="21"/>
          <w:u w:val="single"/>
        </w:rPr>
        <w:t>7</w:t>
      </w:r>
      <w:r>
        <w:rPr>
          <w:rFonts w:hint="eastAsia" w:ascii="宋体" w:hAnsi="宋体" w:cs="宋体"/>
          <w:b/>
          <w:bCs/>
          <w:szCs w:val="21"/>
          <w:u w:val="single"/>
        </w:rPr>
        <w:t>）号文件、拱教局2022（98）号文件</w:t>
      </w:r>
    </w:p>
    <w:p w14:paraId="700A0240">
      <w:pPr>
        <w:snapToGrid w:val="0"/>
        <w:spacing w:line="400" w:lineRule="exact"/>
        <w:ind w:firstLine="420" w:firstLineChars="200"/>
        <w:rPr>
          <w:rFonts w:ascii="宋体" w:hAnsi="宋体" w:cs="宋体"/>
          <w:szCs w:val="21"/>
          <w:u w:val="single"/>
        </w:rPr>
      </w:pPr>
      <w:r>
        <w:rPr>
          <w:rFonts w:hint="eastAsia" w:ascii="宋体" w:hAnsi="宋体" w:cs="宋体"/>
          <w:szCs w:val="21"/>
          <w:u w:val="single"/>
        </w:rPr>
        <w:t>《拱墅区2019年度大气污染综合整治工作方案》</w:t>
      </w:r>
    </w:p>
    <w:p w14:paraId="5E1FA94C">
      <w:pPr>
        <w:snapToGrid w:val="0"/>
        <w:spacing w:line="400" w:lineRule="exact"/>
        <w:ind w:firstLine="420" w:firstLineChars="200"/>
        <w:rPr>
          <w:rFonts w:ascii="宋体" w:hAnsi="宋体" w:cs="宋体"/>
          <w:szCs w:val="21"/>
          <w:u w:val="single"/>
        </w:rPr>
      </w:pPr>
      <w:r>
        <w:rPr>
          <w:rFonts w:hint="eastAsia" w:ascii="宋体" w:hAnsi="宋体" w:cs="宋体"/>
          <w:szCs w:val="21"/>
          <w:u w:val="single"/>
        </w:rPr>
        <w:t>关于印发《拱墅区建设美丽杭州 打造“两美”浙江示范区建设工地环境专项整治行动方案》的通知（拱住建局〔2015〕36号）及后续文件规定以及关于印发《关于巩固G20 杭州峰会成果进一步提升杭州市建设工地文明施工管理的若干意见》的通知（杭建工发〔2017〕112 号）。</w:t>
      </w:r>
    </w:p>
    <w:p w14:paraId="64011ABF">
      <w:pPr>
        <w:snapToGrid w:val="0"/>
        <w:spacing w:line="400" w:lineRule="exact"/>
        <w:ind w:firstLine="420" w:firstLineChars="200"/>
        <w:rPr>
          <w:rFonts w:ascii="宋体" w:hAnsi="宋体" w:cs="宋体"/>
          <w:szCs w:val="21"/>
          <w:u w:val="single"/>
        </w:rPr>
      </w:pPr>
      <w:r>
        <w:rPr>
          <w:rFonts w:hint="eastAsia" w:ascii="宋体" w:hAnsi="宋体" w:cs="宋体"/>
          <w:szCs w:val="21"/>
          <w:u w:val="single"/>
        </w:rPr>
        <w:t xml:space="preserve"> 杭州市城乡建设委员会《关于开展建设领域保证金专项清理规范的通知》（杭建市发〔 2016 〕339 号）。</w:t>
      </w:r>
    </w:p>
    <w:p w14:paraId="1798D889">
      <w:pPr>
        <w:snapToGrid w:val="0"/>
        <w:spacing w:line="400" w:lineRule="exact"/>
        <w:ind w:firstLine="420" w:firstLineChars="200"/>
        <w:rPr>
          <w:rFonts w:ascii="宋体" w:hAnsi="宋体" w:cs="宋体"/>
          <w:szCs w:val="21"/>
          <w:u w:val="single"/>
        </w:rPr>
      </w:pPr>
      <w:r>
        <w:rPr>
          <w:rFonts w:hint="eastAsia" w:ascii="宋体" w:hAnsi="宋体" w:cs="宋体"/>
          <w:szCs w:val="21"/>
          <w:u w:val="single"/>
        </w:rPr>
        <w:t>浙江省人民政府办公厅《关于深化企业减负担降成本改革的若干意见》浙政办发【 2017 】 48号 ；</w:t>
      </w:r>
    </w:p>
    <w:p w14:paraId="6ED04C6E">
      <w:pPr>
        <w:snapToGrid w:val="0"/>
        <w:spacing w:line="400" w:lineRule="exact"/>
        <w:ind w:firstLine="420" w:firstLineChars="200"/>
        <w:rPr>
          <w:rFonts w:ascii="宋体" w:hAnsi="宋体" w:cs="宋体"/>
          <w:szCs w:val="21"/>
          <w:u w:val="single"/>
        </w:rPr>
      </w:pPr>
      <w:r>
        <w:rPr>
          <w:rFonts w:hint="eastAsia" w:ascii="宋体" w:hAnsi="宋体" w:cs="宋体"/>
          <w:szCs w:val="21"/>
          <w:u w:val="single"/>
        </w:rPr>
        <w:t>《杭州市拱墅区人民政府关于进一步加强学校（幼儿园）建设的实施意见》（拱政发〔2014〕16号）</w:t>
      </w:r>
    </w:p>
    <w:p w14:paraId="09A92A1E">
      <w:pPr>
        <w:snapToGrid w:val="0"/>
        <w:spacing w:line="400" w:lineRule="exact"/>
        <w:ind w:firstLine="420" w:firstLineChars="200"/>
        <w:rPr>
          <w:rFonts w:ascii="宋体" w:hAnsi="宋体" w:cs="宋体"/>
          <w:color w:val="auto"/>
          <w:szCs w:val="21"/>
          <w:u w:val="single"/>
        </w:rPr>
      </w:pPr>
      <w:r>
        <w:rPr>
          <w:rFonts w:hint="eastAsia" w:ascii="宋体" w:hAnsi="宋体" w:cs="宋体"/>
          <w:color w:val="auto"/>
          <w:szCs w:val="21"/>
          <w:u w:val="single"/>
        </w:rPr>
        <w:t>《中小学合成材料面层运动场地》（GB36246-2018）</w:t>
      </w:r>
      <w:r>
        <w:rPr>
          <w:rFonts w:hint="eastAsia" w:ascii="宋体" w:hAnsi="宋体" w:cs="宋体"/>
          <w:color w:val="auto"/>
          <w:szCs w:val="21"/>
          <w:u w:val="single"/>
          <w:lang w:eastAsia="zh-CN"/>
        </w:rPr>
        <w:t>；</w:t>
      </w:r>
      <w:r>
        <w:rPr>
          <w:rFonts w:hint="eastAsia" w:ascii="宋体" w:hAnsi="宋体" w:cs="宋体"/>
          <w:color w:val="auto"/>
          <w:szCs w:val="21"/>
          <w:u w:val="single"/>
        </w:rPr>
        <w:t>《中小学合成材料面层</w:t>
      </w:r>
      <w:r>
        <w:rPr>
          <w:rFonts w:hint="eastAsia" w:ascii="宋体" w:hAnsi="宋体" w:cs="宋体"/>
          <w:color w:val="auto"/>
          <w:szCs w:val="21"/>
          <w:u w:val="single"/>
          <w:lang w:eastAsia="zh-CN"/>
        </w:rPr>
        <w:t>田径</w:t>
      </w:r>
      <w:r>
        <w:rPr>
          <w:rFonts w:hint="eastAsia" w:ascii="宋体" w:hAnsi="宋体" w:cs="宋体"/>
          <w:color w:val="auto"/>
          <w:szCs w:val="21"/>
          <w:u w:val="single"/>
        </w:rPr>
        <w:t>场地》（GB</w:t>
      </w:r>
      <w:r>
        <w:rPr>
          <w:rFonts w:hint="eastAsia" w:ascii="宋体" w:hAnsi="宋体" w:cs="宋体"/>
          <w:color w:val="auto"/>
          <w:szCs w:val="21"/>
          <w:u w:val="single"/>
          <w:lang w:val="en-US" w:eastAsia="zh-CN"/>
        </w:rPr>
        <w:t>/T43564</w:t>
      </w:r>
      <w:r>
        <w:rPr>
          <w:rFonts w:hint="eastAsia" w:ascii="宋体" w:hAnsi="宋体" w:cs="宋体"/>
          <w:color w:val="auto"/>
          <w:szCs w:val="21"/>
          <w:u w:val="single"/>
        </w:rPr>
        <w:t>-20</w:t>
      </w:r>
      <w:r>
        <w:rPr>
          <w:rFonts w:hint="eastAsia" w:ascii="宋体" w:hAnsi="宋体" w:cs="宋体"/>
          <w:color w:val="auto"/>
          <w:szCs w:val="21"/>
          <w:u w:val="single"/>
          <w:lang w:val="en-US" w:eastAsia="zh-CN"/>
        </w:rPr>
        <w:t>23</w:t>
      </w:r>
      <w:r>
        <w:rPr>
          <w:rFonts w:hint="eastAsia" w:ascii="宋体" w:hAnsi="宋体" w:cs="宋体"/>
          <w:color w:val="auto"/>
          <w:szCs w:val="21"/>
          <w:u w:val="single"/>
        </w:rPr>
        <w:t>）</w:t>
      </w:r>
      <w:r>
        <w:rPr>
          <w:rFonts w:hint="eastAsia" w:ascii="宋体" w:hAnsi="宋体" w:cs="宋体"/>
          <w:color w:val="auto"/>
          <w:szCs w:val="21"/>
          <w:u w:val="single"/>
          <w:lang w:eastAsia="zh-CN"/>
        </w:rPr>
        <w:t>；</w:t>
      </w:r>
      <w:r>
        <w:rPr>
          <w:rFonts w:hint="eastAsia" w:ascii="宋体" w:hAnsi="宋体" w:cs="宋体"/>
          <w:color w:val="auto"/>
          <w:szCs w:val="21"/>
          <w:u w:val="single"/>
        </w:rPr>
        <w:t>《中小学合成材料面层</w:t>
      </w:r>
      <w:r>
        <w:rPr>
          <w:rFonts w:hint="eastAsia" w:ascii="宋体" w:hAnsi="宋体" w:cs="宋体"/>
          <w:color w:val="auto"/>
          <w:szCs w:val="21"/>
          <w:u w:val="single"/>
          <w:lang w:eastAsia="zh-CN"/>
        </w:rPr>
        <w:t>篮球</w:t>
      </w:r>
      <w:r>
        <w:rPr>
          <w:rFonts w:hint="eastAsia" w:ascii="宋体" w:hAnsi="宋体" w:cs="宋体"/>
          <w:color w:val="auto"/>
          <w:szCs w:val="21"/>
          <w:u w:val="single"/>
        </w:rPr>
        <w:t>动场地》（GB</w:t>
      </w:r>
      <w:r>
        <w:rPr>
          <w:rFonts w:hint="eastAsia" w:ascii="宋体" w:hAnsi="宋体" w:cs="宋体"/>
          <w:color w:val="auto"/>
          <w:szCs w:val="21"/>
          <w:u w:val="single"/>
          <w:lang w:val="en-US" w:eastAsia="zh-CN"/>
        </w:rPr>
        <w:t>/T43565</w:t>
      </w:r>
      <w:r>
        <w:rPr>
          <w:rFonts w:hint="eastAsia" w:ascii="宋体" w:hAnsi="宋体" w:cs="宋体"/>
          <w:color w:val="auto"/>
          <w:szCs w:val="21"/>
          <w:u w:val="single"/>
        </w:rPr>
        <w:t>-20</w:t>
      </w:r>
      <w:r>
        <w:rPr>
          <w:rFonts w:hint="eastAsia" w:ascii="宋体" w:hAnsi="宋体" w:cs="宋体"/>
          <w:color w:val="auto"/>
          <w:szCs w:val="21"/>
          <w:u w:val="single"/>
          <w:lang w:val="en-US" w:eastAsia="zh-CN"/>
        </w:rPr>
        <w:t>23</w:t>
      </w:r>
      <w:r>
        <w:rPr>
          <w:rFonts w:hint="eastAsia" w:ascii="宋体" w:hAnsi="宋体" w:cs="宋体"/>
          <w:color w:val="auto"/>
          <w:szCs w:val="21"/>
          <w:u w:val="single"/>
        </w:rPr>
        <w:t>）</w:t>
      </w:r>
      <w:r>
        <w:rPr>
          <w:rFonts w:hint="eastAsia" w:ascii="宋体" w:hAnsi="宋体" w:cs="宋体"/>
          <w:color w:val="auto"/>
          <w:szCs w:val="21"/>
          <w:u w:val="single"/>
          <w:lang w:eastAsia="zh-CN"/>
        </w:rPr>
        <w:t>；</w:t>
      </w:r>
      <w:r>
        <w:rPr>
          <w:rFonts w:hint="eastAsia" w:ascii="宋体" w:hAnsi="宋体" w:cs="宋体"/>
          <w:color w:val="auto"/>
          <w:szCs w:val="21"/>
          <w:u w:val="single"/>
        </w:rPr>
        <w:t>《中小学</w:t>
      </w:r>
      <w:r>
        <w:rPr>
          <w:rFonts w:hint="eastAsia" w:ascii="宋体" w:hAnsi="宋体" w:cs="宋体"/>
          <w:color w:val="auto"/>
          <w:szCs w:val="21"/>
          <w:u w:val="single"/>
          <w:lang w:eastAsia="zh-CN"/>
        </w:rPr>
        <w:t>人造草面层足球场地</w:t>
      </w:r>
      <w:r>
        <w:rPr>
          <w:rFonts w:hint="eastAsia" w:ascii="宋体" w:hAnsi="宋体" w:cs="宋体"/>
          <w:color w:val="auto"/>
          <w:szCs w:val="21"/>
          <w:u w:val="single"/>
        </w:rPr>
        <w:t>》（GB</w:t>
      </w:r>
      <w:r>
        <w:rPr>
          <w:rFonts w:hint="eastAsia" w:ascii="宋体" w:hAnsi="宋体" w:cs="宋体"/>
          <w:color w:val="auto"/>
          <w:szCs w:val="21"/>
          <w:u w:val="single"/>
          <w:lang w:val="en-US" w:eastAsia="zh-CN"/>
        </w:rPr>
        <w:t>/T43566</w:t>
      </w:r>
      <w:r>
        <w:rPr>
          <w:rFonts w:hint="eastAsia" w:ascii="宋体" w:hAnsi="宋体" w:cs="宋体"/>
          <w:color w:val="auto"/>
          <w:szCs w:val="21"/>
          <w:u w:val="single"/>
        </w:rPr>
        <w:t>-20</w:t>
      </w:r>
      <w:r>
        <w:rPr>
          <w:rFonts w:hint="eastAsia" w:ascii="宋体" w:hAnsi="宋体" w:cs="宋体"/>
          <w:color w:val="auto"/>
          <w:szCs w:val="21"/>
          <w:u w:val="single"/>
          <w:lang w:val="en-US" w:eastAsia="zh-CN"/>
        </w:rPr>
        <w:t>23</w:t>
      </w:r>
      <w:r>
        <w:rPr>
          <w:rFonts w:hint="eastAsia" w:ascii="宋体" w:hAnsi="宋体" w:cs="宋体"/>
          <w:color w:val="auto"/>
          <w:szCs w:val="21"/>
          <w:u w:val="single"/>
        </w:rPr>
        <w:t xml:space="preserve">）。 </w:t>
      </w:r>
    </w:p>
    <w:p w14:paraId="785D91E7">
      <w:pPr>
        <w:spacing w:line="360" w:lineRule="auto"/>
        <w:ind w:firstLine="480" w:firstLineChars="200"/>
        <w:rPr>
          <w:rFonts w:ascii="宋体" w:hAnsi="宋体" w:cs="宋体"/>
          <w:sz w:val="24"/>
        </w:rPr>
      </w:pPr>
      <w:r>
        <w:rPr>
          <w:rFonts w:hint="eastAsia" w:ascii="宋体" w:hAnsi="宋体" w:cs="宋体"/>
          <w:sz w:val="24"/>
        </w:rPr>
        <w:t xml:space="preserve">1.4标准和规范          </w:t>
      </w:r>
    </w:p>
    <w:p w14:paraId="2D446FF8">
      <w:pPr>
        <w:spacing w:line="360" w:lineRule="auto"/>
        <w:ind w:firstLine="480" w:firstLineChars="200"/>
        <w:rPr>
          <w:rFonts w:ascii="宋体" w:hAnsi="宋体" w:cs="宋体"/>
          <w:sz w:val="24"/>
        </w:rPr>
      </w:pPr>
      <w:r>
        <w:rPr>
          <w:rFonts w:hint="eastAsia" w:ascii="宋体" w:hAnsi="宋体" w:cs="宋体"/>
          <w:sz w:val="24"/>
        </w:rPr>
        <w:t>1.4.1适用于工程的标准规范包括：</w:t>
      </w:r>
      <w:r>
        <w:rPr>
          <w:rFonts w:hint="eastAsia" w:ascii="宋体" w:hAnsi="宋体" w:cs="宋体"/>
          <w:sz w:val="24"/>
          <w:u w:val="single"/>
        </w:rPr>
        <w:t xml:space="preserve"> </w:t>
      </w:r>
      <w:r>
        <w:rPr>
          <w:rFonts w:hint="eastAsia" w:ascii="宋体" w:hAnsi="宋体" w:cs="宋体"/>
          <w:b/>
          <w:bCs/>
          <w:sz w:val="24"/>
          <w:u w:val="single"/>
        </w:rPr>
        <w:t>按通用条款；</w:t>
      </w:r>
    </w:p>
    <w:p w14:paraId="46DBBB07">
      <w:pPr>
        <w:spacing w:line="360" w:lineRule="auto"/>
        <w:ind w:firstLine="480" w:firstLineChars="200"/>
        <w:rPr>
          <w:rFonts w:ascii="宋体" w:hAnsi="宋体" w:cs="宋体"/>
          <w:sz w:val="24"/>
        </w:rPr>
      </w:pPr>
      <w:r>
        <w:rPr>
          <w:rFonts w:hint="eastAsia" w:ascii="宋体" w:hAnsi="宋体" w:cs="宋体"/>
          <w:kern w:val="0"/>
          <w:sz w:val="24"/>
        </w:rPr>
        <w:t>1.4.2发包人提供国外标准、规范的名称：</w:t>
      </w:r>
      <w:r>
        <w:rPr>
          <w:rFonts w:hint="eastAsia" w:ascii="宋体" w:hAnsi="宋体" w:cs="宋体"/>
          <w:kern w:val="0"/>
          <w:sz w:val="24"/>
          <w:u w:val="single"/>
        </w:rPr>
        <w:t xml:space="preserve">    /    </w:t>
      </w:r>
    </w:p>
    <w:p w14:paraId="2048E442">
      <w:pPr>
        <w:spacing w:line="360" w:lineRule="auto"/>
        <w:ind w:firstLine="480" w:firstLineChars="200"/>
        <w:rPr>
          <w:rFonts w:ascii="宋体" w:hAnsi="宋体" w:cs="宋体"/>
          <w:sz w:val="24"/>
        </w:rPr>
      </w:pPr>
      <w:r>
        <w:rPr>
          <w:rFonts w:hint="eastAsia" w:ascii="宋体" w:hAnsi="宋体" w:cs="宋体"/>
          <w:kern w:val="0"/>
          <w:sz w:val="24"/>
        </w:rPr>
        <w:t>发包人提供国外标准、规范的份数：</w:t>
      </w:r>
      <w:r>
        <w:rPr>
          <w:rFonts w:hint="eastAsia" w:ascii="宋体" w:hAnsi="宋体" w:cs="宋体"/>
          <w:kern w:val="0"/>
          <w:sz w:val="24"/>
          <w:u w:val="single"/>
        </w:rPr>
        <w:t xml:space="preserve">    /    </w:t>
      </w:r>
    </w:p>
    <w:p w14:paraId="6F5EC99F">
      <w:pPr>
        <w:spacing w:line="360" w:lineRule="auto"/>
        <w:ind w:firstLine="480" w:firstLineChars="200"/>
        <w:rPr>
          <w:rFonts w:ascii="宋体" w:hAnsi="宋体" w:cs="宋体"/>
          <w:sz w:val="24"/>
        </w:rPr>
      </w:pPr>
      <w:r>
        <w:rPr>
          <w:rFonts w:hint="eastAsia" w:ascii="宋体" w:hAnsi="宋体" w:cs="宋体"/>
          <w:kern w:val="0"/>
          <w:sz w:val="24"/>
        </w:rPr>
        <w:t>发包人提供国外标准、规范的名称：</w:t>
      </w:r>
      <w:r>
        <w:rPr>
          <w:rFonts w:hint="eastAsia" w:ascii="宋体" w:hAnsi="宋体" w:cs="宋体"/>
          <w:kern w:val="0"/>
          <w:sz w:val="24"/>
          <w:u w:val="single"/>
        </w:rPr>
        <w:t xml:space="preserve">     /    </w:t>
      </w:r>
    </w:p>
    <w:p w14:paraId="56C5EEC0">
      <w:pPr>
        <w:spacing w:line="360" w:lineRule="auto"/>
        <w:ind w:firstLine="480" w:firstLineChars="200"/>
        <w:rPr>
          <w:rFonts w:ascii="宋体" w:hAnsi="宋体" w:cs="宋体"/>
          <w:sz w:val="24"/>
        </w:rPr>
      </w:pPr>
      <w:r>
        <w:rPr>
          <w:rFonts w:hint="eastAsia" w:ascii="宋体" w:hAnsi="宋体" w:cs="宋体"/>
          <w:sz w:val="24"/>
        </w:rPr>
        <w:t>1.4.3发包人对工程的技术标准和功能要求的特殊要求：</w:t>
      </w:r>
      <w:r>
        <w:rPr>
          <w:rFonts w:hint="eastAsia" w:ascii="宋体" w:hAnsi="宋体" w:cs="宋体"/>
          <w:b/>
          <w:bCs/>
          <w:sz w:val="24"/>
          <w:u w:val="single"/>
        </w:rPr>
        <w:t>国家或行业如有新的技术标准和功能要求，则要求从新</w:t>
      </w:r>
      <w:r>
        <w:rPr>
          <w:rFonts w:hint="eastAsia" w:ascii="宋体" w:hAnsi="宋体" w:cs="宋体"/>
          <w:sz w:val="24"/>
          <w:u w:val="single"/>
        </w:rPr>
        <w:t>。</w:t>
      </w:r>
    </w:p>
    <w:p w14:paraId="576AE094">
      <w:pPr>
        <w:spacing w:line="360" w:lineRule="auto"/>
        <w:ind w:firstLine="480" w:firstLineChars="200"/>
        <w:rPr>
          <w:rFonts w:ascii="宋体" w:hAnsi="宋体" w:cs="宋体"/>
          <w:sz w:val="24"/>
        </w:rPr>
      </w:pPr>
      <w:r>
        <w:rPr>
          <w:rFonts w:hint="eastAsia" w:ascii="宋体" w:hAnsi="宋体" w:cs="宋体"/>
          <w:sz w:val="24"/>
        </w:rPr>
        <w:t>1.5合同文件的优先顺序为：</w:t>
      </w:r>
    </w:p>
    <w:p w14:paraId="3358D662">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（1）合同协议书；</w:t>
      </w:r>
    </w:p>
    <w:p w14:paraId="70590FBD">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（2）中标通知书（或项目发承包基本情况表）；</w:t>
      </w:r>
    </w:p>
    <w:p w14:paraId="1BE2D553">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（3）磋商函及其附录（如果有）；</w:t>
      </w:r>
    </w:p>
    <w:p w14:paraId="3AD8797A">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（4）专用合同条款及其附件；</w:t>
      </w:r>
    </w:p>
    <w:p w14:paraId="6E6A64F2">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（5）通用合同条款；</w:t>
      </w:r>
    </w:p>
    <w:p w14:paraId="2E4A75EE">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（6）技术标准和要求；</w:t>
      </w:r>
    </w:p>
    <w:p w14:paraId="7F2654AD">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（7）图纸；</w:t>
      </w:r>
    </w:p>
    <w:p w14:paraId="54863DF1">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（8）已标价工程量清单或预算书；</w:t>
      </w:r>
    </w:p>
    <w:p w14:paraId="65D4A77D">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（9）其他合同文件：</w:t>
      </w:r>
    </w:p>
    <w:p w14:paraId="20CC731C">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①施工组织设计；</w:t>
      </w:r>
    </w:p>
    <w:p w14:paraId="31B8914F">
      <w:pPr>
        <w:spacing w:line="360" w:lineRule="auto"/>
        <w:ind w:firstLine="482" w:firstLineChars="200"/>
        <w:rPr>
          <w:rFonts w:ascii="宋体" w:hAnsi="宋体" w:cs="宋体"/>
          <w:sz w:val="24"/>
        </w:rPr>
      </w:pPr>
      <w:r>
        <w:rPr>
          <w:rFonts w:hint="eastAsia" w:ascii="宋体" w:hAnsi="宋体" w:cs="宋体"/>
          <w:b/>
          <w:bCs/>
          <w:kern w:val="0"/>
          <w:sz w:val="24"/>
          <w:u w:val="single"/>
        </w:rPr>
        <w:t>②</w:t>
      </w:r>
      <w:r>
        <w:rPr>
          <w:rFonts w:hint="eastAsia" w:ascii="宋体" w:hAnsi="宋体" w:cs="宋体"/>
          <w:b/>
          <w:bCs/>
          <w:sz w:val="24"/>
          <w:u w:val="single"/>
        </w:rPr>
        <w:t>竞争性磋商文件及招标答疑。</w:t>
      </w:r>
    </w:p>
    <w:p w14:paraId="0DDF8D42">
      <w:pPr>
        <w:spacing w:line="360" w:lineRule="auto"/>
        <w:ind w:firstLine="480" w:firstLineChars="200"/>
        <w:rPr>
          <w:rFonts w:ascii="宋体" w:hAnsi="宋体" w:cs="宋体"/>
          <w:sz w:val="24"/>
        </w:rPr>
      </w:pPr>
      <w:r>
        <w:rPr>
          <w:rFonts w:hint="eastAsia" w:ascii="宋体" w:hAnsi="宋体" w:cs="宋体"/>
          <w:sz w:val="24"/>
        </w:rPr>
        <w:t>1.6图纸和承包人文件</w:t>
      </w:r>
      <w:r>
        <w:rPr>
          <w:rFonts w:hint="eastAsia" w:ascii="宋体" w:hAnsi="宋体" w:cs="宋体"/>
          <w:sz w:val="24"/>
        </w:rPr>
        <w:tab/>
      </w:r>
    </w:p>
    <w:p w14:paraId="58DB97BB">
      <w:pPr>
        <w:spacing w:line="360" w:lineRule="auto"/>
        <w:ind w:firstLine="480" w:firstLineChars="200"/>
        <w:rPr>
          <w:rFonts w:ascii="宋体" w:hAnsi="宋体" w:cs="宋体"/>
          <w:sz w:val="24"/>
        </w:rPr>
      </w:pPr>
      <w:r>
        <w:rPr>
          <w:rFonts w:hint="eastAsia" w:ascii="宋体" w:hAnsi="宋体" w:cs="宋体"/>
          <w:sz w:val="24"/>
        </w:rPr>
        <w:t>1.6.1图纸的提供</w:t>
      </w:r>
    </w:p>
    <w:p w14:paraId="6273F8D9">
      <w:pPr>
        <w:spacing w:line="360" w:lineRule="auto"/>
        <w:ind w:firstLine="480" w:firstLineChars="200"/>
        <w:rPr>
          <w:rFonts w:ascii="宋体" w:hAnsi="宋体" w:cs="宋体"/>
          <w:sz w:val="24"/>
        </w:rPr>
      </w:pPr>
      <w:r>
        <w:rPr>
          <w:rFonts w:hint="eastAsia" w:ascii="宋体" w:hAnsi="宋体" w:cs="宋体"/>
          <w:sz w:val="24"/>
        </w:rPr>
        <w:t>发包人向承包人提供图纸的期限：</w:t>
      </w:r>
      <w:r>
        <w:rPr>
          <w:rFonts w:hint="eastAsia" w:ascii="宋体" w:hAnsi="宋体" w:cs="宋体"/>
          <w:b/>
          <w:bCs/>
          <w:sz w:val="24"/>
          <w:u w:val="single"/>
        </w:rPr>
        <w:t>开工前十五天；</w:t>
      </w:r>
    </w:p>
    <w:p w14:paraId="54F91FBE">
      <w:pPr>
        <w:spacing w:line="360" w:lineRule="auto"/>
        <w:ind w:firstLine="480" w:firstLineChars="200"/>
        <w:rPr>
          <w:rFonts w:ascii="宋体" w:hAnsi="宋体" w:cs="宋体"/>
          <w:b/>
          <w:bCs/>
          <w:sz w:val="24"/>
          <w:u w:val="single"/>
        </w:rPr>
      </w:pPr>
      <w:r>
        <w:rPr>
          <w:rFonts w:hint="eastAsia" w:ascii="宋体" w:hAnsi="宋体" w:cs="宋体"/>
          <w:sz w:val="24"/>
        </w:rPr>
        <w:t>发包人向承包人提供图纸的数量：</w:t>
      </w:r>
      <w:r>
        <w:rPr>
          <w:rFonts w:hint="eastAsia" w:ascii="宋体" w:hAnsi="宋体" w:cs="宋体"/>
          <w:b/>
          <w:bCs/>
          <w:sz w:val="24"/>
          <w:u w:val="single"/>
        </w:rPr>
        <w:t>陆套施工图纸(不包括竣工图)，如承包人额外需要提供施工图纸的，则额外增加的施工图纸的制作费由承包人承担</w:t>
      </w:r>
      <w:r>
        <w:rPr>
          <w:rFonts w:hint="eastAsia" w:ascii="宋体" w:hAnsi="宋体" w:cs="宋体"/>
          <w:sz w:val="24"/>
          <w:u w:val="single"/>
        </w:rPr>
        <w:t>；</w:t>
      </w:r>
    </w:p>
    <w:p w14:paraId="2E7154E1">
      <w:pPr>
        <w:spacing w:line="360" w:lineRule="auto"/>
        <w:ind w:firstLine="480" w:firstLineChars="200"/>
        <w:rPr>
          <w:rFonts w:ascii="宋体" w:hAnsi="宋体" w:cs="宋体"/>
          <w:sz w:val="24"/>
        </w:rPr>
      </w:pPr>
      <w:r>
        <w:rPr>
          <w:rFonts w:hint="eastAsia" w:ascii="宋体" w:hAnsi="宋体" w:cs="宋体"/>
          <w:sz w:val="24"/>
        </w:rPr>
        <w:t>发包人向承包人提供图纸的内容：</w:t>
      </w:r>
      <w:r>
        <w:rPr>
          <w:rFonts w:hint="eastAsia" w:ascii="宋体" w:hAnsi="宋体" w:cs="宋体"/>
          <w:b/>
          <w:bCs/>
          <w:sz w:val="24"/>
          <w:u w:val="single"/>
        </w:rPr>
        <w:t>承包范围内的全套施工图纸、设计联系单等</w:t>
      </w:r>
      <w:r>
        <w:rPr>
          <w:rFonts w:hint="eastAsia" w:ascii="宋体" w:hAnsi="宋体" w:cs="宋体"/>
          <w:sz w:val="24"/>
          <w:u w:val="single"/>
        </w:rPr>
        <w:t>。</w:t>
      </w:r>
    </w:p>
    <w:p w14:paraId="0E99FADE">
      <w:pPr>
        <w:spacing w:line="360" w:lineRule="auto"/>
        <w:ind w:firstLine="480" w:firstLineChars="200"/>
        <w:rPr>
          <w:rFonts w:ascii="宋体" w:hAnsi="宋体" w:cs="宋体"/>
          <w:sz w:val="24"/>
        </w:rPr>
      </w:pPr>
      <w:r>
        <w:rPr>
          <w:rFonts w:hint="eastAsia" w:ascii="宋体" w:hAnsi="宋体" w:cs="宋体"/>
          <w:sz w:val="24"/>
        </w:rPr>
        <w:t>1.6.4承包人文件</w:t>
      </w:r>
    </w:p>
    <w:p w14:paraId="4AB46DF0">
      <w:pPr>
        <w:spacing w:line="360" w:lineRule="auto"/>
        <w:ind w:firstLine="480" w:firstLineChars="200"/>
        <w:rPr>
          <w:rFonts w:ascii="宋体" w:hAnsi="宋体" w:cs="宋体"/>
          <w:b/>
          <w:bCs/>
          <w:sz w:val="24"/>
        </w:rPr>
      </w:pPr>
      <w:r>
        <w:rPr>
          <w:rFonts w:hint="eastAsia" w:ascii="宋体" w:hAnsi="宋体" w:cs="宋体"/>
          <w:sz w:val="24"/>
        </w:rPr>
        <w:t>需要由承包人提供的文件，包括：</w:t>
      </w:r>
      <w:r>
        <w:rPr>
          <w:rFonts w:hint="eastAsia" w:ascii="宋体" w:hAnsi="宋体" w:cs="宋体"/>
          <w:b/>
          <w:bCs/>
          <w:sz w:val="24"/>
          <w:u w:val="single"/>
        </w:rPr>
        <w:t>施工组织设计、进度计划等</w:t>
      </w:r>
      <w:r>
        <w:rPr>
          <w:rFonts w:hint="eastAsia" w:ascii="宋体" w:hAnsi="宋体" w:cs="宋体"/>
          <w:sz w:val="24"/>
          <w:u w:val="single"/>
        </w:rPr>
        <w:t>；</w:t>
      </w:r>
    </w:p>
    <w:p w14:paraId="39519E0B">
      <w:pPr>
        <w:spacing w:line="360" w:lineRule="auto"/>
        <w:ind w:firstLine="480" w:firstLineChars="200"/>
        <w:rPr>
          <w:rFonts w:ascii="宋体" w:hAnsi="宋体" w:cs="宋体"/>
          <w:sz w:val="24"/>
        </w:rPr>
      </w:pPr>
      <w:r>
        <w:rPr>
          <w:rFonts w:hint="eastAsia" w:ascii="宋体" w:hAnsi="宋体" w:cs="宋体"/>
          <w:sz w:val="24"/>
        </w:rPr>
        <w:t>承包人提供的文件的期限为：</w:t>
      </w:r>
      <w:r>
        <w:rPr>
          <w:rFonts w:hint="eastAsia" w:ascii="宋体" w:hAnsi="宋体" w:cs="宋体"/>
          <w:b/>
          <w:bCs/>
          <w:sz w:val="24"/>
          <w:u w:val="single"/>
        </w:rPr>
        <w:t>合同签订后五个工作日内</w:t>
      </w:r>
      <w:r>
        <w:rPr>
          <w:rFonts w:hint="eastAsia" w:ascii="宋体" w:hAnsi="宋体" w:cs="宋体"/>
          <w:sz w:val="24"/>
          <w:u w:val="single"/>
        </w:rPr>
        <w:t>；</w:t>
      </w:r>
    </w:p>
    <w:p w14:paraId="4664F9DE">
      <w:pPr>
        <w:spacing w:line="360" w:lineRule="auto"/>
        <w:ind w:firstLine="480" w:firstLineChars="200"/>
        <w:rPr>
          <w:rFonts w:ascii="宋体" w:hAnsi="宋体" w:cs="宋体"/>
          <w:b/>
          <w:bCs/>
          <w:sz w:val="24"/>
        </w:rPr>
      </w:pPr>
      <w:r>
        <w:rPr>
          <w:rFonts w:hint="eastAsia" w:ascii="宋体" w:hAnsi="宋体" w:cs="宋体"/>
          <w:sz w:val="24"/>
        </w:rPr>
        <w:t>承包人提供的文件的数量为：</w:t>
      </w:r>
      <w:r>
        <w:rPr>
          <w:rFonts w:hint="eastAsia" w:ascii="宋体" w:hAnsi="宋体" w:cs="宋体"/>
          <w:b/>
          <w:bCs/>
          <w:sz w:val="24"/>
          <w:u w:val="single"/>
        </w:rPr>
        <w:t>一式三份</w:t>
      </w:r>
      <w:r>
        <w:rPr>
          <w:rFonts w:hint="eastAsia" w:ascii="宋体" w:hAnsi="宋体" w:cs="宋体"/>
          <w:sz w:val="24"/>
          <w:u w:val="single"/>
        </w:rPr>
        <w:t>；</w:t>
      </w:r>
    </w:p>
    <w:p w14:paraId="3DB079C3">
      <w:pPr>
        <w:spacing w:line="360" w:lineRule="auto"/>
        <w:ind w:firstLine="480" w:firstLineChars="200"/>
        <w:rPr>
          <w:rFonts w:ascii="宋体" w:hAnsi="宋体" w:cs="宋体"/>
          <w:sz w:val="24"/>
          <w:u w:val="single"/>
        </w:rPr>
      </w:pPr>
      <w:r>
        <w:rPr>
          <w:rFonts w:hint="eastAsia" w:ascii="宋体" w:hAnsi="宋体" w:cs="宋体"/>
          <w:sz w:val="24"/>
        </w:rPr>
        <w:t>承包人提供的文件的形式为：</w:t>
      </w:r>
      <w:r>
        <w:rPr>
          <w:rFonts w:hint="eastAsia" w:ascii="宋体" w:hAnsi="宋体" w:cs="宋体"/>
          <w:b/>
          <w:bCs/>
          <w:sz w:val="24"/>
          <w:u w:val="single"/>
        </w:rPr>
        <w:t>书面形式</w:t>
      </w:r>
      <w:r>
        <w:rPr>
          <w:rFonts w:hint="eastAsia" w:ascii="宋体" w:hAnsi="宋体" w:cs="宋体"/>
          <w:sz w:val="24"/>
          <w:u w:val="single"/>
        </w:rPr>
        <w:t>；</w:t>
      </w:r>
    </w:p>
    <w:p w14:paraId="1F33B2DA">
      <w:pPr>
        <w:spacing w:line="360" w:lineRule="auto"/>
        <w:ind w:firstLine="480" w:firstLineChars="200"/>
        <w:rPr>
          <w:rFonts w:ascii="宋体" w:hAnsi="宋体" w:cs="宋体"/>
          <w:b/>
          <w:bCs/>
          <w:sz w:val="24"/>
        </w:rPr>
      </w:pPr>
      <w:r>
        <w:rPr>
          <w:rFonts w:hint="eastAsia" w:ascii="宋体" w:hAnsi="宋体" w:cs="宋体"/>
          <w:sz w:val="24"/>
        </w:rPr>
        <w:t>发包人审批承包人文件的期限：</w:t>
      </w:r>
      <w:r>
        <w:rPr>
          <w:rFonts w:hint="eastAsia" w:ascii="宋体" w:hAnsi="宋体" w:cs="宋体"/>
          <w:b/>
          <w:bCs/>
          <w:sz w:val="24"/>
          <w:u w:val="single"/>
        </w:rPr>
        <w:t>收到承包人齐全的文件资料后10个工作日内</w:t>
      </w:r>
      <w:r>
        <w:rPr>
          <w:rFonts w:hint="eastAsia" w:ascii="宋体" w:hAnsi="宋体" w:cs="宋体"/>
          <w:sz w:val="24"/>
          <w:u w:val="single"/>
        </w:rPr>
        <w:t>。</w:t>
      </w:r>
    </w:p>
    <w:p w14:paraId="7A06CFF3">
      <w:pPr>
        <w:spacing w:line="360" w:lineRule="auto"/>
        <w:ind w:firstLine="480" w:firstLineChars="200"/>
        <w:rPr>
          <w:rFonts w:ascii="宋体" w:hAnsi="宋体" w:cs="宋体"/>
          <w:sz w:val="24"/>
        </w:rPr>
      </w:pPr>
      <w:r>
        <w:rPr>
          <w:rFonts w:hint="eastAsia" w:ascii="宋体" w:hAnsi="宋体" w:cs="宋体"/>
          <w:sz w:val="24"/>
        </w:rPr>
        <w:t>1.6.5现场图纸准备</w:t>
      </w:r>
    </w:p>
    <w:p w14:paraId="111B6F8C">
      <w:pPr>
        <w:spacing w:line="360" w:lineRule="auto"/>
        <w:ind w:firstLine="480" w:firstLineChars="200"/>
        <w:rPr>
          <w:rFonts w:ascii="宋体" w:hAnsi="宋体" w:cs="宋体"/>
          <w:sz w:val="24"/>
        </w:rPr>
      </w:pPr>
      <w:r>
        <w:rPr>
          <w:rFonts w:hint="eastAsia" w:ascii="宋体" w:hAnsi="宋体" w:cs="宋体"/>
          <w:sz w:val="24"/>
        </w:rPr>
        <w:t>关于现场图纸准备的约定：</w:t>
      </w:r>
      <w:r>
        <w:rPr>
          <w:rFonts w:hint="eastAsia" w:ascii="宋体" w:hAnsi="宋体" w:cs="宋体"/>
          <w:b/>
          <w:bCs/>
          <w:sz w:val="24"/>
          <w:u w:val="single"/>
        </w:rPr>
        <w:t>承包人应在施工现场另外保存一套完整的图纸和承包人文件（与工程施工有关的一切必要文件，包括本工程适用的国家现行的设计规范、国家现行的施工规范、国家现行的验收规范、国家现行的质量验评标准、国家及地方现行施工验收及施工安全技术规范等），供发包人、监理人及有关人员进行工程检查时使用</w:t>
      </w:r>
      <w:r>
        <w:rPr>
          <w:rFonts w:hint="eastAsia" w:ascii="宋体" w:hAnsi="宋体" w:cs="宋体"/>
          <w:sz w:val="24"/>
          <w:u w:val="single"/>
        </w:rPr>
        <w:t>。</w:t>
      </w:r>
    </w:p>
    <w:p w14:paraId="4CB81506">
      <w:pPr>
        <w:spacing w:line="360" w:lineRule="auto"/>
        <w:ind w:firstLine="480" w:firstLineChars="200"/>
        <w:rPr>
          <w:rFonts w:ascii="宋体" w:hAnsi="宋体" w:cs="宋体"/>
          <w:sz w:val="24"/>
        </w:rPr>
      </w:pPr>
      <w:r>
        <w:rPr>
          <w:rFonts w:hint="eastAsia" w:ascii="宋体" w:hAnsi="宋体" w:cs="宋体"/>
          <w:sz w:val="24"/>
        </w:rPr>
        <w:t>1.7联络</w:t>
      </w:r>
    </w:p>
    <w:p w14:paraId="498DD09E">
      <w:pPr>
        <w:spacing w:line="360" w:lineRule="auto"/>
        <w:ind w:firstLine="480" w:firstLineChars="200"/>
        <w:rPr>
          <w:rFonts w:ascii="宋体" w:hAnsi="宋体" w:cs="宋体"/>
          <w:kern w:val="0"/>
          <w:sz w:val="24"/>
        </w:rPr>
      </w:pPr>
      <w:r>
        <w:rPr>
          <w:rFonts w:hint="eastAsia" w:ascii="宋体" w:hAnsi="宋体" w:cs="宋体"/>
          <w:kern w:val="0"/>
          <w:sz w:val="24"/>
        </w:rPr>
        <w:t>1.7.1发包人和承包人应当在</w:t>
      </w:r>
      <w:r>
        <w:rPr>
          <w:rFonts w:hint="eastAsia" w:ascii="宋体" w:hAnsi="宋体" w:cs="宋体"/>
          <w:b/>
          <w:bCs/>
          <w:sz w:val="24"/>
          <w:u w:val="single"/>
        </w:rPr>
        <w:t xml:space="preserve">3  </w:t>
      </w:r>
      <w:r>
        <w:rPr>
          <w:rFonts w:hint="eastAsia" w:ascii="宋体" w:hAnsi="宋体" w:cs="宋体"/>
          <w:kern w:val="0"/>
          <w:sz w:val="24"/>
        </w:rPr>
        <w:t>天内将与合同有关的通知、批准、证明、证书、指示、指令、要求、请求、同意、意见、确定和决定等书面函件送达对方当事人。</w:t>
      </w:r>
    </w:p>
    <w:p w14:paraId="7BCC7F92">
      <w:pPr>
        <w:spacing w:line="360" w:lineRule="auto"/>
        <w:ind w:firstLine="480" w:firstLineChars="200"/>
        <w:rPr>
          <w:rFonts w:ascii="宋体" w:hAnsi="宋体" w:cs="宋体"/>
          <w:kern w:val="0"/>
          <w:sz w:val="24"/>
        </w:rPr>
      </w:pPr>
      <w:r>
        <w:rPr>
          <w:rFonts w:hint="eastAsia" w:ascii="宋体" w:hAnsi="宋体" w:cs="宋体"/>
          <w:kern w:val="0"/>
          <w:sz w:val="24"/>
        </w:rPr>
        <w:t>1.7.2 发包人、承包人及监理人接收文件的地点：</w:t>
      </w:r>
      <w:r>
        <w:rPr>
          <w:rFonts w:hint="eastAsia" w:ascii="宋体" w:hAnsi="宋体" w:cs="宋体"/>
          <w:kern w:val="0"/>
          <w:sz w:val="24"/>
          <w:u w:val="single"/>
        </w:rPr>
        <w:t xml:space="preserve"> </w:t>
      </w:r>
      <w:r>
        <w:rPr>
          <w:rFonts w:hint="eastAsia" w:ascii="宋体" w:hAnsi="宋体" w:cs="宋体"/>
          <w:b/>
          <w:bCs/>
          <w:sz w:val="24"/>
          <w:u w:val="single"/>
        </w:rPr>
        <w:t>施工现场办公室；</w:t>
      </w:r>
    </w:p>
    <w:p w14:paraId="12C8B71B">
      <w:pPr>
        <w:spacing w:line="360" w:lineRule="auto"/>
        <w:ind w:firstLine="480" w:firstLineChars="200"/>
        <w:rPr>
          <w:rFonts w:ascii="宋体" w:hAnsi="宋体" w:cs="宋体"/>
          <w:sz w:val="24"/>
        </w:rPr>
      </w:pPr>
      <w:r>
        <w:rPr>
          <w:rFonts w:hint="eastAsia" w:ascii="宋体" w:hAnsi="宋体" w:cs="宋体"/>
          <w:sz w:val="24"/>
        </w:rPr>
        <w:t>1.10交通运输</w:t>
      </w:r>
    </w:p>
    <w:p w14:paraId="631563B4">
      <w:pPr>
        <w:spacing w:line="360" w:lineRule="auto"/>
        <w:ind w:firstLine="480" w:firstLineChars="200"/>
        <w:rPr>
          <w:rFonts w:ascii="宋体" w:hAnsi="宋体" w:cs="宋体"/>
          <w:sz w:val="24"/>
        </w:rPr>
      </w:pPr>
      <w:r>
        <w:rPr>
          <w:rFonts w:hint="eastAsia" w:ascii="宋体" w:hAnsi="宋体" w:cs="宋体"/>
          <w:sz w:val="24"/>
        </w:rPr>
        <w:t>1.10.1出入现场的权利</w:t>
      </w:r>
    </w:p>
    <w:p w14:paraId="0CCE86C2">
      <w:pPr>
        <w:spacing w:line="360" w:lineRule="auto"/>
        <w:ind w:firstLine="480" w:firstLineChars="200"/>
        <w:rPr>
          <w:rFonts w:ascii="宋体" w:hAnsi="宋体" w:cs="宋体"/>
          <w:sz w:val="24"/>
        </w:rPr>
      </w:pPr>
      <w:r>
        <w:rPr>
          <w:rFonts w:hint="eastAsia" w:ascii="宋体" w:hAnsi="宋体" w:cs="宋体"/>
          <w:sz w:val="24"/>
        </w:rPr>
        <w:t>关于出入现场的权利的约定：</w:t>
      </w:r>
      <w:r>
        <w:rPr>
          <w:rFonts w:hint="eastAsia" w:ascii="宋体" w:hAnsi="宋体" w:cs="宋体"/>
          <w:b/>
          <w:bCs/>
          <w:sz w:val="24"/>
          <w:u w:val="single"/>
        </w:rPr>
        <w:t>按通用条款 。</w:t>
      </w:r>
    </w:p>
    <w:p w14:paraId="313AC97F">
      <w:pPr>
        <w:spacing w:line="360" w:lineRule="auto"/>
        <w:ind w:firstLine="480" w:firstLineChars="200"/>
        <w:rPr>
          <w:rFonts w:ascii="宋体" w:hAnsi="宋体" w:cs="宋体"/>
          <w:sz w:val="24"/>
        </w:rPr>
      </w:pPr>
      <w:r>
        <w:rPr>
          <w:rFonts w:hint="eastAsia" w:ascii="宋体" w:hAnsi="宋体" w:cs="宋体"/>
          <w:sz w:val="24"/>
        </w:rPr>
        <w:t>1.10.3场内交通</w:t>
      </w:r>
    </w:p>
    <w:p w14:paraId="4E856E52">
      <w:pPr>
        <w:spacing w:line="360" w:lineRule="auto"/>
        <w:ind w:firstLine="480" w:firstLineChars="200"/>
        <w:rPr>
          <w:rFonts w:ascii="宋体" w:hAnsi="宋体" w:cs="宋体"/>
          <w:sz w:val="24"/>
          <w:u w:val="single"/>
        </w:rPr>
      </w:pPr>
      <w:r>
        <w:rPr>
          <w:rFonts w:hint="eastAsia" w:ascii="宋体" w:hAnsi="宋体" w:cs="宋体"/>
          <w:kern w:val="0"/>
          <w:sz w:val="24"/>
        </w:rPr>
        <w:t>关于场外交通和场内交通的边界的约定：</w:t>
      </w:r>
      <w:r>
        <w:rPr>
          <w:rFonts w:hint="eastAsia" w:ascii="宋体" w:hAnsi="宋体" w:cs="宋体"/>
          <w:b/>
          <w:bCs/>
          <w:sz w:val="24"/>
          <w:u w:val="single"/>
        </w:rPr>
        <w:t>由发包人根据现场条件划定，承包人无条件服从。</w:t>
      </w:r>
    </w:p>
    <w:p w14:paraId="3820FF68">
      <w:pPr>
        <w:spacing w:line="360" w:lineRule="auto"/>
        <w:ind w:firstLine="480" w:firstLineChars="200"/>
        <w:rPr>
          <w:rFonts w:ascii="宋体" w:hAnsi="宋体" w:cs="宋体"/>
          <w:b/>
          <w:bCs/>
          <w:sz w:val="24"/>
        </w:rPr>
      </w:pPr>
      <w:r>
        <w:rPr>
          <w:rFonts w:hint="eastAsia" w:ascii="宋体" w:hAnsi="宋体" w:cs="宋体"/>
          <w:sz w:val="24"/>
        </w:rPr>
        <w:t>关于发包人向承包人免费提供满足工程施工需要的场内道路和交通设施的约定：</w:t>
      </w:r>
      <w:r>
        <w:rPr>
          <w:rFonts w:hint="eastAsia" w:ascii="宋体" w:hAnsi="宋体" w:cs="宋体"/>
          <w:b/>
          <w:bCs/>
          <w:sz w:val="24"/>
          <w:u w:val="single"/>
        </w:rPr>
        <w:t>按通用条款 。</w:t>
      </w:r>
    </w:p>
    <w:p w14:paraId="1B23962A">
      <w:pPr>
        <w:spacing w:line="360" w:lineRule="auto"/>
        <w:ind w:firstLine="480" w:firstLineChars="200"/>
        <w:rPr>
          <w:rFonts w:ascii="宋体" w:hAnsi="宋体" w:cs="宋体"/>
          <w:sz w:val="24"/>
        </w:rPr>
      </w:pPr>
      <w:r>
        <w:rPr>
          <w:rFonts w:hint="eastAsia" w:ascii="宋体" w:hAnsi="宋体" w:cs="宋体"/>
          <w:sz w:val="24"/>
        </w:rPr>
        <w:t>1.10.4超大件和超重件的运输</w:t>
      </w:r>
    </w:p>
    <w:p w14:paraId="7C900235">
      <w:pPr>
        <w:spacing w:line="360" w:lineRule="auto"/>
        <w:ind w:firstLine="480" w:firstLineChars="200"/>
        <w:rPr>
          <w:rFonts w:ascii="宋体" w:hAnsi="宋体" w:cs="宋体"/>
          <w:sz w:val="24"/>
        </w:rPr>
      </w:pPr>
      <w:r>
        <w:rPr>
          <w:rFonts w:hint="eastAsia" w:ascii="宋体" w:hAnsi="宋体" w:cs="宋体"/>
          <w:sz w:val="24"/>
        </w:rPr>
        <w:t>运输超大件或超重件所需的道路和桥梁临时加固改造费用和其他有关费用由</w:t>
      </w:r>
      <w:r>
        <w:rPr>
          <w:rFonts w:hint="eastAsia" w:ascii="宋体" w:hAnsi="宋体" w:cs="宋体"/>
          <w:b/>
          <w:bCs/>
          <w:sz w:val="24"/>
          <w:u w:val="single"/>
        </w:rPr>
        <w:t xml:space="preserve">承包人 </w:t>
      </w:r>
      <w:r>
        <w:rPr>
          <w:rFonts w:hint="eastAsia" w:ascii="宋体" w:hAnsi="宋体" w:cs="宋体"/>
          <w:sz w:val="24"/>
        </w:rPr>
        <w:t>承担。</w:t>
      </w:r>
    </w:p>
    <w:p w14:paraId="30BD9D72">
      <w:pPr>
        <w:spacing w:line="360" w:lineRule="auto"/>
        <w:ind w:firstLine="482" w:firstLineChars="200"/>
        <w:rPr>
          <w:rFonts w:ascii="宋体" w:hAnsi="宋体" w:cs="宋体"/>
          <w:b/>
          <w:bCs/>
          <w:sz w:val="24"/>
        </w:rPr>
      </w:pPr>
      <w:r>
        <w:rPr>
          <w:rFonts w:hint="eastAsia" w:ascii="宋体" w:hAnsi="宋体" w:cs="宋体"/>
          <w:b/>
          <w:bCs/>
          <w:sz w:val="24"/>
        </w:rPr>
        <w:t>本工程的超大件：</w:t>
      </w:r>
      <w:r>
        <w:rPr>
          <w:rFonts w:hint="eastAsia" w:ascii="宋体" w:hAnsi="宋体" w:cs="宋体"/>
          <w:kern w:val="0"/>
          <w:sz w:val="24"/>
          <w:u w:val="single"/>
        </w:rPr>
        <w:t xml:space="preserve">/    </w:t>
      </w:r>
    </w:p>
    <w:p w14:paraId="767A282A">
      <w:pPr>
        <w:spacing w:line="360" w:lineRule="auto"/>
        <w:ind w:firstLine="482" w:firstLineChars="200"/>
        <w:rPr>
          <w:rFonts w:ascii="宋体" w:hAnsi="宋体" w:cs="宋体"/>
          <w:sz w:val="24"/>
        </w:rPr>
      </w:pPr>
      <w:r>
        <w:rPr>
          <w:rFonts w:hint="eastAsia" w:ascii="宋体" w:hAnsi="宋体" w:cs="宋体"/>
          <w:b/>
          <w:bCs/>
          <w:sz w:val="24"/>
        </w:rPr>
        <w:t>本工程的超重件：</w:t>
      </w:r>
      <w:r>
        <w:rPr>
          <w:rFonts w:hint="eastAsia" w:ascii="宋体" w:hAnsi="宋体" w:cs="宋体"/>
          <w:kern w:val="0"/>
          <w:sz w:val="24"/>
          <w:u w:val="single"/>
        </w:rPr>
        <w:t xml:space="preserve">/    </w:t>
      </w:r>
    </w:p>
    <w:p w14:paraId="780D2203">
      <w:pPr>
        <w:spacing w:line="360" w:lineRule="auto"/>
        <w:ind w:firstLine="480" w:firstLineChars="200"/>
        <w:rPr>
          <w:rFonts w:ascii="宋体" w:hAnsi="宋体" w:cs="宋体"/>
          <w:sz w:val="24"/>
        </w:rPr>
      </w:pPr>
      <w:r>
        <w:rPr>
          <w:rFonts w:hint="eastAsia" w:ascii="宋体" w:hAnsi="宋体" w:cs="宋体"/>
          <w:sz w:val="24"/>
        </w:rPr>
        <w:t>1.11知识产权</w:t>
      </w:r>
    </w:p>
    <w:p w14:paraId="799F0A82">
      <w:pPr>
        <w:spacing w:line="360" w:lineRule="auto"/>
        <w:ind w:firstLine="480" w:firstLineChars="200"/>
        <w:rPr>
          <w:rFonts w:ascii="宋体" w:hAnsi="宋体" w:cs="宋体"/>
          <w:sz w:val="24"/>
          <w:u w:val="single"/>
        </w:rPr>
      </w:pPr>
      <w:r>
        <w:rPr>
          <w:rFonts w:hint="eastAsia" w:ascii="宋体" w:hAnsi="宋体" w:cs="宋体"/>
          <w:sz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 w:val="24"/>
          <w:u w:val="single"/>
        </w:rPr>
        <w:t xml:space="preserve"> </w:t>
      </w:r>
      <w:r>
        <w:rPr>
          <w:rFonts w:hint="eastAsia" w:ascii="宋体" w:hAnsi="宋体" w:cs="宋体"/>
          <w:b/>
          <w:bCs/>
          <w:sz w:val="24"/>
          <w:u w:val="single"/>
        </w:rPr>
        <w:t xml:space="preserve">归发包人。 </w:t>
      </w:r>
    </w:p>
    <w:p w14:paraId="1CED9FA9">
      <w:pPr>
        <w:spacing w:line="360" w:lineRule="auto"/>
        <w:ind w:firstLine="480" w:firstLineChars="200"/>
        <w:rPr>
          <w:rFonts w:ascii="宋体" w:hAnsi="宋体" w:cs="宋体"/>
          <w:sz w:val="24"/>
          <w:u w:val="single"/>
        </w:rPr>
      </w:pPr>
      <w:r>
        <w:rPr>
          <w:rFonts w:hint="eastAsia" w:ascii="宋体" w:hAnsi="宋体" w:cs="宋体"/>
          <w:sz w:val="24"/>
        </w:rPr>
        <w:t>关于发包人提供的上述文件的使用限制的要求：</w:t>
      </w:r>
      <w:r>
        <w:rPr>
          <w:rFonts w:hint="eastAsia" w:ascii="宋体" w:hAnsi="宋体" w:cs="宋体"/>
          <w:b/>
          <w:bCs/>
          <w:sz w:val="24"/>
          <w:u w:val="single"/>
        </w:rPr>
        <w:t>未经发包人同意，不得向他人提供，否则发包人有权解除合同并有权向承包人进行索赔。</w:t>
      </w:r>
    </w:p>
    <w:p w14:paraId="4F8C56E8">
      <w:pPr>
        <w:spacing w:line="360" w:lineRule="auto"/>
        <w:ind w:firstLine="480" w:firstLineChars="200"/>
        <w:rPr>
          <w:rFonts w:ascii="宋体" w:hAnsi="宋体" w:cs="宋体"/>
          <w:b/>
          <w:bCs/>
          <w:sz w:val="24"/>
        </w:rPr>
      </w:pPr>
      <w:r>
        <w:rPr>
          <w:rFonts w:hint="eastAsia" w:ascii="宋体" w:hAnsi="宋体" w:cs="宋体"/>
          <w:sz w:val="24"/>
        </w:rPr>
        <w:t>1.11.2 关于承包人为实施工程所编制文件的著作权的归属：</w:t>
      </w:r>
      <w:r>
        <w:rPr>
          <w:rFonts w:hint="eastAsia" w:ascii="宋体" w:hAnsi="宋体" w:cs="宋体"/>
          <w:b/>
          <w:bCs/>
          <w:sz w:val="24"/>
          <w:u w:val="single"/>
        </w:rPr>
        <w:t xml:space="preserve">按通用条款。 </w:t>
      </w:r>
    </w:p>
    <w:p w14:paraId="39E2C1AB">
      <w:pPr>
        <w:spacing w:line="360" w:lineRule="auto"/>
        <w:ind w:firstLine="480" w:firstLineChars="200"/>
        <w:rPr>
          <w:rFonts w:ascii="宋体" w:hAnsi="宋体" w:cs="宋体"/>
          <w:sz w:val="24"/>
          <w:u w:val="single"/>
        </w:rPr>
      </w:pPr>
      <w:r>
        <w:rPr>
          <w:rFonts w:hint="eastAsia" w:ascii="宋体" w:hAnsi="宋体" w:cs="宋体"/>
          <w:sz w:val="24"/>
        </w:rPr>
        <w:t>关于承包人提供的上述文件的使用限制的要求：</w:t>
      </w:r>
      <w:r>
        <w:rPr>
          <w:rFonts w:hint="eastAsia" w:ascii="宋体" w:hAnsi="宋体" w:cs="宋体"/>
          <w:sz w:val="24"/>
          <w:u w:val="single"/>
        </w:rPr>
        <w:t xml:space="preserve"> </w:t>
      </w:r>
      <w:r>
        <w:rPr>
          <w:rFonts w:hint="eastAsia" w:ascii="宋体" w:hAnsi="宋体" w:cs="宋体"/>
          <w:b/>
          <w:bCs/>
          <w:sz w:val="24"/>
          <w:u w:val="single"/>
        </w:rPr>
        <w:t xml:space="preserve">用于本工程。 </w:t>
      </w:r>
    </w:p>
    <w:p w14:paraId="75CB98CF">
      <w:pPr>
        <w:spacing w:line="360" w:lineRule="auto"/>
        <w:ind w:firstLine="480" w:firstLineChars="200"/>
        <w:rPr>
          <w:rFonts w:ascii="宋体" w:hAnsi="宋体" w:cs="宋体"/>
          <w:sz w:val="24"/>
        </w:rPr>
      </w:pPr>
      <w:r>
        <w:rPr>
          <w:rFonts w:hint="eastAsia" w:ascii="宋体" w:hAnsi="宋体" w:cs="宋体"/>
          <w:sz w:val="24"/>
        </w:rPr>
        <w:t>1.11.4 承包人在施工过程中所采用的专利、专有技术、技术秘密的使用费的承担方式：</w:t>
      </w:r>
      <w:r>
        <w:rPr>
          <w:rFonts w:hint="eastAsia" w:ascii="宋体" w:hAnsi="宋体" w:cs="宋体"/>
          <w:b/>
          <w:bCs/>
          <w:sz w:val="24"/>
          <w:u w:val="single"/>
        </w:rPr>
        <w:t>（除发包人指明外）承包人在施工过程中所采用的专利、专有技术、技术秘密的使用费包含在合同价款内。</w:t>
      </w:r>
    </w:p>
    <w:p w14:paraId="279A0551">
      <w:pPr>
        <w:spacing w:line="360" w:lineRule="auto"/>
        <w:ind w:firstLine="480" w:firstLineChars="200"/>
        <w:rPr>
          <w:rFonts w:ascii="宋体" w:hAnsi="宋体" w:cs="宋体"/>
          <w:sz w:val="24"/>
        </w:rPr>
      </w:pPr>
      <w:r>
        <w:rPr>
          <w:rFonts w:hint="eastAsia" w:ascii="宋体" w:hAnsi="宋体" w:cs="宋体"/>
          <w:sz w:val="24"/>
        </w:rPr>
        <w:t>1.13工程量清单错误的修正</w:t>
      </w:r>
    </w:p>
    <w:p w14:paraId="4C8BCD97">
      <w:pPr>
        <w:spacing w:line="360" w:lineRule="auto"/>
        <w:ind w:firstLine="480" w:firstLineChars="200"/>
        <w:rPr>
          <w:rFonts w:ascii="宋体" w:hAnsi="宋体" w:cs="宋体"/>
          <w:sz w:val="24"/>
        </w:rPr>
      </w:pPr>
      <w:r>
        <w:rPr>
          <w:rFonts w:hint="eastAsia" w:ascii="宋体" w:hAnsi="宋体" w:cs="宋体"/>
          <w:sz w:val="24"/>
        </w:rPr>
        <w:t>出现工程量清单错误时，是否调整合同价格：</w:t>
      </w:r>
      <w:r>
        <w:rPr>
          <w:rFonts w:hint="eastAsia" w:ascii="宋体" w:hAnsi="宋体" w:cs="宋体"/>
          <w:b/>
          <w:bCs/>
          <w:sz w:val="24"/>
          <w:u w:val="single"/>
        </w:rPr>
        <w:t xml:space="preserve">  是  </w:t>
      </w:r>
      <w:r>
        <w:rPr>
          <w:rFonts w:hint="eastAsia" w:ascii="宋体" w:hAnsi="宋体" w:cs="宋体"/>
          <w:b/>
          <w:bCs/>
          <w:sz w:val="24"/>
        </w:rPr>
        <w:t>；</w:t>
      </w:r>
    </w:p>
    <w:p w14:paraId="4B04D925">
      <w:pPr>
        <w:spacing w:line="360" w:lineRule="auto"/>
        <w:ind w:firstLine="480" w:firstLineChars="200"/>
        <w:rPr>
          <w:rFonts w:ascii="宋体" w:hAnsi="宋体" w:cs="宋体"/>
          <w:strike/>
          <w:sz w:val="24"/>
        </w:rPr>
      </w:pPr>
      <w:r>
        <w:rPr>
          <w:rFonts w:hint="eastAsia" w:ascii="宋体" w:hAnsi="宋体" w:cs="宋体"/>
          <w:sz w:val="24"/>
        </w:rPr>
        <w:t>允许调整合同价格的工程量偏差范围：</w:t>
      </w:r>
      <w:r>
        <w:rPr>
          <w:rFonts w:hint="eastAsia" w:ascii="宋体" w:hAnsi="宋体" w:cs="宋体"/>
          <w:sz w:val="24"/>
          <w:u w:val="single"/>
        </w:rPr>
        <w:t xml:space="preserve"> </w:t>
      </w:r>
      <w:r>
        <w:rPr>
          <w:rFonts w:hint="eastAsia" w:ascii="宋体" w:hAnsi="宋体" w:cs="宋体"/>
          <w:b/>
          <w:bCs/>
          <w:sz w:val="24"/>
          <w:u w:val="single"/>
        </w:rPr>
        <w:t>按本专用条款第10.4.1条执行；</w:t>
      </w:r>
    </w:p>
    <w:p w14:paraId="61AFB89A">
      <w:pPr>
        <w:spacing w:line="360" w:lineRule="auto"/>
        <w:ind w:firstLine="480" w:firstLineChars="200"/>
        <w:rPr>
          <w:rFonts w:ascii="宋体" w:hAnsi="宋体" w:cs="宋体"/>
          <w:b/>
          <w:bCs/>
          <w:sz w:val="24"/>
          <w:u w:val="single"/>
        </w:rPr>
      </w:pPr>
      <w:r>
        <w:rPr>
          <w:rFonts w:hint="eastAsia" w:ascii="宋体" w:hAnsi="宋体" w:cs="宋体"/>
          <w:sz w:val="24"/>
        </w:rPr>
        <w:t>调整合同价格的修正时间：</w:t>
      </w:r>
      <w:r>
        <w:rPr>
          <w:rFonts w:hint="eastAsia" w:ascii="宋体" w:hAnsi="宋体" w:cs="宋体"/>
          <w:sz w:val="24"/>
          <w:u w:val="single"/>
        </w:rPr>
        <w:t xml:space="preserve"> </w:t>
      </w:r>
      <w:r>
        <w:rPr>
          <w:rFonts w:hint="eastAsia" w:ascii="宋体" w:hAnsi="宋体" w:cs="宋体"/>
          <w:b/>
          <w:bCs/>
          <w:sz w:val="24"/>
          <w:u w:val="single"/>
        </w:rPr>
        <w:t>除本合同专用条款另有约定外，合同单价不调整，工程量清单在工程结算审核时调整。发包人在收到合同价调整报告所认定发生的事实，但并不一定认定合同价款的调整，合同价款调整需经第三方审计单位审价后确定。</w:t>
      </w:r>
    </w:p>
    <w:p w14:paraId="6A97ED68">
      <w:pPr>
        <w:spacing w:line="360" w:lineRule="auto"/>
        <w:ind w:firstLine="482" w:firstLineChars="200"/>
        <w:rPr>
          <w:rFonts w:ascii="宋体" w:hAnsi="宋体" w:cs="宋体"/>
          <w:b/>
          <w:bCs/>
          <w:sz w:val="24"/>
        </w:rPr>
      </w:pPr>
      <w:r>
        <w:rPr>
          <w:rFonts w:hint="eastAsia" w:ascii="宋体" w:hAnsi="宋体" w:cs="宋体"/>
          <w:b/>
          <w:bCs/>
          <w:sz w:val="24"/>
        </w:rPr>
        <w:t>2、发包人</w:t>
      </w:r>
    </w:p>
    <w:p w14:paraId="15AB8023">
      <w:pPr>
        <w:spacing w:line="360" w:lineRule="auto"/>
        <w:ind w:firstLine="482" w:firstLineChars="200"/>
        <w:rPr>
          <w:rFonts w:ascii="宋体" w:hAnsi="宋体" w:cs="宋体"/>
          <w:b/>
          <w:bCs/>
          <w:sz w:val="24"/>
        </w:rPr>
      </w:pPr>
      <w:r>
        <w:rPr>
          <w:rFonts w:hint="eastAsia" w:ascii="宋体" w:hAnsi="宋体" w:cs="宋体"/>
          <w:b/>
          <w:bCs/>
          <w:sz w:val="24"/>
        </w:rPr>
        <w:t>发包人应根据工程所需配备发包人代表，同时配备1-2名相关人员到岗履职。</w:t>
      </w:r>
    </w:p>
    <w:p w14:paraId="1D615F78">
      <w:pPr>
        <w:spacing w:line="360" w:lineRule="auto"/>
        <w:ind w:firstLine="480" w:firstLineChars="200"/>
        <w:rPr>
          <w:rFonts w:ascii="宋体" w:hAnsi="宋体" w:cs="宋体"/>
          <w:b/>
          <w:bCs/>
          <w:sz w:val="24"/>
          <w:u w:val="single"/>
        </w:rPr>
      </w:pPr>
      <w:r>
        <w:rPr>
          <w:rFonts w:hint="eastAsia" w:ascii="宋体" w:hAnsi="宋体" w:cs="宋体"/>
          <w:sz w:val="24"/>
        </w:rPr>
        <w:t>发包人对发包人代表的授权范围如下：</w:t>
      </w:r>
      <w:r>
        <w:rPr>
          <w:rFonts w:hint="eastAsia" w:ascii="宋体" w:hAnsi="宋体" w:cs="宋体"/>
          <w:b/>
          <w:sz w:val="24"/>
          <w:u w:val="single"/>
        </w:rPr>
        <w:t>对质量、成本、安全、进度进行全面管理，但涉及合同价格变更、安全事故、质量事故等重大事项的处理须经发包人加盖公章方有效。</w:t>
      </w:r>
    </w:p>
    <w:p w14:paraId="54DC7E84">
      <w:pPr>
        <w:spacing w:line="360" w:lineRule="auto"/>
        <w:ind w:firstLine="480" w:firstLineChars="200"/>
        <w:rPr>
          <w:rFonts w:ascii="宋体" w:hAnsi="宋体" w:cs="宋体"/>
          <w:sz w:val="24"/>
        </w:rPr>
      </w:pPr>
      <w:r>
        <w:rPr>
          <w:rFonts w:hint="eastAsia" w:ascii="宋体" w:hAnsi="宋体" w:cs="宋体"/>
          <w:sz w:val="24"/>
        </w:rPr>
        <w:t>2.4施工现场、施工条件和基础资料的提供</w:t>
      </w:r>
    </w:p>
    <w:p w14:paraId="3F2B6F27">
      <w:pPr>
        <w:spacing w:line="360" w:lineRule="auto"/>
        <w:ind w:firstLine="480" w:firstLineChars="200"/>
        <w:rPr>
          <w:rFonts w:ascii="宋体" w:hAnsi="宋体" w:cs="宋体"/>
          <w:sz w:val="24"/>
        </w:rPr>
      </w:pPr>
      <w:r>
        <w:rPr>
          <w:rFonts w:hint="eastAsia" w:ascii="宋体" w:hAnsi="宋体" w:cs="宋体"/>
          <w:sz w:val="24"/>
        </w:rPr>
        <w:t>2.4.1提供施工现场</w:t>
      </w:r>
    </w:p>
    <w:p w14:paraId="5F72EDA0">
      <w:pPr>
        <w:spacing w:line="360" w:lineRule="auto"/>
        <w:ind w:firstLine="480" w:firstLineChars="200"/>
        <w:rPr>
          <w:rFonts w:ascii="宋体" w:hAnsi="宋体" w:cs="宋体"/>
          <w:b/>
          <w:bCs/>
          <w:sz w:val="24"/>
          <w:u w:val="single"/>
        </w:rPr>
      </w:pPr>
      <w:r>
        <w:rPr>
          <w:rFonts w:hint="eastAsia" w:ascii="宋体" w:hAnsi="宋体" w:cs="宋体"/>
          <w:sz w:val="24"/>
        </w:rPr>
        <w:t>关于发包人移交施工现场的期限要求：</w:t>
      </w:r>
      <w:r>
        <w:rPr>
          <w:rFonts w:hint="eastAsia" w:ascii="宋体" w:hAnsi="宋体" w:cs="宋体"/>
          <w:b/>
          <w:bCs/>
          <w:sz w:val="24"/>
          <w:u w:val="single"/>
        </w:rPr>
        <w:t xml:space="preserve"> 开工日期7天前移交。</w:t>
      </w:r>
    </w:p>
    <w:p w14:paraId="727EAF04">
      <w:pPr>
        <w:spacing w:line="360" w:lineRule="auto"/>
        <w:ind w:firstLine="480" w:firstLineChars="200"/>
        <w:rPr>
          <w:rFonts w:ascii="宋体" w:hAnsi="宋体" w:cs="宋体"/>
          <w:sz w:val="24"/>
        </w:rPr>
      </w:pPr>
      <w:r>
        <w:rPr>
          <w:rFonts w:hint="eastAsia" w:ascii="宋体" w:hAnsi="宋体" w:cs="宋体"/>
          <w:sz w:val="24"/>
        </w:rPr>
        <w:t>2.4.2提供施工条件</w:t>
      </w:r>
    </w:p>
    <w:p w14:paraId="71528885">
      <w:pPr>
        <w:autoSpaceDE w:val="0"/>
        <w:autoSpaceDN w:val="0"/>
        <w:spacing w:line="360" w:lineRule="auto"/>
        <w:ind w:firstLine="480" w:firstLineChars="200"/>
        <w:rPr>
          <w:rFonts w:ascii="宋体" w:hAnsi="宋体" w:cs="宋体"/>
          <w:b/>
          <w:bCs/>
          <w:kern w:val="0"/>
          <w:sz w:val="24"/>
        </w:rPr>
      </w:pPr>
      <w:r>
        <w:rPr>
          <w:rFonts w:hint="eastAsia" w:ascii="宋体" w:hAnsi="宋体" w:cs="宋体"/>
          <w:sz w:val="24"/>
        </w:rPr>
        <w:t>关于发包人应负责提供施工所需要的条件，包括：</w:t>
      </w:r>
      <w:r>
        <w:rPr>
          <w:rFonts w:hint="eastAsia" w:ascii="宋体" w:hAnsi="宋体" w:cs="宋体"/>
          <w:b/>
          <w:bCs/>
          <w:sz w:val="24"/>
          <w:u w:val="single"/>
        </w:rPr>
        <w:t xml:space="preserve">按通用条款 </w:t>
      </w:r>
      <w:r>
        <w:rPr>
          <w:rFonts w:hint="eastAsia" w:ascii="宋体" w:hAnsi="宋体" w:cs="宋体"/>
          <w:sz w:val="24"/>
        </w:rPr>
        <w:t>。</w:t>
      </w:r>
    </w:p>
    <w:p w14:paraId="7A463015">
      <w:pPr>
        <w:spacing w:line="360" w:lineRule="auto"/>
        <w:ind w:firstLine="480" w:firstLineChars="200"/>
        <w:rPr>
          <w:rFonts w:ascii="宋体" w:hAnsi="宋体" w:cs="宋体"/>
          <w:sz w:val="24"/>
        </w:rPr>
      </w:pPr>
      <w:r>
        <w:rPr>
          <w:rFonts w:hint="eastAsia" w:ascii="宋体" w:hAnsi="宋体" w:cs="宋体"/>
          <w:sz w:val="24"/>
        </w:rPr>
        <w:t>2.5资金来源证明及支付担保</w:t>
      </w:r>
    </w:p>
    <w:p w14:paraId="3A1158B9">
      <w:pPr>
        <w:spacing w:line="360" w:lineRule="auto"/>
        <w:ind w:firstLine="480" w:firstLineChars="200"/>
        <w:rPr>
          <w:rFonts w:ascii="宋体" w:hAnsi="宋体" w:cs="宋体"/>
          <w:b/>
          <w:bCs/>
          <w:strike/>
          <w:sz w:val="24"/>
          <w:u w:val="single"/>
        </w:rPr>
      </w:pPr>
      <w:r>
        <w:rPr>
          <w:rFonts w:hint="eastAsia" w:ascii="宋体" w:hAnsi="宋体" w:cs="宋体"/>
          <w:sz w:val="24"/>
        </w:rPr>
        <w:t>发包人提供资金来源证明的期限要求：</w:t>
      </w:r>
      <w:r>
        <w:rPr>
          <w:rFonts w:hint="eastAsia" w:ascii="宋体" w:hAnsi="宋体" w:cs="宋体"/>
          <w:sz w:val="24"/>
          <w:u w:val="single"/>
        </w:rPr>
        <w:t xml:space="preserve">  / </w:t>
      </w:r>
      <w:r>
        <w:rPr>
          <w:rFonts w:hint="eastAsia" w:ascii="宋体" w:hAnsi="宋体" w:cs="宋体"/>
          <w:sz w:val="24"/>
        </w:rPr>
        <w:t>。</w:t>
      </w:r>
    </w:p>
    <w:p w14:paraId="4295682C">
      <w:pPr>
        <w:spacing w:line="360" w:lineRule="auto"/>
        <w:ind w:firstLine="480" w:firstLineChars="200"/>
        <w:rPr>
          <w:rFonts w:ascii="宋体" w:hAnsi="宋体" w:cs="宋体"/>
          <w:sz w:val="24"/>
        </w:rPr>
      </w:pPr>
      <w:r>
        <w:rPr>
          <w:rFonts w:hint="eastAsia" w:ascii="宋体" w:hAnsi="宋体" w:cs="宋体"/>
          <w:sz w:val="24"/>
        </w:rPr>
        <w:t>发包人是否提供支付担保：</w:t>
      </w:r>
      <w:r>
        <w:rPr>
          <w:rFonts w:hint="eastAsia" w:ascii="宋体" w:hAnsi="宋体" w:cs="宋体"/>
          <w:sz w:val="24"/>
          <w:u w:val="single"/>
        </w:rPr>
        <w:t xml:space="preserve">  /  </w:t>
      </w:r>
      <w:r>
        <w:rPr>
          <w:rFonts w:hint="eastAsia" w:ascii="宋体" w:hAnsi="宋体" w:cs="宋体"/>
          <w:sz w:val="24"/>
        </w:rPr>
        <w:t>。</w:t>
      </w:r>
    </w:p>
    <w:p w14:paraId="4587EEE8">
      <w:pPr>
        <w:spacing w:line="360" w:lineRule="auto"/>
        <w:ind w:firstLine="480" w:firstLineChars="200"/>
        <w:rPr>
          <w:rFonts w:ascii="宋体" w:hAnsi="宋体" w:cs="宋体"/>
          <w:sz w:val="24"/>
          <w:u w:val="single"/>
        </w:rPr>
      </w:pPr>
      <w:r>
        <w:rPr>
          <w:rFonts w:hint="eastAsia" w:ascii="宋体" w:hAnsi="宋体" w:cs="宋体"/>
          <w:sz w:val="24"/>
        </w:rPr>
        <w:t>发包人提供支付担保的形式：</w:t>
      </w:r>
      <w:r>
        <w:rPr>
          <w:rFonts w:hint="eastAsia" w:ascii="宋体" w:hAnsi="宋体" w:cs="宋体"/>
          <w:sz w:val="24"/>
          <w:u w:val="single"/>
        </w:rPr>
        <w:t xml:space="preserve">  /  </w:t>
      </w:r>
      <w:r>
        <w:rPr>
          <w:rFonts w:hint="eastAsia" w:ascii="宋体" w:hAnsi="宋体" w:cs="宋体"/>
          <w:sz w:val="24"/>
        </w:rPr>
        <w:t>。</w:t>
      </w:r>
    </w:p>
    <w:p w14:paraId="0C9598F7">
      <w:pPr>
        <w:spacing w:line="360" w:lineRule="auto"/>
        <w:ind w:firstLine="482" w:firstLineChars="200"/>
        <w:rPr>
          <w:rFonts w:ascii="宋体" w:hAnsi="宋体" w:cs="宋体"/>
          <w:b/>
          <w:bCs/>
          <w:sz w:val="24"/>
        </w:rPr>
      </w:pPr>
      <w:r>
        <w:rPr>
          <w:rFonts w:hint="eastAsia" w:ascii="宋体" w:hAnsi="宋体" w:cs="宋体"/>
          <w:b/>
          <w:bCs/>
          <w:sz w:val="24"/>
        </w:rPr>
        <w:t>3、承包人</w:t>
      </w:r>
    </w:p>
    <w:p w14:paraId="11656DB6">
      <w:pPr>
        <w:spacing w:line="360" w:lineRule="auto"/>
        <w:ind w:firstLine="480" w:firstLineChars="200"/>
        <w:rPr>
          <w:rFonts w:ascii="宋体" w:hAnsi="宋体" w:cs="宋体"/>
          <w:sz w:val="24"/>
        </w:rPr>
      </w:pPr>
      <w:r>
        <w:rPr>
          <w:rFonts w:hint="eastAsia" w:ascii="宋体" w:hAnsi="宋体" w:cs="宋体"/>
          <w:sz w:val="24"/>
        </w:rPr>
        <w:t>3.1承包人的一般义务</w:t>
      </w:r>
    </w:p>
    <w:p w14:paraId="09D0EBFC">
      <w:pPr>
        <w:spacing w:line="360" w:lineRule="auto"/>
        <w:ind w:firstLine="480" w:firstLineChars="200"/>
        <w:rPr>
          <w:rFonts w:ascii="宋体" w:hAnsi="宋体" w:cs="宋体"/>
          <w:strike/>
          <w:sz w:val="24"/>
        </w:rPr>
      </w:pPr>
      <w:r>
        <w:rPr>
          <w:rFonts w:hint="eastAsia" w:ascii="宋体" w:hAnsi="宋体" w:cs="宋体"/>
          <w:kern w:val="0"/>
          <w:sz w:val="24"/>
        </w:rPr>
        <w:t>（5）</w:t>
      </w:r>
      <w:r>
        <w:rPr>
          <w:rFonts w:hint="eastAsia" w:ascii="宋体" w:hAnsi="宋体" w:cs="宋体"/>
          <w:sz w:val="24"/>
        </w:rPr>
        <w:t>承包人提交的竣工资料的内容：</w:t>
      </w:r>
      <w:r>
        <w:rPr>
          <w:rFonts w:hint="eastAsia" w:ascii="宋体" w:hAnsi="宋体" w:cs="宋体"/>
          <w:b/>
          <w:bCs/>
          <w:sz w:val="24"/>
          <w:u w:val="single"/>
        </w:rPr>
        <w:t>竣工图纸和竣工资料（包括影像资料）、电子版竣工图光盘</w:t>
      </w:r>
      <w:r>
        <w:rPr>
          <w:rFonts w:hint="eastAsia" w:ascii="宋体" w:hAnsi="宋体" w:cs="宋体"/>
          <w:sz w:val="24"/>
        </w:rPr>
        <w:t>。</w:t>
      </w:r>
    </w:p>
    <w:p w14:paraId="2FD06304">
      <w:pPr>
        <w:spacing w:line="360" w:lineRule="auto"/>
        <w:ind w:firstLine="480" w:firstLineChars="200"/>
        <w:rPr>
          <w:rFonts w:ascii="宋体" w:hAnsi="宋体" w:cs="宋体"/>
          <w:sz w:val="24"/>
        </w:rPr>
      </w:pPr>
      <w:r>
        <w:rPr>
          <w:rFonts w:hint="eastAsia" w:ascii="宋体" w:hAnsi="宋体" w:cs="宋体"/>
          <w:sz w:val="24"/>
        </w:rPr>
        <w:t>承包人需要提交的竣工资料套数：</w:t>
      </w:r>
      <w:r>
        <w:rPr>
          <w:rFonts w:hint="eastAsia" w:ascii="宋体" w:hAnsi="宋体" w:cs="宋体"/>
          <w:b/>
          <w:bCs/>
          <w:sz w:val="24"/>
          <w:u w:val="single"/>
        </w:rPr>
        <w:t>陆套</w:t>
      </w:r>
      <w:r>
        <w:rPr>
          <w:rFonts w:hint="eastAsia" w:ascii="宋体" w:hAnsi="宋体" w:cs="宋体"/>
          <w:sz w:val="24"/>
        </w:rPr>
        <w:t>。</w:t>
      </w:r>
    </w:p>
    <w:p w14:paraId="2915F630">
      <w:pPr>
        <w:spacing w:line="360" w:lineRule="auto"/>
        <w:ind w:firstLine="480" w:firstLineChars="200"/>
        <w:rPr>
          <w:rFonts w:ascii="宋体" w:hAnsi="宋体" w:cs="宋体"/>
          <w:sz w:val="24"/>
        </w:rPr>
      </w:pPr>
      <w:r>
        <w:rPr>
          <w:rFonts w:hint="eastAsia" w:ascii="宋体" w:hAnsi="宋体" w:cs="宋体"/>
          <w:sz w:val="24"/>
        </w:rPr>
        <w:t>承包人提交的竣工资料的费用承担：</w:t>
      </w:r>
      <w:r>
        <w:rPr>
          <w:rFonts w:hint="eastAsia" w:ascii="宋体" w:hAnsi="宋体" w:cs="宋体"/>
          <w:b/>
          <w:bCs/>
          <w:sz w:val="24"/>
          <w:u w:val="single"/>
        </w:rPr>
        <w:t>由承包人承担</w:t>
      </w:r>
      <w:r>
        <w:rPr>
          <w:rFonts w:hint="eastAsia" w:ascii="宋体" w:hAnsi="宋体" w:cs="宋体"/>
          <w:sz w:val="24"/>
        </w:rPr>
        <w:t>。</w:t>
      </w:r>
    </w:p>
    <w:p w14:paraId="5A6E58D7">
      <w:pPr>
        <w:spacing w:line="360" w:lineRule="auto"/>
        <w:ind w:firstLine="480" w:firstLineChars="200"/>
        <w:rPr>
          <w:rFonts w:ascii="宋体" w:hAnsi="宋体" w:cs="宋体"/>
          <w:sz w:val="24"/>
        </w:rPr>
      </w:pPr>
      <w:r>
        <w:rPr>
          <w:rFonts w:hint="eastAsia" w:ascii="宋体" w:hAnsi="宋体" w:cs="宋体"/>
          <w:sz w:val="24"/>
        </w:rPr>
        <w:t>承包人提交的竣工资料移交时间：</w:t>
      </w:r>
      <w:r>
        <w:rPr>
          <w:rFonts w:hint="eastAsia" w:ascii="宋体" w:hAnsi="宋体" w:cs="宋体"/>
          <w:b/>
          <w:bCs/>
          <w:sz w:val="24"/>
          <w:u w:val="single"/>
        </w:rPr>
        <w:t>工程竣工验收合格后10天内</w:t>
      </w:r>
      <w:r>
        <w:rPr>
          <w:rFonts w:hint="eastAsia" w:ascii="宋体" w:hAnsi="宋体" w:cs="宋体"/>
          <w:sz w:val="24"/>
        </w:rPr>
        <w:t>。</w:t>
      </w:r>
    </w:p>
    <w:p w14:paraId="466CFD01">
      <w:pPr>
        <w:spacing w:line="360" w:lineRule="auto"/>
        <w:ind w:firstLine="480" w:firstLineChars="200"/>
        <w:rPr>
          <w:rFonts w:ascii="宋体" w:hAnsi="宋体" w:cs="宋体"/>
          <w:sz w:val="24"/>
        </w:rPr>
      </w:pPr>
      <w:r>
        <w:rPr>
          <w:rFonts w:hint="eastAsia" w:ascii="宋体" w:hAnsi="宋体" w:cs="宋体"/>
          <w:sz w:val="24"/>
        </w:rPr>
        <w:t>承包人提交的竣工资料形式要求：</w:t>
      </w:r>
      <w:r>
        <w:rPr>
          <w:rFonts w:hint="eastAsia" w:ascii="宋体" w:hAnsi="宋体" w:cs="宋体"/>
          <w:b/>
          <w:bCs/>
          <w:sz w:val="24"/>
          <w:u w:val="single"/>
        </w:rPr>
        <w:t>符合城建档案管理部门相关规定的</w:t>
      </w:r>
      <w:r>
        <w:rPr>
          <w:rFonts w:hint="eastAsia" w:ascii="宋体" w:hAnsi="宋体" w:cs="宋体"/>
          <w:b/>
          <w:sz w:val="24"/>
          <w:u w:val="single"/>
        </w:rPr>
        <w:t>纸质、电子文本</w:t>
      </w:r>
      <w:r>
        <w:rPr>
          <w:rFonts w:hint="eastAsia" w:ascii="宋体" w:hAnsi="宋体" w:cs="宋体"/>
          <w:sz w:val="24"/>
        </w:rPr>
        <w:t>。</w:t>
      </w:r>
    </w:p>
    <w:p w14:paraId="7F87E865">
      <w:pPr>
        <w:spacing w:line="360" w:lineRule="auto"/>
        <w:ind w:firstLine="480" w:firstLineChars="200"/>
        <w:rPr>
          <w:rFonts w:ascii="宋体" w:hAnsi="宋体" w:cs="宋体"/>
          <w:sz w:val="24"/>
        </w:rPr>
      </w:pPr>
      <w:r>
        <w:rPr>
          <w:rFonts w:hint="eastAsia" w:ascii="宋体" w:hAnsi="宋体" w:cs="宋体"/>
          <w:kern w:val="0"/>
          <w:sz w:val="24"/>
        </w:rPr>
        <w:t>（6）承包人应履行的其他义务：</w:t>
      </w:r>
      <w:r>
        <w:rPr>
          <w:rFonts w:hint="eastAsia" w:ascii="宋体" w:hAnsi="宋体" w:cs="宋体"/>
          <w:b/>
          <w:bCs/>
          <w:sz w:val="24"/>
          <w:u w:val="single"/>
        </w:rPr>
        <w:t>工程竣工验收合格后3日内，承包人须将本工程范围内所有设施设备、设备基础、临时用房、硬化地坪、建筑垃圾、剩余建筑材料等全部拆除、清理出场，并撤出所有施工人员，费用由承包人自行承担，如承包人未在上述期限内及时清理的，发包人有权代为拆除、清理，所产生的费用及造成的损失由承包人承担。</w:t>
      </w:r>
    </w:p>
    <w:p w14:paraId="74AC85DE">
      <w:pPr>
        <w:spacing w:line="360" w:lineRule="auto"/>
        <w:ind w:firstLine="480" w:firstLineChars="200"/>
        <w:rPr>
          <w:rFonts w:ascii="宋体" w:hAnsi="宋体" w:cs="宋体"/>
          <w:sz w:val="24"/>
        </w:rPr>
      </w:pPr>
      <w:r>
        <w:rPr>
          <w:rFonts w:hint="eastAsia" w:ascii="宋体" w:hAnsi="宋体" w:cs="宋体"/>
          <w:sz w:val="24"/>
        </w:rPr>
        <w:t>3.2项目经理</w:t>
      </w:r>
    </w:p>
    <w:p w14:paraId="154F8F4B">
      <w:pPr>
        <w:spacing w:line="360" w:lineRule="auto"/>
        <w:ind w:firstLine="480" w:firstLineChars="200"/>
        <w:rPr>
          <w:rFonts w:ascii="宋体" w:hAnsi="宋体" w:cs="宋体"/>
          <w:sz w:val="24"/>
        </w:rPr>
      </w:pPr>
      <w:r>
        <w:rPr>
          <w:rFonts w:hint="eastAsia" w:ascii="宋体" w:hAnsi="宋体" w:cs="宋体"/>
          <w:sz w:val="24"/>
        </w:rPr>
        <w:t>承包人对项目经理的授权范围如下：</w:t>
      </w:r>
      <w:r>
        <w:rPr>
          <w:rFonts w:hint="eastAsia" w:ascii="宋体" w:hAnsi="宋体" w:cs="宋体"/>
          <w:b/>
          <w:bCs/>
          <w:sz w:val="24"/>
          <w:u w:val="single"/>
        </w:rPr>
        <w:t>受承包人委托全面负责工程安全、质量、进度、投资四大控制要素，完善合同、信息、组织管理体系，做好安全监督，文明标准化现场工作。</w:t>
      </w:r>
    </w:p>
    <w:p w14:paraId="1B130084">
      <w:pPr>
        <w:spacing w:line="360" w:lineRule="auto"/>
        <w:ind w:firstLine="480" w:firstLineChars="200"/>
        <w:rPr>
          <w:rFonts w:ascii="宋体" w:hAnsi="宋体" w:cs="宋体"/>
          <w:kern w:val="0"/>
          <w:sz w:val="24"/>
        </w:rPr>
      </w:pPr>
      <w:r>
        <w:rPr>
          <w:rFonts w:hint="eastAsia" w:ascii="宋体" w:hAnsi="宋体" w:cs="宋体"/>
          <w:kern w:val="0"/>
          <w:sz w:val="24"/>
        </w:rPr>
        <w:t>关于项目经理每月在施工现场的时间要求：</w:t>
      </w:r>
      <w:r>
        <w:rPr>
          <w:rFonts w:hint="eastAsia" w:ascii="宋体" w:hAnsi="宋体" w:cs="宋体"/>
          <w:b/>
          <w:bCs/>
          <w:sz w:val="24"/>
          <w:u w:val="single"/>
        </w:rPr>
        <w:t>每月不少于22日历天。</w:t>
      </w:r>
    </w:p>
    <w:p w14:paraId="092186B5">
      <w:pPr>
        <w:spacing w:line="360" w:lineRule="auto"/>
        <w:ind w:firstLine="480" w:firstLineChars="200"/>
        <w:rPr>
          <w:rFonts w:ascii="宋体" w:hAnsi="宋体" w:cs="宋体"/>
          <w:kern w:val="0"/>
          <w:sz w:val="24"/>
        </w:rPr>
      </w:pPr>
      <w:r>
        <w:rPr>
          <w:rFonts w:hint="eastAsia" w:ascii="宋体" w:hAnsi="宋体" w:cs="宋体"/>
          <w:kern w:val="0"/>
          <w:sz w:val="24"/>
        </w:rPr>
        <w:t>承包人未提交劳动合同，以及没有为项目经理缴纳社会保险证明的违约责任：</w:t>
      </w:r>
      <w:r>
        <w:rPr>
          <w:rFonts w:hint="eastAsia" w:ascii="宋体" w:hAnsi="宋体" w:cs="宋体"/>
          <w:b/>
          <w:bCs/>
          <w:sz w:val="24"/>
          <w:u w:val="single"/>
        </w:rPr>
        <w:t>将被视为承包人违约，发包人将没收部分或全部履约保证金，直至单方面解除本施工合同。</w:t>
      </w:r>
    </w:p>
    <w:p w14:paraId="476230B0">
      <w:pPr>
        <w:spacing w:line="360" w:lineRule="auto"/>
        <w:ind w:firstLine="480" w:firstLineChars="200"/>
        <w:rPr>
          <w:rFonts w:ascii="宋体" w:hAnsi="宋体" w:cs="宋体"/>
          <w:sz w:val="24"/>
          <w:u w:val="single"/>
        </w:rPr>
      </w:pPr>
      <w:r>
        <w:rPr>
          <w:rFonts w:hint="eastAsia" w:ascii="宋体" w:hAnsi="宋体" w:cs="宋体"/>
          <w:kern w:val="0"/>
          <w:sz w:val="24"/>
        </w:rPr>
        <w:t>项目经理未经批准，擅自离开施工现场的违约责任：</w:t>
      </w:r>
      <w:r>
        <w:rPr>
          <w:rFonts w:hint="eastAsia" w:ascii="宋体" w:hAnsi="宋体" w:cs="宋体"/>
          <w:b/>
          <w:bCs/>
          <w:sz w:val="24"/>
          <w:u w:val="single"/>
        </w:rPr>
        <w:t>擅自离开施工现场每一天，处罚人民币1000元/天，上述扣款在支付进度款中逐期扣除。</w:t>
      </w:r>
    </w:p>
    <w:p w14:paraId="76CE750E">
      <w:pPr>
        <w:spacing w:line="360" w:lineRule="auto"/>
        <w:ind w:firstLine="480" w:firstLineChars="200"/>
        <w:rPr>
          <w:rFonts w:ascii="宋体" w:hAnsi="宋体" w:cs="宋体"/>
          <w:sz w:val="24"/>
          <w:u w:val="single"/>
        </w:rPr>
      </w:pPr>
      <w:r>
        <w:rPr>
          <w:rFonts w:hint="eastAsia" w:ascii="宋体" w:hAnsi="宋体" w:cs="宋体"/>
          <w:sz w:val="24"/>
        </w:rPr>
        <w:t>3.2.3承包人擅自更换项目经理的违约责任：</w:t>
      </w:r>
    </w:p>
    <w:p w14:paraId="7E549E9F">
      <w:pPr>
        <w:spacing w:line="360" w:lineRule="auto"/>
        <w:ind w:firstLine="482" w:firstLineChars="200"/>
        <w:rPr>
          <w:rFonts w:ascii="宋体" w:hAnsi="宋体" w:cs="宋体"/>
          <w:b/>
          <w:bCs/>
          <w:sz w:val="24"/>
          <w:u w:val="single"/>
        </w:rPr>
      </w:pPr>
      <w:r>
        <w:rPr>
          <w:rFonts w:hint="eastAsia" w:ascii="宋体" w:hAnsi="宋体" w:cs="宋体"/>
          <w:b/>
          <w:bCs/>
          <w:sz w:val="24"/>
        </w:rPr>
        <w:t>（1）</w:t>
      </w:r>
      <w:r>
        <w:rPr>
          <w:rFonts w:hint="eastAsia" w:ascii="宋体" w:hAnsi="宋体" w:cs="宋体"/>
          <w:b/>
          <w:bCs/>
          <w:kern w:val="0"/>
          <w:sz w:val="24"/>
        </w:rPr>
        <w:t>承包人确需更换项目经理的，继任项目经理注册执业资格、管理经验的约定：</w:t>
      </w:r>
      <w:r>
        <w:rPr>
          <w:rFonts w:hint="eastAsia" w:ascii="宋体" w:hAnsi="宋体" w:cs="宋体"/>
          <w:b/>
          <w:bCs/>
          <w:sz w:val="24"/>
          <w:u w:val="single"/>
        </w:rPr>
        <w:t>均要求等同于或高于被更换项目经理。</w:t>
      </w:r>
    </w:p>
    <w:p w14:paraId="30FDAFC7">
      <w:pPr>
        <w:spacing w:line="360" w:lineRule="auto"/>
        <w:ind w:firstLine="480" w:firstLineChars="200"/>
        <w:rPr>
          <w:rFonts w:ascii="宋体" w:hAnsi="宋体" w:cs="宋体"/>
          <w:sz w:val="24"/>
        </w:rPr>
      </w:pPr>
      <w:r>
        <w:rPr>
          <w:rFonts w:hint="eastAsia" w:ascii="宋体" w:hAnsi="宋体" w:cs="宋体"/>
          <w:kern w:val="0"/>
          <w:sz w:val="24"/>
        </w:rPr>
        <w:t>（2）</w:t>
      </w:r>
      <w:r>
        <w:rPr>
          <w:rFonts w:hint="eastAsia" w:ascii="宋体" w:hAnsi="宋体" w:cs="宋体"/>
          <w:sz w:val="24"/>
        </w:rPr>
        <w:t>承包人擅自更换项目经理的违约责任：</w:t>
      </w:r>
      <w:r>
        <w:rPr>
          <w:rFonts w:hint="eastAsia" w:ascii="宋体" w:hAnsi="宋体" w:cs="宋体"/>
          <w:b/>
          <w:bCs/>
          <w:sz w:val="24"/>
          <w:u w:val="single"/>
        </w:rPr>
        <w:t>未经发包人及相关行政主管部门同意，擅自更换项目经理时，将被视为承包人违约，发包人将没收部分或全部履约保证金，直至单方面解除本施工合同。</w:t>
      </w:r>
    </w:p>
    <w:p w14:paraId="76080E60">
      <w:pPr>
        <w:spacing w:line="360" w:lineRule="auto"/>
        <w:ind w:firstLine="480" w:firstLineChars="200"/>
        <w:rPr>
          <w:rFonts w:ascii="宋体" w:hAnsi="宋体" w:cs="宋体"/>
          <w:sz w:val="24"/>
          <w:u w:val="single"/>
        </w:rPr>
      </w:pPr>
      <w:r>
        <w:rPr>
          <w:rFonts w:hint="eastAsia" w:ascii="宋体" w:hAnsi="宋体" w:cs="宋体"/>
          <w:sz w:val="24"/>
        </w:rPr>
        <w:t>3.2.4承包人无正当理由拒绝更换项目经理的违约责任：</w:t>
      </w:r>
      <w:r>
        <w:rPr>
          <w:rFonts w:hint="eastAsia" w:ascii="宋体" w:hAnsi="宋体" w:cs="宋体"/>
          <w:b/>
          <w:bCs/>
          <w:sz w:val="24"/>
          <w:u w:val="single"/>
        </w:rPr>
        <w:t>将被视为承包人违约，发包人将没收部分或全部履约保证金，直至单方面解除本施工合同。</w:t>
      </w:r>
    </w:p>
    <w:p w14:paraId="01365544">
      <w:pPr>
        <w:spacing w:line="360" w:lineRule="auto"/>
        <w:ind w:firstLine="480" w:firstLineChars="200"/>
        <w:rPr>
          <w:rFonts w:ascii="宋体" w:hAnsi="宋体" w:cs="宋体"/>
          <w:sz w:val="24"/>
        </w:rPr>
      </w:pPr>
      <w:r>
        <w:rPr>
          <w:rFonts w:hint="eastAsia" w:ascii="宋体" w:hAnsi="宋体" w:cs="宋体"/>
          <w:sz w:val="24"/>
        </w:rPr>
        <w:t>3.3承包人人员</w:t>
      </w:r>
    </w:p>
    <w:p w14:paraId="39C08884">
      <w:pPr>
        <w:spacing w:line="360" w:lineRule="auto"/>
        <w:ind w:firstLine="480" w:firstLineChars="200"/>
        <w:rPr>
          <w:rFonts w:ascii="宋体" w:hAnsi="宋体" w:cs="宋体"/>
          <w:sz w:val="24"/>
        </w:rPr>
      </w:pPr>
      <w:r>
        <w:rPr>
          <w:rFonts w:hint="eastAsia" w:ascii="宋体" w:hAnsi="宋体" w:cs="宋体"/>
          <w:sz w:val="24"/>
        </w:rPr>
        <w:t>3.3.1承包人提交项目管理机构及施工现场管理人员安排报告的期限：</w:t>
      </w:r>
      <w:r>
        <w:rPr>
          <w:rFonts w:hint="eastAsia" w:ascii="宋体" w:hAnsi="宋体" w:cs="宋体"/>
          <w:b/>
          <w:bCs/>
          <w:sz w:val="24"/>
          <w:u w:val="single"/>
        </w:rPr>
        <w:t>开工前七天</w:t>
      </w:r>
      <w:r>
        <w:rPr>
          <w:rFonts w:hint="eastAsia" w:ascii="宋体" w:hAnsi="宋体" w:cs="宋体"/>
          <w:sz w:val="24"/>
        </w:rPr>
        <w:t>。</w:t>
      </w:r>
    </w:p>
    <w:p w14:paraId="68953147">
      <w:pPr>
        <w:spacing w:line="360" w:lineRule="auto"/>
        <w:ind w:firstLine="482" w:firstLineChars="200"/>
        <w:rPr>
          <w:rFonts w:ascii="宋体" w:hAnsi="宋体" w:cs="宋体"/>
          <w:b/>
          <w:bCs/>
          <w:sz w:val="24"/>
        </w:rPr>
      </w:pPr>
      <w:r>
        <w:rPr>
          <w:rFonts w:hint="eastAsia" w:ascii="宋体" w:hAnsi="宋体" w:cs="宋体"/>
          <w:b/>
          <w:bCs/>
          <w:sz w:val="24"/>
        </w:rPr>
        <w:t>3.3.2 承包人需更换主要施工管理人员的，继任人员的数量、注册执业资格、管理经验的约定：</w:t>
      </w:r>
      <w:r>
        <w:rPr>
          <w:rFonts w:hint="eastAsia" w:ascii="宋体" w:hAnsi="宋体" w:cs="宋体"/>
          <w:b/>
          <w:bCs/>
          <w:sz w:val="24"/>
          <w:u w:val="single"/>
        </w:rPr>
        <w:t>均要求等同于或高于被更换主要施工管理人员。</w:t>
      </w:r>
    </w:p>
    <w:p w14:paraId="73946BEF">
      <w:pPr>
        <w:spacing w:line="360" w:lineRule="auto"/>
        <w:ind w:firstLine="480" w:firstLineChars="200"/>
        <w:rPr>
          <w:rFonts w:ascii="宋体" w:hAnsi="宋体" w:cs="宋体"/>
          <w:sz w:val="24"/>
        </w:rPr>
      </w:pPr>
      <w:r>
        <w:rPr>
          <w:rFonts w:hint="eastAsia" w:ascii="宋体" w:hAnsi="宋体" w:cs="宋体"/>
          <w:sz w:val="24"/>
        </w:rPr>
        <w:t>3.3.3承包人无正当理由拒绝撤换主要施工管理人员的违约责任：</w:t>
      </w:r>
      <w:r>
        <w:rPr>
          <w:rFonts w:hint="eastAsia" w:ascii="宋体" w:hAnsi="宋体" w:cs="宋体"/>
          <w:b/>
          <w:bCs/>
          <w:sz w:val="24"/>
          <w:u w:val="single"/>
        </w:rPr>
        <w:t>将被视为承包人违约，发包人将没收部分或全部履约保证金，直至单方面解除本施工合同。</w:t>
      </w:r>
    </w:p>
    <w:p w14:paraId="1A67C1D8">
      <w:pPr>
        <w:spacing w:line="360" w:lineRule="auto"/>
        <w:ind w:firstLine="480" w:firstLineChars="200"/>
        <w:rPr>
          <w:rFonts w:ascii="宋体" w:hAnsi="宋体" w:cs="宋体"/>
          <w:sz w:val="24"/>
          <w:u w:val="single"/>
        </w:rPr>
      </w:pPr>
      <w:r>
        <w:rPr>
          <w:rFonts w:hint="eastAsia" w:ascii="宋体" w:hAnsi="宋体" w:cs="宋体"/>
          <w:sz w:val="24"/>
        </w:rPr>
        <w:t>3.3.4 承包人主要施工管理人员离开施工现场的批准要求：</w:t>
      </w:r>
      <w:r>
        <w:rPr>
          <w:rFonts w:hint="eastAsia" w:ascii="宋体" w:hAnsi="宋体" w:cs="宋体"/>
          <w:b/>
          <w:bCs/>
          <w:sz w:val="24"/>
          <w:u w:val="single"/>
        </w:rPr>
        <w:t>离开前向发包人代表提出书面报告，发包人代表同意后方可离开施工现场。</w:t>
      </w:r>
    </w:p>
    <w:p w14:paraId="673DE19A">
      <w:pPr>
        <w:spacing w:line="360" w:lineRule="auto"/>
        <w:ind w:firstLine="480" w:firstLineChars="200"/>
        <w:rPr>
          <w:rFonts w:ascii="宋体" w:hAnsi="宋体" w:cs="宋体"/>
          <w:sz w:val="24"/>
        </w:rPr>
      </w:pPr>
      <w:r>
        <w:rPr>
          <w:rFonts w:hint="eastAsia" w:ascii="宋体" w:hAnsi="宋体" w:cs="宋体"/>
          <w:sz w:val="24"/>
        </w:rPr>
        <w:t>3.3.5承包人擅自更换主要施工管理人员的违约责任：</w:t>
      </w:r>
      <w:r>
        <w:rPr>
          <w:rFonts w:hint="eastAsia" w:ascii="宋体" w:hAnsi="宋体" w:cs="宋体"/>
          <w:b/>
          <w:bCs/>
          <w:sz w:val="24"/>
          <w:u w:val="single"/>
        </w:rPr>
        <w:t>未经发包人及相关行政主管部门同意，擅自更换主要施工管理人员时，将被视为承包人违约，发包人将没收部分或全部履约保证金，直至单方面解除本施工合同。</w:t>
      </w:r>
    </w:p>
    <w:p w14:paraId="451C9F52">
      <w:pPr>
        <w:spacing w:line="360" w:lineRule="auto"/>
        <w:ind w:firstLine="480" w:firstLineChars="200"/>
        <w:rPr>
          <w:rFonts w:ascii="宋体" w:hAnsi="宋体" w:cs="宋体"/>
          <w:sz w:val="24"/>
        </w:rPr>
      </w:pPr>
      <w:r>
        <w:rPr>
          <w:rFonts w:hint="eastAsia" w:ascii="宋体" w:hAnsi="宋体" w:cs="宋体"/>
          <w:sz w:val="24"/>
        </w:rPr>
        <w:t>承包人主要施工管理人员擅自离开施工现场的违约责任：</w:t>
      </w:r>
      <w:r>
        <w:rPr>
          <w:rFonts w:hint="eastAsia" w:ascii="宋体" w:hAnsi="宋体" w:cs="宋体"/>
          <w:b/>
          <w:bCs/>
          <w:sz w:val="24"/>
          <w:u w:val="single"/>
        </w:rPr>
        <w:t>擅自离开施工现场每一天，处罚人民币400元/天，上述扣款在支付进度款中逐期扣除。</w:t>
      </w:r>
    </w:p>
    <w:p w14:paraId="1D7B2B4C">
      <w:pPr>
        <w:spacing w:line="360" w:lineRule="auto"/>
        <w:ind w:firstLine="480" w:firstLineChars="200"/>
        <w:rPr>
          <w:rFonts w:ascii="宋体" w:hAnsi="宋体" w:cs="宋体"/>
          <w:sz w:val="24"/>
        </w:rPr>
      </w:pPr>
      <w:r>
        <w:rPr>
          <w:rFonts w:hint="eastAsia" w:ascii="宋体" w:hAnsi="宋体" w:cs="宋体"/>
          <w:sz w:val="24"/>
        </w:rPr>
        <w:t>3.5分包</w:t>
      </w:r>
    </w:p>
    <w:p w14:paraId="0B26D651">
      <w:pPr>
        <w:spacing w:line="360" w:lineRule="auto"/>
        <w:ind w:firstLine="480" w:firstLineChars="200"/>
        <w:rPr>
          <w:rFonts w:ascii="宋体" w:hAnsi="宋体" w:cs="宋体"/>
          <w:sz w:val="24"/>
        </w:rPr>
      </w:pPr>
      <w:r>
        <w:rPr>
          <w:rFonts w:hint="eastAsia" w:ascii="宋体" w:hAnsi="宋体" w:cs="宋体"/>
          <w:sz w:val="24"/>
        </w:rPr>
        <w:t>3.5.1分包的一般约定</w:t>
      </w:r>
    </w:p>
    <w:p w14:paraId="5AD0AFBE">
      <w:pPr>
        <w:spacing w:line="360" w:lineRule="auto"/>
        <w:ind w:firstLine="480" w:firstLineChars="200"/>
        <w:rPr>
          <w:rFonts w:ascii="宋体" w:hAnsi="宋体" w:cs="宋体"/>
          <w:sz w:val="24"/>
        </w:rPr>
      </w:pPr>
      <w:r>
        <w:rPr>
          <w:rFonts w:hint="eastAsia" w:ascii="宋体" w:hAnsi="宋体" w:cs="宋体"/>
          <w:sz w:val="24"/>
        </w:rPr>
        <w:t>禁止分包的工程包括：</w:t>
      </w:r>
      <w:r>
        <w:rPr>
          <w:rFonts w:hint="eastAsia" w:ascii="宋体" w:hAnsi="宋体" w:cs="宋体"/>
          <w:b/>
          <w:bCs/>
          <w:sz w:val="24"/>
          <w:u w:val="single"/>
        </w:rPr>
        <w:t>主体结构、关键性工作等其他国家现行法律、法规明令禁止分包的内容。</w:t>
      </w:r>
      <w:r>
        <w:rPr>
          <w:rFonts w:hint="eastAsia" w:ascii="宋体" w:hAnsi="宋体" w:cs="宋体"/>
          <w:b/>
          <w:sz w:val="24"/>
          <w:u w:val="single"/>
        </w:rPr>
        <w:t>未经发包人书面同意，不得分包。</w:t>
      </w:r>
    </w:p>
    <w:p w14:paraId="05BA3F4E">
      <w:pPr>
        <w:spacing w:line="360" w:lineRule="auto"/>
        <w:ind w:firstLine="480" w:firstLineChars="200"/>
        <w:rPr>
          <w:rFonts w:ascii="宋体" w:hAnsi="宋体" w:cs="宋体"/>
          <w:sz w:val="24"/>
          <w:u w:val="single"/>
        </w:rPr>
      </w:pPr>
      <w:r>
        <w:rPr>
          <w:rFonts w:hint="eastAsia" w:ascii="宋体" w:hAnsi="宋体" w:cs="宋体"/>
          <w:sz w:val="24"/>
        </w:rPr>
        <w:t>主体结构、关键性工作的范围：</w:t>
      </w:r>
      <w:r>
        <w:rPr>
          <w:rFonts w:hint="eastAsia" w:ascii="宋体" w:hAnsi="宋体" w:cs="宋体"/>
          <w:b/>
          <w:bCs/>
          <w:sz w:val="24"/>
          <w:u w:val="single"/>
        </w:rPr>
        <w:t>按通用条款或国家现行法律、法规执行。</w:t>
      </w:r>
    </w:p>
    <w:p w14:paraId="22BD9ED7">
      <w:pPr>
        <w:spacing w:line="360" w:lineRule="auto"/>
        <w:ind w:firstLine="480" w:firstLineChars="200"/>
        <w:rPr>
          <w:rFonts w:ascii="宋体" w:hAnsi="宋体" w:cs="宋体"/>
          <w:sz w:val="24"/>
        </w:rPr>
      </w:pPr>
      <w:r>
        <w:rPr>
          <w:rFonts w:hint="eastAsia" w:ascii="宋体" w:hAnsi="宋体" w:cs="宋体"/>
          <w:sz w:val="24"/>
        </w:rPr>
        <w:t xml:space="preserve">    3.5.2分包的确定</w:t>
      </w:r>
    </w:p>
    <w:p w14:paraId="3B91EB7B">
      <w:pPr>
        <w:spacing w:line="360" w:lineRule="auto"/>
        <w:ind w:firstLine="480" w:firstLineChars="200"/>
        <w:rPr>
          <w:rFonts w:ascii="宋体" w:hAnsi="宋体" w:cs="宋体"/>
          <w:sz w:val="24"/>
          <w:u w:val="single"/>
        </w:rPr>
      </w:pPr>
      <w:r>
        <w:rPr>
          <w:rFonts w:hint="eastAsia" w:ascii="宋体" w:hAnsi="宋体" w:cs="宋体"/>
          <w:sz w:val="24"/>
        </w:rPr>
        <w:t>允许分包的专业工程包括：</w:t>
      </w:r>
      <w:r>
        <w:rPr>
          <w:rFonts w:hint="eastAsia" w:ascii="宋体" w:hAnsi="宋体" w:cs="宋体"/>
          <w:b/>
          <w:bCs/>
          <w:sz w:val="24"/>
          <w:u w:val="single"/>
        </w:rPr>
        <w:t>合同签订时明确。</w:t>
      </w:r>
    </w:p>
    <w:p w14:paraId="58523A34">
      <w:pPr>
        <w:spacing w:line="360" w:lineRule="auto"/>
        <w:ind w:firstLine="480" w:firstLineChars="200"/>
        <w:rPr>
          <w:rFonts w:ascii="宋体" w:hAnsi="宋体" w:cs="宋体"/>
          <w:sz w:val="24"/>
          <w:u w:val="single"/>
        </w:rPr>
      </w:pPr>
      <w:r>
        <w:rPr>
          <w:rFonts w:hint="eastAsia" w:ascii="宋体" w:hAnsi="宋体" w:cs="宋体"/>
          <w:sz w:val="24"/>
        </w:rPr>
        <w:t>其他关于分包的约定：</w:t>
      </w:r>
      <w:r>
        <w:rPr>
          <w:rFonts w:hint="eastAsia" w:ascii="宋体" w:hAnsi="宋体" w:cs="宋体"/>
          <w:b/>
          <w:bCs/>
          <w:sz w:val="24"/>
          <w:u w:val="single"/>
        </w:rPr>
        <w:t>合同签订时明确。</w:t>
      </w:r>
    </w:p>
    <w:p w14:paraId="037E5F7B">
      <w:pPr>
        <w:spacing w:line="360" w:lineRule="auto"/>
        <w:ind w:firstLine="480" w:firstLineChars="200"/>
        <w:rPr>
          <w:rFonts w:ascii="宋体" w:hAnsi="宋体" w:cs="宋体"/>
          <w:sz w:val="24"/>
        </w:rPr>
      </w:pPr>
      <w:r>
        <w:rPr>
          <w:rFonts w:hint="eastAsia" w:ascii="宋体" w:hAnsi="宋体" w:cs="宋体"/>
          <w:sz w:val="24"/>
        </w:rPr>
        <w:t>3.5.4分包合同价款</w:t>
      </w:r>
    </w:p>
    <w:p w14:paraId="1AA1798E">
      <w:pPr>
        <w:spacing w:line="360" w:lineRule="auto"/>
        <w:ind w:firstLine="480" w:firstLineChars="200"/>
        <w:rPr>
          <w:rFonts w:ascii="宋体" w:hAnsi="宋体" w:cs="宋体"/>
          <w:b/>
          <w:bCs/>
          <w:sz w:val="24"/>
          <w:u w:val="single"/>
        </w:rPr>
      </w:pPr>
      <w:r>
        <w:rPr>
          <w:rFonts w:hint="eastAsia" w:ascii="宋体" w:hAnsi="宋体" w:cs="宋体"/>
          <w:sz w:val="24"/>
        </w:rPr>
        <w:t>关于分包合同价款支付的约定：</w:t>
      </w:r>
      <w:r>
        <w:rPr>
          <w:rFonts w:hint="eastAsia" w:ascii="宋体" w:hAnsi="宋体" w:cs="宋体"/>
          <w:b/>
          <w:bCs/>
          <w:sz w:val="24"/>
          <w:u w:val="single"/>
        </w:rPr>
        <w:t>合同签订时明确。</w:t>
      </w:r>
    </w:p>
    <w:p w14:paraId="0C2186F3">
      <w:pPr>
        <w:spacing w:line="360" w:lineRule="auto"/>
        <w:ind w:firstLine="480" w:firstLineChars="200"/>
        <w:rPr>
          <w:rFonts w:ascii="宋体" w:hAnsi="宋体" w:cs="宋体"/>
          <w:sz w:val="24"/>
        </w:rPr>
      </w:pPr>
      <w:r>
        <w:rPr>
          <w:rFonts w:hint="eastAsia" w:ascii="宋体" w:hAnsi="宋体" w:cs="宋体"/>
          <w:sz w:val="24"/>
        </w:rPr>
        <w:t>3.6工程照管与成品、半成品保护</w:t>
      </w:r>
    </w:p>
    <w:p w14:paraId="4EBCFB4B">
      <w:pPr>
        <w:spacing w:line="360" w:lineRule="auto"/>
        <w:ind w:firstLine="480" w:firstLineChars="200"/>
        <w:rPr>
          <w:rFonts w:ascii="宋体" w:hAnsi="宋体" w:cs="宋体"/>
          <w:b/>
          <w:bCs/>
          <w:kern w:val="0"/>
          <w:sz w:val="24"/>
          <w:u w:val="single"/>
        </w:rPr>
      </w:pPr>
      <w:r>
        <w:rPr>
          <w:rFonts w:hint="eastAsia" w:ascii="宋体" w:hAnsi="宋体" w:cs="宋体"/>
          <w:kern w:val="0"/>
          <w:sz w:val="24"/>
        </w:rPr>
        <w:t>承包人负责照管工程及工程相关的材料、工程设备的起始时间：</w:t>
      </w:r>
      <w:r>
        <w:rPr>
          <w:rFonts w:hint="eastAsia" w:ascii="宋体" w:hAnsi="宋体" w:cs="宋体"/>
          <w:b/>
          <w:bCs/>
          <w:sz w:val="24"/>
          <w:u w:val="single"/>
        </w:rPr>
        <w:t>按通用条款。</w:t>
      </w:r>
    </w:p>
    <w:p w14:paraId="7FB69878">
      <w:pPr>
        <w:spacing w:line="360" w:lineRule="auto"/>
        <w:ind w:firstLine="480" w:firstLineChars="200"/>
        <w:rPr>
          <w:rFonts w:ascii="宋体" w:hAnsi="宋体" w:cs="宋体"/>
          <w:sz w:val="24"/>
        </w:rPr>
      </w:pPr>
      <w:r>
        <w:rPr>
          <w:rFonts w:hint="eastAsia" w:ascii="宋体" w:hAnsi="宋体" w:cs="宋体"/>
          <w:sz w:val="24"/>
        </w:rPr>
        <w:t>3.7履约担保</w:t>
      </w:r>
    </w:p>
    <w:p w14:paraId="1A352099">
      <w:pPr>
        <w:spacing w:line="360" w:lineRule="auto"/>
        <w:ind w:firstLine="480" w:firstLineChars="200"/>
        <w:rPr>
          <w:rFonts w:ascii="宋体" w:hAnsi="宋体" w:cs="宋体"/>
          <w:sz w:val="24"/>
        </w:rPr>
      </w:pPr>
      <w:r>
        <w:rPr>
          <w:rFonts w:hint="eastAsia" w:ascii="宋体" w:hAnsi="宋体" w:cs="宋体"/>
          <w:sz w:val="24"/>
        </w:rPr>
        <w:t>承包人是否提供履约担保：</w:t>
      </w:r>
      <w:r>
        <w:rPr>
          <w:rFonts w:hint="eastAsia" w:ascii="宋体" w:hAnsi="宋体" w:cs="宋体"/>
          <w:b/>
          <w:bCs/>
          <w:sz w:val="24"/>
          <w:u w:val="single"/>
        </w:rPr>
        <w:t xml:space="preserve">   是   </w:t>
      </w:r>
      <w:r>
        <w:rPr>
          <w:rFonts w:hint="eastAsia" w:ascii="宋体" w:hAnsi="宋体" w:cs="宋体"/>
          <w:sz w:val="24"/>
        </w:rPr>
        <w:t>。</w:t>
      </w:r>
    </w:p>
    <w:p w14:paraId="477F0F2B">
      <w:pPr>
        <w:spacing w:line="360" w:lineRule="auto"/>
        <w:ind w:firstLine="480" w:firstLineChars="200"/>
        <w:rPr>
          <w:rFonts w:ascii="宋体" w:hAnsi="宋体" w:cs="宋体"/>
          <w:sz w:val="24"/>
          <w:u w:val="single"/>
        </w:rPr>
      </w:pPr>
      <w:r>
        <w:rPr>
          <w:rFonts w:hint="eastAsia" w:ascii="宋体" w:hAnsi="宋体" w:cs="宋体"/>
          <w:sz w:val="24"/>
        </w:rPr>
        <w:t>承包人提供履约担保的形式、金额及期限的：</w:t>
      </w:r>
      <w:r>
        <w:rPr>
          <w:rFonts w:hint="eastAsia" w:ascii="宋体" w:hAnsi="宋体"/>
          <w:sz w:val="24"/>
          <w:u w:val="single"/>
        </w:rPr>
        <w:t>承包人向发包人支付</w:t>
      </w:r>
      <w:r>
        <w:rPr>
          <w:rFonts w:hint="eastAsia" w:ascii="宋体" w:hAnsi="宋体"/>
          <w:sz w:val="24"/>
          <w:u w:val="single"/>
          <w:lang w:eastAsia="zh-CN"/>
        </w:rPr>
        <w:t>中标合同金额</w:t>
      </w:r>
      <w:r>
        <w:rPr>
          <w:rFonts w:ascii="宋体" w:hAnsi="宋体"/>
          <w:sz w:val="24"/>
          <w:u w:val="single"/>
        </w:rPr>
        <w:t>1</w:t>
      </w:r>
      <w:r>
        <w:rPr>
          <w:rFonts w:hint="eastAsia" w:ascii="宋体" w:hAnsi="宋体"/>
          <w:sz w:val="24"/>
          <w:u w:val="single"/>
        </w:rPr>
        <w:t>%的履约保证金。履约保证金可以以银行转账、由银行或保险公司出具的保函等形式。</w:t>
      </w:r>
      <w:r>
        <w:rPr>
          <w:rFonts w:hint="eastAsia" w:ascii="宋体" w:hAnsi="宋体" w:cs="宋体"/>
          <w:sz w:val="24"/>
          <w:u w:val="single"/>
        </w:rPr>
        <w:t>验收合格后无息退还。</w:t>
      </w:r>
    </w:p>
    <w:p w14:paraId="5CBB2551">
      <w:pPr>
        <w:spacing w:line="360" w:lineRule="auto"/>
        <w:ind w:firstLine="482" w:firstLineChars="200"/>
        <w:rPr>
          <w:rFonts w:ascii="宋体" w:hAnsi="宋体" w:cs="宋体"/>
          <w:b/>
          <w:bCs/>
          <w:sz w:val="24"/>
        </w:rPr>
      </w:pPr>
      <w:r>
        <w:rPr>
          <w:rFonts w:hint="eastAsia" w:ascii="宋体" w:hAnsi="宋体" w:cs="宋体"/>
          <w:b/>
          <w:bCs/>
          <w:sz w:val="24"/>
        </w:rPr>
        <w:t>4、监理人</w:t>
      </w:r>
    </w:p>
    <w:p w14:paraId="0A3EA736">
      <w:pPr>
        <w:spacing w:line="360" w:lineRule="auto"/>
        <w:ind w:firstLine="480" w:firstLineChars="200"/>
        <w:rPr>
          <w:rFonts w:ascii="宋体" w:hAnsi="宋体" w:cs="宋体"/>
          <w:sz w:val="24"/>
        </w:rPr>
      </w:pPr>
      <w:r>
        <w:rPr>
          <w:rFonts w:hint="eastAsia" w:ascii="宋体" w:hAnsi="宋体" w:cs="宋体"/>
          <w:sz w:val="24"/>
        </w:rPr>
        <w:t>4.1监理人的一般规定</w:t>
      </w:r>
    </w:p>
    <w:p w14:paraId="1382A7F1">
      <w:pPr>
        <w:spacing w:line="360" w:lineRule="auto"/>
        <w:ind w:firstLine="480" w:firstLineChars="200"/>
        <w:rPr>
          <w:rFonts w:ascii="宋体" w:hAnsi="宋体" w:cs="宋体"/>
          <w:sz w:val="24"/>
        </w:rPr>
      </w:pPr>
      <w:r>
        <w:rPr>
          <w:rFonts w:hint="eastAsia" w:ascii="宋体" w:hAnsi="宋体" w:cs="宋体"/>
          <w:sz w:val="24"/>
        </w:rPr>
        <w:t>关于监理人的监理内容：</w:t>
      </w:r>
      <w:r>
        <w:rPr>
          <w:rFonts w:hint="eastAsia" w:ascii="宋体" w:hAnsi="宋体" w:cs="宋体"/>
          <w:b/>
          <w:bCs/>
          <w:sz w:val="24"/>
          <w:u w:val="single"/>
        </w:rPr>
        <w:t>本工程实施范围内的所有内容</w:t>
      </w:r>
      <w:r>
        <w:rPr>
          <w:rFonts w:hint="eastAsia" w:ascii="宋体" w:hAnsi="宋体" w:cs="宋体"/>
          <w:sz w:val="24"/>
        </w:rPr>
        <w:t>。</w:t>
      </w:r>
    </w:p>
    <w:p w14:paraId="3D35B596">
      <w:pPr>
        <w:spacing w:line="360" w:lineRule="auto"/>
        <w:ind w:firstLine="480" w:firstLineChars="200"/>
        <w:rPr>
          <w:rFonts w:ascii="宋体" w:hAnsi="宋体" w:cs="宋体"/>
          <w:sz w:val="24"/>
        </w:rPr>
      </w:pPr>
      <w:r>
        <w:rPr>
          <w:rFonts w:hint="eastAsia" w:ascii="宋体" w:hAnsi="宋体" w:cs="宋体"/>
          <w:sz w:val="24"/>
        </w:rPr>
        <w:t>关于监理人的监理权限：</w:t>
      </w:r>
      <w:r>
        <w:rPr>
          <w:rFonts w:hint="eastAsia" w:ascii="宋体" w:hAnsi="宋体" w:cs="宋体"/>
          <w:b/>
          <w:bCs/>
          <w:sz w:val="24"/>
          <w:u w:val="single"/>
        </w:rPr>
        <w:t>按本工程监理合同执行</w:t>
      </w:r>
      <w:r>
        <w:rPr>
          <w:rFonts w:hint="eastAsia" w:ascii="宋体" w:hAnsi="宋体" w:cs="宋体"/>
          <w:sz w:val="24"/>
        </w:rPr>
        <w:t>。</w:t>
      </w:r>
    </w:p>
    <w:p w14:paraId="148EF5F5">
      <w:pPr>
        <w:spacing w:line="360" w:lineRule="auto"/>
        <w:ind w:firstLine="480" w:firstLineChars="200"/>
        <w:rPr>
          <w:rFonts w:ascii="宋体" w:hAnsi="宋体" w:cs="宋体"/>
          <w:sz w:val="24"/>
          <w:u w:val="single"/>
        </w:rPr>
      </w:pPr>
      <w:r>
        <w:rPr>
          <w:rFonts w:hint="eastAsia" w:ascii="宋体" w:hAnsi="宋体" w:cs="宋体"/>
          <w:sz w:val="24"/>
        </w:rPr>
        <w:t>关于监理人在施工现场的办公场所、生活场所的提供和费用承担的约定：</w:t>
      </w:r>
      <w:r>
        <w:rPr>
          <w:rFonts w:hint="eastAsia" w:ascii="宋体" w:hAnsi="宋体" w:cs="宋体"/>
          <w:b/>
          <w:bCs/>
          <w:sz w:val="24"/>
          <w:u w:val="single"/>
        </w:rPr>
        <w:t>由承包人解决并承担相关费用。</w:t>
      </w:r>
    </w:p>
    <w:p w14:paraId="6F338A38">
      <w:pPr>
        <w:spacing w:line="360" w:lineRule="auto"/>
        <w:ind w:firstLine="480" w:firstLineChars="200"/>
        <w:rPr>
          <w:rFonts w:ascii="宋体" w:hAnsi="宋体" w:cs="宋体"/>
          <w:sz w:val="24"/>
        </w:rPr>
      </w:pPr>
      <w:r>
        <w:rPr>
          <w:rFonts w:hint="eastAsia" w:ascii="宋体" w:hAnsi="宋体" w:cs="宋体"/>
          <w:sz w:val="24"/>
        </w:rPr>
        <w:t>4.2监理人员</w:t>
      </w:r>
    </w:p>
    <w:p w14:paraId="493A26D7">
      <w:pPr>
        <w:snapToGrid w:val="0"/>
        <w:spacing w:line="360" w:lineRule="auto"/>
        <w:ind w:firstLine="480" w:firstLineChars="200"/>
        <w:rPr>
          <w:rFonts w:ascii="宋体" w:hAnsi="宋体" w:cs="宋体"/>
          <w:sz w:val="24"/>
        </w:rPr>
      </w:pPr>
      <w:r>
        <w:rPr>
          <w:rFonts w:hint="eastAsia" w:ascii="宋体" w:hAnsi="宋体" w:cs="宋体"/>
          <w:sz w:val="24"/>
        </w:rPr>
        <w:t>关于监理人的其他约定：</w:t>
      </w:r>
    </w:p>
    <w:p w14:paraId="05FA392D">
      <w:pPr>
        <w:snapToGrid w:val="0"/>
        <w:spacing w:line="360" w:lineRule="auto"/>
        <w:ind w:firstLine="480" w:firstLineChars="200"/>
        <w:rPr>
          <w:rFonts w:ascii="宋体" w:hAnsi="宋体" w:cs="宋体"/>
          <w:sz w:val="24"/>
        </w:rPr>
      </w:pPr>
      <w:r>
        <w:rPr>
          <w:rFonts w:hint="eastAsia" w:ascii="宋体" w:hAnsi="宋体" w:cs="宋体"/>
          <w:sz w:val="24"/>
        </w:rPr>
        <w:t>需要取得发包人批准才能行使的职权：</w:t>
      </w:r>
    </w:p>
    <w:p w14:paraId="23021619">
      <w:pPr>
        <w:snapToGrid w:val="0"/>
        <w:spacing w:line="360" w:lineRule="auto"/>
        <w:ind w:firstLine="480" w:firstLineChars="200"/>
        <w:rPr>
          <w:rFonts w:ascii="宋体" w:hAnsi="宋体" w:cs="宋体"/>
          <w:sz w:val="24"/>
          <w:u w:val="single"/>
        </w:rPr>
      </w:pPr>
      <w:r>
        <w:rPr>
          <w:rFonts w:hint="eastAsia" w:ascii="宋体" w:hAnsi="宋体" w:cs="宋体"/>
          <w:sz w:val="24"/>
          <w:u w:val="single"/>
        </w:rPr>
        <w:t>A 涉及全局进度的工程暂停；</w:t>
      </w:r>
    </w:p>
    <w:p w14:paraId="2AF72AA4">
      <w:pPr>
        <w:snapToGrid w:val="0"/>
        <w:spacing w:line="360" w:lineRule="auto"/>
        <w:ind w:firstLine="480" w:firstLineChars="200"/>
        <w:rPr>
          <w:rFonts w:ascii="宋体" w:hAnsi="宋体" w:cs="宋体"/>
          <w:sz w:val="24"/>
          <w:u w:val="single"/>
        </w:rPr>
      </w:pPr>
      <w:r>
        <w:rPr>
          <w:rFonts w:hint="eastAsia" w:ascii="宋体" w:hAnsi="宋体" w:cs="宋体"/>
          <w:sz w:val="24"/>
          <w:u w:val="single"/>
        </w:rPr>
        <w:t>B 变更的估价；</w:t>
      </w:r>
    </w:p>
    <w:p w14:paraId="0262C02E">
      <w:pPr>
        <w:snapToGrid w:val="0"/>
        <w:spacing w:line="360" w:lineRule="auto"/>
        <w:ind w:firstLine="480" w:firstLineChars="200"/>
        <w:rPr>
          <w:rFonts w:ascii="宋体" w:hAnsi="宋体" w:cs="宋体"/>
          <w:sz w:val="24"/>
          <w:u w:val="single"/>
        </w:rPr>
      </w:pPr>
      <w:r>
        <w:rPr>
          <w:rFonts w:hint="eastAsia" w:ascii="宋体" w:hAnsi="宋体" w:cs="宋体"/>
          <w:sz w:val="24"/>
          <w:u w:val="single"/>
        </w:rPr>
        <w:t>C 部分工程分包；</w:t>
      </w:r>
    </w:p>
    <w:p w14:paraId="3E576FEA">
      <w:pPr>
        <w:snapToGrid w:val="0"/>
        <w:spacing w:line="360" w:lineRule="auto"/>
        <w:ind w:firstLine="480" w:firstLineChars="200"/>
        <w:rPr>
          <w:rFonts w:ascii="宋体" w:hAnsi="宋体" w:cs="宋体"/>
          <w:sz w:val="24"/>
          <w:u w:val="single"/>
        </w:rPr>
      </w:pPr>
      <w:r>
        <w:rPr>
          <w:rFonts w:hint="eastAsia" w:ascii="宋体" w:hAnsi="宋体" w:cs="宋体"/>
          <w:sz w:val="24"/>
          <w:u w:val="single"/>
        </w:rPr>
        <w:t>D 索赔的支付；</w:t>
      </w:r>
    </w:p>
    <w:p w14:paraId="2F7F1990">
      <w:pPr>
        <w:snapToGrid w:val="0"/>
        <w:spacing w:line="360" w:lineRule="auto"/>
        <w:ind w:firstLine="480" w:firstLineChars="200"/>
        <w:rPr>
          <w:rFonts w:ascii="宋体" w:hAnsi="宋体" w:cs="宋体"/>
          <w:sz w:val="24"/>
          <w:u w:val="single"/>
        </w:rPr>
      </w:pPr>
      <w:r>
        <w:rPr>
          <w:rFonts w:hint="eastAsia" w:ascii="宋体" w:hAnsi="宋体" w:cs="宋体"/>
          <w:sz w:val="24"/>
          <w:u w:val="single"/>
        </w:rPr>
        <w:t>E 有关暂列金额的使用；</w:t>
      </w:r>
    </w:p>
    <w:p w14:paraId="0F23BFA1">
      <w:pPr>
        <w:widowControl/>
        <w:spacing w:line="360" w:lineRule="auto"/>
        <w:ind w:firstLine="480" w:firstLineChars="200"/>
        <w:rPr>
          <w:rFonts w:ascii="宋体" w:hAnsi="宋体" w:cs="宋体"/>
          <w:sz w:val="24"/>
        </w:rPr>
      </w:pPr>
      <w:r>
        <w:rPr>
          <w:rFonts w:hint="eastAsia" w:ascii="宋体" w:hAnsi="宋体" w:cs="宋体"/>
          <w:sz w:val="24"/>
          <w:u w:val="single"/>
        </w:rPr>
        <w:t>F 涉及改变原设计意图或影响原设计结构的补充图纸和指示。</w:t>
      </w:r>
    </w:p>
    <w:p w14:paraId="5395CC53">
      <w:pPr>
        <w:spacing w:line="360" w:lineRule="auto"/>
        <w:ind w:firstLine="482" w:firstLineChars="200"/>
        <w:rPr>
          <w:rFonts w:ascii="宋体" w:hAnsi="宋体" w:cs="宋体"/>
          <w:b/>
          <w:bCs/>
          <w:sz w:val="24"/>
        </w:rPr>
      </w:pPr>
      <w:r>
        <w:rPr>
          <w:rFonts w:hint="eastAsia" w:ascii="宋体" w:hAnsi="宋体" w:cs="宋体"/>
          <w:b/>
          <w:bCs/>
          <w:sz w:val="24"/>
        </w:rPr>
        <w:t>5、工程质量</w:t>
      </w:r>
    </w:p>
    <w:p w14:paraId="0E6EFFB1">
      <w:pPr>
        <w:spacing w:line="360" w:lineRule="auto"/>
        <w:ind w:firstLine="480" w:firstLineChars="200"/>
        <w:rPr>
          <w:rFonts w:ascii="宋体" w:hAnsi="宋体" w:cs="宋体"/>
          <w:sz w:val="24"/>
        </w:rPr>
      </w:pPr>
      <w:r>
        <w:rPr>
          <w:rFonts w:hint="eastAsia" w:ascii="宋体" w:hAnsi="宋体" w:cs="宋体"/>
          <w:sz w:val="24"/>
        </w:rPr>
        <w:t>5.1质量要求</w:t>
      </w:r>
    </w:p>
    <w:p w14:paraId="147D8C5A">
      <w:pPr>
        <w:spacing w:line="360" w:lineRule="auto"/>
        <w:ind w:firstLine="480" w:firstLineChars="200"/>
        <w:rPr>
          <w:rFonts w:ascii="宋体" w:hAnsi="宋体" w:cs="宋体"/>
          <w:sz w:val="24"/>
          <w:u w:val="single"/>
        </w:rPr>
      </w:pPr>
      <w:r>
        <w:rPr>
          <w:rFonts w:hint="eastAsia" w:ascii="宋体" w:hAnsi="宋体" w:cs="宋体"/>
          <w:sz w:val="24"/>
        </w:rPr>
        <w:t>5.1.1特殊质量标准和要求：</w:t>
      </w:r>
      <w:r>
        <w:rPr>
          <w:rFonts w:hint="eastAsia" w:ascii="宋体" w:hAnsi="宋体" w:cs="宋体"/>
          <w:b/>
          <w:bCs/>
          <w:sz w:val="24"/>
          <w:u w:val="single"/>
        </w:rPr>
        <w:t>符合（工程施工质量验收规范）合格标准。</w:t>
      </w:r>
    </w:p>
    <w:p w14:paraId="501BF0F9">
      <w:pPr>
        <w:spacing w:line="360" w:lineRule="auto"/>
        <w:ind w:firstLine="480" w:firstLineChars="200"/>
        <w:rPr>
          <w:rFonts w:ascii="宋体" w:hAnsi="宋体" w:cs="宋体"/>
          <w:sz w:val="24"/>
          <w:u w:val="single"/>
        </w:rPr>
      </w:pPr>
      <w:r>
        <w:rPr>
          <w:rFonts w:hint="eastAsia" w:ascii="宋体" w:hAnsi="宋体" w:cs="宋体"/>
          <w:sz w:val="24"/>
        </w:rPr>
        <w:t>关于工程奖项的约定：</w:t>
      </w:r>
      <w:r>
        <w:rPr>
          <w:rFonts w:hint="eastAsia" w:ascii="宋体" w:hAnsi="宋体" w:cs="宋体"/>
          <w:sz w:val="24"/>
          <w:u w:val="single"/>
        </w:rPr>
        <w:t xml:space="preserve">      /       </w:t>
      </w:r>
      <w:r>
        <w:rPr>
          <w:rFonts w:hint="eastAsia" w:ascii="宋体" w:hAnsi="宋体" w:cs="宋体"/>
          <w:sz w:val="24"/>
        </w:rPr>
        <w:t>。</w:t>
      </w:r>
    </w:p>
    <w:p w14:paraId="503382DA">
      <w:pPr>
        <w:spacing w:line="360" w:lineRule="auto"/>
        <w:ind w:firstLine="480" w:firstLineChars="200"/>
        <w:rPr>
          <w:rFonts w:ascii="宋体" w:hAnsi="宋体" w:cs="宋体"/>
          <w:sz w:val="24"/>
        </w:rPr>
      </w:pPr>
      <w:r>
        <w:rPr>
          <w:rFonts w:hint="eastAsia" w:ascii="宋体" w:hAnsi="宋体" w:cs="宋体"/>
          <w:sz w:val="24"/>
        </w:rPr>
        <w:t>5.3隐蔽工程检查</w:t>
      </w:r>
    </w:p>
    <w:p w14:paraId="55B6ACA1">
      <w:pPr>
        <w:spacing w:line="360" w:lineRule="auto"/>
        <w:ind w:firstLine="480" w:firstLineChars="200"/>
        <w:rPr>
          <w:rFonts w:ascii="宋体" w:hAnsi="宋体" w:cs="宋体"/>
          <w:b/>
          <w:bCs/>
          <w:sz w:val="24"/>
          <w:u w:val="single"/>
        </w:rPr>
      </w:pPr>
      <w:r>
        <w:rPr>
          <w:rFonts w:hint="eastAsia" w:ascii="宋体" w:hAnsi="宋体" w:cs="宋体"/>
          <w:sz w:val="24"/>
        </w:rPr>
        <w:t>5.3.2承包人提前通知监理人隐蔽工程检查的期限的约定：</w:t>
      </w:r>
      <w:r>
        <w:rPr>
          <w:rFonts w:hint="eastAsia" w:ascii="宋体" w:hAnsi="宋体" w:cs="宋体"/>
          <w:b/>
          <w:bCs/>
          <w:sz w:val="24"/>
          <w:u w:val="single"/>
        </w:rPr>
        <w:t>由发包人跟踪验收，总体工程质量符合《工程施工质量验收规范GB50300-2001》标准。若隐蔽工程和中间验收存在质量问题，承包人未按要求进行及时整改，发包人可以不予支付当期进度款。承包人自检合格后在隐蔽工程和中间验收48小时前通知监理工程师和发包人代表参加。通知包括承包人自检记录、隐蔽和中间验收时间和地点。验收合格，监理工程师和发包人代表在记录上签字后方可进行隐蔽和继续施工。不合格的，承包人在限定期限内无条件整改后重新组织验收。对需验收而未验收就进入下一道工序的，发包人每次扣罚违约金1万元，上述扣款在工程进度款中逐期扣除。</w:t>
      </w:r>
    </w:p>
    <w:p w14:paraId="33AE5BE9">
      <w:pPr>
        <w:spacing w:line="360" w:lineRule="auto"/>
        <w:ind w:firstLine="482" w:firstLineChars="200"/>
        <w:rPr>
          <w:rFonts w:ascii="宋体" w:hAnsi="宋体" w:cs="宋体"/>
          <w:b/>
          <w:bCs/>
          <w:sz w:val="24"/>
          <w:u w:val="single"/>
        </w:rPr>
      </w:pPr>
      <w:r>
        <w:rPr>
          <w:rFonts w:hint="eastAsia" w:ascii="宋体" w:hAnsi="宋体" w:cs="宋体"/>
          <w:b/>
          <w:bCs/>
          <w:sz w:val="24"/>
          <w:u w:val="single"/>
        </w:rPr>
        <w:t>有防水要求的地方，均应进行防水试验，并通过验收；未进行防水验收即进入下一道工序的，除补充进行验收外，且发包人每次扣罚违约金1万元，上述扣款在工程进度款中逐期扣除。</w:t>
      </w:r>
    </w:p>
    <w:p w14:paraId="147A55FA">
      <w:pPr>
        <w:spacing w:line="360" w:lineRule="auto"/>
        <w:ind w:firstLine="480" w:firstLineChars="200"/>
        <w:rPr>
          <w:rFonts w:ascii="宋体" w:hAnsi="宋体" w:cs="宋体"/>
          <w:sz w:val="24"/>
        </w:rPr>
      </w:pPr>
      <w:r>
        <w:rPr>
          <w:rFonts w:hint="eastAsia" w:ascii="宋体" w:hAnsi="宋体" w:cs="宋体"/>
          <w:sz w:val="24"/>
        </w:rPr>
        <w:t>监理人不能按时进行检查时，应提前</w:t>
      </w:r>
      <w:r>
        <w:rPr>
          <w:rFonts w:hint="eastAsia" w:ascii="宋体" w:hAnsi="宋体" w:cs="宋体"/>
          <w:b/>
          <w:bCs/>
          <w:sz w:val="24"/>
          <w:u w:val="single"/>
        </w:rPr>
        <w:t xml:space="preserve"> 24 </w:t>
      </w:r>
      <w:r>
        <w:rPr>
          <w:rFonts w:hint="eastAsia" w:ascii="宋体" w:hAnsi="宋体" w:cs="宋体"/>
          <w:sz w:val="24"/>
        </w:rPr>
        <w:t>小时提交书面延期要求。</w:t>
      </w:r>
    </w:p>
    <w:p w14:paraId="37567E78">
      <w:pPr>
        <w:spacing w:line="360" w:lineRule="auto"/>
        <w:ind w:firstLine="480" w:firstLineChars="200"/>
        <w:rPr>
          <w:rFonts w:ascii="宋体" w:hAnsi="宋体" w:cs="宋体"/>
          <w:sz w:val="24"/>
        </w:rPr>
      </w:pPr>
      <w:r>
        <w:rPr>
          <w:rFonts w:hint="eastAsia" w:ascii="宋体" w:hAnsi="宋体" w:cs="宋体"/>
          <w:sz w:val="24"/>
        </w:rPr>
        <w:t>关于延期最长不得超过：</w:t>
      </w:r>
      <w:r>
        <w:rPr>
          <w:rFonts w:hint="eastAsia" w:ascii="宋体" w:hAnsi="宋体" w:cs="宋体"/>
          <w:b/>
          <w:bCs/>
          <w:sz w:val="24"/>
          <w:u w:val="single"/>
        </w:rPr>
        <w:t xml:space="preserve"> 48 </w:t>
      </w:r>
      <w:r>
        <w:rPr>
          <w:rFonts w:hint="eastAsia" w:ascii="宋体" w:hAnsi="宋体" w:cs="宋体"/>
          <w:sz w:val="24"/>
        </w:rPr>
        <w:t>小时。</w:t>
      </w:r>
    </w:p>
    <w:p w14:paraId="11DB8AD0">
      <w:pPr>
        <w:spacing w:line="360" w:lineRule="auto"/>
        <w:ind w:firstLine="482" w:firstLineChars="200"/>
        <w:rPr>
          <w:rFonts w:ascii="宋体" w:hAnsi="宋体" w:cs="宋体"/>
          <w:b/>
          <w:bCs/>
          <w:sz w:val="24"/>
        </w:rPr>
      </w:pPr>
      <w:r>
        <w:rPr>
          <w:rFonts w:hint="eastAsia" w:ascii="宋体" w:hAnsi="宋体" w:cs="宋体"/>
          <w:b/>
          <w:bCs/>
          <w:sz w:val="24"/>
        </w:rPr>
        <w:t>6、安全文明施工与环境保护</w:t>
      </w:r>
    </w:p>
    <w:p w14:paraId="6B803AB5">
      <w:pPr>
        <w:spacing w:line="360" w:lineRule="auto"/>
        <w:ind w:firstLine="480" w:firstLineChars="200"/>
        <w:rPr>
          <w:rFonts w:ascii="宋体" w:hAnsi="宋体" w:cs="宋体"/>
          <w:sz w:val="24"/>
        </w:rPr>
      </w:pPr>
      <w:r>
        <w:rPr>
          <w:rFonts w:hint="eastAsia" w:ascii="宋体" w:hAnsi="宋体" w:cs="宋体"/>
          <w:sz w:val="24"/>
        </w:rPr>
        <w:t>6.1安全文明施工</w:t>
      </w:r>
    </w:p>
    <w:p w14:paraId="75CD428A">
      <w:pPr>
        <w:spacing w:line="360" w:lineRule="auto"/>
        <w:ind w:firstLine="480" w:firstLineChars="200"/>
        <w:rPr>
          <w:rFonts w:ascii="宋体" w:hAnsi="宋体" w:cs="宋体"/>
          <w:b/>
          <w:bCs/>
          <w:sz w:val="24"/>
          <w:u w:val="single"/>
        </w:rPr>
      </w:pPr>
      <w:r>
        <w:rPr>
          <w:rFonts w:hint="eastAsia" w:ascii="宋体" w:hAnsi="宋体" w:cs="宋体"/>
          <w:sz w:val="24"/>
        </w:rPr>
        <w:t>6.1.1项目安全生产的达标目标及相应事项的约定：</w:t>
      </w:r>
      <w:r>
        <w:rPr>
          <w:rFonts w:hint="eastAsia" w:ascii="宋体" w:hAnsi="宋体" w:cs="宋体"/>
          <w:b/>
          <w:bCs/>
          <w:sz w:val="24"/>
          <w:u w:val="single"/>
        </w:rPr>
        <w:t>施工现场按照《建筑施工安全检查标准》（JGJ59-2011）评定达到“合格”标准。</w:t>
      </w:r>
    </w:p>
    <w:p w14:paraId="1D1F711C">
      <w:pPr>
        <w:spacing w:line="360" w:lineRule="auto"/>
        <w:ind w:firstLine="480" w:firstLineChars="200"/>
        <w:rPr>
          <w:rFonts w:ascii="宋体" w:hAnsi="宋体" w:cs="宋体"/>
          <w:b/>
          <w:bCs/>
          <w:sz w:val="24"/>
          <w:u w:val="single"/>
        </w:rPr>
      </w:pPr>
      <w:r>
        <w:rPr>
          <w:rFonts w:hint="eastAsia" w:ascii="宋体" w:hAnsi="宋体" w:cs="宋体"/>
          <w:sz w:val="24"/>
        </w:rPr>
        <w:t>6.1.4关于治安保卫的特别约定：</w:t>
      </w:r>
      <w:r>
        <w:rPr>
          <w:rFonts w:hint="eastAsia" w:ascii="宋体" w:hAnsi="宋体" w:cs="宋体"/>
          <w:b/>
          <w:bCs/>
          <w:sz w:val="24"/>
          <w:u w:val="single"/>
        </w:rPr>
        <w:t>由承包人与当地公安部门协商，在现场建立治安管理机构或联防组织，统一管理施工场地的治安保卫事项，履行合同工程的治安保卫职责，发包人做好配合。</w:t>
      </w:r>
    </w:p>
    <w:p w14:paraId="1DB8812C">
      <w:pPr>
        <w:spacing w:line="360" w:lineRule="auto"/>
        <w:ind w:firstLine="480" w:firstLineChars="200"/>
        <w:rPr>
          <w:rFonts w:ascii="宋体" w:hAnsi="宋体" w:cs="宋体"/>
          <w:b/>
          <w:bCs/>
          <w:sz w:val="24"/>
          <w:u w:val="single"/>
        </w:rPr>
      </w:pPr>
      <w:r>
        <w:rPr>
          <w:rFonts w:hint="eastAsia" w:ascii="宋体" w:hAnsi="宋体" w:cs="宋体"/>
          <w:sz w:val="24"/>
        </w:rPr>
        <w:t>关于编制施工场地治安管理计划的约定：</w:t>
      </w:r>
      <w:r>
        <w:rPr>
          <w:rFonts w:hint="eastAsia" w:ascii="宋体" w:hAnsi="宋体" w:cs="宋体"/>
          <w:b/>
          <w:bCs/>
          <w:sz w:val="24"/>
          <w:u w:val="single"/>
        </w:rPr>
        <w:t>由承包人在开工后7日内编制施工场地治安管理计划，制定应对突发治安事件的紧急预案。</w:t>
      </w:r>
    </w:p>
    <w:p w14:paraId="0A2B554A">
      <w:pPr>
        <w:spacing w:line="360" w:lineRule="auto"/>
        <w:ind w:firstLine="480" w:firstLineChars="200"/>
        <w:rPr>
          <w:rFonts w:ascii="宋体" w:hAnsi="宋体" w:cs="宋体"/>
          <w:sz w:val="24"/>
        </w:rPr>
      </w:pPr>
      <w:r>
        <w:rPr>
          <w:rFonts w:hint="eastAsia" w:ascii="宋体" w:hAnsi="宋体" w:cs="宋体"/>
          <w:sz w:val="24"/>
        </w:rPr>
        <w:t>6.1.5文明施工</w:t>
      </w:r>
    </w:p>
    <w:p w14:paraId="76A3AD6D">
      <w:pPr>
        <w:spacing w:line="360" w:lineRule="auto"/>
        <w:ind w:firstLine="480" w:firstLineChars="200"/>
        <w:rPr>
          <w:rFonts w:ascii="宋体" w:hAnsi="宋体" w:cs="宋体"/>
          <w:sz w:val="24"/>
        </w:rPr>
      </w:pPr>
      <w:r>
        <w:rPr>
          <w:rFonts w:hint="eastAsia" w:ascii="宋体" w:hAnsi="宋体" w:cs="宋体"/>
          <w:sz w:val="24"/>
        </w:rPr>
        <w:t>合同当事人对文明施工的要求：</w:t>
      </w:r>
    </w:p>
    <w:p w14:paraId="79B834A8">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（1）遵守地方政府和有关部门对施工场地交通、环卫、安全和施工噪音等管理规定，并办理相关审批手续。</w:t>
      </w:r>
    </w:p>
    <w:p w14:paraId="5DF12E3C">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（2）</w:t>
      </w:r>
      <w:r>
        <w:rPr>
          <w:rFonts w:hint="eastAsia" w:ascii="宋体" w:hAnsi="宋体" w:cs="宋体"/>
          <w:b/>
          <w:sz w:val="24"/>
          <w:u w:val="single"/>
        </w:rPr>
        <w:t>施工时承包人应严格遵守施工现场管理规定，服从物业单位的管理，采取有效措施尽量减小尘土和噪音污染。</w:t>
      </w:r>
      <w:r>
        <w:rPr>
          <w:rFonts w:hint="eastAsia" w:ascii="宋体" w:hAnsi="宋体" w:cs="宋体"/>
          <w:b/>
          <w:bCs/>
          <w:kern w:val="0"/>
          <w:sz w:val="24"/>
          <w:u w:val="single"/>
        </w:rPr>
        <w:t xml:space="preserve"> </w:t>
      </w:r>
    </w:p>
    <w:p w14:paraId="217E34A2">
      <w:pPr>
        <w:pStyle w:val="727"/>
        <w:spacing w:line="360" w:lineRule="auto"/>
        <w:ind w:firstLine="482" w:firstLineChars="200"/>
        <w:jc w:val="both"/>
        <w:rPr>
          <w:rFonts w:cs="宋体"/>
          <w:b/>
          <w:kern w:val="2"/>
          <w:szCs w:val="24"/>
          <w:u w:val="single"/>
        </w:rPr>
      </w:pPr>
      <w:r>
        <w:rPr>
          <w:rFonts w:hint="eastAsia" w:cs="宋体"/>
          <w:b/>
          <w:kern w:val="2"/>
          <w:szCs w:val="24"/>
          <w:u w:val="single"/>
        </w:rPr>
        <w:t>如发包人要求须暂停施工，承包人须无条件服从，并采取夜间加班等措施保证工程进度不拖延，加班等所需全部费用包含在合同报价中，不得以发包人要求暂停施工为由调整合同价格。</w:t>
      </w:r>
    </w:p>
    <w:p w14:paraId="340EC764">
      <w:pPr>
        <w:pStyle w:val="727"/>
        <w:spacing w:line="360" w:lineRule="auto"/>
        <w:ind w:firstLine="482" w:firstLineChars="200"/>
        <w:jc w:val="both"/>
        <w:rPr>
          <w:rFonts w:cs="宋体"/>
          <w:b/>
          <w:kern w:val="2"/>
          <w:szCs w:val="24"/>
          <w:u w:val="single"/>
        </w:rPr>
      </w:pPr>
      <w:r>
        <w:rPr>
          <w:rFonts w:hint="eastAsia" w:cs="宋体"/>
          <w:b/>
          <w:kern w:val="2"/>
          <w:szCs w:val="24"/>
          <w:u w:val="single"/>
        </w:rPr>
        <w:t>如因发包人原因导致施工暂停时间较多通过夜间加班也无法确保工期的，工期延长时间须经发包人、监理人审核同意。</w:t>
      </w:r>
    </w:p>
    <w:p w14:paraId="03308BCC">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（3）承包人应严格遵守工程建设安全文明施工的有关规定，认真落实各项安全保护措施，并随时接受发包人或监理工程师及有关部门的监督检查。承包人未按上述要求施工的，发包人有权扣除相应费用。</w:t>
      </w:r>
    </w:p>
    <w:p w14:paraId="7E23206E">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（4）承包人应对进入施工现场的施工人员进行人员安全文明施工教育，配备必须的劳动保护用具，保证工程的施工安全和人身安全。</w:t>
      </w:r>
    </w:p>
    <w:p w14:paraId="3C44073A">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（5）承包人由于违反安全操作规范，被政府有关部门处罚，如通报批评、警告和罚款等，承包人承担一切责任，并每被查处一次，发包人每次扣罚违约金5000元，</w:t>
      </w:r>
      <w:r>
        <w:rPr>
          <w:rFonts w:hint="eastAsia" w:ascii="宋体" w:hAnsi="宋体" w:cs="宋体"/>
          <w:b/>
          <w:bCs/>
          <w:sz w:val="24"/>
          <w:u w:val="single"/>
        </w:rPr>
        <w:t>上述扣款在工程进度款中逐期扣除。</w:t>
      </w:r>
    </w:p>
    <w:p w14:paraId="662B4818">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（6）承包人应强化安全意识，抓好安全生产，杜绝事故发生，施工中若发生安全及人身事故均由承包人自行负责处理，承担一切责任包括全部费用。安全事故每发生一次，承包人向发包人支付1万元的违约金，</w:t>
      </w:r>
      <w:r>
        <w:rPr>
          <w:rFonts w:hint="eastAsia" w:ascii="宋体" w:hAnsi="宋体" w:cs="宋体"/>
          <w:b/>
          <w:bCs/>
          <w:sz w:val="24"/>
          <w:u w:val="single"/>
        </w:rPr>
        <w:t>上述扣款在工程进度款中逐期扣除</w:t>
      </w:r>
      <w:r>
        <w:rPr>
          <w:rFonts w:hint="eastAsia" w:ascii="宋体" w:hAnsi="宋体" w:cs="宋体"/>
          <w:b/>
          <w:bCs/>
          <w:kern w:val="0"/>
          <w:sz w:val="24"/>
          <w:u w:val="single"/>
        </w:rPr>
        <w:t>。</w:t>
      </w:r>
    </w:p>
    <w:p w14:paraId="69F9FB0D">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（7）发包人或监理工程师有权对承包人的安全施工状况进行检查，发现有违反安全施工情况的，有权提出整改要求，承包人须按要求进行整改。</w:t>
      </w:r>
    </w:p>
    <w:p w14:paraId="2DE69869">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（8）上述手续办理费用约定如下： 由承包人承担。</w:t>
      </w:r>
    </w:p>
    <w:p w14:paraId="6CFA35F6">
      <w:pPr>
        <w:spacing w:line="360" w:lineRule="auto"/>
        <w:ind w:firstLine="480" w:firstLineChars="200"/>
        <w:rPr>
          <w:rFonts w:ascii="宋体" w:hAnsi="宋体" w:cs="宋体"/>
          <w:sz w:val="24"/>
        </w:rPr>
      </w:pPr>
      <w:r>
        <w:rPr>
          <w:rFonts w:hint="eastAsia" w:ascii="宋体" w:hAnsi="宋体" w:cs="宋体"/>
          <w:sz w:val="24"/>
        </w:rPr>
        <w:t>6.1.6关于安全文明施工费支付比例和支付期限的约定，按以下</w:t>
      </w:r>
      <w:r>
        <w:rPr>
          <w:rFonts w:hint="eastAsia" w:ascii="宋体" w:hAnsi="宋体" w:cs="宋体"/>
          <w:sz w:val="24"/>
          <w:u w:val="single"/>
        </w:rPr>
        <w:t>第（1）种方式</w:t>
      </w:r>
      <w:r>
        <w:rPr>
          <w:rFonts w:hint="eastAsia" w:ascii="宋体" w:hAnsi="宋体" w:cs="宋体"/>
          <w:sz w:val="24"/>
        </w:rPr>
        <w:t>约定：</w:t>
      </w:r>
    </w:p>
    <w:p w14:paraId="20102328">
      <w:pPr>
        <w:spacing w:line="360" w:lineRule="auto"/>
        <w:ind w:firstLine="482" w:firstLineChars="200"/>
        <w:rPr>
          <w:rFonts w:ascii="宋体" w:hAnsi="宋体" w:cs="宋体"/>
          <w:b/>
          <w:bCs/>
          <w:kern w:val="0"/>
          <w:sz w:val="24"/>
        </w:rPr>
      </w:pPr>
      <w:r>
        <w:rPr>
          <w:rFonts w:hint="eastAsia" w:ascii="宋体" w:hAnsi="宋体" w:cs="宋体"/>
          <w:b/>
          <w:bCs/>
          <w:kern w:val="0"/>
          <w:sz w:val="24"/>
          <w:u w:val="single"/>
        </w:rPr>
        <w:t>（1）安全文明施工费总额的60%包含在工程预付款中支付，剩余部分根据工程进度在进度款中支付</w:t>
      </w:r>
      <w:r>
        <w:rPr>
          <w:rFonts w:hint="eastAsia" w:ascii="宋体" w:hAnsi="宋体" w:cs="宋体"/>
          <w:b/>
          <w:bCs/>
          <w:kern w:val="0"/>
          <w:sz w:val="24"/>
        </w:rPr>
        <w:t>。</w:t>
      </w:r>
    </w:p>
    <w:p w14:paraId="79B92DAF">
      <w:pPr>
        <w:spacing w:line="360" w:lineRule="auto"/>
        <w:ind w:firstLine="480" w:firstLineChars="200"/>
        <w:rPr>
          <w:rFonts w:ascii="宋体" w:hAnsi="宋体" w:cs="宋体"/>
          <w:kern w:val="0"/>
          <w:sz w:val="24"/>
        </w:rPr>
      </w:pPr>
      <w:r>
        <w:rPr>
          <w:rFonts w:hint="eastAsia" w:ascii="宋体" w:hAnsi="宋体" w:cs="宋体"/>
          <w:kern w:val="0"/>
          <w:sz w:val="24"/>
          <w:u w:val="single"/>
        </w:rPr>
        <w:t xml:space="preserve">（2）其他： / </w:t>
      </w:r>
      <w:r>
        <w:rPr>
          <w:rFonts w:hint="eastAsia" w:ascii="宋体" w:hAnsi="宋体" w:cs="宋体"/>
          <w:kern w:val="0"/>
          <w:sz w:val="24"/>
        </w:rPr>
        <w:t>。</w:t>
      </w:r>
    </w:p>
    <w:p w14:paraId="45F6812C">
      <w:pPr>
        <w:spacing w:line="360" w:lineRule="auto"/>
        <w:ind w:firstLine="482" w:firstLineChars="200"/>
        <w:rPr>
          <w:rFonts w:ascii="宋体" w:hAnsi="宋体" w:cs="宋体"/>
          <w:b/>
          <w:bCs/>
          <w:sz w:val="24"/>
        </w:rPr>
      </w:pPr>
      <w:r>
        <w:rPr>
          <w:rFonts w:hint="eastAsia" w:ascii="宋体" w:hAnsi="宋体" w:cs="宋体"/>
          <w:b/>
          <w:bCs/>
          <w:sz w:val="24"/>
        </w:rPr>
        <w:t>7、工期和进度</w:t>
      </w:r>
    </w:p>
    <w:p w14:paraId="4423A3D4">
      <w:pPr>
        <w:spacing w:line="360" w:lineRule="auto"/>
        <w:ind w:firstLine="480" w:firstLineChars="200"/>
        <w:rPr>
          <w:rFonts w:ascii="宋体" w:hAnsi="宋体" w:cs="宋体"/>
          <w:sz w:val="24"/>
        </w:rPr>
      </w:pPr>
      <w:r>
        <w:rPr>
          <w:rFonts w:hint="eastAsia" w:ascii="宋体" w:hAnsi="宋体" w:cs="宋体"/>
          <w:sz w:val="24"/>
        </w:rPr>
        <w:t>7.1施工组织设计</w:t>
      </w:r>
    </w:p>
    <w:p w14:paraId="7FF73AB8">
      <w:pPr>
        <w:spacing w:line="360" w:lineRule="auto"/>
        <w:ind w:firstLine="480" w:firstLineChars="200"/>
        <w:rPr>
          <w:rFonts w:ascii="宋体" w:hAnsi="宋体" w:cs="宋体"/>
          <w:sz w:val="24"/>
        </w:rPr>
      </w:pPr>
      <w:r>
        <w:rPr>
          <w:rFonts w:hint="eastAsia" w:ascii="宋体" w:hAnsi="宋体" w:cs="宋体"/>
          <w:sz w:val="24"/>
        </w:rPr>
        <w:t>7.1.1合</w:t>
      </w:r>
      <w:r>
        <w:rPr>
          <w:rFonts w:hint="eastAsia" w:ascii="宋体" w:hAnsi="宋体" w:cs="宋体"/>
          <w:kern w:val="0"/>
          <w:sz w:val="24"/>
        </w:rPr>
        <w:t>同当事人约定的施工组织设计应包括的其他内容：</w:t>
      </w:r>
      <w:r>
        <w:rPr>
          <w:rFonts w:hint="eastAsia" w:ascii="宋体" w:hAnsi="宋体" w:cs="宋体"/>
          <w:b/>
          <w:bCs/>
          <w:sz w:val="24"/>
          <w:u w:val="single"/>
        </w:rPr>
        <w:t>按《通用合同条款》7.1.1条执行</w:t>
      </w:r>
      <w:r>
        <w:rPr>
          <w:rFonts w:hint="eastAsia" w:ascii="宋体" w:hAnsi="宋体" w:cs="宋体"/>
          <w:sz w:val="24"/>
        </w:rPr>
        <w:t>。</w:t>
      </w:r>
    </w:p>
    <w:p w14:paraId="611962CB">
      <w:pPr>
        <w:autoSpaceDE w:val="0"/>
        <w:autoSpaceDN w:val="0"/>
        <w:spacing w:line="360" w:lineRule="auto"/>
        <w:ind w:firstLine="480" w:firstLineChars="200"/>
        <w:rPr>
          <w:rFonts w:ascii="宋体" w:hAnsi="宋体" w:cs="宋体"/>
          <w:kern w:val="0"/>
          <w:sz w:val="24"/>
        </w:rPr>
      </w:pPr>
      <w:r>
        <w:rPr>
          <w:rFonts w:hint="eastAsia" w:ascii="宋体" w:hAnsi="宋体" w:cs="宋体"/>
          <w:sz w:val="24"/>
        </w:rPr>
        <w:t>7.1.2</w:t>
      </w:r>
      <w:r>
        <w:rPr>
          <w:rFonts w:hint="eastAsia" w:ascii="宋体" w:hAnsi="宋体" w:cs="宋体"/>
          <w:kern w:val="0"/>
          <w:sz w:val="24"/>
        </w:rPr>
        <w:t>施工组织设计的提交和修改</w:t>
      </w:r>
    </w:p>
    <w:p w14:paraId="0E8A6F88">
      <w:pPr>
        <w:autoSpaceDE w:val="0"/>
        <w:autoSpaceDN w:val="0"/>
        <w:spacing w:line="360" w:lineRule="auto"/>
        <w:ind w:firstLine="480" w:firstLineChars="200"/>
        <w:rPr>
          <w:rFonts w:ascii="宋体" w:hAnsi="宋体" w:cs="宋体"/>
          <w:sz w:val="24"/>
          <w:u w:val="single"/>
        </w:rPr>
      </w:pPr>
      <w:r>
        <w:rPr>
          <w:rFonts w:hint="eastAsia" w:ascii="宋体" w:hAnsi="宋体" w:cs="宋体"/>
          <w:kern w:val="0"/>
          <w:sz w:val="24"/>
        </w:rPr>
        <w:t>承包人提交详细施工组织设计的期限的约定：</w:t>
      </w:r>
      <w:r>
        <w:rPr>
          <w:rFonts w:hint="eastAsia" w:ascii="宋体" w:hAnsi="宋体" w:cs="宋体"/>
          <w:b/>
          <w:bCs/>
          <w:sz w:val="24"/>
          <w:u w:val="single"/>
        </w:rPr>
        <w:t>合同签订后5天内提供详细施工组织设计（施工方案）和进度计划。</w:t>
      </w:r>
    </w:p>
    <w:p w14:paraId="3CAADC7E">
      <w:pPr>
        <w:spacing w:line="360" w:lineRule="auto"/>
        <w:ind w:firstLine="480" w:firstLineChars="200"/>
        <w:rPr>
          <w:rFonts w:ascii="宋体" w:hAnsi="宋体" w:cs="宋体"/>
          <w:b/>
          <w:bCs/>
          <w:sz w:val="24"/>
        </w:rPr>
      </w:pPr>
      <w:r>
        <w:rPr>
          <w:rFonts w:hint="eastAsia" w:ascii="宋体" w:hAnsi="宋体" w:cs="宋体"/>
          <w:sz w:val="24"/>
        </w:rPr>
        <w:t>发包人和监理人在收到详细的施工组织设计后确认或提出修改意见的期限：</w:t>
      </w:r>
      <w:r>
        <w:rPr>
          <w:rFonts w:hint="eastAsia" w:ascii="宋体" w:hAnsi="宋体" w:cs="宋体"/>
          <w:b/>
          <w:bCs/>
          <w:sz w:val="24"/>
          <w:u w:val="single"/>
        </w:rPr>
        <w:t>收到完整资料后7天内确认或提出修改意见。发包人、监理单位对施工组织设计方案的确认是对施工组织设计方案可行性的确认，并不是对所涉费用的确认，也不免除承包人对施工组织设计方案应承担的责任。</w:t>
      </w:r>
    </w:p>
    <w:p w14:paraId="05C36DBF">
      <w:pPr>
        <w:spacing w:line="360" w:lineRule="auto"/>
        <w:ind w:firstLine="480" w:firstLineChars="200"/>
        <w:rPr>
          <w:rFonts w:ascii="宋体" w:hAnsi="宋体" w:cs="宋体"/>
          <w:sz w:val="24"/>
        </w:rPr>
      </w:pPr>
      <w:r>
        <w:rPr>
          <w:rFonts w:hint="eastAsia" w:ascii="宋体" w:hAnsi="宋体" w:cs="宋体"/>
          <w:sz w:val="24"/>
        </w:rPr>
        <w:t>7.2施工进度计划</w:t>
      </w:r>
    </w:p>
    <w:p w14:paraId="63204ED3">
      <w:pPr>
        <w:spacing w:line="360" w:lineRule="auto"/>
        <w:ind w:firstLine="480" w:firstLineChars="200"/>
        <w:rPr>
          <w:rFonts w:ascii="宋体" w:hAnsi="宋体" w:cs="宋体"/>
          <w:sz w:val="24"/>
        </w:rPr>
      </w:pPr>
      <w:r>
        <w:rPr>
          <w:rFonts w:hint="eastAsia" w:ascii="宋体" w:hAnsi="宋体" w:cs="宋体"/>
          <w:sz w:val="24"/>
        </w:rPr>
        <w:t>7.2.2施工进度计划的修订</w:t>
      </w:r>
    </w:p>
    <w:p w14:paraId="530DF2C2">
      <w:pPr>
        <w:spacing w:line="360" w:lineRule="auto"/>
        <w:ind w:firstLine="480" w:firstLineChars="200"/>
        <w:rPr>
          <w:rFonts w:ascii="宋体" w:hAnsi="宋体" w:cs="宋体"/>
          <w:sz w:val="24"/>
        </w:rPr>
      </w:pPr>
      <w:r>
        <w:rPr>
          <w:rFonts w:hint="eastAsia" w:ascii="宋体" w:hAnsi="宋体" w:cs="宋体"/>
          <w:sz w:val="24"/>
        </w:rPr>
        <w:t>发包人和监理人在收到修订的施工进度计划后确认或提出修改意见的期限：</w:t>
      </w:r>
      <w:r>
        <w:rPr>
          <w:rFonts w:hint="eastAsia" w:ascii="宋体" w:hAnsi="宋体" w:cs="宋体"/>
          <w:b/>
          <w:bCs/>
          <w:sz w:val="24"/>
          <w:u w:val="single"/>
        </w:rPr>
        <w:t>收到完整资料后7天内确认或提出修改意见。</w:t>
      </w:r>
      <w:r>
        <w:rPr>
          <w:rFonts w:hint="eastAsia" w:ascii="宋体" w:hAnsi="宋体" w:cs="宋体"/>
          <w:sz w:val="24"/>
        </w:rPr>
        <w:t>发包人、监理单位对施工进度计划的确认是对施工进度计划可行性的确认，并不是对所涉费用的确认，也不免除承包人对施工进度计划应承担的责任。</w:t>
      </w:r>
    </w:p>
    <w:p w14:paraId="27A6BC51">
      <w:pPr>
        <w:spacing w:line="360" w:lineRule="auto"/>
        <w:ind w:firstLine="480" w:firstLineChars="200"/>
        <w:rPr>
          <w:rFonts w:ascii="宋体" w:hAnsi="宋体" w:cs="宋体"/>
          <w:sz w:val="24"/>
        </w:rPr>
      </w:pPr>
      <w:r>
        <w:rPr>
          <w:rFonts w:hint="eastAsia" w:ascii="宋体" w:hAnsi="宋体" w:cs="宋体"/>
          <w:sz w:val="24"/>
        </w:rPr>
        <w:t>7.3开工</w:t>
      </w:r>
    </w:p>
    <w:p w14:paraId="761F1778">
      <w:pPr>
        <w:spacing w:line="360" w:lineRule="auto"/>
        <w:ind w:firstLine="480" w:firstLineChars="200"/>
        <w:rPr>
          <w:rFonts w:ascii="宋体" w:hAnsi="宋体" w:cs="宋体"/>
          <w:sz w:val="24"/>
        </w:rPr>
      </w:pPr>
      <w:r>
        <w:rPr>
          <w:rFonts w:hint="eastAsia" w:ascii="宋体" w:hAnsi="宋体" w:cs="宋体"/>
          <w:sz w:val="24"/>
        </w:rPr>
        <w:t>7.3.1开工准备</w:t>
      </w:r>
    </w:p>
    <w:p w14:paraId="3E72A682">
      <w:pPr>
        <w:spacing w:line="360" w:lineRule="auto"/>
        <w:ind w:firstLine="480" w:firstLineChars="200"/>
        <w:rPr>
          <w:rFonts w:ascii="宋体" w:hAnsi="宋体" w:cs="宋体"/>
          <w:sz w:val="24"/>
          <w:u w:val="single"/>
        </w:rPr>
      </w:pPr>
      <w:r>
        <w:rPr>
          <w:rFonts w:hint="eastAsia" w:ascii="宋体" w:hAnsi="宋体" w:cs="宋体"/>
          <w:sz w:val="24"/>
        </w:rPr>
        <w:t>关于承包人提交</w:t>
      </w:r>
      <w:r>
        <w:rPr>
          <w:rFonts w:hint="eastAsia" w:ascii="宋体" w:hAnsi="宋体" w:cs="宋体"/>
          <w:kern w:val="0"/>
          <w:sz w:val="24"/>
        </w:rPr>
        <w:t>工程开工报审表的期限：</w:t>
      </w:r>
      <w:r>
        <w:rPr>
          <w:rFonts w:hint="eastAsia" w:ascii="宋体" w:hAnsi="宋体" w:cs="宋体"/>
          <w:b/>
          <w:bCs/>
          <w:sz w:val="24"/>
          <w:u w:val="single"/>
        </w:rPr>
        <w:t>开工日期前7天。</w:t>
      </w:r>
    </w:p>
    <w:p w14:paraId="04131604">
      <w:pPr>
        <w:spacing w:line="360" w:lineRule="auto"/>
        <w:ind w:firstLine="480" w:firstLineChars="200"/>
        <w:rPr>
          <w:rFonts w:ascii="宋体" w:hAnsi="宋体" w:cs="宋体"/>
          <w:b/>
          <w:bCs/>
          <w:sz w:val="24"/>
        </w:rPr>
      </w:pPr>
      <w:r>
        <w:rPr>
          <w:rFonts w:hint="eastAsia" w:ascii="宋体" w:hAnsi="宋体" w:cs="宋体"/>
          <w:sz w:val="24"/>
        </w:rPr>
        <w:t>关于发包人应完成的其他开工准备工作及期限：</w:t>
      </w:r>
      <w:r>
        <w:rPr>
          <w:rFonts w:hint="eastAsia" w:ascii="宋体" w:hAnsi="宋体" w:cs="宋体"/>
          <w:b/>
          <w:bCs/>
          <w:sz w:val="24"/>
          <w:u w:val="single"/>
        </w:rPr>
        <w:t>开工日期前7天。</w:t>
      </w:r>
    </w:p>
    <w:p w14:paraId="0BDF4EF4">
      <w:pPr>
        <w:spacing w:line="360" w:lineRule="auto"/>
        <w:ind w:firstLine="480" w:firstLineChars="200"/>
        <w:rPr>
          <w:rFonts w:ascii="宋体" w:hAnsi="宋体" w:cs="宋体"/>
          <w:sz w:val="24"/>
          <w:u w:val="single"/>
        </w:rPr>
      </w:pPr>
      <w:r>
        <w:rPr>
          <w:rFonts w:hint="eastAsia" w:ascii="宋体" w:hAnsi="宋体" w:cs="宋体"/>
          <w:sz w:val="24"/>
        </w:rPr>
        <w:t>关于承包人应完成的其他开工准备工作及期限：</w:t>
      </w:r>
      <w:r>
        <w:rPr>
          <w:rFonts w:hint="eastAsia" w:ascii="宋体" w:hAnsi="宋体" w:cs="宋体"/>
          <w:b/>
          <w:bCs/>
          <w:sz w:val="24"/>
          <w:u w:val="single"/>
        </w:rPr>
        <w:t>开工日期前7天。</w:t>
      </w:r>
    </w:p>
    <w:p w14:paraId="52FA515B">
      <w:pPr>
        <w:spacing w:line="360" w:lineRule="auto"/>
        <w:ind w:firstLine="480" w:firstLineChars="200"/>
        <w:rPr>
          <w:rFonts w:ascii="宋体" w:hAnsi="宋体" w:cs="宋体"/>
          <w:sz w:val="24"/>
        </w:rPr>
      </w:pPr>
      <w:r>
        <w:rPr>
          <w:rFonts w:hint="eastAsia" w:ascii="宋体" w:hAnsi="宋体" w:cs="宋体"/>
          <w:sz w:val="24"/>
        </w:rPr>
        <w:t>7.3.2开工通知</w:t>
      </w:r>
    </w:p>
    <w:p w14:paraId="2E17D7E9">
      <w:pPr>
        <w:spacing w:line="360" w:lineRule="auto"/>
        <w:ind w:firstLine="480" w:firstLineChars="200"/>
        <w:rPr>
          <w:rFonts w:ascii="宋体" w:hAnsi="宋体" w:cs="宋体"/>
          <w:sz w:val="24"/>
        </w:rPr>
      </w:pPr>
      <w:r>
        <w:rPr>
          <w:rFonts w:hint="eastAsia" w:ascii="宋体" w:hAnsi="宋体" w:cs="宋体"/>
          <w:sz w:val="24"/>
        </w:rPr>
        <w:t>因发包人原因造成监理人未能在计划开工日期之日起</w:t>
      </w:r>
      <w:r>
        <w:rPr>
          <w:rFonts w:hint="eastAsia" w:ascii="宋体" w:hAnsi="宋体" w:cs="宋体"/>
          <w:b/>
          <w:bCs/>
          <w:sz w:val="24"/>
          <w:u w:val="single"/>
        </w:rPr>
        <w:t xml:space="preserve"> 90 </w:t>
      </w:r>
      <w:r>
        <w:rPr>
          <w:rFonts w:hint="eastAsia" w:ascii="宋体" w:hAnsi="宋体" w:cs="宋体"/>
          <w:sz w:val="24"/>
        </w:rPr>
        <w:t>天内发出开工通知的，承包人有权提出价格调整要求，或者解除合同。</w:t>
      </w:r>
    </w:p>
    <w:p w14:paraId="3B7780B3">
      <w:pPr>
        <w:spacing w:line="360" w:lineRule="auto"/>
        <w:ind w:firstLine="480" w:firstLineChars="200"/>
        <w:rPr>
          <w:rFonts w:ascii="宋体" w:hAnsi="宋体" w:cs="宋体"/>
          <w:sz w:val="24"/>
        </w:rPr>
      </w:pPr>
      <w:r>
        <w:rPr>
          <w:rFonts w:hint="eastAsia" w:ascii="宋体" w:hAnsi="宋体" w:cs="宋体"/>
          <w:sz w:val="24"/>
        </w:rPr>
        <w:t>7.4测量放线</w:t>
      </w:r>
    </w:p>
    <w:p w14:paraId="17A4C8B4">
      <w:pPr>
        <w:spacing w:line="360" w:lineRule="auto"/>
        <w:ind w:firstLine="480" w:firstLineChars="200"/>
        <w:rPr>
          <w:rFonts w:ascii="宋体" w:hAnsi="宋体" w:cs="宋体"/>
          <w:sz w:val="24"/>
          <w:u w:val="single"/>
        </w:rPr>
      </w:pPr>
      <w:r>
        <w:rPr>
          <w:rFonts w:hint="eastAsia" w:ascii="宋体" w:hAnsi="宋体" w:cs="宋体"/>
          <w:sz w:val="24"/>
        </w:rPr>
        <w:t>7.4.1发包人通过监理人向承包人提供测量基准点、基准线和水准点及其书面资料的期限：</w:t>
      </w:r>
      <w:r>
        <w:rPr>
          <w:rFonts w:hint="eastAsia" w:ascii="宋体" w:hAnsi="宋体" w:cs="宋体"/>
          <w:sz w:val="24"/>
          <w:u w:val="single"/>
        </w:rPr>
        <w:t xml:space="preserve"> / </w:t>
      </w:r>
      <w:r>
        <w:rPr>
          <w:rFonts w:hint="eastAsia" w:ascii="宋体" w:hAnsi="宋体" w:cs="宋体"/>
          <w:sz w:val="24"/>
        </w:rPr>
        <w:t>。</w:t>
      </w:r>
    </w:p>
    <w:p w14:paraId="44902C2A">
      <w:pPr>
        <w:spacing w:line="360" w:lineRule="auto"/>
        <w:ind w:firstLine="480" w:firstLineChars="200"/>
        <w:rPr>
          <w:rFonts w:ascii="宋体" w:hAnsi="宋体" w:cs="宋体"/>
          <w:sz w:val="24"/>
        </w:rPr>
      </w:pPr>
      <w:r>
        <w:rPr>
          <w:rFonts w:hint="eastAsia" w:ascii="宋体" w:hAnsi="宋体" w:cs="宋体"/>
          <w:sz w:val="24"/>
        </w:rPr>
        <w:t>7.5工期延误</w:t>
      </w:r>
    </w:p>
    <w:p w14:paraId="6A7F00C9">
      <w:pPr>
        <w:spacing w:line="360" w:lineRule="auto"/>
        <w:ind w:firstLine="480" w:firstLineChars="200"/>
        <w:rPr>
          <w:rFonts w:ascii="宋体" w:hAnsi="宋体" w:cs="宋体"/>
          <w:sz w:val="24"/>
        </w:rPr>
      </w:pPr>
      <w:r>
        <w:rPr>
          <w:rFonts w:hint="eastAsia" w:ascii="宋体" w:hAnsi="宋体" w:cs="宋体"/>
          <w:sz w:val="24"/>
        </w:rPr>
        <w:t>7.5.1因发包人原因导致工期延误</w:t>
      </w:r>
    </w:p>
    <w:p w14:paraId="3046D2A7">
      <w:pPr>
        <w:spacing w:line="360" w:lineRule="auto"/>
        <w:ind w:firstLine="480" w:firstLineChars="200"/>
        <w:rPr>
          <w:rFonts w:ascii="宋体" w:hAnsi="宋体" w:cs="宋体"/>
          <w:sz w:val="24"/>
        </w:rPr>
      </w:pPr>
      <w:r>
        <w:rPr>
          <w:rFonts w:hint="eastAsia" w:ascii="宋体" w:hAnsi="宋体" w:cs="宋体"/>
          <w:sz w:val="24"/>
        </w:rPr>
        <w:t>（7）因发包人原因导致工期延误的其他情形：</w:t>
      </w:r>
      <w:r>
        <w:rPr>
          <w:rFonts w:hint="eastAsia" w:ascii="宋体" w:hAnsi="宋体" w:cs="宋体"/>
          <w:sz w:val="24"/>
          <w:u w:val="single"/>
        </w:rPr>
        <w:t xml:space="preserve"> /  </w:t>
      </w:r>
    </w:p>
    <w:p w14:paraId="460DC13D">
      <w:pPr>
        <w:spacing w:line="360" w:lineRule="auto"/>
        <w:ind w:firstLine="482" w:firstLineChars="200"/>
        <w:rPr>
          <w:rFonts w:ascii="宋体" w:hAnsi="宋体" w:cs="宋体"/>
          <w:b/>
          <w:bCs/>
          <w:sz w:val="24"/>
          <w:u w:val="single"/>
        </w:rPr>
      </w:pPr>
      <w:r>
        <w:rPr>
          <w:rFonts w:hint="eastAsia" w:ascii="宋体" w:hAnsi="宋体" w:cs="宋体"/>
          <w:b/>
          <w:bCs/>
          <w:sz w:val="24"/>
          <w:u w:val="single"/>
        </w:rPr>
        <w:t>①重大设计变更引起的工期延误；</w:t>
      </w:r>
    </w:p>
    <w:p w14:paraId="4AA08C63">
      <w:pPr>
        <w:spacing w:line="360" w:lineRule="auto"/>
        <w:ind w:firstLine="482" w:firstLineChars="200"/>
        <w:rPr>
          <w:rFonts w:ascii="宋体" w:hAnsi="宋体" w:cs="宋体"/>
          <w:b/>
          <w:bCs/>
          <w:sz w:val="24"/>
          <w:u w:val="single"/>
        </w:rPr>
      </w:pPr>
      <w:r>
        <w:rPr>
          <w:rFonts w:hint="eastAsia" w:ascii="宋体" w:hAnsi="宋体" w:cs="宋体"/>
          <w:b/>
          <w:bCs/>
          <w:sz w:val="24"/>
          <w:u w:val="single"/>
        </w:rPr>
        <w:t>②其他：不可抗力。</w:t>
      </w:r>
    </w:p>
    <w:p w14:paraId="7742E3F3">
      <w:pPr>
        <w:spacing w:line="360" w:lineRule="auto"/>
        <w:ind w:firstLine="480" w:firstLineChars="200"/>
        <w:rPr>
          <w:rFonts w:ascii="宋体" w:hAnsi="宋体" w:cs="宋体"/>
          <w:sz w:val="24"/>
        </w:rPr>
      </w:pPr>
      <w:r>
        <w:rPr>
          <w:rFonts w:hint="eastAsia" w:ascii="宋体" w:hAnsi="宋体" w:cs="宋体"/>
          <w:sz w:val="24"/>
        </w:rPr>
        <w:t>7.5.2因承包人原因导致工期延误</w:t>
      </w:r>
    </w:p>
    <w:p w14:paraId="6933C6A4">
      <w:pPr>
        <w:spacing w:line="360" w:lineRule="auto"/>
        <w:ind w:firstLine="480" w:firstLineChars="200"/>
        <w:rPr>
          <w:rFonts w:ascii="宋体" w:hAnsi="宋体" w:cs="宋体"/>
          <w:sz w:val="24"/>
        </w:rPr>
      </w:pPr>
      <w:r>
        <w:rPr>
          <w:rFonts w:hint="eastAsia" w:ascii="宋体" w:hAnsi="宋体" w:cs="宋体"/>
          <w:sz w:val="24"/>
        </w:rPr>
        <w:t>因承包人原因造成工期延误，逾期竣工违约金的计算方法为：</w:t>
      </w:r>
      <w:r>
        <w:rPr>
          <w:rFonts w:hint="eastAsia" w:ascii="宋体" w:hAnsi="宋体" w:cs="宋体"/>
          <w:b/>
          <w:bCs/>
          <w:sz w:val="24"/>
          <w:u w:val="single"/>
        </w:rPr>
        <w:t>因承包人原因造成延误工期每延误一天，扣罚2000元</w:t>
      </w:r>
      <w:r>
        <w:rPr>
          <w:rFonts w:hint="eastAsia" w:ascii="宋体" w:hAnsi="宋体" w:cs="宋体"/>
          <w:sz w:val="24"/>
          <w:u w:val="single"/>
        </w:rPr>
        <w:t>。</w:t>
      </w:r>
      <w:r>
        <w:rPr>
          <w:rFonts w:hint="eastAsia" w:ascii="宋体" w:hAnsi="宋体" w:cs="宋体"/>
          <w:sz w:val="24"/>
        </w:rPr>
        <w:t>如因承包人自身原因造成工期严重滞后（实际进度滞后经批准的进度计划30日历天以上的），又无明显改进措施的，发包人有权解除本合同并要求承包人无条件退场，并承担由此产生的一切损失，同时，发包人也有权安排其他施工队伍进场施工，费用经第三方审计单位审核后从承包人合同价款中扣除。承包人不得干扰其他施工单位进场施工，并应与新的施工单位办理交接，否则，由此造成的费用、损失由承包人承担，且发包人有权拒绝支付承包人已完工程的工程款。</w:t>
      </w:r>
    </w:p>
    <w:p w14:paraId="16C2A80A">
      <w:pPr>
        <w:spacing w:line="360" w:lineRule="auto"/>
        <w:ind w:firstLine="480" w:firstLineChars="200"/>
        <w:rPr>
          <w:rFonts w:ascii="宋体" w:hAnsi="宋体" w:cs="宋体"/>
          <w:sz w:val="24"/>
        </w:rPr>
      </w:pPr>
      <w:r>
        <w:rPr>
          <w:rFonts w:hint="eastAsia" w:ascii="宋体" w:hAnsi="宋体" w:cs="宋体"/>
          <w:sz w:val="24"/>
        </w:rPr>
        <w:t>因承包人原因造成工期延误，逾期竣工违约金的上限：</w:t>
      </w:r>
      <w:r>
        <w:rPr>
          <w:rFonts w:hint="eastAsia" w:ascii="宋体" w:hAnsi="宋体" w:cs="宋体"/>
          <w:b/>
          <w:bCs/>
          <w:sz w:val="24"/>
          <w:u w:val="single"/>
        </w:rPr>
        <w:t xml:space="preserve"> / </w:t>
      </w:r>
      <w:r>
        <w:rPr>
          <w:rFonts w:hint="eastAsia" w:ascii="宋体" w:hAnsi="宋体" w:cs="宋体"/>
          <w:sz w:val="24"/>
        </w:rPr>
        <w:t>。</w:t>
      </w:r>
    </w:p>
    <w:p w14:paraId="45944782">
      <w:pPr>
        <w:spacing w:line="360" w:lineRule="auto"/>
        <w:ind w:firstLine="480" w:firstLineChars="200"/>
        <w:rPr>
          <w:rFonts w:ascii="宋体" w:hAnsi="宋体" w:cs="宋体"/>
          <w:sz w:val="24"/>
        </w:rPr>
      </w:pPr>
      <w:r>
        <w:rPr>
          <w:rFonts w:hint="eastAsia" w:ascii="宋体" w:hAnsi="宋体" w:cs="宋体"/>
          <w:sz w:val="24"/>
        </w:rPr>
        <w:t>7.6不利物质条件</w:t>
      </w:r>
    </w:p>
    <w:p w14:paraId="134BB6D9">
      <w:pPr>
        <w:spacing w:line="360" w:lineRule="auto"/>
        <w:ind w:firstLine="480" w:firstLineChars="200"/>
        <w:rPr>
          <w:rFonts w:ascii="宋体" w:hAnsi="宋体" w:cs="宋体"/>
          <w:sz w:val="24"/>
        </w:rPr>
      </w:pPr>
      <w:r>
        <w:rPr>
          <w:rFonts w:hint="eastAsia" w:ascii="宋体" w:hAnsi="宋体" w:cs="宋体"/>
          <w:sz w:val="24"/>
        </w:rPr>
        <w:t>不利物质条件的其他情形和有关约定：</w:t>
      </w:r>
    </w:p>
    <w:p w14:paraId="06199BCF">
      <w:pPr>
        <w:spacing w:line="360" w:lineRule="auto"/>
        <w:ind w:firstLine="482" w:firstLineChars="200"/>
        <w:rPr>
          <w:rFonts w:ascii="宋体" w:hAnsi="宋体" w:cs="宋体"/>
          <w:b/>
          <w:bCs/>
          <w:sz w:val="24"/>
          <w:u w:val="single"/>
        </w:rPr>
      </w:pPr>
      <w:r>
        <w:rPr>
          <w:rFonts w:hint="eastAsia" w:ascii="宋体" w:hAnsi="宋体" w:cs="宋体"/>
          <w:b/>
          <w:bCs/>
          <w:sz w:val="24"/>
          <w:u w:val="single"/>
        </w:rPr>
        <w:t xml:space="preserve">（1）施工场地周围地下管线  </w:t>
      </w:r>
      <w:r>
        <w:rPr>
          <w:rFonts w:hint="eastAsia" w:ascii="宋体" w:hAnsi="宋体" w:cs="宋体"/>
          <w:b/>
          <w:bCs/>
          <w:sz w:val="24"/>
        </w:rPr>
        <w:t>；</w:t>
      </w:r>
    </w:p>
    <w:p w14:paraId="7F45C380">
      <w:pPr>
        <w:spacing w:line="360" w:lineRule="auto"/>
        <w:ind w:firstLine="482" w:firstLineChars="200"/>
        <w:rPr>
          <w:rFonts w:ascii="宋体" w:hAnsi="宋体" w:cs="宋体"/>
          <w:b/>
          <w:bCs/>
          <w:sz w:val="24"/>
          <w:u w:val="single"/>
        </w:rPr>
      </w:pPr>
      <w:r>
        <w:rPr>
          <w:rFonts w:hint="eastAsia" w:ascii="宋体" w:hAnsi="宋体" w:cs="宋体"/>
          <w:b/>
          <w:bCs/>
          <w:sz w:val="24"/>
          <w:u w:val="single"/>
        </w:rPr>
        <w:t xml:space="preserve">（2）地下障碍物和污染物  </w:t>
      </w:r>
      <w:r>
        <w:rPr>
          <w:rFonts w:hint="eastAsia" w:ascii="宋体" w:hAnsi="宋体" w:cs="宋体"/>
          <w:b/>
          <w:bCs/>
          <w:sz w:val="24"/>
        </w:rPr>
        <w:t>；</w:t>
      </w:r>
    </w:p>
    <w:p w14:paraId="1F4B7FAC">
      <w:pPr>
        <w:spacing w:line="360" w:lineRule="auto"/>
        <w:ind w:firstLine="482" w:firstLineChars="200"/>
        <w:rPr>
          <w:rFonts w:ascii="宋体" w:hAnsi="宋体" w:cs="宋体"/>
          <w:b/>
          <w:bCs/>
          <w:sz w:val="24"/>
          <w:u w:val="single"/>
        </w:rPr>
      </w:pPr>
      <w:r>
        <w:rPr>
          <w:rFonts w:hint="eastAsia" w:ascii="宋体" w:hAnsi="宋体" w:cs="宋体"/>
          <w:b/>
          <w:bCs/>
          <w:sz w:val="24"/>
          <w:u w:val="single"/>
        </w:rPr>
        <w:t xml:space="preserve">（3）其他 </w:t>
      </w:r>
    </w:p>
    <w:p w14:paraId="30FC17D5">
      <w:pPr>
        <w:spacing w:line="360" w:lineRule="auto"/>
        <w:ind w:firstLine="480" w:firstLineChars="200"/>
        <w:rPr>
          <w:rFonts w:ascii="宋体" w:hAnsi="宋体" w:cs="宋体"/>
          <w:sz w:val="24"/>
        </w:rPr>
      </w:pPr>
      <w:r>
        <w:rPr>
          <w:rFonts w:hint="eastAsia" w:ascii="宋体" w:hAnsi="宋体" w:cs="宋体"/>
          <w:sz w:val="24"/>
        </w:rPr>
        <w:t>7.7异常恶劣的气候条件</w:t>
      </w:r>
    </w:p>
    <w:p w14:paraId="70760FC1">
      <w:pPr>
        <w:spacing w:line="360" w:lineRule="auto"/>
        <w:ind w:firstLine="480" w:firstLineChars="200"/>
        <w:rPr>
          <w:rFonts w:ascii="宋体" w:hAnsi="宋体" w:cs="宋体"/>
          <w:b/>
          <w:bCs/>
          <w:sz w:val="24"/>
        </w:rPr>
      </w:pPr>
      <w:r>
        <w:rPr>
          <w:rFonts w:hint="eastAsia" w:ascii="宋体" w:hAnsi="宋体" w:cs="宋体"/>
          <w:sz w:val="24"/>
        </w:rPr>
        <w:t>发包人和承包人同意以下情形视为异常恶劣的气候条件：</w:t>
      </w:r>
      <w:r>
        <w:rPr>
          <w:rFonts w:hint="eastAsia" w:ascii="宋体" w:hAnsi="宋体" w:cs="宋体"/>
          <w:b/>
          <w:bCs/>
          <w:sz w:val="24"/>
          <w:u w:val="single"/>
        </w:rPr>
        <w:t>持续半小时10级及10级以上的台风、3小时内降雨量达50毫米、6小时内降雪量达15毫米、日气温超过40度或低于零下10度</w:t>
      </w:r>
      <w:r>
        <w:rPr>
          <w:rFonts w:hint="eastAsia" w:ascii="宋体" w:hAnsi="宋体" w:cs="宋体"/>
          <w:b/>
          <w:bCs/>
          <w:sz w:val="24"/>
        </w:rPr>
        <w:t>。</w:t>
      </w:r>
    </w:p>
    <w:p w14:paraId="61CB218A">
      <w:pPr>
        <w:spacing w:line="360" w:lineRule="auto"/>
        <w:ind w:firstLine="480" w:firstLineChars="200"/>
        <w:rPr>
          <w:rFonts w:ascii="宋体" w:hAnsi="宋体" w:cs="宋体"/>
          <w:sz w:val="24"/>
        </w:rPr>
      </w:pPr>
      <w:r>
        <w:rPr>
          <w:rFonts w:hint="eastAsia" w:ascii="宋体" w:hAnsi="宋体" w:cs="宋体"/>
          <w:sz w:val="24"/>
        </w:rPr>
        <w:t>7.8提前竣工的奖励</w:t>
      </w:r>
    </w:p>
    <w:p w14:paraId="0BFA3357">
      <w:pPr>
        <w:spacing w:line="360" w:lineRule="auto"/>
        <w:ind w:firstLine="480" w:firstLineChars="200"/>
        <w:rPr>
          <w:rFonts w:ascii="宋体" w:hAnsi="宋体" w:cs="宋体"/>
          <w:sz w:val="24"/>
        </w:rPr>
      </w:pPr>
      <w:r>
        <w:rPr>
          <w:rFonts w:hint="eastAsia" w:ascii="宋体" w:hAnsi="宋体" w:cs="宋体"/>
          <w:sz w:val="24"/>
        </w:rPr>
        <w:t>7.8.2提前竣工的奖励：</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rPr>
        <w:t>。</w:t>
      </w:r>
    </w:p>
    <w:p w14:paraId="477C520F">
      <w:pPr>
        <w:spacing w:line="360" w:lineRule="auto"/>
        <w:ind w:firstLine="482" w:firstLineChars="200"/>
        <w:rPr>
          <w:rFonts w:ascii="宋体" w:hAnsi="宋体" w:cs="宋体"/>
          <w:b/>
          <w:bCs/>
          <w:sz w:val="24"/>
        </w:rPr>
      </w:pPr>
      <w:r>
        <w:rPr>
          <w:rFonts w:hint="eastAsia" w:ascii="宋体" w:hAnsi="宋体" w:cs="宋体"/>
          <w:b/>
          <w:bCs/>
          <w:sz w:val="24"/>
        </w:rPr>
        <w:t>8、材料与设备</w:t>
      </w:r>
    </w:p>
    <w:p w14:paraId="254E5D0C">
      <w:pPr>
        <w:spacing w:line="360" w:lineRule="auto"/>
        <w:ind w:firstLine="480" w:firstLineChars="200"/>
        <w:rPr>
          <w:rFonts w:ascii="宋体" w:hAnsi="宋体" w:cs="宋体"/>
          <w:sz w:val="24"/>
        </w:rPr>
      </w:pPr>
      <w:r>
        <w:rPr>
          <w:rFonts w:hint="eastAsia" w:ascii="宋体" w:hAnsi="宋体" w:cs="宋体"/>
          <w:sz w:val="24"/>
        </w:rPr>
        <w:t>8.4材料与工程设备的保管与使用</w:t>
      </w:r>
    </w:p>
    <w:p w14:paraId="63445FD8">
      <w:pPr>
        <w:spacing w:line="360" w:lineRule="auto"/>
        <w:ind w:firstLine="480" w:firstLineChars="200"/>
        <w:rPr>
          <w:rFonts w:ascii="宋体" w:hAnsi="宋体" w:cs="宋体"/>
          <w:sz w:val="24"/>
          <w:u w:val="single"/>
        </w:rPr>
      </w:pPr>
      <w:r>
        <w:rPr>
          <w:rFonts w:hint="eastAsia" w:ascii="宋体" w:hAnsi="宋体" w:cs="宋体"/>
          <w:sz w:val="24"/>
        </w:rPr>
        <w:t>8.4.1发包人供应的材料设备的保管费用的承担：</w:t>
      </w:r>
      <w:r>
        <w:rPr>
          <w:rFonts w:hint="eastAsia" w:ascii="宋体" w:hAnsi="宋体" w:cs="宋体"/>
          <w:sz w:val="24"/>
          <w:u w:val="single"/>
        </w:rPr>
        <w:t xml:space="preserve">  /     </w:t>
      </w:r>
      <w:r>
        <w:rPr>
          <w:rFonts w:hint="eastAsia" w:ascii="宋体" w:hAnsi="宋体" w:cs="宋体"/>
          <w:sz w:val="24"/>
        </w:rPr>
        <w:t>。</w:t>
      </w:r>
    </w:p>
    <w:p w14:paraId="6A1BB19B">
      <w:pPr>
        <w:spacing w:line="360" w:lineRule="auto"/>
        <w:ind w:firstLine="480" w:firstLineChars="200"/>
        <w:rPr>
          <w:rFonts w:ascii="宋体" w:hAnsi="宋体" w:cs="宋体"/>
          <w:sz w:val="24"/>
        </w:rPr>
      </w:pPr>
      <w:r>
        <w:rPr>
          <w:rFonts w:hint="eastAsia" w:ascii="宋体" w:hAnsi="宋体" w:cs="宋体"/>
          <w:sz w:val="24"/>
        </w:rPr>
        <w:t>8.6样品</w:t>
      </w:r>
    </w:p>
    <w:p w14:paraId="0C6CE3DD">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8.6.1样品的报送与封存</w:t>
      </w:r>
    </w:p>
    <w:p w14:paraId="12BA94AC">
      <w:pPr>
        <w:autoSpaceDE w:val="0"/>
        <w:autoSpaceDN w:val="0"/>
        <w:spacing w:line="360" w:lineRule="auto"/>
        <w:ind w:firstLine="480" w:firstLineChars="200"/>
        <w:rPr>
          <w:rFonts w:ascii="宋体" w:hAnsi="宋体" w:cs="宋体"/>
          <w:sz w:val="24"/>
          <w:u w:val="single"/>
        </w:rPr>
      </w:pPr>
      <w:r>
        <w:rPr>
          <w:rFonts w:hint="eastAsia" w:ascii="宋体" w:hAnsi="宋体" w:cs="宋体"/>
          <w:kern w:val="0"/>
          <w:sz w:val="24"/>
        </w:rPr>
        <w:t>需要承包人报送样品的材料或工程设备，样品的种类、名称、规格、数量要求：</w:t>
      </w:r>
      <w:r>
        <w:rPr>
          <w:rFonts w:hint="eastAsia" w:ascii="宋体" w:hAnsi="宋体" w:cs="宋体"/>
          <w:b/>
          <w:bCs/>
          <w:sz w:val="24"/>
          <w:u w:val="single"/>
        </w:rPr>
        <w:t>在材料用于工程之前，承包人必须按发包人的选择和要求，提交有关的材料样品，以供检验，在采购前30天向发包人提供材料采购计划、材料资料和生产厂商资料，根据发包人和监理意见进行封样，经发包人、监理书面签证予以认可后，方可采购</w:t>
      </w:r>
      <w:r>
        <w:rPr>
          <w:rFonts w:hint="eastAsia" w:ascii="宋体" w:hAnsi="宋体" w:cs="宋体"/>
          <w:sz w:val="24"/>
        </w:rPr>
        <w:t>。</w:t>
      </w:r>
    </w:p>
    <w:p w14:paraId="439F3856">
      <w:pPr>
        <w:spacing w:line="360" w:lineRule="auto"/>
        <w:ind w:firstLine="480" w:firstLineChars="200"/>
        <w:rPr>
          <w:rFonts w:ascii="宋体" w:hAnsi="宋体" w:cs="宋体"/>
          <w:sz w:val="24"/>
        </w:rPr>
      </w:pPr>
      <w:r>
        <w:rPr>
          <w:rFonts w:hint="eastAsia" w:ascii="宋体" w:hAnsi="宋体" w:cs="宋体"/>
          <w:sz w:val="24"/>
        </w:rPr>
        <w:t>8.8施工设备和临时设施</w:t>
      </w:r>
    </w:p>
    <w:p w14:paraId="6C0D9F1B">
      <w:pPr>
        <w:autoSpaceDE w:val="0"/>
        <w:autoSpaceDN w:val="0"/>
        <w:spacing w:line="360" w:lineRule="auto"/>
        <w:ind w:firstLine="480" w:firstLineChars="200"/>
        <w:rPr>
          <w:rFonts w:ascii="宋体" w:hAnsi="宋体" w:cs="宋体"/>
          <w:sz w:val="24"/>
        </w:rPr>
      </w:pPr>
      <w:r>
        <w:rPr>
          <w:rFonts w:hint="eastAsia" w:ascii="宋体" w:hAnsi="宋体" w:cs="宋体"/>
          <w:sz w:val="24"/>
        </w:rPr>
        <w:t>8.8.1承包人提供的施工设备和临时设施</w:t>
      </w:r>
    </w:p>
    <w:p w14:paraId="21C02D5B">
      <w:pPr>
        <w:autoSpaceDE w:val="0"/>
        <w:autoSpaceDN w:val="0"/>
        <w:spacing w:line="360" w:lineRule="auto"/>
        <w:ind w:firstLine="480" w:firstLineChars="200"/>
        <w:rPr>
          <w:rFonts w:ascii="宋体" w:hAnsi="宋体" w:cs="宋体"/>
          <w:sz w:val="24"/>
        </w:rPr>
      </w:pPr>
      <w:r>
        <w:rPr>
          <w:rFonts w:hint="eastAsia" w:ascii="宋体" w:hAnsi="宋体" w:cs="宋体"/>
          <w:sz w:val="24"/>
        </w:rPr>
        <w:t>关于修建临时设施费用承担的约定：</w:t>
      </w:r>
      <w:r>
        <w:rPr>
          <w:rFonts w:hint="eastAsia" w:ascii="宋体" w:hAnsi="宋体" w:cs="宋体"/>
          <w:b/>
          <w:bCs/>
          <w:sz w:val="24"/>
          <w:u w:val="single"/>
        </w:rPr>
        <w:t>由承包人自行考虑，相关费用计入报价。</w:t>
      </w:r>
    </w:p>
    <w:p w14:paraId="621BC279">
      <w:pPr>
        <w:spacing w:line="360" w:lineRule="auto"/>
        <w:ind w:firstLine="482" w:firstLineChars="200"/>
        <w:rPr>
          <w:rFonts w:ascii="宋体" w:hAnsi="宋体" w:cs="宋体"/>
          <w:b/>
          <w:bCs/>
          <w:sz w:val="24"/>
        </w:rPr>
      </w:pPr>
      <w:r>
        <w:rPr>
          <w:rFonts w:hint="eastAsia" w:ascii="宋体" w:hAnsi="宋体" w:cs="宋体"/>
          <w:b/>
          <w:bCs/>
          <w:sz w:val="24"/>
        </w:rPr>
        <w:t>9、试验与检验</w:t>
      </w:r>
    </w:p>
    <w:p w14:paraId="35CF5591">
      <w:pPr>
        <w:spacing w:line="360" w:lineRule="auto"/>
        <w:ind w:firstLine="480" w:firstLineChars="200"/>
        <w:rPr>
          <w:rFonts w:ascii="宋体" w:hAnsi="宋体" w:cs="宋体"/>
          <w:sz w:val="24"/>
        </w:rPr>
      </w:pPr>
      <w:r>
        <w:rPr>
          <w:rFonts w:hint="eastAsia" w:ascii="宋体" w:hAnsi="宋体" w:cs="宋体"/>
          <w:sz w:val="24"/>
        </w:rPr>
        <w:t>9.1试验设备与试验人员</w:t>
      </w:r>
    </w:p>
    <w:p w14:paraId="0A38623F">
      <w:pPr>
        <w:spacing w:line="360" w:lineRule="auto"/>
        <w:ind w:firstLine="480" w:firstLineChars="200"/>
        <w:rPr>
          <w:rFonts w:ascii="宋体" w:hAnsi="宋体" w:cs="宋体"/>
          <w:sz w:val="24"/>
        </w:rPr>
      </w:pPr>
      <w:r>
        <w:rPr>
          <w:rFonts w:hint="eastAsia" w:ascii="宋体" w:hAnsi="宋体" w:cs="宋体"/>
          <w:sz w:val="24"/>
        </w:rPr>
        <w:t>9.1.2试验设备</w:t>
      </w:r>
    </w:p>
    <w:p w14:paraId="05123BC8">
      <w:pPr>
        <w:spacing w:line="360" w:lineRule="auto"/>
        <w:ind w:firstLine="480" w:firstLineChars="200"/>
        <w:rPr>
          <w:rFonts w:ascii="宋体" w:hAnsi="宋体" w:cs="宋体"/>
          <w:sz w:val="24"/>
          <w:u w:val="single"/>
        </w:rPr>
      </w:pPr>
      <w:r>
        <w:rPr>
          <w:rFonts w:hint="eastAsia" w:ascii="宋体" w:hAnsi="宋体" w:cs="宋体"/>
          <w:sz w:val="24"/>
        </w:rPr>
        <w:t>施工现场需要配置的试验场所：</w:t>
      </w:r>
      <w:r>
        <w:rPr>
          <w:rFonts w:hint="eastAsia" w:ascii="宋体" w:hAnsi="宋体" w:cs="宋体"/>
          <w:sz w:val="24"/>
          <w:u w:val="single"/>
        </w:rPr>
        <w:t xml:space="preserve"> </w:t>
      </w:r>
      <w:r>
        <w:rPr>
          <w:rFonts w:hint="eastAsia" w:ascii="宋体" w:hAnsi="宋体" w:cs="宋体"/>
          <w:b/>
          <w:bCs/>
          <w:sz w:val="24"/>
          <w:u w:val="single"/>
        </w:rPr>
        <w:t xml:space="preserve">由承包人提供 </w:t>
      </w:r>
    </w:p>
    <w:p w14:paraId="6DB6762F">
      <w:pPr>
        <w:spacing w:line="360" w:lineRule="auto"/>
        <w:ind w:firstLine="480" w:firstLineChars="200"/>
        <w:rPr>
          <w:rFonts w:ascii="宋体" w:hAnsi="宋体" w:cs="宋体"/>
          <w:sz w:val="24"/>
          <w:u w:val="single"/>
        </w:rPr>
      </w:pPr>
      <w:r>
        <w:rPr>
          <w:rFonts w:hint="eastAsia" w:ascii="宋体" w:hAnsi="宋体" w:cs="宋体"/>
          <w:sz w:val="24"/>
        </w:rPr>
        <w:t>施工现场需要配备的试验设备：</w:t>
      </w:r>
      <w:r>
        <w:rPr>
          <w:rFonts w:hint="eastAsia" w:ascii="宋体" w:hAnsi="宋体" w:cs="宋体"/>
          <w:sz w:val="24"/>
          <w:u w:val="single"/>
        </w:rPr>
        <w:t xml:space="preserve"> </w:t>
      </w:r>
      <w:r>
        <w:rPr>
          <w:rFonts w:hint="eastAsia" w:ascii="宋体" w:hAnsi="宋体" w:cs="宋体"/>
          <w:b/>
          <w:bCs/>
          <w:sz w:val="24"/>
          <w:u w:val="single"/>
        </w:rPr>
        <w:t xml:space="preserve">由承包人提供 </w:t>
      </w:r>
    </w:p>
    <w:p w14:paraId="22408902">
      <w:pPr>
        <w:spacing w:line="360" w:lineRule="auto"/>
        <w:ind w:firstLine="480" w:firstLineChars="200"/>
        <w:rPr>
          <w:rFonts w:ascii="宋体" w:hAnsi="宋体" w:cs="宋体"/>
          <w:sz w:val="24"/>
          <w:u w:val="single"/>
        </w:rPr>
      </w:pPr>
      <w:r>
        <w:rPr>
          <w:rFonts w:hint="eastAsia" w:ascii="宋体" w:hAnsi="宋体" w:cs="宋体"/>
          <w:sz w:val="24"/>
        </w:rPr>
        <w:t>施工现场需要具备的其他试验条件：</w:t>
      </w:r>
      <w:r>
        <w:rPr>
          <w:rFonts w:hint="eastAsia" w:ascii="宋体" w:hAnsi="宋体" w:cs="宋体"/>
          <w:sz w:val="24"/>
          <w:u w:val="single"/>
        </w:rPr>
        <w:t xml:space="preserve"> </w:t>
      </w:r>
      <w:r>
        <w:rPr>
          <w:rFonts w:hint="eastAsia" w:ascii="宋体" w:hAnsi="宋体" w:cs="宋体"/>
          <w:b/>
          <w:bCs/>
          <w:sz w:val="24"/>
          <w:u w:val="single"/>
        </w:rPr>
        <w:t xml:space="preserve">由承包人提供 </w:t>
      </w:r>
    </w:p>
    <w:p w14:paraId="53F89111">
      <w:pPr>
        <w:spacing w:line="360" w:lineRule="auto"/>
        <w:ind w:firstLine="480" w:firstLineChars="200"/>
        <w:rPr>
          <w:rFonts w:ascii="宋体" w:hAnsi="宋体" w:cs="宋体"/>
          <w:b/>
          <w:bCs/>
          <w:kern w:val="0"/>
          <w:sz w:val="24"/>
        </w:rPr>
      </w:pPr>
      <w:r>
        <w:rPr>
          <w:rFonts w:hint="eastAsia" w:ascii="宋体" w:hAnsi="宋体" w:cs="宋体"/>
          <w:sz w:val="24"/>
        </w:rPr>
        <w:t>9.3</w:t>
      </w:r>
      <w:r>
        <w:rPr>
          <w:rFonts w:hint="eastAsia" w:ascii="宋体" w:hAnsi="宋体" w:cs="宋体"/>
          <w:kern w:val="0"/>
          <w:sz w:val="24"/>
        </w:rPr>
        <w:t>材料、工程设备和工程的试验和检验</w:t>
      </w:r>
    </w:p>
    <w:p w14:paraId="5DF45F36">
      <w:pPr>
        <w:spacing w:line="360" w:lineRule="auto"/>
        <w:ind w:firstLine="482" w:firstLineChars="200"/>
        <w:rPr>
          <w:rFonts w:ascii="宋体" w:hAnsi="宋体" w:cs="宋体"/>
          <w:b/>
          <w:bCs/>
          <w:sz w:val="24"/>
        </w:rPr>
      </w:pPr>
      <w:r>
        <w:rPr>
          <w:rFonts w:hint="eastAsia" w:ascii="宋体" w:hAnsi="宋体" w:cs="宋体"/>
          <w:b/>
          <w:bCs/>
          <w:kern w:val="0"/>
          <w:sz w:val="24"/>
        </w:rPr>
        <w:t>试验、检测单位资质条件约定：</w:t>
      </w:r>
      <w:r>
        <w:rPr>
          <w:rFonts w:hint="eastAsia" w:ascii="宋体" w:hAnsi="宋体" w:cs="宋体"/>
          <w:b/>
          <w:bCs/>
          <w:sz w:val="24"/>
          <w:u w:val="single"/>
        </w:rPr>
        <w:t>按有关规定执行；</w:t>
      </w:r>
    </w:p>
    <w:p w14:paraId="4DC776D7">
      <w:pPr>
        <w:spacing w:line="360" w:lineRule="auto"/>
        <w:ind w:firstLine="482" w:firstLineChars="200"/>
        <w:rPr>
          <w:rFonts w:ascii="宋体" w:hAnsi="宋体" w:cs="宋体"/>
          <w:b/>
          <w:bCs/>
          <w:sz w:val="24"/>
          <w:u w:val="single"/>
        </w:rPr>
      </w:pPr>
      <w:r>
        <w:rPr>
          <w:rFonts w:hint="eastAsia" w:ascii="宋体" w:hAnsi="宋体" w:cs="宋体"/>
          <w:b/>
          <w:bCs/>
          <w:kern w:val="0"/>
          <w:sz w:val="24"/>
        </w:rPr>
        <w:t>试验、检测单位选择约定：</w:t>
      </w:r>
      <w:r>
        <w:rPr>
          <w:rFonts w:hint="eastAsia" w:ascii="宋体" w:hAnsi="宋体" w:cs="宋体"/>
          <w:b/>
          <w:bCs/>
          <w:sz w:val="24"/>
          <w:u w:val="single"/>
        </w:rPr>
        <w:t>报监理及发包人审核批准；</w:t>
      </w:r>
    </w:p>
    <w:p w14:paraId="4A07DCF8">
      <w:pPr>
        <w:spacing w:line="360" w:lineRule="auto"/>
        <w:ind w:firstLine="482" w:firstLineChars="200"/>
        <w:rPr>
          <w:rFonts w:ascii="宋体" w:hAnsi="宋体" w:cs="宋体"/>
          <w:b/>
          <w:bCs/>
          <w:sz w:val="24"/>
        </w:rPr>
      </w:pPr>
      <w:r>
        <w:rPr>
          <w:rFonts w:hint="eastAsia" w:ascii="宋体" w:hAnsi="宋体" w:cs="宋体"/>
          <w:b/>
          <w:bCs/>
          <w:sz w:val="24"/>
        </w:rPr>
        <w:t>试验、检测费用约定：</w:t>
      </w:r>
      <w:r>
        <w:rPr>
          <w:rFonts w:hint="eastAsia" w:ascii="宋体" w:hAnsi="宋体" w:cs="宋体"/>
          <w:b/>
          <w:bCs/>
          <w:sz w:val="24"/>
          <w:u w:val="single"/>
        </w:rPr>
        <w:t xml:space="preserve"> 按有关规定执行。</w:t>
      </w:r>
    </w:p>
    <w:p w14:paraId="60832727">
      <w:pPr>
        <w:spacing w:line="360" w:lineRule="auto"/>
        <w:ind w:firstLine="480" w:firstLineChars="200"/>
        <w:rPr>
          <w:rFonts w:ascii="宋体" w:hAnsi="宋体" w:cs="宋体"/>
          <w:sz w:val="24"/>
        </w:rPr>
      </w:pPr>
      <w:r>
        <w:rPr>
          <w:rFonts w:hint="eastAsia" w:ascii="宋体" w:hAnsi="宋体" w:cs="宋体"/>
          <w:sz w:val="24"/>
        </w:rPr>
        <w:t xml:space="preserve">9.4 现场工艺试验 </w:t>
      </w:r>
    </w:p>
    <w:p w14:paraId="5602EB7D">
      <w:pPr>
        <w:spacing w:line="360" w:lineRule="auto"/>
        <w:ind w:firstLine="480" w:firstLineChars="200"/>
        <w:rPr>
          <w:rFonts w:ascii="宋体" w:hAnsi="宋体" w:cs="宋体"/>
          <w:sz w:val="24"/>
          <w:u w:val="single"/>
        </w:rPr>
      </w:pPr>
      <w:r>
        <w:rPr>
          <w:rFonts w:hint="eastAsia" w:ascii="宋体" w:hAnsi="宋体" w:cs="宋体"/>
          <w:sz w:val="24"/>
        </w:rPr>
        <w:t>现场工艺试验的有关约定：</w:t>
      </w:r>
      <w:r>
        <w:rPr>
          <w:rFonts w:hint="eastAsia" w:ascii="宋体" w:hAnsi="宋体" w:cs="宋体"/>
          <w:sz w:val="24"/>
          <w:u w:val="single"/>
        </w:rPr>
        <w:t xml:space="preserve"> </w:t>
      </w:r>
      <w:r>
        <w:rPr>
          <w:rFonts w:hint="eastAsia" w:ascii="宋体" w:hAnsi="宋体" w:cs="宋体"/>
          <w:b/>
          <w:bCs/>
          <w:sz w:val="24"/>
          <w:u w:val="single"/>
        </w:rPr>
        <w:t xml:space="preserve">按通用条款 </w:t>
      </w:r>
    </w:p>
    <w:p w14:paraId="0738CD47">
      <w:pPr>
        <w:spacing w:line="360" w:lineRule="auto"/>
        <w:ind w:firstLine="482" w:firstLineChars="200"/>
        <w:rPr>
          <w:rFonts w:ascii="宋体" w:hAnsi="宋体" w:cs="宋体"/>
          <w:b/>
          <w:bCs/>
          <w:sz w:val="24"/>
        </w:rPr>
      </w:pPr>
      <w:r>
        <w:rPr>
          <w:rFonts w:hint="eastAsia" w:ascii="宋体" w:hAnsi="宋体" w:cs="宋体"/>
          <w:b/>
          <w:bCs/>
          <w:sz w:val="24"/>
        </w:rPr>
        <w:t>10、变更</w:t>
      </w:r>
    </w:p>
    <w:p w14:paraId="70F6D407">
      <w:pPr>
        <w:spacing w:line="360" w:lineRule="auto"/>
        <w:ind w:firstLine="480" w:firstLineChars="200"/>
        <w:rPr>
          <w:rFonts w:ascii="宋体" w:hAnsi="宋体" w:cs="宋体"/>
          <w:sz w:val="24"/>
        </w:rPr>
      </w:pPr>
      <w:r>
        <w:rPr>
          <w:rFonts w:hint="eastAsia" w:ascii="宋体" w:hAnsi="宋体" w:cs="宋体"/>
          <w:sz w:val="24"/>
        </w:rPr>
        <w:t>10.1变更的范围</w:t>
      </w:r>
    </w:p>
    <w:p w14:paraId="02C34E64">
      <w:pPr>
        <w:spacing w:line="360" w:lineRule="auto"/>
        <w:ind w:firstLine="480" w:firstLineChars="200"/>
        <w:rPr>
          <w:rFonts w:ascii="宋体" w:hAnsi="宋体" w:cs="宋体"/>
          <w:b/>
          <w:bCs/>
          <w:sz w:val="24"/>
        </w:rPr>
      </w:pPr>
      <w:r>
        <w:rPr>
          <w:rFonts w:hint="eastAsia" w:ascii="宋体" w:hAnsi="宋体" w:cs="宋体"/>
          <w:sz w:val="24"/>
        </w:rPr>
        <w:t>关于变更的范围的约定：</w:t>
      </w:r>
      <w:r>
        <w:rPr>
          <w:rFonts w:hint="eastAsia" w:ascii="宋体" w:hAnsi="宋体" w:cs="宋体"/>
          <w:sz w:val="24"/>
          <w:u w:val="single"/>
        </w:rPr>
        <w:t xml:space="preserve"> </w:t>
      </w:r>
      <w:r>
        <w:rPr>
          <w:rFonts w:hint="eastAsia" w:ascii="宋体" w:hAnsi="宋体" w:cs="宋体"/>
          <w:b/>
          <w:bCs/>
          <w:sz w:val="24"/>
          <w:u w:val="single"/>
        </w:rPr>
        <w:t xml:space="preserve">按通用条款  </w:t>
      </w:r>
    </w:p>
    <w:p w14:paraId="1E84A2FC">
      <w:pPr>
        <w:spacing w:line="360" w:lineRule="auto"/>
        <w:ind w:firstLine="482" w:firstLineChars="200"/>
        <w:rPr>
          <w:rFonts w:ascii="宋体" w:hAnsi="宋体" w:cs="宋体"/>
          <w:b/>
          <w:bCs/>
          <w:sz w:val="24"/>
        </w:rPr>
      </w:pPr>
      <w:r>
        <w:rPr>
          <w:rFonts w:hint="eastAsia" w:ascii="宋体" w:hAnsi="宋体" w:cs="宋体"/>
          <w:b/>
          <w:bCs/>
          <w:sz w:val="24"/>
        </w:rPr>
        <w:t>10.1.1关于变更范围的约定：按照《杭州市政府投资项目工程变更管理暂行办法》（杭财建[2013]1246号）中工程变更的相关规定。</w:t>
      </w:r>
    </w:p>
    <w:p w14:paraId="39D1DF8E">
      <w:pPr>
        <w:spacing w:line="360" w:lineRule="auto"/>
        <w:ind w:firstLine="482" w:firstLineChars="200"/>
        <w:rPr>
          <w:rFonts w:ascii="宋体" w:hAnsi="宋体" w:cs="宋体"/>
          <w:b/>
          <w:bCs/>
          <w:sz w:val="24"/>
        </w:rPr>
      </w:pPr>
      <w:r>
        <w:rPr>
          <w:rFonts w:hint="eastAsia" w:ascii="宋体" w:hAnsi="宋体" w:cs="宋体"/>
          <w:b/>
          <w:bCs/>
          <w:sz w:val="24"/>
        </w:rPr>
        <w:t>10.1.2因承包人擅自变更设计发生的费用和由此导致发包人的直接损失，由承包人承担，延误的工期不予顺延。</w:t>
      </w:r>
    </w:p>
    <w:p w14:paraId="50BD7A1F">
      <w:pPr>
        <w:spacing w:line="360" w:lineRule="auto"/>
        <w:ind w:firstLine="482" w:firstLineChars="200"/>
        <w:rPr>
          <w:rFonts w:ascii="宋体" w:hAnsi="宋体" w:cs="宋体"/>
          <w:b/>
          <w:bCs/>
          <w:sz w:val="24"/>
        </w:rPr>
      </w:pPr>
      <w:r>
        <w:rPr>
          <w:rFonts w:hint="eastAsia" w:ascii="宋体" w:hAnsi="宋体" w:cs="宋体"/>
          <w:b/>
          <w:bCs/>
          <w:sz w:val="24"/>
        </w:rPr>
        <w:t>10.1.3承包人提出的合理化建议涉及到的工程变更，须经发包人同意并办理相关变更审查手续。未经同意擅自更改的，承包人承担由此产生的费用，并赔偿发包人的有关损失，延误的工期不予顺延。</w:t>
      </w:r>
    </w:p>
    <w:p w14:paraId="40352CAB">
      <w:pPr>
        <w:spacing w:line="360" w:lineRule="auto"/>
        <w:ind w:firstLine="480" w:firstLineChars="200"/>
        <w:rPr>
          <w:rFonts w:ascii="宋体" w:hAnsi="宋体" w:cs="宋体"/>
          <w:sz w:val="24"/>
        </w:rPr>
      </w:pPr>
      <w:r>
        <w:rPr>
          <w:rFonts w:hint="eastAsia" w:ascii="宋体" w:hAnsi="宋体" w:cs="宋体"/>
          <w:sz w:val="24"/>
        </w:rPr>
        <w:t>10.4变更估价</w:t>
      </w:r>
    </w:p>
    <w:p w14:paraId="2C7B110F">
      <w:pPr>
        <w:spacing w:line="360" w:lineRule="auto"/>
        <w:ind w:firstLine="480" w:firstLineChars="200"/>
        <w:rPr>
          <w:rFonts w:ascii="宋体" w:hAnsi="宋体" w:cs="宋体"/>
          <w:sz w:val="24"/>
        </w:rPr>
      </w:pPr>
      <w:r>
        <w:rPr>
          <w:rFonts w:hint="eastAsia" w:ascii="宋体" w:hAnsi="宋体" w:cs="宋体"/>
          <w:sz w:val="24"/>
        </w:rPr>
        <w:t>10.4.1变更估价原则</w:t>
      </w:r>
    </w:p>
    <w:p w14:paraId="7EF4CB41">
      <w:pPr>
        <w:autoSpaceDE w:val="0"/>
        <w:autoSpaceDN w:val="0"/>
        <w:spacing w:line="360" w:lineRule="auto"/>
        <w:ind w:firstLine="480" w:firstLineChars="200"/>
        <w:rPr>
          <w:rFonts w:ascii="宋体" w:hAnsi="宋体" w:cs="宋体"/>
          <w:sz w:val="24"/>
        </w:rPr>
      </w:pPr>
      <w:r>
        <w:rPr>
          <w:rFonts w:hint="eastAsia" w:ascii="宋体" w:hAnsi="宋体" w:cs="宋体"/>
          <w:sz w:val="24"/>
        </w:rPr>
        <w:t xml:space="preserve">关于变更估价的约定: </w:t>
      </w:r>
    </w:p>
    <w:p w14:paraId="53643AA4">
      <w:pPr>
        <w:spacing w:line="360" w:lineRule="auto"/>
        <w:ind w:firstLine="482" w:firstLineChars="200"/>
        <w:rPr>
          <w:rFonts w:ascii="宋体" w:hAnsi="宋体" w:cs="宋体"/>
          <w:b/>
          <w:bCs/>
          <w:sz w:val="24"/>
          <w:u w:val="single"/>
        </w:rPr>
      </w:pPr>
      <w:r>
        <w:rPr>
          <w:rFonts w:hint="eastAsia" w:ascii="宋体" w:hAnsi="宋体" w:cs="宋体"/>
          <w:b/>
          <w:bCs/>
          <w:sz w:val="24"/>
          <w:u w:val="single"/>
        </w:rPr>
        <w:t>（1）已标价工程量清单或预算书有相同项目的，按照相同项目单价确定。</w:t>
      </w:r>
    </w:p>
    <w:p w14:paraId="43CC8C30">
      <w:pPr>
        <w:spacing w:line="360" w:lineRule="auto"/>
        <w:ind w:firstLine="482" w:firstLineChars="200"/>
        <w:rPr>
          <w:rFonts w:ascii="宋体" w:hAnsi="宋体" w:cs="宋体"/>
          <w:b/>
          <w:bCs/>
          <w:sz w:val="24"/>
          <w:u w:val="single"/>
        </w:rPr>
      </w:pPr>
      <w:r>
        <w:rPr>
          <w:rFonts w:hint="eastAsia" w:ascii="宋体" w:hAnsi="宋体" w:cs="宋体"/>
          <w:b/>
          <w:bCs/>
          <w:sz w:val="24"/>
          <w:u w:val="single"/>
        </w:rPr>
        <w:t>（2）已标价工程量清单或预算书中无相同项目，但有类似项目的，参照类似项目的单价确定。</w:t>
      </w:r>
    </w:p>
    <w:p w14:paraId="676811D8">
      <w:pPr>
        <w:spacing w:line="360" w:lineRule="auto"/>
        <w:ind w:firstLine="482" w:firstLineChars="200"/>
        <w:rPr>
          <w:rFonts w:ascii="宋体" w:hAnsi="宋体" w:cs="宋体"/>
          <w:b/>
          <w:bCs/>
          <w:sz w:val="24"/>
          <w:u w:val="single"/>
        </w:rPr>
      </w:pPr>
      <w:r>
        <w:rPr>
          <w:rFonts w:hint="eastAsia" w:ascii="宋体" w:hAnsi="宋体" w:cs="宋体"/>
          <w:b/>
          <w:bCs/>
          <w:sz w:val="24"/>
          <w:u w:val="single"/>
        </w:rPr>
        <w:t>①某种材料（包括半成品或成品）等级、标准发生变化的，清单组价子目不变，仅调整不同的材料编制期信息价的差价（计税金）：材料编制期信息价计价顺序依次为《杭州市造价信息》、《浙江省造价信息》正刊，对造价信息价正刊没有的材料，发包人将在充分市场询价的基础上，参照同期同类材料市场价格水平，按照相关规定审批程序签证确定其编制期信息价。</w:t>
      </w:r>
    </w:p>
    <w:p w14:paraId="5268C557">
      <w:pPr>
        <w:spacing w:line="360" w:lineRule="auto"/>
        <w:ind w:firstLine="482" w:firstLineChars="200"/>
        <w:rPr>
          <w:rFonts w:ascii="宋体" w:hAnsi="宋体" w:cs="宋体"/>
          <w:b/>
          <w:bCs/>
          <w:sz w:val="24"/>
          <w:u w:val="single"/>
        </w:rPr>
      </w:pPr>
      <w:r>
        <w:rPr>
          <w:rFonts w:hint="eastAsia" w:ascii="宋体" w:hAnsi="宋体" w:cs="宋体"/>
          <w:b/>
          <w:bCs/>
          <w:sz w:val="24"/>
          <w:u w:val="single"/>
        </w:rPr>
        <w:t>②清单项目某一特征或工程内容变化，不影响其他特征及工程内容价格的，其他特征组合标准不变，仅调整发生变化的组合子目价格。</w:t>
      </w:r>
    </w:p>
    <w:p w14:paraId="7D8CD6D6">
      <w:pPr>
        <w:spacing w:line="360" w:lineRule="auto"/>
        <w:ind w:firstLine="482" w:firstLineChars="200"/>
        <w:rPr>
          <w:rFonts w:ascii="宋体" w:hAnsi="宋体" w:cs="宋体"/>
          <w:b/>
          <w:bCs/>
          <w:sz w:val="24"/>
          <w:u w:val="single"/>
        </w:rPr>
      </w:pPr>
      <w:r>
        <w:rPr>
          <w:rFonts w:hint="eastAsia" w:ascii="宋体" w:hAnsi="宋体" w:cs="宋体"/>
          <w:b/>
          <w:bCs/>
          <w:sz w:val="24"/>
          <w:u w:val="single"/>
        </w:rPr>
        <w:t>（3）已标价工程量清单或预算书中无相同项目及类似项目单价的，其单价的确定，按以下约定：</w:t>
      </w:r>
    </w:p>
    <w:p w14:paraId="60D182A4">
      <w:pPr>
        <w:spacing w:line="360" w:lineRule="auto"/>
        <w:ind w:firstLine="482" w:firstLineChars="200"/>
        <w:rPr>
          <w:rFonts w:ascii="宋体" w:hAnsi="宋体" w:cs="宋体"/>
          <w:b/>
          <w:bCs/>
          <w:sz w:val="24"/>
          <w:u w:val="single"/>
        </w:rPr>
      </w:pPr>
      <w:r>
        <w:rPr>
          <w:rFonts w:hint="eastAsia" w:ascii="宋体" w:hAnsi="宋体" w:cs="宋体"/>
          <w:b/>
          <w:bCs/>
          <w:sz w:val="24"/>
          <w:u w:val="single"/>
        </w:rPr>
        <w:t>套用浙江省2018版预算定额和费用定额或现行相应专业定额，综合费用按相应类别工程费率的中限计取，规费、税金、农民工工伤保险按磋商口径执行；①材料价格有磋商价的执行磋商价；②材料价格无磋商价的执行合同工期前80%的信息价平均值，对当地信息价正刊没有公布的材料，发包人应在充分市场询价基础上，参照同期同类材料市场价格水平，按照相关规定审批程序签证确定；按照上述方法计算后乘以（1-承包人报价浮动率L）得出结算单价，承包人报价浮动率L=（1-中标价÷招标控制价）×100%（若项目含甲供材料/设备，中标价及招标控制价均扣除甲供材料/设备金额）③当零星工程发生签证台班数量，机械单价有磋商价的执行磋商价；④当零星工程发生签证台班数量，机械单价无磋商价的执行预算定额单价；按照上述方法计算后乘以（1-承包人报价浮动率L）得出结算单价，承包人报价浮动率L=（1-中标价÷招标控制价）×100%（若项目含甲供材料/设备，中标价及招标控制价均扣除甲供材料/设备金额）。</w:t>
      </w:r>
    </w:p>
    <w:p w14:paraId="5F4D093A">
      <w:pPr>
        <w:spacing w:line="360" w:lineRule="auto"/>
        <w:ind w:firstLine="482" w:firstLineChars="200"/>
        <w:rPr>
          <w:rFonts w:ascii="宋体" w:hAnsi="宋体" w:cs="宋体"/>
          <w:b/>
          <w:bCs/>
          <w:sz w:val="24"/>
          <w:u w:val="single"/>
        </w:rPr>
      </w:pPr>
      <w:r>
        <w:rPr>
          <w:rFonts w:hint="eastAsia" w:ascii="宋体" w:hAnsi="宋体" w:cs="宋体"/>
          <w:b/>
          <w:bCs/>
          <w:sz w:val="24"/>
          <w:u w:val="single"/>
        </w:rPr>
        <w:t>（4）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w:t>
      </w:r>
    </w:p>
    <w:p w14:paraId="7FB15EBA">
      <w:pPr>
        <w:spacing w:line="360" w:lineRule="auto"/>
        <w:ind w:firstLine="482" w:firstLineChars="200"/>
        <w:rPr>
          <w:rFonts w:ascii="宋体" w:hAnsi="宋体" w:cs="宋体"/>
          <w:b/>
          <w:bCs/>
          <w:sz w:val="24"/>
          <w:u w:val="single"/>
        </w:rPr>
      </w:pPr>
      <w:r>
        <w:rPr>
          <w:rFonts w:hint="eastAsia" w:ascii="宋体" w:hAnsi="宋体" w:cs="宋体"/>
          <w:b/>
          <w:bCs/>
          <w:sz w:val="24"/>
          <w:u w:val="single"/>
        </w:rPr>
        <w:t>按照《建设工程工程量清单计价规范》（GB50500-2013）9.6.2条规定，增加部分的工程量的综合单价应予调低，减少后剩余部分的工程量的综合单价应予调高，可按下列公式调整:</w:t>
      </w:r>
    </w:p>
    <w:p w14:paraId="570D628B">
      <w:pPr>
        <w:spacing w:line="360" w:lineRule="auto"/>
        <w:ind w:firstLine="482" w:firstLineChars="200"/>
        <w:rPr>
          <w:rFonts w:ascii="宋体" w:hAnsi="宋体" w:cs="宋体"/>
          <w:b/>
          <w:bCs/>
          <w:sz w:val="24"/>
          <w:u w:val="single"/>
        </w:rPr>
      </w:pPr>
      <w:r>
        <w:rPr>
          <w:rFonts w:hint="eastAsia" w:ascii="宋体" w:hAnsi="宋体" w:cs="宋体"/>
          <w:b/>
          <w:bCs/>
          <w:sz w:val="24"/>
          <w:u w:val="single"/>
        </w:rPr>
        <w:t>凡合价金额占合同总价2%及以上的分部分项清单项目，</w:t>
      </w:r>
    </w:p>
    <w:p w14:paraId="5F0BB2B1">
      <w:pPr>
        <w:spacing w:line="360" w:lineRule="auto"/>
        <w:ind w:firstLine="482" w:firstLineChars="200"/>
        <w:rPr>
          <w:rFonts w:ascii="宋体" w:hAnsi="宋体" w:cs="宋体"/>
          <w:b/>
          <w:bCs/>
          <w:sz w:val="24"/>
          <w:u w:val="single"/>
        </w:rPr>
      </w:pPr>
      <w:r>
        <w:rPr>
          <w:rFonts w:hint="eastAsia" w:ascii="宋体" w:hAnsi="宋体" w:cs="宋体"/>
          <w:b/>
          <w:bCs/>
          <w:sz w:val="24"/>
          <w:u w:val="single"/>
        </w:rPr>
        <w:t>①当Q1&gt;1.15Q0时:    S=1.15Q0×P0+（Q1-1.15 Q0）×P1</w:t>
      </w:r>
    </w:p>
    <w:p w14:paraId="149ABCB4">
      <w:pPr>
        <w:spacing w:line="360" w:lineRule="auto"/>
        <w:ind w:firstLine="482" w:firstLineChars="200"/>
        <w:rPr>
          <w:rFonts w:ascii="宋体" w:hAnsi="宋体" w:cs="宋体"/>
          <w:b/>
          <w:bCs/>
          <w:sz w:val="24"/>
          <w:u w:val="single"/>
        </w:rPr>
      </w:pPr>
      <w:r>
        <w:rPr>
          <w:rFonts w:hint="eastAsia" w:ascii="宋体" w:hAnsi="宋体" w:cs="宋体"/>
          <w:b/>
          <w:bCs/>
          <w:sz w:val="24"/>
          <w:u w:val="single"/>
        </w:rPr>
        <w:t>②当Q1&lt;0.85Q0时:    S=Q1×P1</w:t>
      </w:r>
    </w:p>
    <w:p w14:paraId="2D34D9A6">
      <w:pPr>
        <w:spacing w:line="360" w:lineRule="auto"/>
        <w:ind w:firstLine="482" w:firstLineChars="200"/>
        <w:rPr>
          <w:rFonts w:ascii="宋体" w:hAnsi="宋体" w:cs="宋体"/>
          <w:b/>
          <w:bCs/>
          <w:sz w:val="24"/>
          <w:u w:val="single"/>
        </w:rPr>
      </w:pPr>
      <w:r>
        <w:rPr>
          <w:rFonts w:hint="eastAsia" w:ascii="宋体" w:hAnsi="宋体" w:cs="宋体"/>
          <w:b/>
          <w:bCs/>
          <w:sz w:val="24"/>
          <w:u w:val="single"/>
        </w:rPr>
        <w:t>凡合价金额占合同总价不到2%的分部分项清单项目，</w:t>
      </w:r>
    </w:p>
    <w:p w14:paraId="66AF6220">
      <w:pPr>
        <w:spacing w:line="360" w:lineRule="auto"/>
        <w:ind w:firstLine="482" w:firstLineChars="200"/>
        <w:rPr>
          <w:rFonts w:ascii="宋体" w:hAnsi="宋体" w:cs="宋体"/>
          <w:b/>
          <w:bCs/>
          <w:sz w:val="24"/>
          <w:u w:val="single"/>
        </w:rPr>
      </w:pPr>
      <w:r>
        <w:rPr>
          <w:rFonts w:hint="eastAsia" w:ascii="宋体" w:hAnsi="宋体" w:cs="宋体"/>
          <w:b/>
          <w:bCs/>
          <w:sz w:val="24"/>
          <w:u w:val="single"/>
        </w:rPr>
        <w:t>③当Q1&gt;1.25Q0时:    S=1.25Q0×P0+（Q1-1.25 Q0）×P1</w:t>
      </w:r>
    </w:p>
    <w:p w14:paraId="6256707C">
      <w:pPr>
        <w:spacing w:line="360" w:lineRule="auto"/>
        <w:ind w:firstLine="482" w:firstLineChars="200"/>
        <w:rPr>
          <w:rFonts w:ascii="宋体" w:hAnsi="宋体" w:cs="宋体"/>
          <w:b/>
          <w:bCs/>
          <w:sz w:val="24"/>
          <w:u w:val="single"/>
        </w:rPr>
      </w:pPr>
      <w:r>
        <w:rPr>
          <w:rFonts w:hint="eastAsia" w:ascii="宋体" w:hAnsi="宋体" w:cs="宋体"/>
          <w:b/>
          <w:bCs/>
          <w:sz w:val="24"/>
          <w:u w:val="single"/>
        </w:rPr>
        <w:t>④当Q1&lt;0.75Q0时:    S=Q1×P1</w:t>
      </w:r>
    </w:p>
    <w:p w14:paraId="7F501132">
      <w:pPr>
        <w:spacing w:line="360" w:lineRule="auto"/>
        <w:ind w:firstLine="482" w:firstLineChars="200"/>
        <w:rPr>
          <w:rFonts w:ascii="宋体" w:hAnsi="宋体" w:cs="宋体"/>
          <w:b/>
          <w:bCs/>
          <w:sz w:val="24"/>
          <w:u w:val="single"/>
        </w:rPr>
      </w:pPr>
      <w:r>
        <w:rPr>
          <w:rFonts w:hint="eastAsia" w:ascii="宋体" w:hAnsi="宋体" w:cs="宋体"/>
          <w:b/>
          <w:bCs/>
          <w:sz w:val="24"/>
          <w:u w:val="single"/>
        </w:rPr>
        <w:t>式中 S——调整后某一分部分项工程费结算价；</w:t>
      </w:r>
    </w:p>
    <w:p w14:paraId="3F228815">
      <w:pPr>
        <w:spacing w:line="360" w:lineRule="auto"/>
        <w:ind w:firstLine="482" w:firstLineChars="200"/>
        <w:rPr>
          <w:rFonts w:ascii="宋体" w:hAnsi="宋体" w:cs="宋体"/>
          <w:b/>
          <w:bCs/>
          <w:sz w:val="24"/>
          <w:u w:val="single"/>
        </w:rPr>
      </w:pPr>
      <w:r>
        <w:rPr>
          <w:rFonts w:hint="eastAsia" w:ascii="宋体" w:hAnsi="宋体" w:cs="宋体"/>
          <w:b/>
          <w:bCs/>
          <w:sz w:val="24"/>
          <w:u w:val="single"/>
        </w:rPr>
        <w:t>Q1——最终完成的工程量；</w:t>
      </w:r>
    </w:p>
    <w:p w14:paraId="6AFC3D72">
      <w:pPr>
        <w:spacing w:line="360" w:lineRule="auto"/>
        <w:ind w:firstLine="482" w:firstLineChars="200"/>
        <w:rPr>
          <w:rFonts w:ascii="宋体" w:hAnsi="宋体" w:cs="宋体"/>
          <w:b/>
          <w:bCs/>
          <w:sz w:val="24"/>
          <w:u w:val="single"/>
        </w:rPr>
      </w:pPr>
      <w:r>
        <w:rPr>
          <w:rFonts w:hint="eastAsia" w:ascii="宋体" w:hAnsi="宋体" w:cs="宋体"/>
          <w:b/>
          <w:bCs/>
          <w:sz w:val="24"/>
          <w:u w:val="single"/>
        </w:rPr>
        <w:t>Q0——招标工程量清单中列出的工程量；</w:t>
      </w:r>
    </w:p>
    <w:p w14:paraId="58BA0446">
      <w:pPr>
        <w:spacing w:line="360" w:lineRule="auto"/>
        <w:ind w:firstLine="482" w:firstLineChars="200"/>
        <w:rPr>
          <w:rFonts w:ascii="宋体" w:hAnsi="宋体" w:cs="宋体"/>
          <w:b/>
          <w:bCs/>
          <w:sz w:val="24"/>
          <w:u w:val="single"/>
        </w:rPr>
      </w:pPr>
      <w:r>
        <w:rPr>
          <w:rFonts w:hint="eastAsia" w:ascii="宋体" w:hAnsi="宋体" w:cs="宋体"/>
          <w:b/>
          <w:bCs/>
          <w:sz w:val="24"/>
          <w:u w:val="single"/>
        </w:rPr>
        <w:t>P0——承包人在已标价工程量清单中填报的综合单价</w:t>
      </w:r>
    </w:p>
    <w:p w14:paraId="59CDFBDD">
      <w:pPr>
        <w:spacing w:line="360" w:lineRule="auto"/>
        <w:ind w:firstLine="482" w:firstLineChars="200"/>
        <w:rPr>
          <w:rFonts w:ascii="宋体" w:hAnsi="宋体" w:cs="宋体"/>
          <w:b/>
          <w:bCs/>
          <w:sz w:val="24"/>
          <w:u w:val="single"/>
        </w:rPr>
      </w:pPr>
      <w:r>
        <w:rPr>
          <w:rFonts w:hint="eastAsia" w:ascii="宋体" w:hAnsi="宋体" w:cs="宋体"/>
          <w:b/>
          <w:bCs/>
          <w:sz w:val="24"/>
          <w:u w:val="single"/>
        </w:rPr>
        <w:t>P1——按照最终完成工程量重新调整后的综合单价，按本合同第10.4.1条（3）款计算结果和P0比较，在工程量增加时，若计算结果大于P0的,取 P1= P0，在工程量减少时，若计算结果小于P0的,取P1= P0。</w:t>
      </w:r>
    </w:p>
    <w:p w14:paraId="293DE256">
      <w:pPr>
        <w:spacing w:line="360" w:lineRule="auto"/>
        <w:ind w:firstLine="482" w:firstLineChars="200"/>
        <w:rPr>
          <w:rFonts w:ascii="宋体" w:hAnsi="宋体" w:cs="宋体"/>
          <w:b/>
          <w:bCs/>
          <w:sz w:val="24"/>
          <w:u w:val="single"/>
        </w:rPr>
      </w:pPr>
      <w:r>
        <w:rPr>
          <w:rFonts w:hint="eastAsia" w:ascii="宋体" w:hAnsi="宋体" w:cs="宋体"/>
          <w:b/>
          <w:bCs/>
          <w:sz w:val="24"/>
          <w:u w:val="single"/>
        </w:rPr>
        <w:t>（5）其他：</w:t>
      </w:r>
    </w:p>
    <w:p w14:paraId="3B78FA70">
      <w:pPr>
        <w:spacing w:line="360" w:lineRule="auto"/>
        <w:ind w:firstLine="482" w:firstLineChars="200"/>
        <w:rPr>
          <w:rFonts w:ascii="宋体" w:hAnsi="宋体" w:cs="宋体"/>
          <w:b/>
          <w:bCs/>
          <w:sz w:val="24"/>
          <w:u w:val="single"/>
        </w:rPr>
      </w:pPr>
      <w:r>
        <w:rPr>
          <w:rFonts w:hint="eastAsia" w:ascii="宋体" w:hAnsi="宋体" w:cs="宋体"/>
          <w:b/>
          <w:bCs/>
          <w:sz w:val="24"/>
          <w:u w:val="single"/>
        </w:rPr>
        <w:t>①工程量必须按照《建设工程工程量清单计价规范》（GB50500-2013）规定的工程量计算规则计算。工程量必须以承包人完成合同工程应予计量的工程量确定。最终结算工程量应首先报监理及发包人初审。</w:t>
      </w:r>
    </w:p>
    <w:p w14:paraId="3E68F1FA">
      <w:pPr>
        <w:pStyle w:val="84"/>
        <w:ind w:firstLine="482" w:firstLineChars="200"/>
        <w:rPr>
          <w:rFonts w:ascii="宋体" w:hAnsi="宋体" w:cs="宋体"/>
          <w:b/>
          <w:bCs/>
          <w:sz w:val="24"/>
          <w:u w:val="single"/>
        </w:rPr>
      </w:pPr>
      <w:r>
        <w:rPr>
          <w:rFonts w:hint="eastAsia" w:ascii="宋体" w:hAnsi="宋体" w:cs="宋体"/>
          <w:b/>
          <w:bCs/>
          <w:sz w:val="24"/>
          <w:u w:val="single"/>
        </w:rPr>
        <w:t>②工程变更管理按《杭州市政府投资项目工程变更管理暂行办法》（杭财建[2013]1246号）和拱教局2022（98）号文件执行，未履行规定程序的联系单，不得纳入工程结算。</w:t>
      </w:r>
    </w:p>
    <w:p w14:paraId="3E5AFD11">
      <w:pPr>
        <w:spacing w:line="360" w:lineRule="auto"/>
        <w:ind w:firstLine="482" w:firstLineChars="200"/>
        <w:rPr>
          <w:rFonts w:ascii="宋体" w:hAnsi="宋体" w:cs="宋体"/>
          <w:b/>
          <w:bCs/>
          <w:sz w:val="24"/>
          <w:u w:val="single"/>
        </w:rPr>
      </w:pPr>
      <w:r>
        <w:rPr>
          <w:rFonts w:hint="eastAsia" w:ascii="宋体" w:hAnsi="宋体" w:cs="宋体"/>
          <w:b/>
          <w:bCs/>
          <w:sz w:val="24"/>
          <w:u w:val="single"/>
        </w:rPr>
        <w:t>③本合同专用条款1.1.1.10中的“施工组织设计”是指承包人在磋商书中制定的相关技术、经济和施工组织的综合性文件。施工组织措施费、施工技术措施费在招标范围未发生变化情况下，按磋商报价包干。在招标范围发生重大变化或重大设计变更引起施工技术措施项目费增加或减少时，根据相关工程变更依据和建设行政主管部门的批复意见进行相应调整，原措施费项目清单中已有的措施项目，按原有措施费的组价方法或单价调整；原措施费项目清单中没有的措施项目，组价方法按前述第10.4.1条（3）约定执行。如有甩项工程，发包人将对承包人未实际投入的施工组织措施费和技术措施费按上述方法予以扣除。</w:t>
      </w:r>
    </w:p>
    <w:p w14:paraId="761868A4">
      <w:pPr>
        <w:spacing w:line="360" w:lineRule="auto"/>
        <w:ind w:firstLine="482" w:firstLineChars="200"/>
        <w:rPr>
          <w:rFonts w:ascii="宋体" w:hAnsi="宋体" w:cs="宋体"/>
          <w:b/>
          <w:bCs/>
          <w:sz w:val="24"/>
          <w:u w:val="single"/>
        </w:rPr>
      </w:pPr>
      <w:r>
        <w:rPr>
          <w:rFonts w:hint="eastAsia" w:ascii="宋体" w:hAnsi="宋体" w:cs="宋体"/>
          <w:b/>
          <w:bCs/>
          <w:sz w:val="24"/>
          <w:u w:val="single"/>
        </w:rPr>
        <w:t>④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前述第10.4.1条（3）约定，结合磋商报价水平确定。</w:t>
      </w:r>
    </w:p>
    <w:p w14:paraId="7F83DC65">
      <w:pPr>
        <w:spacing w:line="360" w:lineRule="auto"/>
        <w:ind w:firstLine="482" w:firstLineChars="200"/>
        <w:rPr>
          <w:rFonts w:ascii="宋体" w:hAnsi="宋体" w:cs="宋体"/>
          <w:b/>
          <w:bCs/>
          <w:sz w:val="24"/>
          <w:u w:val="single"/>
        </w:rPr>
      </w:pPr>
      <w:r>
        <w:rPr>
          <w:rFonts w:hint="eastAsia" w:ascii="宋体" w:hAnsi="宋体" w:cs="宋体"/>
          <w:b/>
          <w:bCs/>
          <w:sz w:val="24"/>
          <w:u w:val="single"/>
        </w:rPr>
        <w:t>⑤现有管线、邻近建筑物、构筑物（含文物保护建筑）、古树名木等的保护费计算。招标时已明确的，其保护费用承包人应根据发包人提供的交底资料，结合现场探勘，充分考虑施工难度，计入报价，包干使用。实施过程中新发现的，其保护费用按实计算，计算口径按前述第10.4.1条（3）约定执行。</w:t>
      </w:r>
    </w:p>
    <w:p w14:paraId="3EB6517F">
      <w:pPr>
        <w:spacing w:line="360" w:lineRule="auto"/>
        <w:ind w:firstLine="482" w:firstLineChars="200"/>
        <w:rPr>
          <w:rFonts w:ascii="宋体" w:hAnsi="宋体" w:cs="宋体"/>
          <w:sz w:val="24"/>
          <w:u w:val="single"/>
        </w:rPr>
      </w:pPr>
      <w:r>
        <w:rPr>
          <w:rFonts w:hint="eastAsia" w:ascii="宋体" w:hAnsi="宋体" w:cs="宋体"/>
          <w:b/>
          <w:bCs/>
          <w:sz w:val="24"/>
          <w:u w:val="single"/>
        </w:rPr>
        <w:t>⑥发包人与承包人在询标过程中，涉及到合同价款结算有须明确或澄清的事项包括：</w:t>
      </w:r>
      <w:r>
        <w:rPr>
          <w:rFonts w:hint="eastAsia" w:ascii="宋体" w:hAnsi="宋体" w:cs="宋体"/>
          <w:sz w:val="24"/>
          <w:u w:val="single"/>
        </w:rPr>
        <w:t xml:space="preserve">   /   </w:t>
      </w:r>
    </w:p>
    <w:p w14:paraId="7B2FA8B6">
      <w:pPr>
        <w:spacing w:line="360" w:lineRule="auto"/>
        <w:ind w:firstLine="482" w:firstLineChars="200"/>
        <w:rPr>
          <w:rFonts w:ascii="宋体" w:hAnsi="宋体" w:cs="宋体"/>
          <w:sz w:val="24"/>
          <w:u w:val="single"/>
        </w:rPr>
      </w:pPr>
      <w:r>
        <w:rPr>
          <w:rFonts w:hint="eastAsia" w:ascii="宋体" w:hAnsi="宋体" w:cs="宋体"/>
          <w:b/>
          <w:sz w:val="24"/>
          <w:u w:val="single"/>
        </w:rPr>
        <w:t>⑦本工程结算造价以国家审计或财政评审为准。</w:t>
      </w:r>
    </w:p>
    <w:p w14:paraId="78A0C40C">
      <w:pPr>
        <w:spacing w:line="360" w:lineRule="auto"/>
        <w:ind w:firstLine="480" w:firstLineChars="200"/>
        <w:rPr>
          <w:rFonts w:ascii="宋体" w:hAnsi="宋体" w:cs="宋体"/>
          <w:sz w:val="24"/>
        </w:rPr>
      </w:pPr>
      <w:r>
        <w:rPr>
          <w:rFonts w:hint="eastAsia" w:ascii="宋体" w:hAnsi="宋体" w:cs="宋体"/>
          <w:sz w:val="24"/>
        </w:rPr>
        <w:t>10.5承包人的合理化建议</w:t>
      </w:r>
    </w:p>
    <w:p w14:paraId="5E64AF38">
      <w:pPr>
        <w:spacing w:line="360" w:lineRule="auto"/>
        <w:ind w:firstLine="480" w:firstLineChars="200"/>
        <w:rPr>
          <w:rFonts w:ascii="宋体" w:hAnsi="宋体" w:cs="宋体"/>
          <w:b/>
          <w:bCs/>
          <w:sz w:val="24"/>
        </w:rPr>
      </w:pPr>
      <w:r>
        <w:rPr>
          <w:rFonts w:hint="eastAsia" w:ascii="宋体" w:hAnsi="宋体" w:cs="宋体"/>
          <w:sz w:val="24"/>
        </w:rPr>
        <w:t>监理人审查承包人合理化建议的期限：</w:t>
      </w:r>
      <w:r>
        <w:rPr>
          <w:rFonts w:hint="eastAsia" w:ascii="宋体" w:hAnsi="宋体" w:cs="宋体"/>
          <w:b/>
          <w:bCs/>
          <w:sz w:val="24"/>
          <w:u w:val="single"/>
        </w:rPr>
        <w:t xml:space="preserve">按通用条款 </w:t>
      </w:r>
    </w:p>
    <w:p w14:paraId="3255BB70">
      <w:pPr>
        <w:spacing w:line="360" w:lineRule="auto"/>
        <w:ind w:firstLine="480" w:firstLineChars="200"/>
        <w:rPr>
          <w:rFonts w:ascii="宋体" w:hAnsi="宋体" w:cs="宋体"/>
          <w:sz w:val="24"/>
        </w:rPr>
      </w:pPr>
      <w:r>
        <w:rPr>
          <w:rFonts w:hint="eastAsia" w:ascii="宋体" w:hAnsi="宋体" w:cs="宋体"/>
          <w:sz w:val="24"/>
        </w:rPr>
        <w:t>发包人审批承包人合理化建议的期限：</w:t>
      </w:r>
      <w:r>
        <w:rPr>
          <w:rFonts w:hint="eastAsia" w:ascii="宋体" w:hAnsi="宋体" w:cs="宋体"/>
          <w:b/>
          <w:bCs/>
          <w:sz w:val="24"/>
          <w:u w:val="single"/>
        </w:rPr>
        <w:t xml:space="preserve">按通用条款 </w:t>
      </w:r>
    </w:p>
    <w:p w14:paraId="49A45AF7">
      <w:pPr>
        <w:spacing w:line="360" w:lineRule="auto"/>
        <w:ind w:firstLine="480" w:firstLineChars="200"/>
        <w:rPr>
          <w:rFonts w:ascii="宋体" w:hAnsi="宋体" w:cs="宋体"/>
          <w:sz w:val="24"/>
        </w:rPr>
      </w:pPr>
      <w:r>
        <w:rPr>
          <w:rFonts w:hint="eastAsia" w:ascii="宋体" w:hAnsi="宋体" w:cs="宋体"/>
          <w:sz w:val="24"/>
        </w:rPr>
        <w:t>承包人提出的合理化建议降低了合同价格或者提高了工程经济效益的奖励的方法和金额为：</w:t>
      </w:r>
      <w:r>
        <w:rPr>
          <w:rFonts w:hint="eastAsia" w:ascii="宋体" w:hAnsi="宋体" w:cs="宋体"/>
          <w:sz w:val="24"/>
          <w:u w:val="single"/>
        </w:rPr>
        <w:t xml:space="preserve"> /</w:t>
      </w:r>
      <w:r>
        <w:rPr>
          <w:rFonts w:hint="eastAsia" w:ascii="宋体" w:hAnsi="宋体" w:cs="宋体"/>
          <w:sz w:val="24"/>
        </w:rPr>
        <w:t>。</w:t>
      </w:r>
    </w:p>
    <w:p w14:paraId="061A1E68">
      <w:pPr>
        <w:spacing w:line="360" w:lineRule="auto"/>
        <w:ind w:firstLine="480" w:firstLineChars="200"/>
        <w:rPr>
          <w:rFonts w:ascii="宋体" w:hAnsi="宋体" w:cs="宋体"/>
          <w:sz w:val="24"/>
        </w:rPr>
      </w:pPr>
      <w:r>
        <w:rPr>
          <w:rFonts w:hint="eastAsia" w:ascii="宋体" w:hAnsi="宋体" w:cs="宋体"/>
          <w:sz w:val="24"/>
        </w:rPr>
        <w:t>10.7暂估价</w:t>
      </w:r>
    </w:p>
    <w:p w14:paraId="70622F83">
      <w:pPr>
        <w:spacing w:line="360" w:lineRule="auto"/>
        <w:ind w:firstLine="480" w:firstLineChars="200"/>
        <w:rPr>
          <w:rFonts w:ascii="宋体" w:hAnsi="宋体" w:cs="宋体"/>
          <w:sz w:val="24"/>
        </w:rPr>
      </w:pPr>
      <w:r>
        <w:rPr>
          <w:rFonts w:hint="eastAsia" w:ascii="宋体" w:hAnsi="宋体" w:cs="宋体"/>
          <w:kern w:val="0"/>
          <w:sz w:val="24"/>
        </w:rPr>
        <w:t>暂估价材料和工程设备的明细详见附件11：《</w:t>
      </w:r>
      <w:r>
        <w:rPr>
          <w:rFonts w:hint="eastAsia" w:ascii="宋体" w:hAnsi="宋体" w:cs="宋体"/>
          <w:sz w:val="24"/>
        </w:rPr>
        <w:t>暂估价一览表》</w:t>
      </w:r>
      <w:r>
        <w:rPr>
          <w:rFonts w:hint="eastAsia" w:ascii="宋体" w:hAnsi="宋体" w:cs="宋体"/>
          <w:kern w:val="0"/>
          <w:sz w:val="24"/>
        </w:rPr>
        <w:t>。</w:t>
      </w:r>
    </w:p>
    <w:p w14:paraId="21C0CA49">
      <w:pPr>
        <w:spacing w:line="360" w:lineRule="auto"/>
        <w:ind w:firstLine="480" w:firstLineChars="200"/>
        <w:rPr>
          <w:rFonts w:ascii="宋体" w:hAnsi="宋体" w:cs="宋体"/>
          <w:sz w:val="24"/>
        </w:rPr>
      </w:pPr>
      <w:r>
        <w:rPr>
          <w:rFonts w:hint="eastAsia" w:ascii="宋体" w:hAnsi="宋体" w:cs="宋体"/>
          <w:sz w:val="24"/>
        </w:rPr>
        <w:t>10.7.1依法必须招标的暂估价项目</w:t>
      </w:r>
    </w:p>
    <w:p w14:paraId="0A61F52A">
      <w:pPr>
        <w:spacing w:line="360" w:lineRule="auto"/>
        <w:ind w:firstLine="480" w:firstLineChars="200"/>
        <w:rPr>
          <w:rFonts w:ascii="宋体" w:hAnsi="宋体" w:cs="宋体"/>
          <w:sz w:val="24"/>
        </w:rPr>
      </w:pPr>
      <w:r>
        <w:rPr>
          <w:rFonts w:hint="eastAsia" w:ascii="宋体" w:hAnsi="宋体" w:cs="宋体"/>
          <w:sz w:val="24"/>
        </w:rPr>
        <w:t>对于依法必须招标的暂估价项目的确认和批准采取第</w:t>
      </w:r>
      <w:r>
        <w:rPr>
          <w:rFonts w:hint="eastAsia" w:ascii="宋体" w:hAnsi="宋体" w:cs="宋体"/>
          <w:sz w:val="24"/>
          <w:u w:val="single"/>
        </w:rPr>
        <w:t xml:space="preserve">  /  </w:t>
      </w:r>
      <w:r>
        <w:rPr>
          <w:rFonts w:hint="eastAsia" w:ascii="宋体" w:hAnsi="宋体" w:cs="宋体"/>
          <w:sz w:val="24"/>
        </w:rPr>
        <w:t>种方式确定。</w:t>
      </w:r>
    </w:p>
    <w:p w14:paraId="5D8F9D94">
      <w:pPr>
        <w:spacing w:line="360" w:lineRule="auto"/>
        <w:ind w:firstLine="480" w:firstLineChars="200"/>
        <w:rPr>
          <w:rFonts w:ascii="宋体" w:hAnsi="宋体" w:cs="宋体"/>
          <w:sz w:val="24"/>
        </w:rPr>
      </w:pPr>
      <w:r>
        <w:rPr>
          <w:rFonts w:hint="eastAsia" w:ascii="宋体" w:hAnsi="宋体" w:cs="宋体"/>
          <w:sz w:val="24"/>
        </w:rPr>
        <w:t>10.7.2不属于依法必须招标的暂估价项目</w:t>
      </w:r>
    </w:p>
    <w:p w14:paraId="03CE9192">
      <w:pPr>
        <w:spacing w:line="360" w:lineRule="auto"/>
        <w:ind w:firstLine="480" w:firstLineChars="200"/>
        <w:rPr>
          <w:rFonts w:ascii="宋体" w:hAnsi="宋体" w:cs="宋体"/>
          <w:sz w:val="24"/>
        </w:rPr>
      </w:pPr>
      <w:r>
        <w:rPr>
          <w:rFonts w:hint="eastAsia" w:ascii="宋体" w:hAnsi="宋体" w:cs="宋体"/>
          <w:sz w:val="24"/>
        </w:rPr>
        <w:t>对于不属于依法必须招标的暂估价项目的确认和批准采取第</w:t>
      </w:r>
      <w:r>
        <w:rPr>
          <w:rFonts w:hint="eastAsia" w:ascii="宋体" w:hAnsi="宋体" w:cs="宋体"/>
          <w:sz w:val="24"/>
          <w:u w:val="single"/>
        </w:rPr>
        <w:t xml:space="preserve">  /  </w:t>
      </w:r>
      <w:r>
        <w:rPr>
          <w:rFonts w:hint="eastAsia" w:ascii="宋体" w:hAnsi="宋体" w:cs="宋体"/>
          <w:sz w:val="24"/>
        </w:rPr>
        <w:t>种方式确定。</w:t>
      </w:r>
    </w:p>
    <w:p w14:paraId="78EC1571">
      <w:pPr>
        <w:spacing w:line="360" w:lineRule="auto"/>
        <w:ind w:firstLine="480" w:firstLineChars="200"/>
        <w:rPr>
          <w:rFonts w:ascii="宋体" w:hAnsi="宋体" w:cs="宋体"/>
          <w:kern w:val="0"/>
          <w:sz w:val="24"/>
        </w:rPr>
      </w:pPr>
      <w:r>
        <w:rPr>
          <w:rFonts w:hint="eastAsia" w:ascii="宋体" w:hAnsi="宋体" w:cs="宋体"/>
          <w:sz w:val="24"/>
        </w:rPr>
        <w:t>第3种方式：</w:t>
      </w:r>
      <w:r>
        <w:rPr>
          <w:rFonts w:hint="eastAsia" w:ascii="宋体" w:hAnsi="宋体" w:cs="宋体"/>
          <w:kern w:val="0"/>
          <w:sz w:val="24"/>
        </w:rPr>
        <w:t>承包人直接实施的暂估价项目</w:t>
      </w:r>
    </w:p>
    <w:p w14:paraId="714CF3A5">
      <w:pPr>
        <w:spacing w:line="360" w:lineRule="auto"/>
        <w:ind w:firstLine="480" w:firstLineChars="200"/>
        <w:rPr>
          <w:rFonts w:ascii="宋体" w:hAnsi="宋体" w:cs="宋体"/>
          <w:sz w:val="24"/>
        </w:rPr>
      </w:pPr>
      <w:r>
        <w:rPr>
          <w:rFonts w:hint="eastAsia" w:ascii="宋体" w:hAnsi="宋体" w:cs="宋体"/>
          <w:sz w:val="24"/>
        </w:rPr>
        <w:t>承包人直接实施的暂估价项目的约定：</w:t>
      </w:r>
      <w:r>
        <w:rPr>
          <w:rFonts w:hint="eastAsia" w:ascii="宋体" w:hAnsi="宋体" w:cs="宋体"/>
          <w:sz w:val="24"/>
          <w:u w:val="single"/>
        </w:rPr>
        <w:t xml:space="preserve">  /  </w:t>
      </w:r>
      <w:r>
        <w:rPr>
          <w:rFonts w:hint="eastAsia" w:ascii="宋体" w:hAnsi="宋体" w:cs="宋体"/>
          <w:sz w:val="24"/>
        </w:rPr>
        <w:t>。</w:t>
      </w:r>
    </w:p>
    <w:p w14:paraId="141ED6B3">
      <w:pPr>
        <w:spacing w:line="360" w:lineRule="auto"/>
        <w:ind w:firstLine="480" w:firstLineChars="200"/>
        <w:rPr>
          <w:rFonts w:ascii="宋体" w:hAnsi="宋体" w:cs="宋体"/>
          <w:sz w:val="24"/>
        </w:rPr>
      </w:pPr>
      <w:r>
        <w:rPr>
          <w:rFonts w:hint="eastAsia" w:ascii="宋体" w:hAnsi="宋体" w:cs="宋体"/>
          <w:sz w:val="24"/>
        </w:rPr>
        <w:t>10.8暂列金额</w:t>
      </w:r>
    </w:p>
    <w:p w14:paraId="01A3D794">
      <w:pPr>
        <w:autoSpaceDE w:val="0"/>
        <w:autoSpaceDN w:val="0"/>
        <w:spacing w:line="360" w:lineRule="auto"/>
        <w:ind w:firstLine="480" w:firstLineChars="200"/>
        <w:rPr>
          <w:rFonts w:ascii="宋体" w:hAnsi="宋体" w:cs="宋体"/>
          <w:sz w:val="24"/>
          <w:u w:val="single"/>
        </w:rPr>
      </w:pPr>
      <w:r>
        <w:rPr>
          <w:rFonts w:hint="eastAsia" w:ascii="宋体" w:hAnsi="宋体" w:cs="宋体"/>
          <w:kern w:val="0"/>
          <w:sz w:val="24"/>
        </w:rPr>
        <w:t>合同当事人关于暂列金额使用的约定：</w:t>
      </w:r>
      <w:r>
        <w:rPr>
          <w:rFonts w:hint="eastAsia" w:ascii="宋体" w:hAnsi="宋体" w:cs="宋体"/>
          <w:sz w:val="24"/>
          <w:u w:val="single"/>
        </w:rPr>
        <w:t xml:space="preserve">  /  </w:t>
      </w:r>
      <w:r>
        <w:rPr>
          <w:rFonts w:hint="eastAsia" w:ascii="宋体" w:hAnsi="宋体" w:cs="宋体"/>
          <w:kern w:val="0"/>
          <w:sz w:val="24"/>
        </w:rPr>
        <w:t>。</w:t>
      </w:r>
    </w:p>
    <w:p w14:paraId="0E0C1BC7">
      <w:pPr>
        <w:spacing w:line="360" w:lineRule="auto"/>
        <w:ind w:firstLine="482" w:firstLineChars="200"/>
        <w:rPr>
          <w:rFonts w:ascii="宋体" w:hAnsi="宋体" w:cs="宋体"/>
          <w:b/>
          <w:bCs/>
          <w:sz w:val="24"/>
        </w:rPr>
      </w:pPr>
      <w:r>
        <w:rPr>
          <w:rFonts w:hint="eastAsia" w:ascii="宋体" w:hAnsi="宋体" w:cs="宋体"/>
          <w:b/>
          <w:bCs/>
          <w:sz w:val="24"/>
        </w:rPr>
        <w:t>11、价格调整</w:t>
      </w:r>
    </w:p>
    <w:p w14:paraId="4851D0C9">
      <w:pPr>
        <w:spacing w:line="360" w:lineRule="auto"/>
        <w:ind w:firstLine="480" w:firstLineChars="200"/>
        <w:rPr>
          <w:rFonts w:ascii="宋体" w:hAnsi="宋体" w:cs="宋体"/>
          <w:sz w:val="24"/>
        </w:rPr>
      </w:pPr>
      <w:r>
        <w:rPr>
          <w:rFonts w:hint="eastAsia" w:ascii="宋体" w:hAnsi="宋体" w:cs="宋体"/>
          <w:sz w:val="24"/>
        </w:rPr>
        <w:t>11.1市场价格波动引起的调整</w:t>
      </w:r>
    </w:p>
    <w:p w14:paraId="76AD2CFB">
      <w:pPr>
        <w:spacing w:line="360" w:lineRule="auto"/>
        <w:ind w:firstLine="480" w:firstLineChars="200"/>
        <w:rPr>
          <w:rFonts w:ascii="宋体" w:hAnsi="宋体" w:cs="宋体"/>
          <w:sz w:val="24"/>
        </w:rPr>
      </w:pPr>
      <w:r>
        <w:rPr>
          <w:rFonts w:hint="eastAsia" w:ascii="宋体" w:hAnsi="宋体" w:cs="宋体"/>
          <w:kern w:val="0"/>
          <w:sz w:val="24"/>
        </w:rPr>
        <w:t>市场价格波动是否调整合同价格的约定：</w:t>
      </w:r>
      <w:r>
        <w:rPr>
          <w:rFonts w:hint="eastAsia" w:ascii="宋体" w:hAnsi="宋体" w:cs="宋体"/>
          <w:kern w:val="0"/>
          <w:sz w:val="24"/>
          <w:u w:val="single"/>
        </w:rPr>
        <w:t>调整</w:t>
      </w:r>
      <w:r>
        <w:rPr>
          <w:rFonts w:hint="eastAsia" w:ascii="宋体" w:hAnsi="宋体" w:cs="宋体"/>
          <w:sz w:val="24"/>
        </w:rPr>
        <w:t>。</w:t>
      </w:r>
    </w:p>
    <w:p w14:paraId="1492804F">
      <w:pPr>
        <w:spacing w:line="360" w:lineRule="auto"/>
        <w:ind w:firstLine="480" w:firstLineChars="200"/>
        <w:rPr>
          <w:rFonts w:ascii="宋体" w:hAnsi="宋体" w:cs="宋体"/>
          <w:sz w:val="24"/>
        </w:rPr>
      </w:pPr>
      <w:r>
        <w:rPr>
          <w:rFonts w:hint="eastAsia" w:ascii="宋体" w:hAnsi="宋体" w:cs="宋体"/>
          <w:sz w:val="24"/>
        </w:rPr>
        <w:t>因市场价格波动调整合同价格，采用以下第</w:t>
      </w:r>
      <w:r>
        <w:rPr>
          <w:rFonts w:hint="eastAsia" w:ascii="宋体" w:hAnsi="宋体" w:cs="宋体"/>
          <w:b/>
          <w:bCs/>
          <w:sz w:val="24"/>
          <w:u w:val="single"/>
        </w:rPr>
        <w:t xml:space="preserve">  3   </w:t>
      </w:r>
      <w:r>
        <w:rPr>
          <w:rFonts w:hint="eastAsia" w:ascii="宋体" w:hAnsi="宋体" w:cs="宋体"/>
          <w:sz w:val="24"/>
        </w:rPr>
        <w:t>种方式对合同价格进行调整：</w:t>
      </w:r>
    </w:p>
    <w:p w14:paraId="59CC0FC7">
      <w:pPr>
        <w:spacing w:line="360" w:lineRule="auto"/>
        <w:ind w:firstLine="480" w:firstLineChars="200"/>
        <w:rPr>
          <w:rFonts w:ascii="宋体" w:hAnsi="宋体" w:cs="宋体"/>
          <w:sz w:val="24"/>
        </w:rPr>
      </w:pPr>
      <w:r>
        <w:rPr>
          <w:rFonts w:hint="eastAsia" w:ascii="宋体" w:hAnsi="宋体" w:cs="宋体"/>
          <w:sz w:val="24"/>
        </w:rPr>
        <w:t>第1种方式：采用价格指数进行价格调整。</w:t>
      </w:r>
    </w:p>
    <w:p w14:paraId="5A611E9B">
      <w:pPr>
        <w:spacing w:line="360" w:lineRule="auto"/>
        <w:ind w:firstLine="480" w:firstLineChars="200"/>
        <w:rPr>
          <w:rFonts w:ascii="宋体" w:hAnsi="宋体" w:cs="宋体"/>
          <w:sz w:val="24"/>
          <w:u w:val="single"/>
        </w:rPr>
      </w:pPr>
      <w:r>
        <w:rPr>
          <w:rFonts w:hint="eastAsia" w:ascii="宋体" w:hAnsi="宋体" w:cs="宋体"/>
          <w:sz w:val="24"/>
        </w:rPr>
        <w:t>关于各可调因子、定值和变值权重，以及基本价格指数及其来源的约定：</w:t>
      </w:r>
      <w:r>
        <w:rPr>
          <w:rFonts w:hint="eastAsia" w:ascii="宋体" w:hAnsi="宋体" w:cs="宋体"/>
          <w:sz w:val="24"/>
          <w:u w:val="single"/>
        </w:rPr>
        <w:t xml:space="preserve"> /  </w:t>
      </w:r>
      <w:r>
        <w:rPr>
          <w:rFonts w:hint="eastAsia" w:ascii="宋体" w:hAnsi="宋体" w:cs="宋体"/>
          <w:sz w:val="24"/>
        </w:rPr>
        <w:t xml:space="preserve">；  </w:t>
      </w:r>
    </w:p>
    <w:p w14:paraId="184A8841">
      <w:pPr>
        <w:spacing w:line="360" w:lineRule="auto"/>
        <w:ind w:firstLine="480" w:firstLineChars="200"/>
        <w:rPr>
          <w:rFonts w:ascii="宋体" w:hAnsi="宋体" w:cs="宋体"/>
          <w:sz w:val="24"/>
        </w:rPr>
      </w:pPr>
      <w:r>
        <w:rPr>
          <w:rFonts w:hint="eastAsia" w:ascii="宋体" w:hAnsi="宋体" w:cs="宋体"/>
          <w:sz w:val="24"/>
        </w:rPr>
        <w:t>第2种方式：采用造价信息进行价格调整。</w:t>
      </w:r>
    </w:p>
    <w:p w14:paraId="6D96010D">
      <w:pPr>
        <w:spacing w:line="360" w:lineRule="auto"/>
        <w:ind w:firstLine="480" w:firstLineChars="200"/>
        <w:rPr>
          <w:rFonts w:ascii="宋体" w:hAnsi="宋体" w:cs="宋体"/>
          <w:sz w:val="24"/>
        </w:rPr>
      </w:pPr>
      <w:r>
        <w:rPr>
          <w:rFonts w:hint="eastAsia" w:ascii="宋体" w:hAnsi="宋体" w:cs="宋体"/>
          <w:sz w:val="24"/>
        </w:rPr>
        <w:t>（2）关于基准价格的约定：。</w:t>
      </w:r>
    </w:p>
    <w:p w14:paraId="16FCA147">
      <w:pPr>
        <w:spacing w:line="360" w:lineRule="auto"/>
        <w:ind w:firstLine="480" w:firstLineChars="200"/>
        <w:rPr>
          <w:rFonts w:ascii="宋体" w:hAnsi="宋体" w:cs="宋体"/>
          <w:sz w:val="24"/>
        </w:rPr>
      </w:pPr>
      <w:r>
        <w:rPr>
          <w:rFonts w:hint="eastAsia" w:ascii="宋体" w:hAnsi="宋体" w:cs="宋体"/>
          <w:sz w:val="24"/>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14:paraId="54056355">
      <w:pPr>
        <w:spacing w:line="360" w:lineRule="auto"/>
        <w:ind w:firstLine="480" w:firstLineChars="200"/>
        <w:rPr>
          <w:rFonts w:ascii="宋体" w:hAnsi="宋体" w:cs="宋体"/>
          <w:sz w:val="24"/>
        </w:rPr>
      </w:pPr>
      <w:r>
        <w:rPr>
          <w:rFonts w:hint="eastAsia" w:ascii="宋体" w:hAnsi="宋体" w:cs="宋体"/>
          <w:sz w:val="24"/>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14:paraId="53CBD8DC">
      <w:pPr>
        <w:spacing w:line="360" w:lineRule="auto"/>
        <w:ind w:firstLine="480" w:firstLineChars="200"/>
        <w:rPr>
          <w:rFonts w:ascii="宋体" w:hAnsi="宋体" w:cs="宋体"/>
          <w:sz w:val="24"/>
        </w:rPr>
      </w:pPr>
      <w:r>
        <w:rPr>
          <w:rFonts w:hint="eastAsia" w:ascii="宋体" w:hAnsi="宋体" w:cs="宋体"/>
          <w:sz w:val="24"/>
        </w:rPr>
        <w:t>③承包人在已标价工程量清单或预算书中载明的材料单价等于基准单价的：专用合同条款合同履行期间材料单价涨跌幅以基准单价为基础超过±%时，其超过部分据实调整。</w:t>
      </w:r>
    </w:p>
    <w:p w14:paraId="0208323C">
      <w:pPr>
        <w:spacing w:line="360" w:lineRule="auto"/>
        <w:ind w:firstLine="482" w:firstLineChars="200"/>
        <w:rPr>
          <w:rFonts w:ascii="宋体" w:hAnsi="宋体" w:cs="宋体"/>
          <w:b/>
          <w:bCs/>
          <w:sz w:val="24"/>
        </w:rPr>
      </w:pPr>
      <w:r>
        <w:rPr>
          <w:rFonts w:hint="eastAsia" w:ascii="宋体" w:hAnsi="宋体" w:cs="宋体"/>
          <w:b/>
          <w:bCs/>
          <w:sz w:val="24"/>
        </w:rPr>
        <w:t>第3种方式：</w:t>
      </w:r>
      <w:r>
        <w:rPr>
          <w:rFonts w:hint="eastAsia" w:ascii="宋体" w:hAnsi="宋体" w:cs="宋体"/>
          <w:b/>
          <w:bCs/>
          <w:sz w:val="24"/>
          <w:u w:val="single"/>
        </w:rPr>
        <w:t>采用政策性文件进行价格调整</w:t>
      </w:r>
      <w:r>
        <w:rPr>
          <w:rFonts w:hint="eastAsia" w:ascii="宋体" w:hAnsi="宋体" w:cs="宋体"/>
          <w:b/>
          <w:bCs/>
          <w:sz w:val="24"/>
        </w:rPr>
        <w:t>。</w:t>
      </w:r>
    </w:p>
    <w:p w14:paraId="2004F15F">
      <w:pPr>
        <w:spacing w:line="360" w:lineRule="auto"/>
        <w:ind w:firstLine="480" w:firstLineChars="200"/>
        <w:rPr>
          <w:rFonts w:ascii="宋体" w:hAnsi="宋体" w:cs="宋体"/>
          <w:kern w:val="0"/>
          <w:sz w:val="24"/>
          <w:u w:val="single"/>
        </w:rPr>
      </w:pPr>
      <w:r>
        <w:rPr>
          <w:rFonts w:hint="eastAsia" w:ascii="宋体" w:hAnsi="宋体" w:cs="宋体"/>
          <w:kern w:val="0"/>
          <w:sz w:val="24"/>
        </w:rPr>
        <w:t>政府投资工程因市场价格波动引起的调整：</w:t>
      </w:r>
      <w:r>
        <w:rPr>
          <w:rFonts w:hint="eastAsia" w:ascii="宋体" w:hAnsi="宋体" w:cs="宋体"/>
          <w:kern w:val="0"/>
          <w:sz w:val="24"/>
          <w:u w:val="single"/>
        </w:rPr>
        <w:t>按《关于进一步加强杭州市建设工程市场要素价格动态管理的指导意见》(杭建市发〔2018）579号)文执行。</w:t>
      </w:r>
    </w:p>
    <w:p w14:paraId="592E6DBE">
      <w:pPr>
        <w:spacing w:line="360" w:lineRule="auto"/>
        <w:ind w:firstLine="480" w:firstLineChars="200"/>
        <w:rPr>
          <w:rFonts w:ascii="宋体" w:hAnsi="宋体" w:cs="宋体"/>
          <w:kern w:val="0"/>
          <w:sz w:val="24"/>
        </w:rPr>
      </w:pPr>
      <w:r>
        <w:rPr>
          <w:rFonts w:hint="eastAsia" w:ascii="宋体" w:hAnsi="宋体" w:cs="宋体"/>
          <w:kern w:val="0"/>
          <w:sz w:val="24"/>
        </w:rPr>
        <w:t>其中：</w:t>
      </w:r>
    </w:p>
    <w:p w14:paraId="768E114E">
      <w:pPr>
        <w:spacing w:line="360" w:lineRule="auto"/>
        <w:ind w:firstLine="480" w:firstLineChars="200"/>
        <w:rPr>
          <w:rFonts w:ascii="宋体" w:hAnsi="宋体" w:cs="宋体"/>
          <w:kern w:val="0"/>
          <w:sz w:val="24"/>
        </w:rPr>
      </w:pPr>
      <w:r>
        <w:rPr>
          <w:rFonts w:hint="eastAsia" w:ascii="宋体" w:hAnsi="宋体" w:cs="宋体"/>
          <w:kern w:val="0"/>
          <w:sz w:val="24"/>
        </w:rPr>
        <w:t>1、风险范围及幅度的约定：</w:t>
      </w:r>
    </w:p>
    <w:p w14:paraId="5F2BA2E4">
      <w:pPr>
        <w:widowControl/>
        <w:spacing w:line="360" w:lineRule="auto"/>
        <w:ind w:firstLine="480" w:firstLineChars="200"/>
        <w:rPr>
          <w:rFonts w:ascii="宋体" w:hAnsi="宋体" w:cs="宋体"/>
          <w:kern w:val="0"/>
          <w:sz w:val="24"/>
          <w:u w:val="single"/>
        </w:rPr>
      </w:pPr>
      <w:r>
        <w:rPr>
          <w:rFonts w:hint="eastAsia" w:ascii="宋体" w:hAnsi="宋体" w:cs="宋体"/>
          <w:kern w:val="0"/>
          <w:sz w:val="24"/>
          <w:u w:val="single"/>
        </w:rPr>
        <w:t>（1）人工价格风险幅度为5%；</w:t>
      </w:r>
    </w:p>
    <w:p w14:paraId="7BEAD0F4">
      <w:pPr>
        <w:widowControl/>
        <w:spacing w:line="360" w:lineRule="auto"/>
        <w:ind w:firstLine="480" w:firstLineChars="200"/>
        <w:rPr>
          <w:rFonts w:ascii="宋体" w:hAnsi="宋体" w:cs="宋体"/>
          <w:kern w:val="0"/>
          <w:sz w:val="24"/>
          <w:u w:val="single"/>
        </w:rPr>
      </w:pPr>
      <w:r>
        <w:rPr>
          <w:rFonts w:hint="eastAsia" w:ascii="宋体" w:hAnsi="宋体" w:cs="宋体"/>
          <w:kern w:val="0"/>
          <w:sz w:val="24"/>
          <w:u w:val="single"/>
        </w:rPr>
        <w:t>（2）单种规格材料价格风险幅度为5%；</w:t>
      </w:r>
    </w:p>
    <w:p w14:paraId="185336C2">
      <w:pPr>
        <w:spacing w:line="360" w:lineRule="auto"/>
        <w:ind w:firstLine="480" w:firstLineChars="200"/>
        <w:rPr>
          <w:rFonts w:ascii="宋体" w:hAnsi="宋体" w:cs="宋体"/>
          <w:sz w:val="24"/>
        </w:rPr>
      </w:pPr>
      <w:r>
        <w:rPr>
          <w:rFonts w:hint="eastAsia" w:ascii="宋体" w:hAnsi="宋体" w:cs="宋体"/>
          <w:sz w:val="24"/>
        </w:rPr>
        <w:t>2、材料价款动态调整结算方式采用以下</w:t>
      </w:r>
      <w:r>
        <w:rPr>
          <w:rFonts w:hint="eastAsia" w:ascii="宋体" w:hAnsi="宋体" w:cs="宋体"/>
          <w:sz w:val="24"/>
          <w:u w:val="single"/>
        </w:rPr>
        <w:t xml:space="preserve"> </w:t>
      </w:r>
      <w:r>
        <w:rPr>
          <w:rFonts w:hint="eastAsia" w:ascii="宋体" w:hAnsi="宋体" w:cs="宋体"/>
          <w:b/>
          <w:bCs/>
          <w:sz w:val="24"/>
          <w:u w:val="single"/>
        </w:rPr>
        <w:t>第（3）种方式</w:t>
      </w:r>
      <w:r>
        <w:rPr>
          <w:rFonts w:hint="eastAsia" w:ascii="宋体" w:hAnsi="宋体" w:cs="宋体"/>
          <w:sz w:val="24"/>
          <w:u w:val="single"/>
        </w:rPr>
        <w:t xml:space="preserve"> </w:t>
      </w:r>
      <w:r>
        <w:rPr>
          <w:rFonts w:hint="eastAsia" w:ascii="宋体" w:hAnsi="宋体" w:cs="宋体"/>
          <w:sz w:val="24"/>
        </w:rPr>
        <w:t>约定：</w:t>
      </w:r>
    </w:p>
    <w:p w14:paraId="06E55FC9">
      <w:pPr>
        <w:spacing w:line="360" w:lineRule="auto"/>
        <w:ind w:firstLine="480" w:firstLineChars="200"/>
        <w:rPr>
          <w:rFonts w:ascii="宋体" w:hAnsi="宋体" w:cs="宋体"/>
          <w:kern w:val="0"/>
          <w:sz w:val="24"/>
          <w:u w:val="single"/>
        </w:rPr>
      </w:pPr>
      <w:r>
        <w:rPr>
          <w:rFonts w:hint="eastAsia" w:ascii="宋体" w:hAnsi="宋体" w:cs="宋体"/>
          <w:kern w:val="0"/>
          <w:sz w:val="24"/>
          <w:u w:val="single"/>
        </w:rPr>
        <w:t>（1）按时间进度分段结算： /  。</w:t>
      </w:r>
    </w:p>
    <w:p w14:paraId="396FA352">
      <w:pPr>
        <w:spacing w:line="360" w:lineRule="auto"/>
        <w:ind w:firstLine="480" w:firstLineChars="200"/>
        <w:rPr>
          <w:rFonts w:ascii="宋体" w:hAnsi="宋体" w:cs="宋体"/>
          <w:sz w:val="24"/>
          <w:u w:val="single"/>
        </w:rPr>
      </w:pPr>
      <w:r>
        <w:rPr>
          <w:rFonts w:hint="eastAsia" w:ascii="宋体" w:hAnsi="宋体" w:cs="宋体"/>
          <w:sz w:val="24"/>
          <w:u w:val="single"/>
        </w:rPr>
        <w:t>（2）按工程形象部位(目标)分段结算：/  。</w:t>
      </w:r>
    </w:p>
    <w:p w14:paraId="0B07476C">
      <w:pPr>
        <w:spacing w:line="360" w:lineRule="auto"/>
        <w:ind w:firstLine="482" w:firstLineChars="200"/>
        <w:rPr>
          <w:rFonts w:ascii="宋体" w:hAnsi="宋体" w:cs="宋体"/>
          <w:b/>
          <w:bCs/>
          <w:sz w:val="24"/>
          <w:u w:val="single"/>
        </w:rPr>
      </w:pPr>
      <w:r>
        <w:rPr>
          <w:rFonts w:hint="eastAsia" w:ascii="宋体" w:hAnsi="宋体" w:cs="宋体"/>
          <w:b/>
          <w:bCs/>
          <w:sz w:val="24"/>
          <w:u w:val="single"/>
        </w:rPr>
        <w:t xml:space="preserve">（3）竣工后一次性结算调价。 </w:t>
      </w:r>
    </w:p>
    <w:p w14:paraId="018CC4DC">
      <w:pPr>
        <w:spacing w:line="360" w:lineRule="auto"/>
        <w:ind w:firstLine="480" w:firstLineChars="200"/>
        <w:rPr>
          <w:rFonts w:ascii="宋体" w:hAnsi="宋体" w:cs="宋体"/>
          <w:sz w:val="24"/>
          <w:u w:val="single"/>
        </w:rPr>
      </w:pPr>
      <w:r>
        <w:rPr>
          <w:rFonts w:hint="eastAsia" w:ascii="宋体" w:hAnsi="宋体" w:cs="宋体"/>
          <w:sz w:val="24"/>
          <w:u w:val="single"/>
        </w:rPr>
        <w:t>工程竣工后，根据合同工期内各期材料信息价格相对于编制期信息价的变动幅度以及材料的风险承担幅度进行计量和结算。合同工期内月份的计算按照日历月份计，遇有小数即进位取整数。风险幅度以外材料价差计算公式如下：</w:t>
      </w:r>
    </w:p>
    <w:p w14:paraId="0FF8096A">
      <w:pPr>
        <w:spacing w:line="360" w:lineRule="auto"/>
        <w:ind w:firstLine="480" w:firstLineChars="200"/>
        <w:rPr>
          <w:rFonts w:ascii="宋体" w:hAnsi="宋体" w:cs="宋体"/>
          <w:sz w:val="24"/>
          <w:u w:val="single"/>
        </w:rPr>
      </w:pPr>
      <w:r>
        <w:rPr>
          <w:rFonts w:hint="eastAsia" w:ascii="宋体" w:hAnsi="宋体" w:cs="宋体"/>
          <w:sz w:val="24"/>
          <w:u w:val="single"/>
        </w:rPr>
        <w:t>①当单种规格材料价格上涨超过约定的风险幅度时，材料差价（正值）=〔合同工期内各月份信息价算术平均值-编制期信息价×（1+风险幅度）〕×单种规格材料用量。</w:t>
      </w:r>
    </w:p>
    <w:p w14:paraId="4F8481B1">
      <w:pPr>
        <w:spacing w:line="360" w:lineRule="auto"/>
        <w:ind w:firstLine="480" w:firstLineChars="200"/>
        <w:rPr>
          <w:rFonts w:ascii="宋体" w:hAnsi="宋体" w:cs="宋体"/>
          <w:sz w:val="24"/>
          <w:u w:val="single"/>
        </w:rPr>
      </w:pPr>
      <w:r>
        <w:rPr>
          <w:rFonts w:hint="eastAsia" w:ascii="宋体" w:hAnsi="宋体" w:cs="宋体"/>
          <w:sz w:val="24"/>
          <w:u w:val="single"/>
        </w:rPr>
        <w:t>②当单种规格材料价格下跌超过约定的风险幅度时，材料差价（负值）=〔合同工期内各月份信息价算术平均值-编制期信息价×（1-风险幅度)〕×单种规格材料用量。</w:t>
      </w:r>
    </w:p>
    <w:p w14:paraId="5AD5CC8D">
      <w:pPr>
        <w:spacing w:line="360" w:lineRule="auto"/>
        <w:ind w:firstLine="480" w:firstLineChars="200"/>
        <w:rPr>
          <w:rFonts w:ascii="宋体" w:hAnsi="宋体" w:cs="宋体"/>
          <w:sz w:val="24"/>
        </w:rPr>
      </w:pPr>
      <w:r>
        <w:rPr>
          <w:rFonts w:hint="eastAsia" w:ascii="宋体" w:hAnsi="宋体" w:cs="宋体"/>
          <w:sz w:val="24"/>
          <w:u w:val="single"/>
        </w:rPr>
        <w:t>上述公式中的“单种规格材料”是指根据浙江省、杭州市信息价正刊发布的有单独序号或代码的原材料、构配件、半产品、辅助材料和零件，其中砼管桩、商品砼、预拌砂浆、沥青砼、预制构件等成品、半成品不予拆分，园钢、螺纹钢及Ⅲ级钢采用综合价。 “单种规格材料用量”，是指可调规格材料原合同用量与联系单变更用量之和，材料包括工程实施过程中耗用的原材料、构配件、半产品、辅助材料和零件。“编制期信息价”，是指由工程造价管理机构在磋商截止日前28日历天所在月份造价信息正刊发布的当期信息价。所在月份信息价如遇工程造价管理机构发布信息价格调整的，则该月信息价格按所发布信息价执行天数加权平均。）</w:t>
      </w:r>
    </w:p>
    <w:p w14:paraId="27F7F266">
      <w:pPr>
        <w:spacing w:line="360" w:lineRule="auto"/>
        <w:ind w:firstLine="480" w:firstLineChars="200"/>
        <w:rPr>
          <w:rFonts w:ascii="宋体" w:hAnsi="宋体" w:cs="宋体"/>
          <w:sz w:val="24"/>
          <w:u w:val="single"/>
        </w:rPr>
      </w:pPr>
      <w:r>
        <w:rPr>
          <w:rFonts w:hint="eastAsia" w:ascii="宋体" w:hAnsi="宋体" w:cs="宋体"/>
          <w:sz w:val="24"/>
          <w:u w:val="single"/>
        </w:rPr>
        <w:t>3、非承包人原因引起的延期，经发包人、监理单位审批同意顺延后，经批准的顺延工期可计入合同工期，未经审批同意，不得延长合同工期。</w:t>
      </w:r>
    </w:p>
    <w:p w14:paraId="46614C0A">
      <w:pPr>
        <w:spacing w:line="360" w:lineRule="auto"/>
        <w:ind w:firstLine="480" w:firstLineChars="200"/>
        <w:rPr>
          <w:rFonts w:ascii="宋体" w:hAnsi="宋体" w:cs="宋体"/>
          <w:sz w:val="24"/>
          <w:u w:val="single"/>
        </w:rPr>
      </w:pPr>
      <w:r>
        <w:rPr>
          <w:rFonts w:hint="eastAsia" w:ascii="宋体" w:hAnsi="宋体" w:cs="宋体"/>
          <w:sz w:val="24"/>
          <w:u w:val="single"/>
        </w:rPr>
        <w:t>4、承包人办理工程结算时必须向审核部门提供预算软件导出的带有计价软件格式的电子结算文件。</w:t>
      </w:r>
    </w:p>
    <w:p w14:paraId="607B4205">
      <w:pPr>
        <w:spacing w:line="360" w:lineRule="auto"/>
        <w:ind w:firstLine="482" w:firstLineChars="200"/>
        <w:rPr>
          <w:rFonts w:ascii="宋体" w:hAnsi="宋体" w:cs="宋体"/>
          <w:b/>
          <w:bCs/>
          <w:sz w:val="24"/>
        </w:rPr>
      </w:pPr>
      <w:r>
        <w:rPr>
          <w:rFonts w:hint="eastAsia" w:ascii="宋体" w:hAnsi="宋体" w:cs="宋体"/>
          <w:b/>
          <w:bCs/>
          <w:sz w:val="24"/>
        </w:rPr>
        <w:t>12、合同价格、计量与支付</w:t>
      </w:r>
    </w:p>
    <w:p w14:paraId="5501D2E4">
      <w:pPr>
        <w:spacing w:line="360" w:lineRule="auto"/>
        <w:ind w:firstLine="480" w:firstLineChars="200"/>
        <w:rPr>
          <w:rFonts w:ascii="宋体" w:hAnsi="宋体" w:cs="宋体"/>
          <w:sz w:val="24"/>
        </w:rPr>
      </w:pPr>
      <w:r>
        <w:rPr>
          <w:rFonts w:hint="eastAsia" w:ascii="宋体" w:hAnsi="宋体" w:cs="宋体"/>
          <w:sz w:val="24"/>
        </w:rPr>
        <w:t>12.1合同价格形式</w:t>
      </w:r>
    </w:p>
    <w:p w14:paraId="1C587C86">
      <w:pPr>
        <w:spacing w:line="360" w:lineRule="auto"/>
        <w:ind w:firstLine="480" w:firstLineChars="200"/>
        <w:rPr>
          <w:rFonts w:ascii="宋体" w:hAnsi="宋体" w:cs="宋体"/>
          <w:sz w:val="24"/>
        </w:rPr>
      </w:pPr>
      <w:r>
        <w:rPr>
          <w:rFonts w:hint="eastAsia" w:ascii="宋体" w:hAnsi="宋体" w:cs="宋体"/>
          <w:sz w:val="24"/>
        </w:rPr>
        <w:t>1、单价合同。</w:t>
      </w:r>
    </w:p>
    <w:p w14:paraId="67DB21AE">
      <w:pPr>
        <w:spacing w:line="360" w:lineRule="auto"/>
        <w:ind w:firstLine="480" w:firstLineChars="200"/>
        <w:rPr>
          <w:rFonts w:ascii="宋体" w:hAnsi="宋体" w:cs="宋体"/>
          <w:sz w:val="24"/>
        </w:rPr>
      </w:pPr>
      <w:r>
        <w:rPr>
          <w:rFonts w:hint="eastAsia" w:ascii="宋体" w:hAnsi="宋体" w:cs="宋体"/>
          <w:sz w:val="24"/>
        </w:rPr>
        <w:t>综合单价包含的风险范围：</w:t>
      </w:r>
    </w:p>
    <w:p w14:paraId="2ED0689F">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 xml:space="preserve">（1）应由承包人承担的工、料、机在磋商编制期或预算书编制期与合同实施期间所发生的市场价格波动。 </w:t>
      </w:r>
    </w:p>
    <w:p w14:paraId="6017E620">
      <w:pPr>
        <w:widowControl/>
        <w:spacing w:line="360" w:lineRule="auto"/>
        <w:ind w:firstLine="482" w:firstLineChars="200"/>
        <w:rPr>
          <w:rFonts w:ascii="宋体" w:hAnsi="宋体" w:cs="宋体"/>
          <w:kern w:val="0"/>
          <w:sz w:val="24"/>
        </w:rPr>
      </w:pPr>
      <w:r>
        <w:rPr>
          <w:rFonts w:hint="eastAsia" w:ascii="宋体" w:hAnsi="宋体" w:cs="宋体"/>
          <w:b/>
          <w:bCs/>
          <w:kern w:val="0"/>
          <w:sz w:val="24"/>
          <w:u w:val="single"/>
        </w:rPr>
        <w:t>（2）其他：按通用条款</w:t>
      </w:r>
    </w:p>
    <w:p w14:paraId="39BB67D6">
      <w:pPr>
        <w:widowControl/>
        <w:spacing w:line="360" w:lineRule="auto"/>
        <w:ind w:firstLine="480" w:firstLineChars="200"/>
        <w:rPr>
          <w:rFonts w:ascii="宋体" w:hAnsi="宋体" w:cs="宋体"/>
          <w:sz w:val="24"/>
          <w:u w:val="single"/>
        </w:rPr>
      </w:pPr>
      <w:r>
        <w:rPr>
          <w:rFonts w:hint="eastAsia" w:ascii="宋体" w:hAnsi="宋体" w:cs="宋体"/>
          <w:sz w:val="24"/>
        </w:rPr>
        <w:t>风险费用的计算方法：</w:t>
      </w:r>
      <w:r>
        <w:rPr>
          <w:rFonts w:hint="eastAsia" w:ascii="宋体" w:hAnsi="宋体" w:cs="宋体"/>
          <w:b/>
          <w:bCs/>
          <w:kern w:val="0"/>
          <w:sz w:val="24"/>
          <w:u w:val="single"/>
        </w:rPr>
        <w:t>风险因素范围内的风险费用不在合同价外另行计列及调整。</w:t>
      </w:r>
    </w:p>
    <w:p w14:paraId="73FE1CDD">
      <w:pPr>
        <w:spacing w:line="360" w:lineRule="auto"/>
        <w:ind w:firstLine="480" w:firstLineChars="200"/>
        <w:rPr>
          <w:rFonts w:ascii="宋体" w:hAnsi="宋体" w:cs="宋体"/>
          <w:sz w:val="24"/>
        </w:rPr>
      </w:pPr>
      <w:r>
        <w:rPr>
          <w:rFonts w:hint="eastAsia" w:ascii="宋体" w:hAnsi="宋体" w:cs="宋体"/>
          <w:sz w:val="24"/>
        </w:rPr>
        <w:t>风险范围以外合同价格的调整方法：</w:t>
      </w:r>
    </w:p>
    <w:p w14:paraId="66B193E1">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（1）市场价格波动引起的调整按本合同11.1约定计算。</w:t>
      </w:r>
    </w:p>
    <w:p w14:paraId="2BE37239">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 xml:space="preserve">（2）其他：  / </w:t>
      </w:r>
    </w:p>
    <w:p w14:paraId="3574755D">
      <w:pPr>
        <w:spacing w:line="360" w:lineRule="auto"/>
        <w:ind w:firstLine="480" w:firstLineChars="200"/>
        <w:rPr>
          <w:rFonts w:ascii="宋体" w:hAnsi="宋体" w:cs="宋体"/>
          <w:sz w:val="24"/>
        </w:rPr>
      </w:pPr>
      <w:r>
        <w:rPr>
          <w:rFonts w:hint="eastAsia" w:ascii="宋体" w:hAnsi="宋体" w:cs="宋体"/>
          <w:sz w:val="24"/>
        </w:rPr>
        <w:t>2、总价合同。</w:t>
      </w:r>
    </w:p>
    <w:p w14:paraId="034387A5">
      <w:pPr>
        <w:spacing w:line="360" w:lineRule="auto"/>
        <w:ind w:firstLine="480" w:firstLineChars="200"/>
        <w:rPr>
          <w:rFonts w:ascii="宋体" w:hAnsi="宋体" w:cs="宋体"/>
          <w:sz w:val="24"/>
        </w:rPr>
      </w:pPr>
      <w:r>
        <w:rPr>
          <w:rFonts w:hint="eastAsia" w:ascii="宋体" w:hAnsi="宋体" w:cs="宋体"/>
          <w:sz w:val="24"/>
        </w:rPr>
        <w:t>总价包含的风险范围：</w:t>
      </w:r>
      <w:r>
        <w:rPr>
          <w:rFonts w:hint="eastAsia" w:ascii="宋体" w:hAnsi="宋体" w:cs="宋体"/>
          <w:sz w:val="24"/>
          <w:u w:val="single"/>
        </w:rPr>
        <w:t xml:space="preserve">  /  </w:t>
      </w:r>
      <w:r>
        <w:rPr>
          <w:rFonts w:hint="eastAsia" w:ascii="宋体" w:hAnsi="宋体" w:cs="宋体"/>
          <w:sz w:val="24"/>
        </w:rPr>
        <w:t>。</w:t>
      </w:r>
    </w:p>
    <w:p w14:paraId="42083082">
      <w:pPr>
        <w:spacing w:line="360" w:lineRule="auto"/>
        <w:ind w:firstLine="480" w:firstLineChars="200"/>
        <w:rPr>
          <w:rFonts w:ascii="宋体" w:hAnsi="宋体" w:cs="宋体"/>
          <w:sz w:val="24"/>
          <w:u w:val="single"/>
        </w:rPr>
      </w:pPr>
      <w:r>
        <w:rPr>
          <w:rFonts w:hint="eastAsia" w:ascii="宋体" w:hAnsi="宋体" w:cs="宋体"/>
          <w:sz w:val="24"/>
        </w:rPr>
        <w:t>风险费用的计算方法：</w:t>
      </w:r>
      <w:r>
        <w:rPr>
          <w:rFonts w:hint="eastAsia" w:ascii="宋体" w:hAnsi="宋体" w:cs="宋体"/>
          <w:sz w:val="24"/>
          <w:u w:val="single"/>
        </w:rPr>
        <w:t xml:space="preserve">  /  </w:t>
      </w:r>
      <w:r>
        <w:rPr>
          <w:rFonts w:hint="eastAsia" w:ascii="宋体" w:hAnsi="宋体" w:cs="宋体"/>
          <w:sz w:val="24"/>
        </w:rPr>
        <w:t>。</w:t>
      </w:r>
    </w:p>
    <w:p w14:paraId="1821507A">
      <w:pPr>
        <w:spacing w:line="360" w:lineRule="auto"/>
        <w:ind w:firstLine="480" w:firstLineChars="200"/>
        <w:rPr>
          <w:rFonts w:ascii="宋体" w:hAnsi="宋体" w:cs="宋体"/>
          <w:sz w:val="24"/>
        </w:rPr>
      </w:pPr>
      <w:r>
        <w:rPr>
          <w:rFonts w:hint="eastAsia" w:ascii="宋体" w:hAnsi="宋体" w:cs="宋体"/>
          <w:sz w:val="24"/>
        </w:rPr>
        <w:t>风险范围以外合同价格的调整方法：</w:t>
      </w:r>
      <w:r>
        <w:rPr>
          <w:rFonts w:hint="eastAsia" w:ascii="宋体" w:hAnsi="宋体" w:cs="宋体"/>
          <w:sz w:val="24"/>
          <w:u w:val="single"/>
        </w:rPr>
        <w:t xml:space="preserve">  /  </w:t>
      </w:r>
      <w:r>
        <w:rPr>
          <w:rFonts w:hint="eastAsia" w:ascii="宋体" w:hAnsi="宋体" w:cs="宋体"/>
          <w:sz w:val="24"/>
        </w:rPr>
        <w:t>。</w:t>
      </w:r>
    </w:p>
    <w:p w14:paraId="7F7BF9E3">
      <w:pPr>
        <w:spacing w:line="360" w:lineRule="auto"/>
        <w:ind w:firstLine="480" w:firstLineChars="200"/>
        <w:rPr>
          <w:rFonts w:ascii="宋体" w:hAnsi="宋体" w:cs="宋体"/>
          <w:sz w:val="24"/>
          <w:u w:val="single"/>
        </w:rPr>
      </w:pPr>
      <w:r>
        <w:rPr>
          <w:rFonts w:hint="eastAsia" w:ascii="宋体" w:hAnsi="宋体" w:cs="宋体"/>
          <w:sz w:val="24"/>
        </w:rPr>
        <w:t>3、其他价格方式：</w:t>
      </w:r>
      <w:r>
        <w:rPr>
          <w:rFonts w:hint="eastAsia" w:ascii="宋体" w:hAnsi="宋体" w:cs="宋体"/>
          <w:sz w:val="24"/>
          <w:u w:val="single"/>
        </w:rPr>
        <w:t xml:space="preserve">  /  </w:t>
      </w:r>
      <w:r>
        <w:rPr>
          <w:rFonts w:hint="eastAsia" w:ascii="宋体" w:hAnsi="宋体" w:cs="宋体"/>
          <w:sz w:val="24"/>
        </w:rPr>
        <w:t>。</w:t>
      </w:r>
    </w:p>
    <w:p w14:paraId="38665F26">
      <w:pPr>
        <w:spacing w:line="360" w:lineRule="auto"/>
        <w:ind w:firstLine="480" w:firstLineChars="200"/>
        <w:rPr>
          <w:rFonts w:ascii="宋体" w:hAnsi="宋体" w:cs="宋体"/>
          <w:sz w:val="24"/>
        </w:rPr>
      </w:pPr>
      <w:r>
        <w:rPr>
          <w:rFonts w:hint="eastAsia" w:ascii="宋体" w:hAnsi="宋体" w:cs="宋体"/>
          <w:sz w:val="24"/>
        </w:rPr>
        <w:t>12.2 预付款</w:t>
      </w:r>
    </w:p>
    <w:p w14:paraId="1D800BCA">
      <w:pPr>
        <w:spacing w:line="360" w:lineRule="auto"/>
        <w:ind w:firstLine="480" w:firstLineChars="200"/>
        <w:rPr>
          <w:rFonts w:ascii="宋体" w:hAnsi="宋体" w:cs="宋体"/>
          <w:sz w:val="24"/>
        </w:rPr>
      </w:pPr>
      <w:r>
        <w:rPr>
          <w:rFonts w:hint="eastAsia" w:ascii="宋体" w:hAnsi="宋体" w:cs="宋体"/>
          <w:sz w:val="24"/>
        </w:rPr>
        <w:t>12.2.1 预付款的支付</w:t>
      </w:r>
    </w:p>
    <w:p w14:paraId="33BBB13A">
      <w:pPr>
        <w:spacing w:line="360" w:lineRule="auto"/>
        <w:ind w:firstLine="480" w:firstLineChars="200"/>
        <w:rPr>
          <w:rFonts w:ascii="宋体" w:hAnsi="宋体" w:cs="宋体"/>
          <w:sz w:val="24"/>
        </w:rPr>
      </w:pPr>
      <w:r>
        <w:rPr>
          <w:rFonts w:hint="eastAsia" w:ascii="宋体" w:hAnsi="宋体" w:cs="宋体"/>
          <w:sz w:val="24"/>
        </w:rPr>
        <w:t>预付款支付比例或金额：</w:t>
      </w:r>
      <w:r>
        <w:rPr>
          <w:rFonts w:hint="eastAsia" w:ascii="宋体" w:hAnsi="宋体" w:cs="宋体"/>
          <w:sz w:val="24"/>
          <w:u w:val="single"/>
        </w:rPr>
        <w:t xml:space="preserve"> </w:t>
      </w:r>
      <w:r>
        <w:rPr>
          <w:rFonts w:hint="eastAsia" w:ascii="宋体" w:hAnsi="宋体" w:cs="宋体"/>
          <w:b/>
          <w:bCs/>
          <w:sz w:val="24"/>
          <w:u w:val="single"/>
        </w:rPr>
        <w:t xml:space="preserve"> 合同总价的40%</w:t>
      </w:r>
      <w:r>
        <w:rPr>
          <w:rFonts w:hint="eastAsia" w:ascii="宋体" w:hAnsi="宋体" w:cs="宋体"/>
          <w:sz w:val="24"/>
          <w:u w:val="single"/>
        </w:rPr>
        <w:t xml:space="preserve"> 。</w:t>
      </w:r>
    </w:p>
    <w:p w14:paraId="20575650">
      <w:pPr>
        <w:spacing w:line="360" w:lineRule="auto"/>
        <w:ind w:firstLine="480" w:firstLineChars="200"/>
        <w:rPr>
          <w:rFonts w:ascii="宋体" w:hAnsi="宋体" w:cs="宋体"/>
          <w:sz w:val="24"/>
        </w:rPr>
      </w:pPr>
      <w:r>
        <w:rPr>
          <w:rFonts w:hint="eastAsia" w:ascii="宋体" w:hAnsi="宋体" w:cs="宋体"/>
          <w:sz w:val="24"/>
        </w:rPr>
        <w:t>预付款支付期限：</w:t>
      </w:r>
      <w:r>
        <w:rPr>
          <w:rFonts w:hint="eastAsia" w:ascii="宋体" w:hAnsi="宋体" w:cs="宋体"/>
          <w:sz w:val="24"/>
          <w:u w:val="single"/>
        </w:rPr>
        <w:t xml:space="preserve">  </w:t>
      </w:r>
      <w:r>
        <w:rPr>
          <w:rFonts w:hint="eastAsia" w:ascii="宋体" w:hAnsi="宋体" w:cs="宋体"/>
          <w:b/>
          <w:bCs/>
          <w:sz w:val="24"/>
          <w:u w:val="single"/>
        </w:rPr>
        <w:t xml:space="preserve">合同生效以及具备实施条件后 5个工作日内 </w:t>
      </w:r>
      <w:r>
        <w:rPr>
          <w:rFonts w:hint="eastAsia" w:ascii="宋体" w:hAnsi="宋体" w:cs="宋体"/>
          <w:sz w:val="24"/>
          <w:u w:val="single"/>
        </w:rPr>
        <w:t xml:space="preserve"> </w:t>
      </w:r>
      <w:r>
        <w:rPr>
          <w:rFonts w:hint="eastAsia" w:ascii="宋体" w:hAnsi="宋体" w:cs="宋体"/>
          <w:sz w:val="24"/>
        </w:rPr>
        <w:t>。</w:t>
      </w:r>
    </w:p>
    <w:p w14:paraId="7A559E5E">
      <w:pPr>
        <w:spacing w:line="360" w:lineRule="auto"/>
        <w:ind w:firstLine="480" w:firstLineChars="200"/>
        <w:rPr>
          <w:rFonts w:ascii="宋体" w:hAnsi="宋体" w:cs="宋体"/>
          <w:sz w:val="24"/>
        </w:rPr>
      </w:pPr>
      <w:r>
        <w:rPr>
          <w:rFonts w:hint="eastAsia" w:ascii="宋体" w:hAnsi="宋体" w:cs="宋体"/>
          <w:sz w:val="24"/>
        </w:rPr>
        <w:t>预付款扣回的方式：</w:t>
      </w:r>
      <w:r>
        <w:rPr>
          <w:rFonts w:hint="eastAsia" w:ascii="宋体" w:hAnsi="宋体" w:cs="宋体"/>
          <w:sz w:val="24"/>
          <w:u w:val="single"/>
        </w:rPr>
        <w:t xml:space="preserve">  /  </w:t>
      </w:r>
      <w:r>
        <w:rPr>
          <w:rFonts w:hint="eastAsia" w:ascii="宋体" w:hAnsi="宋体" w:cs="宋体"/>
          <w:sz w:val="24"/>
        </w:rPr>
        <w:t>。</w:t>
      </w:r>
    </w:p>
    <w:p w14:paraId="26332148">
      <w:pPr>
        <w:spacing w:line="360" w:lineRule="auto"/>
        <w:ind w:firstLine="480" w:firstLineChars="200"/>
        <w:rPr>
          <w:rFonts w:ascii="宋体" w:hAnsi="宋体" w:cs="宋体"/>
          <w:sz w:val="24"/>
        </w:rPr>
      </w:pPr>
      <w:r>
        <w:rPr>
          <w:rFonts w:hint="eastAsia" w:ascii="宋体" w:hAnsi="宋体" w:cs="宋体"/>
          <w:sz w:val="24"/>
        </w:rPr>
        <w:t>12.2.2 预付款担保</w:t>
      </w:r>
    </w:p>
    <w:p w14:paraId="6F0413F2">
      <w:pPr>
        <w:spacing w:line="360" w:lineRule="auto"/>
        <w:ind w:firstLine="480" w:firstLineChars="200"/>
        <w:rPr>
          <w:rFonts w:ascii="宋体" w:hAnsi="宋体" w:cs="宋体"/>
          <w:sz w:val="24"/>
        </w:rPr>
      </w:pPr>
      <w:r>
        <w:rPr>
          <w:rFonts w:hint="eastAsia" w:ascii="宋体" w:hAnsi="宋体" w:cs="宋体"/>
          <w:sz w:val="24"/>
        </w:rPr>
        <w:t>承包人提交预付款担保的期限：</w:t>
      </w:r>
      <w:r>
        <w:rPr>
          <w:rFonts w:hint="eastAsia" w:ascii="宋体" w:hAnsi="宋体" w:cs="宋体"/>
          <w:sz w:val="24"/>
          <w:u w:val="single"/>
        </w:rPr>
        <w:t xml:space="preserve">  /  </w:t>
      </w:r>
      <w:r>
        <w:rPr>
          <w:rFonts w:hint="eastAsia" w:ascii="宋体" w:hAnsi="宋体" w:cs="宋体"/>
          <w:sz w:val="24"/>
        </w:rPr>
        <w:t>。</w:t>
      </w:r>
    </w:p>
    <w:p w14:paraId="1C326D97">
      <w:pPr>
        <w:spacing w:line="360" w:lineRule="auto"/>
        <w:ind w:firstLine="480" w:firstLineChars="200"/>
        <w:rPr>
          <w:rFonts w:ascii="宋体" w:hAnsi="宋体" w:cs="宋体"/>
          <w:sz w:val="24"/>
        </w:rPr>
      </w:pPr>
      <w:r>
        <w:rPr>
          <w:rFonts w:hint="eastAsia" w:ascii="宋体" w:hAnsi="宋体" w:cs="宋体"/>
          <w:sz w:val="24"/>
        </w:rPr>
        <w:t>预付款担保的形式为：</w:t>
      </w:r>
      <w:r>
        <w:rPr>
          <w:rFonts w:hint="eastAsia" w:ascii="宋体" w:hAnsi="宋体" w:cs="宋体"/>
          <w:sz w:val="24"/>
          <w:u w:val="single"/>
        </w:rPr>
        <w:t xml:space="preserve">  /  </w:t>
      </w:r>
      <w:r>
        <w:rPr>
          <w:rFonts w:hint="eastAsia" w:ascii="宋体" w:hAnsi="宋体" w:cs="宋体"/>
          <w:sz w:val="24"/>
        </w:rPr>
        <w:t>。</w:t>
      </w:r>
    </w:p>
    <w:p w14:paraId="3C0E16F2">
      <w:pPr>
        <w:spacing w:line="360" w:lineRule="auto"/>
        <w:ind w:firstLine="480" w:firstLineChars="200"/>
        <w:rPr>
          <w:rFonts w:ascii="宋体" w:hAnsi="宋体" w:cs="宋体"/>
          <w:sz w:val="24"/>
        </w:rPr>
      </w:pPr>
      <w:r>
        <w:rPr>
          <w:rFonts w:hint="eastAsia" w:ascii="宋体" w:hAnsi="宋体" w:cs="宋体"/>
          <w:sz w:val="24"/>
        </w:rPr>
        <w:t>12.3计量</w:t>
      </w:r>
    </w:p>
    <w:p w14:paraId="4C21DE65">
      <w:pPr>
        <w:spacing w:line="360" w:lineRule="auto"/>
        <w:ind w:firstLine="480" w:firstLineChars="200"/>
        <w:rPr>
          <w:rFonts w:ascii="宋体" w:hAnsi="宋体" w:cs="宋体"/>
          <w:sz w:val="24"/>
        </w:rPr>
      </w:pPr>
      <w:r>
        <w:rPr>
          <w:rFonts w:hint="eastAsia" w:ascii="宋体" w:hAnsi="宋体" w:cs="宋体"/>
          <w:sz w:val="24"/>
        </w:rPr>
        <w:t>12.3.1计量原则</w:t>
      </w:r>
    </w:p>
    <w:p w14:paraId="4B5F937E">
      <w:pPr>
        <w:spacing w:line="360" w:lineRule="auto"/>
        <w:ind w:firstLine="480" w:firstLineChars="200"/>
        <w:rPr>
          <w:rFonts w:ascii="宋体" w:hAnsi="宋体" w:cs="宋体"/>
          <w:sz w:val="24"/>
        </w:rPr>
      </w:pPr>
      <w:r>
        <w:rPr>
          <w:rFonts w:hint="eastAsia" w:ascii="宋体" w:hAnsi="宋体" w:cs="宋体"/>
          <w:sz w:val="24"/>
        </w:rPr>
        <w:t>工程量计算规则：</w:t>
      </w:r>
    </w:p>
    <w:p w14:paraId="08A53BBB">
      <w:pPr>
        <w:spacing w:line="360" w:lineRule="auto"/>
        <w:ind w:firstLine="482" w:firstLineChars="200"/>
        <w:rPr>
          <w:rFonts w:ascii="宋体" w:hAnsi="宋体" w:cs="宋体"/>
          <w:b/>
          <w:bCs/>
          <w:sz w:val="24"/>
          <w:u w:val="single"/>
        </w:rPr>
      </w:pPr>
      <w:r>
        <w:rPr>
          <w:rFonts w:hint="eastAsia" w:ascii="宋体" w:hAnsi="宋体" w:cs="宋体"/>
          <w:b/>
          <w:bCs/>
          <w:sz w:val="24"/>
        </w:rPr>
        <w:t>（1）</w:t>
      </w:r>
      <w:r>
        <w:rPr>
          <w:rFonts w:hint="eastAsia" w:ascii="宋体" w:hAnsi="宋体" w:cs="宋体"/>
          <w:b/>
          <w:bCs/>
          <w:sz w:val="24"/>
          <w:u w:val="single"/>
        </w:rPr>
        <w:t xml:space="preserve"> 实行工程量清单计价的工程项目，其工程量的计算规则应按国家标准工程量计算规范及省级行业主管部门颁布的补充规定执行。</w:t>
      </w:r>
    </w:p>
    <w:p w14:paraId="6024CCD6">
      <w:pPr>
        <w:spacing w:line="360" w:lineRule="auto"/>
        <w:ind w:firstLine="482" w:firstLineChars="200"/>
        <w:rPr>
          <w:rFonts w:ascii="宋体" w:hAnsi="宋体" w:cs="宋体"/>
          <w:b/>
          <w:bCs/>
          <w:sz w:val="24"/>
          <w:u w:val="single"/>
        </w:rPr>
      </w:pPr>
      <w:r>
        <w:rPr>
          <w:rFonts w:hint="eastAsia" w:ascii="宋体" w:hAnsi="宋体" w:cs="宋体"/>
          <w:b/>
          <w:bCs/>
          <w:sz w:val="24"/>
        </w:rPr>
        <w:t>（2）</w:t>
      </w:r>
      <w:r>
        <w:rPr>
          <w:rFonts w:hint="eastAsia" w:ascii="宋体" w:hAnsi="宋体" w:cs="宋体"/>
          <w:b/>
          <w:bCs/>
          <w:sz w:val="24"/>
          <w:u w:val="single"/>
        </w:rPr>
        <w:t>不实行工程量清单计价的工程项目，工程量的计算规则应按省、市行业主管部门颁布的各专业工程定额的工程量计算规则执行。</w:t>
      </w:r>
    </w:p>
    <w:p w14:paraId="253A753B">
      <w:pPr>
        <w:spacing w:line="360" w:lineRule="auto"/>
        <w:ind w:firstLine="480" w:firstLineChars="200"/>
        <w:rPr>
          <w:rFonts w:ascii="宋体" w:hAnsi="宋体" w:cs="宋体"/>
          <w:sz w:val="24"/>
        </w:rPr>
      </w:pPr>
      <w:r>
        <w:rPr>
          <w:rFonts w:hint="eastAsia" w:ascii="宋体" w:hAnsi="宋体" w:cs="宋体"/>
          <w:sz w:val="24"/>
        </w:rPr>
        <w:t>12.3.2计量周期</w:t>
      </w:r>
    </w:p>
    <w:p w14:paraId="48699430">
      <w:pPr>
        <w:spacing w:line="360" w:lineRule="auto"/>
        <w:ind w:firstLine="480" w:firstLineChars="200"/>
        <w:rPr>
          <w:rFonts w:ascii="宋体" w:hAnsi="宋体" w:cs="宋体"/>
          <w:sz w:val="24"/>
        </w:rPr>
      </w:pPr>
      <w:r>
        <w:rPr>
          <w:rFonts w:hint="eastAsia" w:ascii="宋体" w:hAnsi="宋体" w:cs="宋体"/>
          <w:sz w:val="24"/>
        </w:rPr>
        <w:t>关于计量周期的约定：</w:t>
      </w:r>
      <w:r>
        <w:rPr>
          <w:rFonts w:hint="eastAsia" w:ascii="宋体" w:hAnsi="宋体" w:cs="宋体"/>
          <w:b/>
          <w:bCs/>
          <w:sz w:val="24"/>
          <w:u w:val="single"/>
        </w:rPr>
        <w:t>每月25日前提交已完工程量报告</w:t>
      </w:r>
      <w:r>
        <w:rPr>
          <w:rFonts w:hint="eastAsia" w:ascii="宋体" w:hAnsi="宋体" w:cs="宋体"/>
          <w:sz w:val="24"/>
        </w:rPr>
        <w:t>。</w:t>
      </w:r>
    </w:p>
    <w:p w14:paraId="7E66A839">
      <w:pPr>
        <w:spacing w:line="360" w:lineRule="auto"/>
        <w:ind w:firstLine="480" w:firstLineChars="200"/>
        <w:rPr>
          <w:rFonts w:ascii="宋体" w:hAnsi="宋体" w:cs="宋体"/>
          <w:sz w:val="24"/>
        </w:rPr>
      </w:pPr>
      <w:r>
        <w:rPr>
          <w:rFonts w:hint="eastAsia" w:ascii="宋体" w:hAnsi="宋体" w:cs="宋体"/>
          <w:sz w:val="24"/>
        </w:rPr>
        <w:t>12.3.3单价合同的计量</w:t>
      </w:r>
    </w:p>
    <w:p w14:paraId="541D5C0C">
      <w:pPr>
        <w:spacing w:line="360" w:lineRule="auto"/>
        <w:ind w:firstLine="480" w:firstLineChars="200"/>
        <w:rPr>
          <w:rFonts w:ascii="宋体" w:hAnsi="宋体" w:cs="宋体"/>
          <w:sz w:val="24"/>
        </w:rPr>
      </w:pPr>
      <w:r>
        <w:rPr>
          <w:rFonts w:hint="eastAsia" w:ascii="宋体" w:hAnsi="宋体" w:cs="宋体"/>
          <w:sz w:val="24"/>
        </w:rPr>
        <w:t>关于单价合同计量的约定：</w:t>
      </w:r>
      <w:r>
        <w:rPr>
          <w:rFonts w:hint="eastAsia" w:ascii="宋体" w:hAnsi="宋体" w:cs="宋体"/>
          <w:b/>
          <w:bCs/>
          <w:sz w:val="24"/>
          <w:u w:val="single"/>
        </w:rPr>
        <w:t xml:space="preserve">按通用条款 </w:t>
      </w:r>
      <w:r>
        <w:rPr>
          <w:rFonts w:hint="eastAsia" w:ascii="宋体" w:hAnsi="宋体" w:cs="宋体"/>
          <w:sz w:val="24"/>
        </w:rPr>
        <w:t>。</w:t>
      </w:r>
    </w:p>
    <w:p w14:paraId="0D8D6989">
      <w:pPr>
        <w:spacing w:line="360" w:lineRule="auto"/>
        <w:ind w:firstLine="480" w:firstLineChars="200"/>
        <w:rPr>
          <w:rFonts w:ascii="宋体" w:hAnsi="宋体" w:cs="宋体"/>
          <w:sz w:val="24"/>
        </w:rPr>
      </w:pPr>
      <w:r>
        <w:rPr>
          <w:rFonts w:hint="eastAsia" w:ascii="宋体" w:hAnsi="宋体" w:cs="宋体"/>
          <w:sz w:val="24"/>
        </w:rPr>
        <w:t>12.3.4总价合同的计量</w:t>
      </w:r>
    </w:p>
    <w:p w14:paraId="48084EBD">
      <w:pPr>
        <w:spacing w:line="360" w:lineRule="auto"/>
        <w:ind w:firstLine="480" w:firstLineChars="200"/>
        <w:rPr>
          <w:rFonts w:ascii="宋体" w:hAnsi="宋体" w:cs="宋体"/>
          <w:sz w:val="24"/>
        </w:rPr>
      </w:pPr>
      <w:r>
        <w:rPr>
          <w:rFonts w:hint="eastAsia" w:ascii="宋体" w:hAnsi="宋体" w:cs="宋体"/>
          <w:sz w:val="24"/>
        </w:rPr>
        <w:t>关于总价合同计量的约定：</w:t>
      </w:r>
      <w:r>
        <w:rPr>
          <w:rFonts w:hint="eastAsia" w:ascii="宋体" w:hAnsi="宋体" w:cs="宋体"/>
          <w:sz w:val="24"/>
          <w:u w:val="single"/>
        </w:rPr>
        <w:t xml:space="preserve">  /  </w:t>
      </w:r>
      <w:r>
        <w:rPr>
          <w:rFonts w:hint="eastAsia" w:ascii="宋体" w:hAnsi="宋体" w:cs="宋体"/>
          <w:sz w:val="24"/>
        </w:rPr>
        <w:t>。</w:t>
      </w:r>
    </w:p>
    <w:p w14:paraId="61D3FD30">
      <w:pPr>
        <w:spacing w:line="360" w:lineRule="auto"/>
        <w:ind w:firstLine="480" w:firstLineChars="200"/>
        <w:rPr>
          <w:rFonts w:ascii="宋体" w:hAnsi="宋体" w:cs="宋体"/>
          <w:sz w:val="24"/>
        </w:rPr>
      </w:pPr>
      <w:r>
        <w:rPr>
          <w:rFonts w:hint="eastAsia" w:ascii="宋体" w:hAnsi="宋体" w:cs="宋体"/>
          <w:sz w:val="24"/>
        </w:rPr>
        <w:t>12.3.5总价合同采用支付分解表计量支付的，是否适用第</w:t>
      </w:r>
      <w:r>
        <w:rPr>
          <w:rFonts w:hint="eastAsia" w:ascii="宋体" w:hAnsi="宋体" w:cs="宋体"/>
          <w:kern w:val="0"/>
          <w:sz w:val="24"/>
        </w:rPr>
        <w:t xml:space="preserve">12.3.4 </w:t>
      </w:r>
      <w:r>
        <w:rPr>
          <w:rFonts w:hint="eastAsia" w:ascii="宋体" w:hAnsi="宋体" w:cs="宋体"/>
          <w:sz w:val="24"/>
        </w:rPr>
        <w:t>项</w:t>
      </w:r>
      <w:r>
        <w:rPr>
          <w:rFonts w:hint="eastAsia" w:ascii="宋体" w:hAnsi="宋体" w:cs="宋体"/>
          <w:kern w:val="0"/>
          <w:sz w:val="24"/>
        </w:rPr>
        <w:t>〔总价合同的计量〕</w:t>
      </w:r>
      <w:r>
        <w:rPr>
          <w:rFonts w:hint="eastAsia" w:ascii="宋体" w:hAnsi="宋体" w:cs="宋体"/>
          <w:sz w:val="24"/>
        </w:rPr>
        <w:t>约定进行计量：</w:t>
      </w:r>
      <w:r>
        <w:rPr>
          <w:rFonts w:hint="eastAsia" w:ascii="宋体" w:hAnsi="宋体" w:cs="宋体"/>
          <w:sz w:val="24"/>
          <w:u w:val="single"/>
        </w:rPr>
        <w:t xml:space="preserve">  /  </w:t>
      </w:r>
      <w:r>
        <w:rPr>
          <w:rFonts w:hint="eastAsia" w:ascii="宋体" w:hAnsi="宋体" w:cs="宋体"/>
          <w:sz w:val="24"/>
        </w:rPr>
        <w:t>。</w:t>
      </w:r>
    </w:p>
    <w:p w14:paraId="309783AB">
      <w:pPr>
        <w:spacing w:line="360" w:lineRule="auto"/>
        <w:ind w:firstLine="480" w:firstLineChars="200"/>
        <w:rPr>
          <w:rFonts w:ascii="宋体" w:hAnsi="宋体" w:cs="宋体"/>
          <w:sz w:val="24"/>
        </w:rPr>
      </w:pPr>
      <w:r>
        <w:rPr>
          <w:rFonts w:hint="eastAsia" w:ascii="宋体" w:hAnsi="宋体" w:cs="宋体"/>
          <w:sz w:val="24"/>
        </w:rPr>
        <w:t>12.3.6其他价格形式合同的计量</w:t>
      </w:r>
    </w:p>
    <w:p w14:paraId="69BDC74C">
      <w:pPr>
        <w:spacing w:line="360" w:lineRule="auto"/>
        <w:ind w:firstLine="480" w:firstLineChars="200"/>
        <w:rPr>
          <w:rFonts w:ascii="宋体" w:hAnsi="宋体" w:cs="宋体"/>
          <w:sz w:val="24"/>
          <w:u w:val="single"/>
        </w:rPr>
      </w:pPr>
      <w:r>
        <w:rPr>
          <w:rFonts w:hint="eastAsia" w:ascii="宋体" w:hAnsi="宋体" w:cs="宋体"/>
          <w:sz w:val="24"/>
        </w:rPr>
        <w:t>其他价格形式的计量方式和程序：</w:t>
      </w:r>
      <w:r>
        <w:rPr>
          <w:rFonts w:hint="eastAsia" w:ascii="宋体" w:hAnsi="宋体" w:cs="宋体"/>
          <w:sz w:val="24"/>
          <w:u w:val="single"/>
        </w:rPr>
        <w:t xml:space="preserve">  /  </w:t>
      </w:r>
      <w:r>
        <w:rPr>
          <w:rFonts w:hint="eastAsia" w:ascii="宋体" w:hAnsi="宋体" w:cs="宋体"/>
          <w:sz w:val="24"/>
        </w:rPr>
        <w:t>。</w:t>
      </w:r>
    </w:p>
    <w:p w14:paraId="1C37A1D3">
      <w:pPr>
        <w:spacing w:line="360" w:lineRule="auto"/>
        <w:ind w:firstLine="480" w:firstLineChars="200"/>
        <w:rPr>
          <w:rFonts w:ascii="宋体" w:hAnsi="宋体" w:cs="宋体"/>
          <w:sz w:val="24"/>
        </w:rPr>
      </w:pPr>
      <w:r>
        <w:rPr>
          <w:rFonts w:hint="eastAsia" w:ascii="宋体" w:hAnsi="宋体" w:cs="宋体"/>
          <w:sz w:val="24"/>
        </w:rPr>
        <w:t>12.4工程进度款支付</w:t>
      </w:r>
    </w:p>
    <w:p w14:paraId="63A8C665">
      <w:pPr>
        <w:spacing w:line="360" w:lineRule="auto"/>
        <w:ind w:firstLine="480" w:firstLineChars="200"/>
        <w:rPr>
          <w:rFonts w:ascii="宋体" w:hAnsi="宋体" w:cs="宋体"/>
          <w:sz w:val="24"/>
        </w:rPr>
      </w:pPr>
      <w:r>
        <w:rPr>
          <w:rFonts w:hint="eastAsia" w:ascii="宋体" w:hAnsi="宋体" w:cs="宋体"/>
          <w:sz w:val="24"/>
        </w:rPr>
        <w:t>12.4.1付款周期</w:t>
      </w:r>
    </w:p>
    <w:p w14:paraId="226BE76F">
      <w:pPr>
        <w:spacing w:line="360" w:lineRule="auto"/>
        <w:ind w:firstLine="480" w:firstLineChars="200"/>
        <w:rPr>
          <w:rFonts w:ascii="宋体" w:hAnsi="宋体" w:cs="宋体"/>
          <w:sz w:val="24"/>
        </w:rPr>
      </w:pPr>
      <w:r>
        <w:rPr>
          <w:rFonts w:hint="eastAsia" w:ascii="宋体" w:hAnsi="宋体" w:cs="宋体"/>
          <w:sz w:val="24"/>
        </w:rPr>
        <w:t>关于付款周期的约定：</w:t>
      </w:r>
    </w:p>
    <w:p w14:paraId="0C6D1E39">
      <w:pPr>
        <w:spacing w:line="360" w:lineRule="auto"/>
        <w:ind w:firstLine="482" w:firstLineChars="200"/>
        <w:rPr>
          <w:rFonts w:ascii="宋体" w:hAnsi="宋体" w:cs="宋体"/>
          <w:b/>
          <w:bCs/>
          <w:sz w:val="24"/>
          <w:u w:val="single"/>
        </w:rPr>
      </w:pPr>
      <w:r>
        <w:rPr>
          <w:rFonts w:hint="eastAsia" w:ascii="宋体" w:hAnsi="宋体" w:cs="宋体"/>
          <w:b/>
          <w:bCs/>
          <w:sz w:val="24"/>
          <w:u w:val="single"/>
        </w:rPr>
        <w:t>（1）合同生效以及具备实施条件后，5个工作日，由发包方向承包人支付合同价的40%并支付到账；</w:t>
      </w:r>
    </w:p>
    <w:p w14:paraId="1C75CBB5">
      <w:pPr>
        <w:spacing w:line="360" w:lineRule="auto"/>
        <w:ind w:firstLine="482" w:firstLineChars="200"/>
        <w:rPr>
          <w:rFonts w:ascii="宋体" w:hAnsi="宋体" w:cs="宋体"/>
          <w:b/>
          <w:bCs/>
          <w:sz w:val="24"/>
          <w:u w:val="single"/>
        </w:rPr>
      </w:pPr>
      <w:r>
        <w:rPr>
          <w:rFonts w:hint="eastAsia" w:ascii="宋体" w:hAnsi="宋体" w:cs="宋体"/>
          <w:b/>
          <w:bCs/>
          <w:sz w:val="24"/>
          <w:u w:val="single"/>
        </w:rPr>
        <w:t>（2）工程竣工并上交完整的竣工资料、决算资料后，发包人收到承包人提供的同等金额的正规发票后5个工作日内，由发包方向承包人支付至合同价（扣除预留金）的85%并支付到账；</w:t>
      </w:r>
    </w:p>
    <w:p w14:paraId="16FF9817">
      <w:pPr>
        <w:spacing w:line="360" w:lineRule="auto"/>
        <w:ind w:firstLine="482" w:firstLineChars="200"/>
        <w:rPr>
          <w:rFonts w:ascii="宋体" w:hAnsi="宋体" w:cs="宋体"/>
          <w:b/>
          <w:bCs/>
          <w:color w:val="auto"/>
          <w:sz w:val="24"/>
          <w:u w:val="single"/>
        </w:rPr>
      </w:pPr>
      <w:r>
        <w:rPr>
          <w:rFonts w:hint="eastAsia" w:ascii="宋体" w:hAnsi="宋体" w:cs="宋体"/>
          <w:b/>
          <w:bCs/>
          <w:color w:val="auto"/>
          <w:sz w:val="24"/>
          <w:u w:val="single"/>
        </w:rPr>
        <w:t>（3）</w:t>
      </w:r>
      <w:r>
        <w:rPr>
          <w:rFonts w:hint="eastAsia" w:ascii="宋体" w:hAnsi="宋体" w:cs="宋体"/>
          <w:b/>
          <w:bCs/>
          <w:color w:val="auto"/>
          <w:sz w:val="24"/>
          <w:highlight w:val="none"/>
          <w:u w:val="single"/>
        </w:rPr>
        <w:t>竣工验收合格、</w:t>
      </w:r>
      <w:r>
        <w:rPr>
          <w:rFonts w:hint="eastAsia" w:ascii="宋体" w:hAnsi="宋体" w:eastAsia="宋体" w:cs="宋体"/>
          <w:b/>
          <w:bCs/>
          <w:color w:val="auto"/>
          <w:sz w:val="24"/>
          <w:highlight w:val="none"/>
          <w:u w:val="single"/>
        </w:rPr>
        <w:t>结算审计审定后，待施工单位缴纳</w:t>
      </w:r>
      <w:r>
        <w:rPr>
          <w:rFonts w:hint="eastAsia" w:ascii="宋体" w:hAnsi="宋体" w:eastAsia="宋体" w:cs="宋体"/>
          <w:b/>
          <w:bCs/>
          <w:color w:val="auto"/>
          <w:sz w:val="24"/>
          <w:highlight w:val="none"/>
          <w:u w:val="single"/>
          <w:lang w:eastAsia="zh-CN"/>
        </w:rPr>
        <w:t>审定价的</w:t>
      </w:r>
      <w:r>
        <w:rPr>
          <w:rFonts w:hint="eastAsia" w:ascii="宋体" w:hAnsi="宋体" w:eastAsia="宋体" w:cs="宋体"/>
          <w:b/>
          <w:bCs/>
          <w:color w:val="auto"/>
          <w:sz w:val="24"/>
          <w:highlight w:val="none"/>
          <w:u w:val="single"/>
        </w:rPr>
        <w:t>1.5%作为质量保证金后（</w:t>
      </w:r>
      <w:r>
        <w:rPr>
          <w:rFonts w:hint="eastAsia" w:ascii="宋体" w:hAnsi="宋体" w:eastAsia="宋体" w:cs="宋体"/>
          <w:b/>
          <w:bCs/>
          <w:color w:val="auto"/>
          <w:sz w:val="24"/>
          <w:highlight w:val="none"/>
          <w:u w:val="single"/>
          <w:lang w:val="en-US" w:eastAsia="zh-CN"/>
        </w:rPr>
        <w:t>可</w:t>
      </w:r>
      <w:r>
        <w:rPr>
          <w:rFonts w:hint="eastAsia" w:ascii="宋体" w:hAnsi="宋体" w:eastAsia="宋体" w:cs="宋体"/>
          <w:b/>
          <w:bCs/>
          <w:color w:val="auto"/>
          <w:sz w:val="24"/>
          <w:highlight w:val="none"/>
          <w:u w:val="single"/>
        </w:rPr>
        <w:t>采用保函），支付至审定价的100%。1.5%的质量保证金待保修期满后无息</w:t>
      </w:r>
      <w:r>
        <w:rPr>
          <w:rFonts w:hint="eastAsia" w:ascii="宋体" w:hAnsi="宋体" w:eastAsia="宋体" w:cs="宋体"/>
          <w:b/>
          <w:bCs/>
          <w:color w:val="auto"/>
          <w:sz w:val="24"/>
          <w:highlight w:val="none"/>
          <w:u w:val="single"/>
          <w:lang w:eastAsia="zh-CN"/>
        </w:rPr>
        <w:t>退还</w:t>
      </w:r>
      <w:r>
        <w:rPr>
          <w:rFonts w:hint="eastAsia" w:ascii="宋体" w:hAnsi="宋体" w:cs="宋体"/>
          <w:b/>
          <w:bCs/>
          <w:color w:val="auto"/>
          <w:sz w:val="24"/>
          <w:u w:val="single"/>
        </w:rPr>
        <w:t>。</w:t>
      </w:r>
    </w:p>
    <w:p w14:paraId="1F4DCF7A">
      <w:pPr>
        <w:spacing w:line="360" w:lineRule="auto"/>
        <w:ind w:firstLine="482" w:firstLineChars="200"/>
        <w:rPr>
          <w:rFonts w:ascii="宋体" w:hAnsi="宋体" w:cs="宋体"/>
          <w:b/>
          <w:bCs/>
          <w:sz w:val="24"/>
          <w:u w:val="single"/>
        </w:rPr>
      </w:pPr>
      <w:r>
        <w:rPr>
          <w:rFonts w:hint="eastAsia" w:ascii="宋体" w:hAnsi="宋体" w:cs="宋体"/>
          <w:b/>
          <w:bCs/>
          <w:sz w:val="24"/>
          <w:u w:val="single"/>
        </w:rPr>
        <w:t>（4）工程承包人收取工程款时应开具符合税务部门要求的正式的建筑安装工程发票, 发包人凭票付款，承包人未提交发票的，发包人有权拒绝付款；</w:t>
      </w:r>
    </w:p>
    <w:p w14:paraId="6DAD8551">
      <w:pPr>
        <w:spacing w:line="360" w:lineRule="auto"/>
        <w:ind w:firstLine="482" w:firstLineChars="200"/>
        <w:rPr>
          <w:rFonts w:ascii="宋体" w:hAnsi="宋体" w:cs="宋体"/>
          <w:b/>
          <w:bCs/>
          <w:sz w:val="24"/>
          <w:u w:val="single"/>
        </w:rPr>
      </w:pPr>
      <w:r>
        <w:rPr>
          <w:rFonts w:hint="eastAsia" w:ascii="宋体" w:hAnsi="宋体" w:cs="宋体"/>
          <w:b/>
          <w:bCs/>
          <w:sz w:val="24"/>
          <w:u w:val="single"/>
        </w:rPr>
        <w:t>（5）承包人清楚本工程为政府工程，如因支付审批流程致使付款延迟的，不视为发包人违约。</w:t>
      </w:r>
    </w:p>
    <w:p w14:paraId="1214AE1B">
      <w:pPr>
        <w:spacing w:line="360" w:lineRule="auto"/>
        <w:ind w:firstLine="480" w:firstLineChars="200"/>
        <w:rPr>
          <w:rFonts w:ascii="宋体" w:hAnsi="宋体" w:cs="宋体"/>
          <w:sz w:val="24"/>
        </w:rPr>
      </w:pPr>
      <w:r>
        <w:rPr>
          <w:rFonts w:hint="eastAsia" w:ascii="宋体" w:hAnsi="宋体" w:cs="宋体"/>
          <w:sz w:val="24"/>
        </w:rPr>
        <w:t>12.4.2进度付款申请单的编制</w:t>
      </w:r>
    </w:p>
    <w:p w14:paraId="6BA652BD">
      <w:pPr>
        <w:spacing w:line="360" w:lineRule="auto"/>
        <w:ind w:firstLine="480" w:firstLineChars="200"/>
        <w:rPr>
          <w:rFonts w:ascii="宋体" w:hAnsi="宋体" w:cs="宋体"/>
          <w:b/>
          <w:bCs/>
          <w:sz w:val="24"/>
          <w:u w:val="single"/>
        </w:rPr>
      </w:pPr>
      <w:r>
        <w:rPr>
          <w:rFonts w:hint="eastAsia" w:ascii="宋体" w:hAnsi="宋体" w:cs="宋体"/>
          <w:sz w:val="24"/>
        </w:rPr>
        <w:t>关于进度付款申请单编制的约定：</w:t>
      </w:r>
      <w:r>
        <w:rPr>
          <w:rFonts w:hint="eastAsia" w:ascii="宋体" w:hAnsi="宋体" w:cs="宋体"/>
          <w:b/>
          <w:bCs/>
          <w:sz w:val="24"/>
          <w:u w:val="single"/>
        </w:rPr>
        <w:t>不考虑因变更、索赔、合同约定应增加的金额。</w:t>
      </w:r>
    </w:p>
    <w:p w14:paraId="1A0F4718">
      <w:pPr>
        <w:spacing w:line="360" w:lineRule="auto"/>
        <w:ind w:firstLine="480" w:firstLineChars="200"/>
        <w:rPr>
          <w:rFonts w:ascii="宋体" w:hAnsi="宋体" w:cs="宋体"/>
          <w:sz w:val="24"/>
        </w:rPr>
      </w:pPr>
      <w:r>
        <w:rPr>
          <w:rFonts w:hint="eastAsia" w:ascii="宋体" w:hAnsi="宋体" w:cs="宋体"/>
          <w:sz w:val="24"/>
        </w:rPr>
        <w:t>12.4.3进度付款申请单的提交</w:t>
      </w:r>
    </w:p>
    <w:p w14:paraId="49ED70D1">
      <w:pPr>
        <w:spacing w:line="360" w:lineRule="auto"/>
        <w:ind w:firstLine="480" w:firstLineChars="200"/>
        <w:rPr>
          <w:rFonts w:ascii="宋体" w:hAnsi="宋体" w:cs="宋体"/>
          <w:sz w:val="24"/>
        </w:rPr>
      </w:pPr>
      <w:r>
        <w:rPr>
          <w:rFonts w:hint="eastAsia" w:ascii="宋体" w:hAnsi="宋体" w:cs="宋体"/>
          <w:sz w:val="24"/>
        </w:rPr>
        <w:t>（1）单价合同进度付款申请单提交的约定：</w:t>
      </w:r>
      <w:r>
        <w:rPr>
          <w:rFonts w:hint="eastAsia" w:ascii="宋体" w:hAnsi="宋体" w:cs="宋体"/>
          <w:b/>
          <w:bCs/>
          <w:sz w:val="24"/>
          <w:u w:val="single"/>
        </w:rPr>
        <w:t>按通用条款。</w:t>
      </w:r>
    </w:p>
    <w:p w14:paraId="5B54999F">
      <w:pPr>
        <w:spacing w:line="360" w:lineRule="auto"/>
        <w:ind w:firstLine="480" w:firstLineChars="200"/>
        <w:rPr>
          <w:rFonts w:ascii="宋体" w:hAnsi="宋体" w:cs="宋体"/>
          <w:sz w:val="24"/>
          <w:u w:val="single"/>
        </w:rPr>
      </w:pPr>
      <w:r>
        <w:rPr>
          <w:rFonts w:hint="eastAsia" w:ascii="宋体" w:hAnsi="宋体" w:cs="宋体"/>
          <w:sz w:val="24"/>
        </w:rPr>
        <w:t>（2）总价合同进度付款申请单提交的约定：</w:t>
      </w:r>
      <w:r>
        <w:rPr>
          <w:rFonts w:hint="eastAsia" w:ascii="宋体" w:hAnsi="宋体" w:cs="宋体"/>
          <w:sz w:val="24"/>
          <w:u w:val="single"/>
        </w:rPr>
        <w:t xml:space="preserve">      /        </w:t>
      </w:r>
    </w:p>
    <w:p w14:paraId="4CAA0EB6">
      <w:pPr>
        <w:spacing w:line="360" w:lineRule="auto"/>
        <w:ind w:firstLine="480" w:firstLineChars="200"/>
        <w:rPr>
          <w:rFonts w:ascii="宋体" w:hAnsi="宋体" w:cs="宋体"/>
          <w:sz w:val="24"/>
          <w:u w:val="single"/>
        </w:rPr>
      </w:pPr>
      <w:r>
        <w:rPr>
          <w:rFonts w:hint="eastAsia" w:ascii="宋体" w:hAnsi="宋体" w:cs="宋体"/>
          <w:sz w:val="24"/>
        </w:rPr>
        <w:t>（3）其他价格形式合同进度付款申请单提交的约定：</w:t>
      </w:r>
      <w:r>
        <w:rPr>
          <w:rFonts w:hint="eastAsia" w:ascii="宋体" w:hAnsi="宋体" w:cs="宋体"/>
          <w:sz w:val="24"/>
          <w:u w:val="single"/>
        </w:rPr>
        <w:t xml:space="preserve">   /   </w:t>
      </w:r>
    </w:p>
    <w:p w14:paraId="248F973D">
      <w:pPr>
        <w:spacing w:line="360" w:lineRule="auto"/>
        <w:ind w:firstLine="480" w:firstLineChars="200"/>
        <w:rPr>
          <w:rFonts w:ascii="宋体" w:hAnsi="宋体" w:cs="宋体"/>
          <w:sz w:val="24"/>
        </w:rPr>
      </w:pPr>
      <w:r>
        <w:rPr>
          <w:rFonts w:hint="eastAsia" w:ascii="宋体" w:hAnsi="宋体" w:cs="宋体"/>
          <w:sz w:val="24"/>
        </w:rPr>
        <w:t>12.4.4进度款审核和支付</w:t>
      </w:r>
    </w:p>
    <w:p w14:paraId="5727C1F1">
      <w:pPr>
        <w:spacing w:line="360" w:lineRule="auto"/>
        <w:ind w:firstLine="480" w:firstLineChars="200"/>
        <w:rPr>
          <w:rFonts w:ascii="宋体" w:hAnsi="宋体" w:cs="宋体"/>
          <w:sz w:val="24"/>
          <w:u w:val="single"/>
        </w:rPr>
      </w:pPr>
      <w:r>
        <w:rPr>
          <w:rFonts w:hint="eastAsia" w:ascii="宋体" w:hAnsi="宋体" w:cs="宋体"/>
          <w:sz w:val="24"/>
        </w:rPr>
        <w:t>（1）监理人审查并报送发包人的期限：</w:t>
      </w:r>
      <w:r>
        <w:rPr>
          <w:rFonts w:hint="eastAsia" w:ascii="宋体" w:hAnsi="宋体" w:cs="宋体"/>
          <w:b/>
          <w:bCs/>
          <w:sz w:val="24"/>
          <w:u w:val="single"/>
        </w:rPr>
        <w:t xml:space="preserve">按通用条款。 </w:t>
      </w:r>
    </w:p>
    <w:p w14:paraId="6E4DDA68">
      <w:pPr>
        <w:spacing w:line="360" w:lineRule="auto"/>
        <w:ind w:firstLine="480" w:firstLineChars="200"/>
        <w:rPr>
          <w:rFonts w:ascii="宋体" w:hAnsi="宋体" w:cs="宋体"/>
          <w:b/>
          <w:bCs/>
          <w:sz w:val="24"/>
          <w:u w:val="single"/>
        </w:rPr>
      </w:pPr>
      <w:r>
        <w:rPr>
          <w:rFonts w:hint="eastAsia" w:ascii="宋体" w:hAnsi="宋体" w:cs="宋体"/>
          <w:sz w:val="24"/>
        </w:rPr>
        <w:t>发包人完成审批并签发进度款支付证书的期限：</w:t>
      </w:r>
      <w:r>
        <w:rPr>
          <w:rFonts w:hint="eastAsia" w:ascii="宋体" w:hAnsi="宋体" w:cs="宋体"/>
          <w:b/>
          <w:bCs/>
          <w:sz w:val="24"/>
          <w:u w:val="single"/>
        </w:rPr>
        <w:t>按通用条款。</w:t>
      </w:r>
    </w:p>
    <w:p w14:paraId="0467943E">
      <w:pPr>
        <w:spacing w:line="360" w:lineRule="auto"/>
        <w:ind w:firstLine="480" w:firstLineChars="200"/>
        <w:rPr>
          <w:rFonts w:ascii="宋体" w:hAnsi="宋体" w:cs="宋体"/>
          <w:b/>
          <w:bCs/>
          <w:sz w:val="24"/>
          <w:u w:val="single"/>
        </w:rPr>
      </w:pPr>
      <w:r>
        <w:rPr>
          <w:rFonts w:hint="eastAsia" w:ascii="宋体" w:hAnsi="宋体" w:cs="宋体"/>
          <w:sz w:val="24"/>
        </w:rPr>
        <w:t>（2）发包人支付进度款的期限：</w:t>
      </w:r>
      <w:r>
        <w:rPr>
          <w:rFonts w:hint="eastAsia" w:ascii="宋体" w:hAnsi="宋体" w:cs="宋体"/>
          <w:b/>
          <w:bCs/>
          <w:sz w:val="24"/>
          <w:u w:val="single"/>
        </w:rPr>
        <w:t xml:space="preserve">按通用条款。 </w:t>
      </w:r>
    </w:p>
    <w:p w14:paraId="3DD9E917">
      <w:pPr>
        <w:spacing w:line="360" w:lineRule="auto"/>
        <w:ind w:firstLine="480" w:firstLineChars="200"/>
        <w:rPr>
          <w:rFonts w:ascii="宋体" w:hAnsi="宋体" w:cs="宋体"/>
          <w:sz w:val="24"/>
          <w:u w:val="single"/>
        </w:rPr>
      </w:pPr>
      <w:r>
        <w:rPr>
          <w:rFonts w:hint="eastAsia" w:ascii="宋体" w:hAnsi="宋体" w:cs="宋体"/>
          <w:sz w:val="24"/>
        </w:rPr>
        <w:t>发包人逾期支付进度款的违约金的计算方式：</w:t>
      </w:r>
      <w:r>
        <w:rPr>
          <w:rFonts w:hint="eastAsia" w:ascii="宋体" w:hAnsi="宋体" w:cs="宋体"/>
          <w:sz w:val="24"/>
          <w:u w:val="single"/>
        </w:rPr>
        <w:t xml:space="preserve">     /         </w:t>
      </w:r>
    </w:p>
    <w:p w14:paraId="2942D0BA">
      <w:pPr>
        <w:spacing w:line="360" w:lineRule="auto"/>
        <w:ind w:firstLine="480" w:firstLineChars="200"/>
        <w:rPr>
          <w:rFonts w:ascii="宋体" w:hAnsi="宋体" w:cs="宋体"/>
          <w:sz w:val="24"/>
        </w:rPr>
      </w:pPr>
      <w:r>
        <w:rPr>
          <w:rFonts w:hint="eastAsia" w:ascii="宋体" w:hAnsi="宋体" w:cs="宋体"/>
          <w:sz w:val="24"/>
        </w:rPr>
        <w:t>12.4.6支付分解表的编制</w:t>
      </w:r>
    </w:p>
    <w:p w14:paraId="76DBAC6A">
      <w:pPr>
        <w:spacing w:line="360" w:lineRule="auto"/>
        <w:ind w:firstLine="480" w:firstLineChars="200"/>
        <w:rPr>
          <w:rFonts w:ascii="宋体" w:hAnsi="宋体" w:cs="宋体"/>
          <w:sz w:val="24"/>
          <w:u w:val="single"/>
        </w:rPr>
      </w:pPr>
      <w:r>
        <w:rPr>
          <w:rFonts w:hint="eastAsia" w:ascii="宋体" w:hAnsi="宋体" w:cs="宋体"/>
          <w:sz w:val="24"/>
        </w:rPr>
        <w:t>2、总价合同支付分解表的编制与审批：</w:t>
      </w:r>
      <w:r>
        <w:rPr>
          <w:rFonts w:hint="eastAsia" w:ascii="宋体" w:hAnsi="宋体" w:cs="宋体"/>
          <w:sz w:val="24"/>
          <w:u w:val="single"/>
        </w:rPr>
        <w:t xml:space="preserve">        /          </w:t>
      </w:r>
    </w:p>
    <w:p w14:paraId="33D74EEE">
      <w:pPr>
        <w:spacing w:line="360" w:lineRule="auto"/>
        <w:ind w:firstLine="480" w:firstLineChars="200"/>
        <w:rPr>
          <w:rFonts w:ascii="宋体" w:hAnsi="宋体" w:cs="宋体"/>
          <w:b/>
          <w:bCs/>
          <w:sz w:val="24"/>
        </w:rPr>
      </w:pPr>
      <w:r>
        <w:rPr>
          <w:rFonts w:hint="eastAsia" w:ascii="宋体" w:hAnsi="宋体" w:cs="宋体"/>
          <w:sz w:val="24"/>
        </w:rPr>
        <w:t>3、单价合同的总价项目支付分解表的编制与审批：</w:t>
      </w:r>
      <w:r>
        <w:rPr>
          <w:rFonts w:hint="eastAsia" w:ascii="宋体" w:hAnsi="宋体" w:cs="宋体"/>
          <w:sz w:val="24"/>
          <w:u w:val="single"/>
        </w:rPr>
        <w:t xml:space="preserve">     /      </w:t>
      </w:r>
      <w:r>
        <w:rPr>
          <w:rFonts w:hint="eastAsia" w:ascii="宋体" w:hAnsi="宋体" w:cs="宋体"/>
          <w:sz w:val="24"/>
        </w:rPr>
        <w:t xml:space="preserve"> </w:t>
      </w:r>
    </w:p>
    <w:p w14:paraId="0E80E5DB">
      <w:pPr>
        <w:spacing w:line="360" w:lineRule="auto"/>
        <w:ind w:firstLine="482" w:firstLineChars="200"/>
        <w:rPr>
          <w:rFonts w:ascii="宋体" w:hAnsi="宋体" w:cs="宋体"/>
          <w:b/>
          <w:bCs/>
          <w:sz w:val="24"/>
        </w:rPr>
      </w:pPr>
      <w:r>
        <w:rPr>
          <w:rFonts w:hint="eastAsia" w:ascii="宋体" w:hAnsi="宋体" w:cs="宋体"/>
          <w:b/>
          <w:bCs/>
          <w:sz w:val="24"/>
        </w:rPr>
        <w:t>13、验收和工程试车</w:t>
      </w:r>
    </w:p>
    <w:p w14:paraId="05A8C9DB">
      <w:pPr>
        <w:spacing w:line="360" w:lineRule="auto"/>
        <w:ind w:firstLine="480" w:firstLineChars="200"/>
        <w:rPr>
          <w:rFonts w:ascii="宋体" w:hAnsi="宋体" w:cs="宋体"/>
          <w:sz w:val="24"/>
        </w:rPr>
      </w:pPr>
      <w:r>
        <w:rPr>
          <w:rFonts w:hint="eastAsia" w:ascii="宋体" w:hAnsi="宋体" w:cs="宋体"/>
          <w:sz w:val="24"/>
        </w:rPr>
        <w:t>13.1分部分项工程验收</w:t>
      </w:r>
    </w:p>
    <w:p w14:paraId="6AED932D">
      <w:pPr>
        <w:spacing w:line="360" w:lineRule="auto"/>
        <w:ind w:firstLine="480" w:firstLineChars="200"/>
        <w:rPr>
          <w:rFonts w:ascii="宋体" w:hAnsi="宋体" w:cs="宋体"/>
          <w:sz w:val="24"/>
        </w:rPr>
      </w:pPr>
      <w:r>
        <w:rPr>
          <w:rFonts w:hint="eastAsia" w:ascii="宋体" w:hAnsi="宋体" w:cs="宋体"/>
          <w:sz w:val="24"/>
        </w:rPr>
        <w:t>13.1.2监理人不能按时进行验收时，应提前</w:t>
      </w:r>
      <w:r>
        <w:rPr>
          <w:rFonts w:hint="eastAsia" w:ascii="宋体" w:hAnsi="宋体" w:cs="宋体"/>
          <w:sz w:val="24"/>
          <w:u w:val="single"/>
        </w:rPr>
        <w:t>24</w:t>
      </w:r>
      <w:r>
        <w:rPr>
          <w:rFonts w:hint="eastAsia" w:ascii="宋体" w:hAnsi="宋体" w:cs="宋体"/>
          <w:sz w:val="24"/>
        </w:rPr>
        <w:t>小时提交书面延期要求。</w:t>
      </w:r>
    </w:p>
    <w:p w14:paraId="53EFE689">
      <w:pPr>
        <w:spacing w:line="360" w:lineRule="auto"/>
        <w:ind w:firstLine="480" w:firstLineChars="200"/>
        <w:rPr>
          <w:rFonts w:ascii="宋体" w:hAnsi="宋体" w:cs="宋体"/>
          <w:b/>
          <w:bCs/>
          <w:sz w:val="24"/>
        </w:rPr>
      </w:pPr>
      <w:r>
        <w:rPr>
          <w:rFonts w:hint="eastAsia" w:ascii="宋体" w:hAnsi="宋体" w:cs="宋体"/>
          <w:sz w:val="24"/>
        </w:rPr>
        <w:t>关于延期最长不得超过：</w:t>
      </w:r>
      <w:r>
        <w:rPr>
          <w:rFonts w:hint="eastAsia" w:ascii="宋体" w:hAnsi="宋体" w:cs="宋体"/>
          <w:sz w:val="24"/>
          <w:u w:val="single"/>
        </w:rPr>
        <w:t xml:space="preserve">48 </w:t>
      </w:r>
      <w:r>
        <w:rPr>
          <w:rFonts w:hint="eastAsia" w:ascii="宋体" w:hAnsi="宋体" w:cs="宋体"/>
          <w:sz w:val="24"/>
        </w:rPr>
        <w:t>小时。</w:t>
      </w:r>
    </w:p>
    <w:p w14:paraId="213779A1">
      <w:pPr>
        <w:spacing w:line="360" w:lineRule="auto"/>
        <w:ind w:firstLine="480" w:firstLineChars="200"/>
        <w:rPr>
          <w:rFonts w:ascii="宋体" w:hAnsi="宋体" w:cs="宋体"/>
          <w:sz w:val="24"/>
        </w:rPr>
      </w:pPr>
      <w:r>
        <w:rPr>
          <w:rFonts w:hint="eastAsia" w:ascii="宋体" w:hAnsi="宋体" w:cs="宋体"/>
          <w:sz w:val="24"/>
        </w:rPr>
        <w:t>13.2竣工验收</w:t>
      </w:r>
    </w:p>
    <w:p w14:paraId="19F64295">
      <w:pPr>
        <w:spacing w:line="360" w:lineRule="auto"/>
        <w:ind w:firstLine="480" w:firstLineChars="200"/>
        <w:rPr>
          <w:rFonts w:ascii="宋体" w:hAnsi="宋体" w:cs="宋体"/>
          <w:sz w:val="24"/>
        </w:rPr>
      </w:pPr>
      <w:r>
        <w:rPr>
          <w:rFonts w:hint="eastAsia" w:ascii="宋体" w:hAnsi="宋体" w:cs="宋体"/>
          <w:sz w:val="24"/>
        </w:rPr>
        <w:t>13.2.2竣工验收程序</w:t>
      </w:r>
    </w:p>
    <w:p w14:paraId="1FF1429F">
      <w:pPr>
        <w:spacing w:line="360" w:lineRule="auto"/>
        <w:ind w:firstLine="480" w:firstLineChars="200"/>
        <w:rPr>
          <w:rFonts w:ascii="宋体" w:hAnsi="宋体" w:cs="宋体"/>
          <w:sz w:val="24"/>
          <w:u w:val="single"/>
        </w:rPr>
      </w:pPr>
      <w:r>
        <w:rPr>
          <w:rFonts w:hint="eastAsia" w:ascii="宋体" w:hAnsi="宋体" w:cs="宋体"/>
          <w:kern w:val="0"/>
          <w:sz w:val="24"/>
        </w:rPr>
        <w:t>关于竣工验收程序的约定：</w:t>
      </w:r>
      <w:r>
        <w:rPr>
          <w:rFonts w:hint="eastAsia" w:ascii="宋体" w:hAnsi="宋体" w:cs="宋体"/>
          <w:b/>
          <w:bCs/>
          <w:sz w:val="24"/>
          <w:u w:val="single"/>
        </w:rPr>
        <w:t xml:space="preserve">按通用条款执行。 </w:t>
      </w:r>
    </w:p>
    <w:p w14:paraId="6D3CC69F">
      <w:pPr>
        <w:spacing w:line="360" w:lineRule="auto"/>
        <w:ind w:firstLine="480" w:firstLineChars="200"/>
        <w:rPr>
          <w:rFonts w:ascii="宋体" w:hAnsi="宋体" w:cs="宋体"/>
          <w:sz w:val="24"/>
          <w:u w:val="single"/>
        </w:rPr>
      </w:pPr>
      <w:r>
        <w:rPr>
          <w:rFonts w:hint="eastAsia" w:ascii="宋体" w:hAnsi="宋体" w:cs="宋体"/>
          <w:kern w:val="0"/>
          <w:sz w:val="24"/>
        </w:rPr>
        <w:t>发包人不按照本项约定组织竣工验收、颁发工程接收证书的违约金的计算方法：</w:t>
      </w:r>
      <w:r>
        <w:rPr>
          <w:rFonts w:hint="eastAsia" w:ascii="宋体" w:hAnsi="宋体" w:cs="宋体"/>
          <w:kern w:val="0"/>
          <w:sz w:val="24"/>
          <w:u w:val="single"/>
        </w:rPr>
        <w:t xml:space="preserve">   / </w:t>
      </w:r>
      <w:r>
        <w:rPr>
          <w:rFonts w:hint="eastAsia" w:ascii="宋体" w:hAnsi="宋体" w:cs="宋体"/>
          <w:sz w:val="24"/>
        </w:rPr>
        <w:t>。</w:t>
      </w:r>
    </w:p>
    <w:p w14:paraId="33A5B143">
      <w:pPr>
        <w:spacing w:line="360" w:lineRule="auto"/>
        <w:ind w:firstLine="480" w:firstLineChars="200"/>
        <w:rPr>
          <w:rFonts w:ascii="宋体" w:hAnsi="宋体" w:cs="宋体"/>
          <w:sz w:val="24"/>
        </w:rPr>
      </w:pPr>
      <w:r>
        <w:rPr>
          <w:rFonts w:hint="eastAsia" w:ascii="宋体" w:hAnsi="宋体" w:cs="宋体"/>
          <w:sz w:val="24"/>
        </w:rPr>
        <w:t>13.2.5移交、接收全部与部分工程</w:t>
      </w:r>
    </w:p>
    <w:p w14:paraId="2278D823">
      <w:pPr>
        <w:spacing w:line="360" w:lineRule="auto"/>
        <w:ind w:firstLine="480" w:firstLineChars="200"/>
        <w:rPr>
          <w:rFonts w:ascii="宋体" w:hAnsi="宋体" w:cs="宋体"/>
          <w:kern w:val="0"/>
          <w:sz w:val="24"/>
        </w:rPr>
      </w:pPr>
      <w:r>
        <w:rPr>
          <w:rFonts w:hint="eastAsia" w:ascii="宋体" w:hAnsi="宋体" w:cs="宋体"/>
          <w:kern w:val="0"/>
          <w:sz w:val="24"/>
        </w:rPr>
        <w:t>承包人向发包人移交工程的期限：</w:t>
      </w:r>
      <w:r>
        <w:rPr>
          <w:rFonts w:hint="eastAsia" w:ascii="宋体" w:hAnsi="宋体" w:cs="宋体"/>
          <w:b/>
          <w:bCs/>
          <w:sz w:val="24"/>
          <w:u w:val="single"/>
        </w:rPr>
        <w:t xml:space="preserve">按通用条款执行。 </w:t>
      </w:r>
    </w:p>
    <w:p w14:paraId="684A0566">
      <w:pPr>
        <w:spacing w:line="360" w:lineRule="auto"/>
        <w:ind w:firstLine="480" w:firstLineChars="200"/>
        <w:rPr>
          <w:rFonts w:ascii="宋体" w:hAnsi="宋体" w:cs="宋体"/>
          <w:sz w:val="24"/>
          <w:u w:val="single"/>
        </w:rPr>
      </w:pPr>
      <w:r>
        <w:rPr>
          <w:rFonts w:hint="eastAsia" w:ascii="宋体" w:hAnsi="宋体" w:cs="宋体"/>
          <w:kern w:val="0"/>
          <w:sz w:val="24"/>
        </w:rPr>
        <w:t>发包人未按本合同约定接收全部或部分工程的，违约金的计算方法为：</w:t>
      </w:r>
      <w:r>
        <w:rPr>
          <w:rFonts w:hint="eastAsia" w:ascii="宋体" w:hAnsi="宋体" w:cs="宋体"/>
          <w:sz w:val="24"/>
          <w:u w:val="single"/>
        </w:rPr>
        <w:t xml:space="preserve">  /  </w:t>
      </w:r>
      <w:r>
        <w:rPr>
          <w:rFonts w:hint="eastAsia" w:ascii="宋体" w:hAnsi="宋体" w:cs="宋体"/>
          <w:sz w:val="24"/>
        </w:rPr>
        <w:t>。</w:t>
      </w:r>
    </w:p>
    <w:p w14:paraId="285E03EE">
      <w:pPr>
        <w:spacing w:line="360" w:lineRule="auto"/>
        <w:ind w:firstLine="480" w:firstLineChars="200"/>
        <w:rPr>
          <w:rFonts w:ascii="宋体" w:hAnsi="宋体" w:cs="宋体"/>
          <w:sz w:val="24"/>
          <w:u w:val="single"/>
        </w:rPr>
      </w:pPr>
      <w:r>
        <w:rPr>
          <w:rFonts w:hint="eastAsia" w:ascii="宋体" w:hAnsi="宋体" w:cs="宋体"/>
          <w:sz w:val="24"/>
        </w:rPr>
        <w:t>承包人未按时移交工程的，违约金的计算方法为：</w:t>
      </w:r>
      <w:r>
        <w:rPr>
          <w:rFonts w:hint="eastAsia" w:ascii="宋体" w:hAnsi="宋体" w:cs="宋体"/>
          <w:b/>
          <w:bCs/>
          <w:sz w:val="24"/>
          <w:u w:val="single"/>
        </w:rPr>
        <w:t>/。</w:t>
      </w:r>
    </w:p>
    <w:p w14:paraId="5D632899">
      <w:pPr>
        <w:spacing w:line="360" w:lineRule="auto"/>
        <w:ind w:firstLine="480" w:firstLineChars="200"/>
        <w:rPr>
          <w:rFonts w:ascii="宋体" w:hAnsi="宋体" w:cs="宋体"/>
          <w:sz w:val="24"/>
        </w:rPr>
      </w:pPr>
      <w:r>
        <w:rPr>
          <w:rFonts w:hint="eastAsia" w:ascii="宋体" w:hAnsi="宋体" w:cs="宋体"/>
          <w:sz w:val="24"/>
        </w:rPr>
        <w:t>13.3工程试车</w:t>
      </w:r>
    </w:p>
    <w:p w14:paraId="2E168CA9">
      <w:pPr>
        <w:spacing w:line="360" w:lineRule="auto"/>
        <w:ind w:firstLine="480" w:firstLineChars="200"/>
        <w:rPr>
          <w:rFonts w:ascii="宋体" w:hAnsi="宋体" w:cs="宋体"/>
          <w:kern w:val="0"/>
          <w:sz w:val="24"/>
        </w:rPr>
      </w:pPr>
      <w:r>
        <w:rPr>
          <w:rFonts w:hint="eastAsia" w:ascii="宋体" w:hAnsi="宋体" w:cs="宋体"/>
          <w:kern w:val="0"/>
          <w:sz w:val="24"/>
        </w:rPr>
        <w:t>13.3.1试车程序</w:t>
      </w:r>
    </w:p>
    <w:p w14:paraId="5875F365">
      <w:pPr>
        <w:spacing w:line="360" w:lineRule="auto"/>
        <w:ind w:firstLine="480" w:firstLineChars="200"/>
        <w:rPr>
          <w:rFonts w:ascii="宋体" w:hAnsi="宋体" w:cs="宋体"/>
          <w:b/>
          <w:bCs/>
          <w:sz w:val="24"/>
          <w:u w:val="single"/>
        </w:rPr>
      </w:pPr>
      <w:r>
        <w:rPr>
          <w:rFonts w:hint="eastAsia" w:ascii="宋体" w:hAnsi="宋体" w:cs="宋体"/>
          <w:kern w:val="0"/>
          <w:sz w:val="24"/>
        </w:rPr>
        <w:t>工程试车内容：</w:t>
      </w:r>
      <w:r>
        <w:rPr>
          <w:rFonts w:hint="eastAsia" w:ascii="宋体" w:hAnsi="宋体" w:cs="宋体"/>
          <w:b/>
          <w:bCs/>
          <w:sz w:val="24"/>
          <w:u w:val="single"/>
        </w:rPr>
        <w:t xml:space="preserve">所有试车费用承包人已在合同价中包干。 </w:t>
      </w:r>
    </w:p>
    <w:p w14:paraId="62B836B2">
      <w:pPr>
        <w:spacing w:line="360" w:lineRule="auto"/>
        <w:ind w:firstLine="480" w:firstLineChars="200"/>
        <w:rPr>
          <w:rFonts w:ascii="宋体" w:hAnsi="宋体" w:cs="宋体"/>
          <w:kern w:val="0"/>
          <w:sz w:val="24"/>
        </w:rPr>
      </w:pPr>
      <w:r>
        <w:rPr>
          <w:rFonts w:hint="eastAsia" w:ascii="宋体" w:hAnsi="宋体" w:cs="宋体"/>
          <w:kern w:val="0"/>
          <w:sz w:val="24"/>
        </w:rPr>
        <w:t>（1）单机无负荷试车费用由</w:t>
      </w:r>
      <w:r>
        <w:rPr>
          <w:rFonts w:hint="eastAsia" w:ascii="宋体" w:hAnsi="宋体" w:cs="宋体"/>
          <w:sz w:val="24"/>
          <w:u w:val="single"/>
        </w:rPr>
        <w:t xml:space="preserve">   /   </w:t>
      </w:r>
      <w:r>
        <w:rPr>
          <w:rFonts w:hint="eastAsia" w:ascii="宋体" w:hAnsi="宋体" w:cs="宋体"/>
          <w:kern w:val="0"/>
          <w:sz w:val="24"/>
        </w:rPr>
        <w:t>承担；</w:t>
      </w:r>
    </w:p>
    <w:p w14:paraId="025FAD29">
      <w:pPr>
        <w:spacing w:line="360" w:lineRule="auto"/>
        <w:ind w:firstLine="480" w:firstLineChars="200"/>
        <w:rPr>
          <w:rFonts w:ascii="宋体" w:hAnsi="宋体" w:cs="宋体"/>
          <w:kern w:val="0"/>
          <w:sz w:val="24"/>
        </w:rPr>
      </w:pPr>
      <w:r>
        <w:rPr>
          <w:rFonts w:hint="eastAsia" w:ascii="宋体" w:hAnsi="宋体" w:cs="宋体"/>
          <w:kern w:val="0"/>
          <w:sz w:val="24"/>
        </w:rPr>
        <w:t>（2）无负荷联动试车费用由</w:t>
      </w:r>
      <w:r>
        <w:rPr>
          <w:rFonts w:hint="eastAsia" w:ascii="宋体" w:hAnsi="宋体" w:cs="宋体"/>
          <w:sz w:val="24"/>
          <w:u w:val="single"/>
        </w:rPr>
        <w:t xml:space="preserve">   /   </w:t>
      </w:r>
      <w:r>
        <w:rPr>
          <w:rFonts w:hint="eastAsia" w:ascii="宋体" w:hAnsi="宋体" w:cs="宋体"/>
          <w:kern w:val="0"/>
          <w:sz w:val="24"/>
        </w:rPr>
        <w:t>承担。</w:t>
      </w:r>
    </w:p>
    <w:p w14:paraId="4C247F7F">
      <w:pPr>
        <w:spacing w:line="360" w:lineRule="auto"/>
        <w:ind w:firstLine="480" w:firstLineChars="200"/>
        <w:rPr>
          <w:rFonts w:ascii="宋体" w:hAnsi="宋体" w:cs="宋体"/>
          <w:kern w:val="0"/>
          <w:sz w:val="24"/>
        </w:rPr>
      </w:pPr>
      <w:r>
        <w:rPr>
          <w:rFonts w:hint="eastAsia" w:ascii="宋体" w:hAnsi="宋体" w:cs="宋体"/>
          <w:kern w:val="0"/>
          <w:sz w:val="24"/>
        </w:rPr>
        <w:t>13.3.3投料试车</w:t>
      </w:r>
    </w:p>
    <w:p w14:paraId="50BCB0ED">
      <w:pPr>
        <w:spacing w:line="360" w:lineRule="auto"/>
        <w:ind w:firstLine="480" w:firstLineChars="200"/>
        <w:rPr>
          <w:rFonts w:ascii="宋体" w:hAnsi="宋体" w:cs="宋体"/>
          <w:sz w:val="24"/>
          <w:u w:val="single"/>
        </w:rPr>
      </w:pPr>
      <w:r>
        <w:rPr>
          <w:rFonts w:hint="eastAsia" w:ascii="宋体" w:hAnsi="宋体" w:cs="宋体"/>
          <w:kern w:val="0"/>
          <w:sz w:val="24"/>
        </w:rPr>
        <w:t>关于投料试车相关事项的约定：</w:t>
      </w:r>
      <w:r>
        <w:rPr>
          <w:rFonts w:hint="eastAsia" w:ascii="宋体" w:hAnsi="宋体" w:cs="宋体"/>
          <w:sz w:val="24"/>
          <w:u w:val="single"/>
        </w:rPr>
        <w:t xml:space="preserve">   /   </w:t>
      </w:r>
      <w:r>
        <w:rPr>
          <w:rFonts w:hint="eastAsia" w:ascii="宋体" w:hAnsi="宋体" w:cs="宋体"/>
          <w:sz w:val="24"/>
        </w:rPr>
        <w:t>。</w:t>
      </w:r>
    </w:p>
    <w:p w14:paraId="261EA033">
      <w:pPr>
        <w:spacing w:line="360" w:lineRule="auto"/>
        <w:ind w:firstLine="480" w:firstLineChars="200"/>
        <w:rPr>
          <w:rFonts w:ascii="宋体" w:hAnsi="宋体" w:cs="宋体"/>
          <w:sz w:val="24"/>
        </w:rPr>
      </w:pPr>
      <w:r>
        <w:rPr>
          <w:rFonts w:hint="eastAsia" w:ascii="宋体" w:hAnsi="宋体" w:cs="宋体"/>
          <w:sz w:val="24"/>
        </w:rPr>
        <w:t>13.6竣工退场</w:t>
      </w:r>
    </w:p>
    <w:p w14:paraId="4A567684">
      <w:pPr>
        <w:spacing w:line="360" w:lineRule="auto"/>
        <w:ind w:firstLine="480" w:firstLineChars="200"/>
        <w:rPr>
          <w:rFonts w:ascii="宋体" w:hAnsi="宋体" w:cs="宋体"/>
          <w:kern w:val="0"/>
          <w:sz w:val="24"/>
        </w:rPr>
      </w:pPr>
      <w:r>
        <w:rPr>
          <w:rFonts w:hint="eastAsia" w:ascii="宋体" w:hAnsi="宋体" w:cs="宋体"/>
          <w:kern w:val="0"/>
          <w:sz w:val="24"/>
        </w:rPr>
        <w:t>13.6.1竣工退场</w:t>
      </w:r>
    </w:p>
    <w:p w14:paraId="793CE42C">
      <w:pPr>
        <w:spacing w:line="360" w:lineRule="auto"/>
        <w:ind w:firstLine="480" w:firstLineChars="200"/>
        <w:rPr>
          <w:rFonts w:ascii="宋体" w:hAnsi="宋体" w:cs="宋体"/>
          <w:b/>
          <w:bCs/>
          <w:sz w:val="24"/>
        </w:rPr>
      </w:pPr>
      <w:r>
        <w:rPr>
          <w:rFonts w:hint="eastAsia" w:ascii="宋体" w:hAnsi="宋体" w:cs="宋体"/>
          <w:kern w:val="0"/>
          <w:sz w:val="24"/>
        </w:rPr>
        <w:t>承包人完成竣工退场的期限：</w:t>
      </w:r>
      <w:r>
        <w:rPr>
          <w:rFonts w:hint="eastAsia" w:ascii="宋体" w:hAnsi="宋体" w:cs="宋体"/>
          <w:b/>
          <w:bCs/>
          <w:sz w:val="24"/>
          <w:u w:val="single"/>
        </w:rPr>
        <w:t xml:space="preserve">10天内。 </w:t>
      </w:r>
    </w:p>
    <w:p w14:paraId="0E769AC1">
      <w:pPr>
        <w:spacing w:line="360" w:lineRule="auto"/>
        <w:ind w:firstLine="482" w:firstLineChars="200"/>
        <w:rPr>
          <w:rFonts w:ascii="宋体" w:hAnsi="宋体" w:cs="宋体"/>
          <w:b/>
          <w:bCs/>
          <w:sz w:val="24"/>
        </w:rPr>
      </w:pPr>
      <w:r>
        <w:rPr>
          <w:rFonts w:hint="eastAsia" w:ascii="宋体" w:hAnsi="宋体" w:cs="宋体"/>
          <w:b/>
          <w:bCs/>
          <w:sz w:val="24"/>
        </w:rPr>
        <w:t>14、竣工结算</w:t>
      </w:r>
    </w:p>
    <w:p w14:paraId="7B379CB8">
      <w:pPr>
        <w:spacing w:line="360" w:lineRule="auto"/>
        <w:ind w:firstLine="480" w:firstLineChars="200"/>
        <w:rPr>
          <w:rFonts w:ascii="宋体" w:hAnsi="宋体" w:cs="宋体"/>
          <w:sz w:val="24"/>
        </w:rPr>
      </w:pPr>
      <w:r>
        <w:rPr>
          <w:rFonts w:hint="eastAsia" w:ascii="宋体" w:hAnsi="宋体" w:cs="宋体"/>
          <w:sz w:val="24"/>
        </w:rPr>
        <w:t>14.1竣工付款申请</w:t>
      </w:r>
    </w:p>
    <w:p w14:paraId="7B251BAA">
      <w:pPr>
        <w:spacing w:line="360" w:lineRule="auto"/>
        <w:ind w:firstLine="480" w:firstLineChars="200"/>
        <w:rPr>
          <w:rFonts w:ascii="宋体" w:hAnsi="宋体" w:cs="宋体"/>
          <w:sz w:val="24"/>
        </w:rPr>
      </w:pPr>
      <w:r>
        <w:rPr>
          <w:rFonts w:hint="eastAsia" w:ascii="宋体" w:hAnsi="宋体" w:cs="宋体"/>
          <w:sz w:val="24"/>
        </w:rPr>
        <w:t>承包人提交竣工付款申请单的期限：</w:t>
      </w:r>
      <w:r>
        <w:rPr>
          <w:rFonts w:hint="eastAsia" w:ascii="宋体" w:hAnsi="宋体" w:cs="宋体"/>
          <w:b/>
          <w:bCs/>
          <w:sz w:val="24"/>
          <w:u w:val="single"/>
        </w:rPr>
        <w:t>工程竣工验收报告经发包人认可后的28天内。</w:t>
      </w:r>
    </w:p>
    <w:p w14:paraId="706A47D6">
      <w:pPr>
        <w:spacing w:line="360" w:lineRule="auto"/>
        <w:ind w:firstLine="480" w:firstLineChars="200"/>
        <w:rPr>
          <w:rFonts w:ascii="宋体" w:hAnsi="宋体" w:cs="宋体"/>
          <w:sz w:val="24"/>
          <w:u w:val="single"/>
        </w:rPr>
      </w:pPr>
      <w:r>
        <w:rPr>
          <w:rFonts w:hint="eastAsia" w:ascii="宋体" w:hAnsi="宋体" w:cs="宋体"/>
          <w:sz w:val="24"/>
        </w:rPr>
        <w:t>竣工付款申请单应包括的内容：</w:t>
      </w:r>
      <w:r>
        <w:rPr>
          <w:rFonts w:hint="eastAsia" w:ascii="宋体" w:hAnsi="宋体" w:cs="宋体"/>
          <w:b/>
          <w:bCs/>
          <w:sz w:val="24"/>
          <w:u w:val="single"/>
        </w:rPr>
        <w:t>完整的竣工结算书及相关资料。</w:t>
      </w:r>
    </w:p>
    <w:p w14:paraId="645629F1">
      <w:pPr>
        <w:spacing w:line="360" w:lineRule="auto"/>
        <w:ind w:firstLine="480" w:firstLineChars="200"/>
        <w:rPr>
          <w:rFonts w:ascii="宋体" w:hAnsi="宋体" w:cs="宋体"/>
          <w:sz w:val="24"/>
        </w:rPr>
      </w:pPr>
      <w:r>
        <w:rPr>
          <w:rFonts w:hint="eastAsia" w:ascii="宋体" w:hAnsi="宋体" w:cs="宋体"/>
          <w:sz w:val="24"/>
        </w:rPr>
        <w:t>14.2竣工结算审核</w:t>
      </w:r>
    </w:p>
    <w:p w14:paraId="15DA324D">
      <w:pPr>
        <w:spacing w:line="360" w:lineRule="auto"/>
        <w:ind w:firstLine="482" w:firstLineChars="200"/>
        <w:rPr>
          <w:rFonts w:ascii="宋体" w:hAnsi="宋体" w:cs="宋体"/>
          <w:b/>
          <w:bCs/>
          <w:sz w:val="24"/>
          <w:u w:val="single"/>
        </w:rPr>
      </w:pPr>
      <w:r>
        <w:rPr>
          <w:rFonts w:hint="eastAsia" w:ascii="宋体" w:hAnsi="宋体" w:cs="宋体"/>
          <w:b/>
          <w:bCs/>
          <w:sz w:val="24"/>
        </w:rPr>
        <w:t>14.2.1发包人审批竣工付款申请单的期限：</w:t>
      </w:r>
      <w:r>
        <w:rPr>
          <w:rFonts w:hint="eastAsia" w:ascii="宋体" w:hAnsi="宋体" w:cs="宋体"/>
          <w:b/>
          <w:bCs/>
          <w:sz w:val="24"/>
          <w:u w:val="single"/>
        </w:rPr>
        <w:t>竣工结算书文件核对期限是（承包人未按照前述14.1中约定的时限内递交完整的竣工结算书文件及相关资料的，以下关于核对期限的约定将不对发包人产生效力）：</w:t>
      </w:r>
    </w:p>
    <w:p w14:paraId="4A66B43D">
      <w:pPr>
        <w:spacing w:line="360" w:lineRule="auto"/>
        <w:ind w:firstLine="482" w:firstLineChars="200"/>
        <w:rPr>
          <w:rFonts w:ascii="宋体" w:hAnsi="宋体" w:cs="宋体"/>
          <w:b/>
          <w:bCs/>
          <w:sz w:val="24"/>
          <w:u w:val="single"/>
        </w:rPr>
      </w:pPr>
      <w:r>
        <w:rPr>
          <w:rFonts w:hint="eastAsia" w:ascii="宋体" w:hAnsi="宋体" w:cs="宋体"/>
          <w:b/>
          <w:bCs/>
          <w:sz w:val="24"/>
          <w:u w:val="single"/>
        </w:rPr>
        <w:t>（1）工程造价500万元以下的单项工程，从收到完整的竣工结算书之日起（20）工作日；</w:t>
      </w:r>
    </w:p>
    <w:p w14:paraId="022EB241">
      <w:pPr>
        <w:spacing w:line="360" w:lineRule="auto"/>
        <w:ind w:firstLine="482" w:firstLineChars="200"/>
        <w:rPr>
          <w:rFonts w:ascii="宋体" w:hAnsi="宋体" w:cs="宋体"/>
          <w:b/>
          <w:bCs/>
          <w:sz w:val="24"/>
          <w:u w:val="single"/>
        </w:rPr>
      </w:pPr>
      <w:r>
        <w:rPr>
          <w:rFonts w:hint="eastAsia" w:ascii="宋体" w:hAnsi="宋体" w:cs="宋体"/>
          <w:b/>
          <w:bCs/>
          <w:sz w:val="24"/>
          <w:u w:val="single"/>
        </w:rPr>
        <w:t>（2）工程造价500-2000万元的单项工程，从收到完整的竣工结算书之日起（30）工作日；</w:t>
      </w:r>
    </w:p>
    <w:p w14:paraId="21256D11">
      <w:pPr>
        <w:spacing w:line="360" w:lineRule="auto"/>
        <w:ind w:firstLine="482" w:firstLineChars="200"/>
        <w:rPr>
          <w:rFonts w:ascii="宋体" w:hAnsi="宋体" w:cs="宋体"/>
          <w:b/>
          <w:bCs/>
          <w:sz w:val="24"/>
          <w:u w:val="single"/>
        </w:rPr>
      </w:pPr>
      <w:r>
        <w:rPr>
          <w:rFonts w:hint="eastAsia" w:ascii="宋体" w:hAnsi="宋体" w:cs="宋体"/>
          <w:b/>
          <w:bCs/>
          <w:sz w:val="24"/>
          <w:u w:val="single"/>
        </w:rPr>
        <w:t>（3）工程造价2000-5000万元的单项工程，从收到完整的竣工结算书之日起（45）工作日；</w:t>
      </w:r>
    </w:p>
    <w:p w14:paraId="5D165AE2">
      <w:pPr>
        <w:spacing w:line="360" w:lineRule="auto"/>
        <w:ind w:firstLine="482" w:firstLineChars="200"/>
        <w:rPr>
          <w:rFonts w:ascii="宋体" w:hAnsi="宋体" w:cs="宋体"/>
          <w:b/>
          <w:bCs/>
          <w:sz w:val="24"/>
          <w:u w:val="single"/>
        </w:rPr>
      </w:pPr>
      <w:r>
        <w:rPr>
          <w:rFonts w:hint="eastAsia" w:ascii="宋体" w:hAnsi="宋体" w:cs="宋体"/>
          <w:b/>
          <w:bCs/>
          <w:sz w:val="24"/>
          <w:u w:val="single"/>
        </w:rPr>
        <w:t>（4）工程造价5000万元以上的单项工程，从收到完整的竣工结算书之日起（60）工作日。</w:t>
      </w:r>
    </w:p>
    <w:p w14:paraId="33BEEC8D">
      <w:pPr>
        <w:spacing w:line="360" w:lineRule="auto"/>
        <w:ind w:firstLine="480" w:firstLineChars="200"/>
        <w:rPr>
          <w:rFonts w:ascii="宋体" w:hAnsi="宋体" w:cs="宋体"/>
          <w:sz w:val="24"/>
          <w:u w:val="single"/>
        </w:rPr>
      </w:pPr>
      <w:r>
        <w:rPr>
          <w:rFonts w:hint="eastAsia" w:ascii="宋体" w:hAnsi="宋体" w:cs="宋体"/>
          <w:sz w:val="24"/>
        </w:rPr>
        <w:t>发包人完成竣工付款的期限：</w:t>
      </w:r>
      <w:r>
        <w:rPr>
          <w:rFonts w:hint="eastAsia" w:ascii="宋体" w:hAnsi="宋体" w:cs="宋体"/>
          <w:b/>
          <w:sz w:val="24"/>
          <w:u w:val="single"/>
        </w:rPr>
        <w:t>发包人在收到第三方审计单位出具的竣工结算审计结果文件后1个月内办理工程款结算审批会签。</w:t>
      </w:r>
    </w:p>
    <w:p w14:paraId="1787DFB6">
      <w:pPr>
        <w:spacing w:line="360" w:lineRule="auto"/>
        <w:ind w:firstLine="480" w:firstLineChars="200"/>
        <w:rPr>
          <w:rFonts w:ascii="宋体" w:hAnsi="宋体" w:cs="宋体"/>
          <w:b/>
          <w:bCs/>
          <w:sz w:val="24"/>
          <w:u w:val="single"/>
        </w:rPr>
      </w:pPr>
      <w:r>
        <w:rPr>
          <w:rFonts w:hint="eastAsia" w:ascii="宋体" w:hAnsi="宋体" w:cs="宋体"/>
          <w:sz w:val="24"/>
        </w:rPr>
        <w:t>关于竣工付款证书异议部分复核的方式和程序：</w:t>
      </w:r>
      <w:r>
        <w:rPr>
          <w:rFonts w:hint="eastAsia" w:ascii="宋体" w:hAnsi="宋体" w:cs="宋体"/>
          <w:b/>
          <w:bCs/>
          <w:sz w:val="24"/>
          <w:u w:val="single"/>
        </w:rPr>
        <w:t>1、发包人应在竣工结算书文件核对期限内核对。经核对需要承包人进一步补充资料和修改结算文件的，应在竣工结算书文件核对期限内一次性向承包人提出核对意见。发包人在竣工结算书文件核对期限内，不核对竣工结算或未提出核对意见的，视为承包人递交的竣工结算书已经发包人认可，发包人应据此向承包人支付工程结算价款。</w:t>
      </w:r>
    </w:p>
    <w:p w14:paraId="3FAAF3AC">
      <w:pPr>
        <w:spacing w:line="360" w:lineRule="auto"/>
        <w:ind w:firstLine="482" w:firstLineChars="200"/>
        <w:rPr>
          <w:rFonts w:ascii="宋体" w:hAnsi="宋体" w:cs="宋体"/>
          <w:b/>
          <w:bCs/>
          <w:sz w:val="24"/>
          <w:u w:val="single"/>
        </w:rPr>
      </w:pPr>
      <w:r>
        <w:rPr>
          <w:rFonts w:hint="eastAsia" w:ascii="宋体" w:hAnsi="宋体" w:cs="宋体"/>
          <w:b/>
          <w:bCs/>
          <w:sz w:val="24"/>
          <w:u w:val="single"/>
        </w:rPr>
        <w:t>2、承包人在接到发包人提出的核对意见后，在20日内按发包人提出的合理要求补充资料、修改竣工结算文件，并再次提交发包人复核后批准。承包人在20日内不确认也未提出异议的，视为发包人提出的核对意见已经认可。</w:t>
      </w:r>
    </w:p>
    <w:p w14:paraId="41B669CA">
      <w:pPr>
        <w:spacing w:line="360" w:lineRule="auto"/>
        <w:ind w:firstLine="482" w:firstLineChars="200"/>
        <w:rPr>
          <w:rFonts w:ascii="宋体" w:hAnsi="宋体" w:cs="宋体"/>
          <w:b/>
          <w:bCs/>
          <w:sz w:val="24"/>
          <w:u w:val="single"/>
        </w:rPr>
      </w:pPr>
      <w:r>
        <w:rPr>
          <w:rFonts w:hint="eastAsia" w:ascii="宋体" w:hAnsi="宋体" w:cs="宋体"/>
          <w:b/>
          <w:bCs/>
          <w:sz w:val="24"/>
          <w:u w:val="single"/>
        </w:rPr>
        <w:t>3、发包人收到承包人再次提交的补充资料和修改的竣工结算文件后，在（20）日内予以复核，修正核对意见，并通知承包人。</w:t>
      </w:r>
    </w:p>
    <w:p w14:paraId="5F99FF0F">
      <w:pPr>
        <w:spacing w:line="360" w:lineRule="auto"/>
        <w:ind w:firstLine="482" w:firstLineChars="200"/>
        <w:rPr>
          <w:rFonts w:ascii="宋体" w:hAnsi="宋体" w:cs="宋体"/>
          <w:b/>
          <w:bCs/>
          <w:sz w:val="24"/>
          <w:u w:val="single"/>
        </w:rPr>
      </w:pPr>
      <w:r>
        <w:rPr>
          <w:rFonts w:hint="eastAsia" w:ascii="宋体" w:hAnsi="宋体" w:cs="宋体"/>
          <w:b/>
          <w:bCs/>
          <w:sz w:val="24"/>
          <w:u w:val="single"/>
        </w:rPr>
        <w:t>4、发、承包人均对修正核对意见无异议的，应于7日内在竣工结算核对意见上签字确认。</w:t>
      </w:r>
    </w:p>
    <w:p w14:paraId="0CF6E674">
      <w:pPr>
        <w:spacing w:line="360" w:lineRule="auto"/>
        <w:ind w:firstLine="482" w:firstLineChars="200"/>
        <w:rPr>
          <w:rFonts w:ascii="宋体" w:hAnsi="宋体" w:cs="宋体"/>
          <w:b/>
          <w:bCs/>
          <w:sz w:val="24"/>
          <w:u w:val="single"/>
        </w:rPr>
      </w:pPr>
      <w:r>
        <w:rPr>
          <w:rFonts w:hint="eastAsia" w:ascii="宋体" w:hAnsi="宋体" w:cs="宋体"/>
          <w:b/>
          <w:bCs/>
          <w:sz w:val="24"/>
          <w:u w:val="single"/>
        </w:rPr>
        <w:t>14.2.2承包人在工程结算中应加强管理，本工程结算审核时，若工程结算审核核减率超过5％，承包人应承担核减额超过送审造价5%部分的核减追加费，核减追加费审查费以核减额超过送审造价5%部分为基数，按5%计算。</w:t>
      </w:r>
    </w:p>
    <w:p w14:paraId="1E4459F7">
      <w:pPr>
        <w:spacing w:line="360" w:lineRule="auto"/>
        <w:ind w:firstLine="482" w:firstLineChars="200"/>
        <w:rPr>
          <w:rFonts w:ascii="宋体" w:hAnsi="宋体" w:cs="宋体"/>
          <w:b/>
          <w:bCs/>
          <w:sz w:val="24"/>
          <w:u w:val="single"/>
        </w:rPr>
      </w:pPr>
      <w:r>
        <w:rPr>
          <w:rFonts w:hint="eastAsia" w:ascii="宋体" w:hAnsi="宋体" w:cs="宋体"/>
          <w:b/>
          <w:bCs/>
          <w:sz w:val="24"/>
          <w:u w:val="single"/>
        </w:rPr>
        <w:t>14.2.3 承包人必须保证施工过程所提出的签证内容是合法的、真实的，并不由于发包人和监理工程师的确认而免除承包人的责任。</w:t>
      </w:r>
    </w:p>
    <w:p w14:paraId="7F5A23D9">
      <w:pPr>
        <w:spacing w:line="360" w:lineRule="auto"/>
        <w:ind w:firstLine="480" w:firstLineChars="200"/>
        <w:rPr>
          <w:rFonts w:ascii="宋体" w:hAnsi="宋体" w:cs="宋体"/>
          <w:b/>
          <w:bCs/>
          <w:sz w:val="24"/>
          <w:u w:val="single"/>
        </w:rPr>
      </w:pPr>
      <w:r>
        <w:rPr>
          <w:rFonts w:hint="eastAsia" w:ascii="宋体" w:hAnsi="宋体" w:cs="宋体"/>
          <w:sz w:val="24"/>
        </w:rPr>
        <w:t>14.2.4承包人未按14.1约定时间提交完整的竣工结算书及相关资料的，违约金的计算方法为：</w:t>
      </w:r>
      <w:r>
        <w:rPr>
          <w:rFonts w:hint="eastAsia" w:ascii="宋体" w:hAnsi="宋体" w:cs="宋体"/>
          <w:b/>
          <w:bCs/>
          <w:sz w:val="24"/>
          <w:u w:val="single"/>
        </w:rPr>
        <w:t>每延误一天扣罚合同总价千分之五，直至扣完合同总价剩余款项为止</w:t>
      </w:r>
      <w:r>
        <w:rPr>
          <w:rFonts w:hint="eastAsia" w:ascii="宋体" w:hAnsi="宋体" w:cs="宋体"/>
          <w:sz w:val="24"/>
        </w:rPr>
        <w:t>。</w:t>
      </w:r>
    </w:p>
    <w:p w14:paraId="08056837">
      <w:pPr>
        <w:spacing w:line="360" w:lineRule="auto"/>
        <w:ind w:firstLine="480" w:firstLineChars="200"/>
        <w:rPr>
          <w:rFonts w:ascii="宋体" w:hAnsi="宋体" w:cs="宋体"/>
          <w:sz w:val="24"/>
        </w:rPr>
      </w:pPr>
      <w:r>
        <w:rPr>
          <w:rFonts w:hint="eastAsia" w:ascii="宋体" w:hAnsi="宋体" w:cs="宋体"/>
          <w:sz w:val="24"/>
        </w:rPr>
        <w:t>14.4最终结清</w:t>
      </w:r>
    </w:p>
    <w:p w14:paraId="459B20B9">
      <w:pPr>
        <w:spacing w:line="360" w:lineRule="auto"/>
        <w:ind w:firstLine="480" w:firstLineChars="200"/>
        <w:rPr>
          <w:rFonts w:ascii="宋体" w:hAnsi="宋体" w:cs="宋体"/>
          <w:kern w:val="0"/>
          <w:sz w:val="24"/>
        </w:rPr>
      </w:pPr>
      <w:r>
        <w:rPr>
          <w:rFonts w:hint="eastAsia" w:ascii="宋体" w:hAnsi="宋体" w:cs="宋体"/>
          <w:kern w:val="0"/>
          <w:sz w:val="24"/>
        </w:rPr>
        <w:t>14.4.1最终结清申请单</w:t>
      </w:r>
    </w:p>
    <w:p w14:paraId="64402CEF">
      <w:pPr>
        <w:spacing w:line="360" w:lineRule="auto"/>
        <w:ind w:firstLine="480" w:firstLineChars="200"/>
        <w:rPr>
          <w:rFonts w:ascii="宋体" w:hAnsi="宋体" w:cs="宋体"/>
          <w:kern w:val="0"/>
          <w:sz w:val="24"/>
        </w:rPr>
      </w:pPr>
      <w:r>
        <w:rPr>
          <w:rFonts w:hint="eastAsia" w:ascii="宋体" w:hAnsi="宋体" w:cs="宋体"/>
          <w:kern w:val="0"/>
          <w:sz w:val="24"/>
        </w:rPr>
        <w:t>承包人提交最终结清申请单的份数：</w:t>
      </w:r>
      <w:r>
        <w:rPr>
          <w:rFonts w:hint="eastAsia" w:ascii="宋体" w:hAnsi="宋体" w:cs="宋体"/>
          <w:b/>
          <w:bCs/>
          <w:sz w:val="24"/>
          <w:u w:val="single"/>
        </w:rPr>
        <w:t xml:space="preserve">  两份 </w:t>
      </w:r>
    </w:p>
    <w:p w14:paraId="5CACC313">
      <w:pPr>
        <w:spacing w:line="360" w:lineRule="auto"/>
        <w:ind w:firstLine="480" w:firstLineChars="200"/>
        <w:rPr>
          <w:rFonts w:ascii="宋体" w:hAnsi="宋体" w:cs="宋体"/>
          <w:sz w:val="24"/>
        </w:rPr>
      </w:pPr>
      <w:r>
        <w:rPr>
          <w:rFonts w:hint="eastAsia" w:ascii="宋体" w:hAnsi="宋体" w:cs="宋体"/>
          <w:kern w:val="0"/>
          <w:sz w:val="24"/>
        </w:rPr>
        <w:t>承包人提交最终结算申请单的期限：</w:t>
      </w:r>
      <w:r>
        <w:rPr>
          <w:rFonts w:hint="eastAsia" w:ascii="宋体" w:hAnsi="宋体" w:cs="宋体"/>
          <w:b/>
          <w:bCs/>
          <w:sz w:val="24"/>
          <w:u w:val="single"/>
        </w:rPr>
        <w:t xml:space="preserve">保修期满后7天内 </w:t>
      </w:r>
    </w:p>
    <w:p w14:paraId="224C6095">
      <w:pPr>
        <w:spacing w:line="360" w:lineRule="auto"/>
        <w:ind w:firstLine="480" w:firstLineChars="200"/>
        <w:rPr>
          <w:rFonts w:ascii="宋体" w:hAnsi="宋体" w:cs="宋体"/>
          <w:sz w:val="24"/>
        </w:rPr>
      </w:pPr>
      <w:r>
        <w:rPr>
          <w:rFonts w:hint="eastAsia" w:ascii="宋体" w:hAnsi="宋体" w:cs="宋体"/>
          <w:sz w:val="24"/>
        </w:rPr>
        <w:t>14.4.2 最终结清证书和支付</w:t>
      </w:r>
    </w:p>
    <w:p w14:paraId="54B01B0E">
      <w:pPr>
        <w:spacing w:line="360" w:lineRule="auto"/>
        <w:ind w:firstLine="480" w:firstLineChars="200"/>
        <w:rPr>
          <w:rFonts w:ascii="宋体" w:hAnsi="宋体" w:cs="宋体"/>
          <w:sz w:val="24"/>
        </w:rPr>
      </w:pPr>
      <w:r>
        <w:rPr>
          <w:rFonts w:hint="eastAsia" w:ascii="宋体" w:hAnsi="宋体" w:cs="宋体"/>
          <w:sz w:val="24"/>
        </w:rPr>
        <w:t>（1）发包人完成最终结清申请单的审批并颁发最终结清证书的期限：</w:t>
      </w:r>
      <w:r>
        <w:rPr>
          <w:rFonts w:hint="eastAsia" w:ascii="宋体" w:hAnsi="宋体" w:cs="宋体"/>
          <w:b/>
          <w:bCs/>
          <w:sz w:val="24"/>
          <w:u w:val="single"/>
        </w:rPr>
        <w:t>收到最终结清申请单后30天内。</w:t>
      </w:r>
    </w:p>
    <w:p w14:paraId="158B6D7A">
      <w:pPr>
        <w:spacing w:line="360" w:lineRule="auto"/>
        <w:ind w:firstLine="480" w:firstLineChars="200"/>
        <w:rPr>
          <w:rFonts w:ascii="宋体" w:hAnsi="宋体" w:cs="宋体"/>
          <w:b/>
          <w:bCs/>
          <w:sz w:val="24"/>
        </w:rPr>
      </w:pPr>
      <w:r>
        <w:rPr>
          <w:rFonts w:hint="eastAsia" w:ascii="宋体" w:hAnsi="宋体" w:cs="宋体"/>
          <w:sz w:val="24"/>
        </w:rPr>
        <w:t>（2）发包人完成支付的期限：</w:t>
      </w:r>
      <w:r>
        <w:rPr>
          <w:rFonts w:hint="eastAsia" w:ascii="宋体" w:hAnsi="宋体" w:cs="宋体"/>
          <w:sz w:val="24"/>
          <w:u w:val="single"/>
        </w:rPr>
        <w:t xml:space="preserve">   /  </w:t>
      </w:r>
      <w:r>
        <w:rPr>
          <w:rFonts w:hint="eastAsia" w:ascii="宋体" w:hAnsi="宋体" w:cs="宋体"/>
          <w:sz w:val="24"/>
        </w:rPr>
        <w:t>。</w:t>
      </w:r>
    </w:p>
    <w:p w14:paraId="60889F26">
      <w:pPr>
        <w:spacing w:line="360" w:lineRule="auto"/>
        <w:ind w:firstLine="482" w:firstLineChars="200"/>
        <w:rPr>
          <w:rFonts w:ascii="宋体" w:hAnsi="宋体" w:cs="宋体"/>
          <w:b/>
          <w:bCs/>
          <w:sz w:val="24"/>
        </w:rPr>
      </w:pPr>
      <w:r>
        <w:rPr>
          <w:rFonts w:hint="eastAsia" w:ascii="宋体" w:hAnsi="宋体" w:cs="宋体"/>
          <w:b/>
          <w:bCs/>
          <w:sz w:val="24"/>
        </w:rPr>
        <w:t>15、缺陷责任期与保修</w:t>
      </w:r>
    </w:p>
    <w:p w14:paraId="0AD2A02B">
      <w:pPr>
        <w:spacing w:line="360" w:lineRule="auto"/>
        <w:ind w:firstLine="480" w:firstLineChars="200"/>
        <w:rPr>
          <w:rFonts w:ascii="宋体" w:hAnsi="宋体" w:cs="宋体"/>
          <w:sz w:val="24"/>
        </w:rPr>
      </w:pPr>
      <w:r>
        <w:rPr>
          <w:rFonts w:hint="eastAsia" w:ascii="宋体" w:hAnsi="宋体" w:cs="宋体"/>
          <w:sz w:val="24"/>
        </w:rPr>
        <w:t>15.2缺陷责任期</w:t>
      </w:r>
    </w:p>
    <w:p w14:paraId="306BD0B3">
      <w:pPr>
        <w:spacing w:line="360" w:lineRule="auto"/>
        <w:ind w:firstLine="480" w:firstLineChars="200"/>
        <w:rPr>
          <w:rFonts w:ascii="宋体" w:hAnsi="宋体" w:cs="宋体"/>
          <w:sz w:val="24"/>
        </w:rPr>
      </w:pPr>
      <w:r>
        <w:rPr>
          <w:rFonts w:hint="eastAsia" w:ascii="宋体" w:hAnsi="宋体" w:cs="宋体"/>
          <w:sz w:val="24"/>
        </w:rPr>
        <w:t>缺陷责任期的具体期限：工程缺陷责任期为24个月，以竣工验收合格后正式移交招标人之日起计算，至质保期满为止。如工程质量不能满足竣工验收要求的，整改期间施工单位必须继续免费质保至竣工验收合格为止。属于保修范围、内容的项目，施工单位收到保修通知并到达工程现场的合理时间为24小时内。对于涉及结构安全的质量问题，应当按照《建设工程质量管理条例》的规定，立即向当地建设行政主管部门和有关部门报告，采取安全防范措施，由原设计单位或具有相当资质等级的设计单位提出保修方案，施工单位组织验收。</w:t>
      </w:r>
    </w:p>
    <w:p w14:paraId="3939CA0E">
      <w:pPr>
        <w:spacing w:line="360" w:lineRule="auto"/>
        <w:ind w:firstLine="480" w:firstLineChars="200"/>
        <w:rPr>
          <w:rFonts w:ascii="宋体" w:hAnsi="宋体" w:cs="宋体"/>
          <w:sz w:val="24"/>
        </w:rPr>
      </w:pPr>
      <w:r>
        <w:rPr>
          <w:rFonts w:hint="eastAsia" w:ascii="宋体" w:hAnsi="宋体" w:cs="宋体"/>
          <w:sz w:val="24"/>
        </w:rPr>
        <w:t>15.3质量保证金</w:t>
      </w:r>
    </w:p>
    <w:p w14:paraId="5E3B55EF">
      <w:pPr>
        <w:spacing w:line="360" w:lineRule="auto"/>
        <w:ind w:firstLine="480" w:firstLineChars="200"/>
        <w:rPr>
          <w:rFonts w:hint="default" w:ascii="宋体" w:hAnsi="宋体" w:eastAsia="宋体" w:cs="宋体"/>
          <w:b/>
          <w:bCs/>
          <w:sz w:val="24"/>
          <w:u w:val="single"/>
          <w:lang w:val="en-US" w:eastAsia="zh-CN"/>
        </w:rPr>
      </w:pPr>
      <w:r>
        <w:rPr>
          <w:rFonts w:hint="eastAsia" w:ascii="宋体" w:hAnsi="宋体" w:cs="宋体"/>
          <w:sz w:val="24"/>
        </w:rPr>
        <w:t>关于是否扣留质量保证金的约定：</w:t>
      </w:r>
      <w:r>
        <w:rPr>
          <w:rFonts w:hint="eastAsia" w:ascii="宋体" w:hAnsi="宋体" w:cs="宋体"/>
          <w:b/>
          <w:bCs/>
          <w:sz w:val="24"/>
          <w:u w:val="single"/>
          <w:lang w:val="en-US" w:eastAsia="zh-CN"/>
        </w:rPr>
        <w:t xml:space="preserve">    </w:t>
      </w:r>
    </w:p>
    <w:p w14:paraId="2FD1CA42">
      <w:pPr>
        <w:spacing w:line="360" w:lineRule="auto"/>
        <w:ind w:firstLine="482" w:firstLineChars="200"/>
        <w:rPr>
          <w:rFonts w:ascii="宋体" w:hAnsi="宋体" w:cs="宋体"/>
          <w:color w:val="auto"/>
          <w:sz w:val="24"/>
        </w:rPr>
      </w:pPr>
      <w:r>
        <w:rPr>
          <w:rFonts w:hint="eastAsia" w:ascii="宋体" w:hAnsi="宋体" w:cs="宋体"/>
          <w:b/>
          <w:bCs/>
          <w:color w:val="auto"/>
          <w:sz w:val="24"/>
          <w:u w:val="single"/>
        </w:rPr>
        <w:t xml:space="preserve">15.3.1 </w:t>
      </w:r>
      <w:r>
        <w:rPr>
          <w:rFonts w:hint="eastAsia" w:ascii="宋体" w:hAnsi="宋体" w:cs="宋体"/>
          <w:color w:val="auto"/>
          <w:sz w:val="24"/>
        </w:rPr>
        <w:t>质量保证金采用以下第</w:t>
      </w:r>
      <w:r>
        <w:rPr>
          <w:rFonts w:hint="eastAsia" w:ascii="宋体" w:hAnsi="宋体" w:cs="宋体"/>
          <w:b/>
          <w:bCs/>
          <w:color w:val="auto"/>
          <w:sz w:val="24"/>
          <w:u w:val="single"/>
        </w:rPr>
        <w:t xml:space="preserve"> </w:t>
      </w:r>
      <w:r>
        <w:rPr>
          <w:rFonts w:hint="eastAsia" w:ascii="宋体" w:hAnsi="宋体" w:cs="宋体"/>
          <w:b/>
          <w:bCs/>
          <w:color w:val="auto"/>
          <w:kern w:val="0"/>
          <w:sz w:val="24"/>
          <w:u w:val="single"/>
          <w:lang w:val="en-US" w:eastAsia="zh-CN"/>
        </w:rPr>
        <w:t xml:space="preserve">  </w:t>
      </w:r>
      <w:r>
        <w:rPr>
          <w:rFonts w:hint="eastAsia" w:ascii="宋体" w:hAnsi="宋体" w:cs="宋体"/>
          <w:b/>
          <w:bCs/>
          <w:color w:val="auto"/>
          <w:sz w:val="24"/>
          <w:u w:val="single"/>
        </w:rPr>
        <w:t xml:space="preserve">  </w:t>
      </w:r>
      <w:r>
        <w:rPr>
          <w:rFonts w:hint="eastAsia" w:ascii="宋体" w:hAnsi="宋体" w:cs="宋体"/>
          <w:color w:val="auto"/>
          <w:sz w:val="24"/>
        </w:rPr>
        <w:t>种方式</w:t>
      </w:r>
      <w:r>
        <w:rPr>
          <w:rFonts w:hint="eastAsia" w:ascii="宋体" w:hAnsi="宋体" w:cs="宋体"/>
          <w:color w:val="auto"/>
          <w:sz w:val="24"/>
          <w:lang w:eastAsia="zh-CN"/>
        </w:rPr>
        <w:t>（</w:t>
      </w:r>
      <w:r>
        <w:rPr>
          <w:rFonts w:hint="eastAsia" w:ascii="宋体" w:hAnsi="宋体" w:cs="宋体"/>
          <w:color w:val="auto"/>
          <w:kern w:val="0"/>
          <w:sz w:val="24"/>
          <w:lang w:eastAsia="zh-CN"/>
        </w:rPr>
        <w:t>工</w:t>
      </w:r>
      <w:r>
        <w:rPr>
          <w:rFonts w:hint="eastAsia" w:ascii="宋体" w:hAnsi="宋体" w:cs="宋体"/>
          <w:color w:val="auto"/>
          <w:kern w:val="0"/>
          <w:sz w:val="24"/>
          <w:lang w:val="en-US" w:eastAsia="zh-CN"/>
        </w:rPr>
        <w:t>程价款结算总额的1.5%</w:t>
      </w:r>
      <w:r>
        <w:rPr>
          <w:rFonts w:hint="eastAsia" w:ascii="宋体" w:hAnsi="宋体" w:cs="宋体"/>
          <w:color w:val="auto"/>
          <w:sz w:val="24"/>
          <w:lang w:eastAsia="zh-CN"/>
        </w:rPr>
        <w:t>）</w:t>
      </w:r>
      <w:r>
        <w:rPr>
          <w:rFonts w:hint="eastAsia" w:ascii="宋体" w:hAnsi="宋体" w:cs="宋体"/>
          <w:color w:val="auto"/>
          <w:sz w:val="24"/>
        </w:rPr>
        <w:t>：</w:t>
      </w:r>
    </w:p>
    <w:p w14:paraId="6461E243">
      <w:pPr>
        <w:autoSpaceDE w:val="0"/>
        <w:autoSpaceDN w:val="0"/>
        <w:spacing w:line="360" w:lineRule="auto"/>
        <w:ind w:firstLine="480" w:firstLineChars="200"/>
        <w:rPr>
          <w:rFonts w:hint="default" w:ascii="宋体" w:hAnsi="宋体" w:eastAsia="宋体" w:cs="宋体"/>
          <w:color w:val="auto"/>
          <w:kern w:val="0"/>
          <w:sz w:val="24"/>
          <w:lang w:val="en-US" w:eastAsia="zh-CN"/>
        </w:rPr>
      </w:pPr>
      <w:r>
        <w:rPr>
          <w:rFonts w:hint="eastAsia" w:ascii="宋体" w:hAnsi="宋体" w:cs="宋体"/>
          <w:color w:val="auto"/>
          <w:kern w:val="0"/>
          <w:sz w:val="24"/>
        </w:rPr>
        <w:t>（1）银行保函、保险机构保证保险保单和融资担保公司保函</w:t>
      </w:r>
      <w:r>
        <w:rPr>
          <w:rFonts w:hint="eastAsia" w:ascii="宋体" w:hAnsi="宋体" w:cs="宋体"/>
          <w:color w:val="auto"/>
          <w:kern w:val="0"/>
          <w:sz w:val="24"/>
          <w:lang w:eastAsia="zh-CN"/>
        </w:rPr>
        <w:t>；</w:t>
      </w:r>
    </w:p>
    <w:p w14:paraId="420F29F5">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kern w:val="0"/>
          <w:sz w:val="24"/>
          <w:lang w:eastAsia="zh-CN"/>
        </w:rPr>
        <w:t>银行转账形式</w:t>
      </w:r>
      <w:r>
        <w:rPr>
          <w:rFonts w:hint="eastAsia" w:ascii="宋体" w:hAnsi="宋体" w:cs="宋体"/>
          <w:color w:val="auto"/>
          <w:kern w:val="0"/>
          <w:sz w:val="24"/>
          <w:lang w:val="en-US" w:eastAsia="zh-CN"/>
        </w:rPr>
        <w:t>；</w:t>
      </w:r>
    </w:p>
    <w:p w14:paraId="312A0800">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（3）其他方式:</w:t>
      </w:r>
      <w:r>
        <w:rPr>
          <w:rFonts w:hint="eastAsia" w:ascii="宋体" w:hAnsi="宋体" w:cs="宋体"/>
          <w:color w:val="auto"/>
          <w:kern w:val="0"/>
          <w:sz w:val="24"/>
          <w:u w:val="single"/>
        </w:rPr>
        <w:t xml:space="preserve">  / </w:t>
      </w:r>
      <w:r>
        <w:rPr>
          <w:rFonts w:hint="eastAsia" w:ascii="宋体" w:hAnsi="宋体" w:cs="宋体"/>
          <w:color w:val="auto"/>
          <w:sz w:val="24"/>
          <w:u w:val="single"/>
        </w:rPr>
        <w:t xml:space="preserve"> </w:t>
      </w:r>
      <w:r>
        <w:rPr>
          <w:rFonts w:hint="eastAsia" w:ascii="宋体" w:hAnsi="宋体" w:cs="宋体"/>
          <w:color w:val="auto"/>
          <w:kern w:val="0"/>
          <w:sz w:val="24"/>
        </w:rPr>
        <w:t>。</w:t>
      </w:r>
    </w:p>
    <w:p w14:paraId="0B81C7B7">
      <w:pPr>
        <w:spacing w:line="360" w:lineRule="auto"/>
        <w:ind w:firstLine="480" w:firstLineChars="200"/>
        <w:rPr>
          <w:rFonts w:ascii="宋体" w:hAnsi="宋体" w:cs="宋体"/>
          <w:sz w:val="24"/>
        </w:rPr>
      </w:pPr>
      <w:r>
        <w:rPr>
          <w:rFonts w:hint="eastAsia" w:ascii="宋体" w:hAnsi="宋体" w:cs="宋体"/>
          <w:sz w:val="24"/>
        </w:rPr>
        <w:t xml:space="preserve">15.3.2 质量保证金的扣留 </w:t>
      </w:r>
    </w:p>
    <w:p w14:paraId="2D7CADC2">
      <w:pPr>
        <w:spacing w:line="360" w:lineRule="auto"/>
        <w:ind w:firstLine="480" w:firstLineChars="200"/>
        <w:rPr>
          <w:rFonts w:ascii="宋体" w:hAnsi="宋体" w:cs="宋体"/>
          <w:sz w:val="24"/>
        </w:rPr>
      </w:pPr>
      <w:r>
        <w:rPr>
          <w:rFonts w:hint="eastAsia" w:ascii="宋体" w:hAnsi="宋体" w:cs="宋体"/>
          <w:sz w:val="24"/>
        </w:rPr>
        <w:t>质量保证金的扣留采取以下第</w:t>
      </w:r>
      <w:r>
        <w:rPr>
          <w:rFonts w:hint="eastAsia" w:ascii="宋体" w:hAnsi="宋体" w:cs="宋体"/>
          <w:sz w:val="24"/>
          <w:u w:val="single"/>
        </w:rPr>
        <w:t>/</w:t>
      </w:r>
      <w:r>
        <w:rPr>
          <w:rFonts w:hint="eastAsia" w:ascii="宋体" w:hAnsi="宋体" w:cs="宋体"/>
          <w:sz w:val="24"/>
        </w:rPr>
        <w:t>种方式：</w:t>
      </w:r>
    </w:p>
    <w:p w14:paraId="21091370">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（1）在支付工程进度款时逐次扣留，在此情形下，质量保证金的计算基数不包括预付款的支付、扣回以及价格调整的金额；</w:t>
      </w:r>
    </w:p>
    <w:p w14:paraId="6DF18FB4">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（2）工程竣工结算时一次性扣留质量保证金；</w:t>
      </w:r>
    </w:p>
    <w:p w14:paraId="50B8A4BB">
      <w:pPr>
        <w:autoSpaceDE w:val="0"/>
        <w:autoSpaceDN w:val="0"/>
        <w:spacing w:line="360" w:lineRule="auto"/>
        <w:ind w:firstLine="480" w:firstLineChars="200"/>
        <w:rPr>
          <w:rFonts w:ascii="宋体" w:hAnsi="宋体" w:cs="宋体"/>
          <w:kern w:val="0"/>
          <w:sz w:val="24"/>
          <w:u w:val="single"/>
        </w:rPr>
      </w:pPr>
      <w:r>
        <w:rPr>
          <w:rFonts w:hint="eastAsia" w:ascii="宋体" w:hAnsi="宋体" w:cs="宋体"/>
          <w:kern w:val="0"/>
          <w:sz w:val="24"/>
        </w:rPr>
        <w:t>（3）其他扣留方式：</w:t>
      </w:r>
      <w:r>
        <w:rPr>
          <w:rFonts w:hint="eastAsia" w:ascii="宋体" w:hAnsi="宋体" w:cs="宋体"/>
          <w:kern w:val="0"/>
          <w:sz w:val="24"/>
          <w:u w:val="single"/>
        </w:rPr>
        <w:t>/。</w:t>
      </w:r>
    </w:p>
    <w:p w14:paraId="78787F1B">
      <w:pPr>
        <w:spacing w:line="360" w:lineRule="auto"/>
        <w:ind w:firstLine="480" w:firstLineChars="200"/>
        <w:rPr>
          <w:rFonts w:ascii="宋体" w:hAnsi="宋体" w:cs="宋体"/>
          <w:kern w:val="0"/>
          <w:sz w:val="24"/>
          <w:u w:val="single"/>
        </w:rPr>
      </w:pPr>
      <w:r>
        <w:rPr>
          <w:rFonts w:hint="eastAsia" w:ascii="宋体" w:hAnsi="宋体" w:cs="宋体"/>
          <w:sz w:val="24"/>
        </w:rPr>
        <w:t>关于质量保证金的补充约定：</w:t>
      </w:r>
      <w:r>
        <w:rPr>
          <w:rFonts w:hint="eastAsia" w:ascii="宋体" w:hAnsi="宋体" w:cs="宋体"/>
          <w:sz w:val="24"/>
          <w:u w:val="single"/>
        </w:rPr>
        <w:t xml:space="preserve">   /  </w:t>
      </w:r>
      <w:r>
        <w:rPr>
          <w:rFonts w:hint="eastAsia" w:ascii="宋体" w:hAnsi="宋体" w:cs="宋体"/>
          <w:kern w:val="0"/>
          <w:sz w:val="24"/>
        </w:rPr>
        <w:t>。</w:t>
      </w:r>
    </w:p>
    <w:p w14:paraId="0AAD1489">
      <w:pPr>
        <w:spacing w:line="360" w:lineRule="auto"/>
        <w:ind w:firstLine="480" w:firstLineChars="200"/>
        <w:rPr>
          <w:rFonts w:ascii="宋体" w:hAnsi="宋体" w:cs="宋体"/>
          <w:sz w:val="24"/>
        </w:rPr>
      </w:pPr>
      <w:r>
        <w:rPr>
          <w:rFonts w:hint="eastAsia" w:ascii="宋体" w:hAnsi="宋体" w:cs="宋体"/>
          <w:sz w:val="24"/>
        </w:rPr>
        <w:t>15.4保修</w:t>
      </w:r>
    </w:p>
    <w:p w14:paraId="6486E6C2">
      <w:pPr>
        <w:spacing w:line="360" w:lineRule="auto"/>
        <w:ind w:firstLine="480" w:firstLineChars="200"/>
        <w:rPr>
          <w:rFonts w:ascii="宋体" w:hAnsi="宋体" w:cs="宋体"/>
          <w:sz w:val="24"/>
        </w:rPr>
      </w:pPr>
      <w:r>
        <w:rPr>
          <w:rFonts w:hint="eastAsia" w:ascii="宋体" w:hAnsi="宋体" w:cs="宋体"/>
          <w:sz w:val="24"/>
        </w:rPr>
        <w:t>15.4.1保修责任</w:t>
      </w:r>
    </w:p>
    <w:p w14:paraId="2A765DE3">
      <w:pPr>
        <w:spacing w:line="360" w:lineRule="auto"/>
        <w:ind w:firstLine="480" w:firstLineChars="200"/>
        <w:rPr>
          <w:rFonts w:ascii="宋体" w:hAnsi="宋体" w:cs="宋体"/>
          <w:kern w:val="0"/>
          <w:sz w:val="24"/>
          <w:u w:val="single"/>
        </w:rPr>
      </w:pPr>
      <w:r>
        <w:rPr>
          <w:rFonts w:hint="eastAsia" w:ascii="宋体" w:hAnsi="宋体" w:cs="宋体"/>
          <w:sz w:val="24"/>
        </w:rPr>
        <w:t>工程保修期为：</w:t>
      </w:r>
      <w:r>
        <w:rPr>
          <w:rFonts w:hint="eastAsia" w:ascii="宋体" w:hAnsi="宋体" w:cs="宋体"/>
          <w:b/>
          <w:bCs/>
          <w:kern w:val="0"/>
          <w:sz w:val="24"/>
          <w:u w:val="single"/>
        </w:rPr>
        <w:t xml:space="preserve">  详见《工程质量保修书》</w:t>
      </w:r>
      <w:r>
        <w:rPr>
          <w:rFonts w:hint="eastAsia" w:ascii="宋体" w:hAnsi="宋体" w:cs="宋体"/>
          <w:kern w:val="0"/>
          <w:sz w:val="24"/>
          <w:u w:val="single"/>
        </w:rPr>
        <w:t>。</w:t>
      </w:r>
    </w:p>
    <w:p w14:paraId="754BD264">
      <w:pPr>
        <w:spacing w:line="360" w:lineRule="auto"/>
        <w:ind w:firstLine="480" w:firstLineChars="200"/>
        <w:rPr>
          <w:rFonts w:ascii="宋体" w:hAnsi="宋体" w:cs="宋体"/>
          <w:sz w:val="24"/>
        </w:rPr>
      </w:pPr>
      <w:r>
        <w:rPr>
          <w:rFonts w:hint="eastAsia" w:ascii="宋体" w:hAnsi="宋体" w:cs="宋体"/>
          <w:sz w:val="24"/>
        </w:rPr>
        <w:t>15.4.3修复通知</w:t>
      </w:r>
    </w:p>
    <w:p w14:paraId="00C9BC5A">
      <w:pPr>
        <w:spacing w:line="360" w:lineRule="auto"/>
        <w:ind w:firstLine="480" w:firstLineChars="200"/>
        <w:rPr>
          <w:rFonts w:ascii="宋体" w:hAnsi="宋体" w:cs="宋体"/>
          <w:b/>
          <w:bCs/>
          <w:sz w:val="24"/>
        </w:rPr>
      </w:pPr>
      <w:r>
        <w:rPr>
          <w:rFonts w:hint="eastAsia" w:ascii="宋体" w:hAnsi="宋体" w:cs="宋体"/>
          <w:kern w:val="0"/>
          <w:sz w:val="24"/>
        </w:rPr>
        <w:t>承包人收到保修通知并到达工程现场的合理时间：</w:t>
      </w:r>
      <w:r>
        <w:rPr>
          <w:rFonts w:hint="eastAsia" w:ascii="宋体" w:hAnsi="宋体" w:cs="宋体"/>
          <w:b/>
          <w:bCs/>
          <w:kern w:val="0"/>
          <w:sz w:val="24"/>
          <w:u w:val="single"/>
        </w:rPr>
        <w:t xml:space="preserve"> 24小时内</w:t>
      </w:r>
      <w:r>
        <w:rPr>
          <w:rFonts w:hint="eastAsia" w:ascii="宋体" w:hAnsi="宋体" w:cs="宋体"/>
          <w:kern w:val="0"/>
          <w:sz w:val="24"/>
          <w:u w:val="single"/>
        </w:rPr>
        <w:t>。</w:t>
      </w:r>
    </w:p>
    <w:p w14:paraId="28ED122D">
      <w:pPr>
        <w:spacing w:line="360" w:lineRule="auto"/>
        <w:ind w:firstLine="482" w:firstLineChars="200"/>
        <w:rPr>
          <w:rFonts w:ascii="宋体" w:hAnsi="宋体" w:cs="宋体"/>
          <w:b/>
          <w:bCs/>
          <w:sz w:val="24"/>
        </w:rPr>
      </w:pPr>
      <w:r>
        <w:rPr>
          <w:rFonts w:hint="eastAsia" w:ascii="宋体" w:hAnsi="宋体" w:cs="宋体"/>
          <w:b/>
          <w:bCs/>
          <w:sz w:val="24"/>
        </w:rPr>
        <w:t>16、违约</w:t>
      </w:r>
    </w:p>
    <w:p w14:paraId="05140CAD">
      <w:pPr>
        <w:spacing w:line="360" w:lineRule="auto"/>
        <w:ind w:firstLine="480" w:firstLineChars="200"/>
        <w:rPr>
          <w:rFonts w:ascii="宋体" w:hAnsi="宋体" w:cs="宋体"/>
          <w:sz w:val="24"/>
        </w:rPr>
      </w:pPr>
      <w:r>
        <w:rPr>
          <w:rFonts w:hint="eastAsia" w:ascii="宋体" w:hAnsi="宋体" w:cs="宋体"/>
          <w:sz w:val="24"/>
        </w:rPr>
        <w:t>16.1发包人违约</w:t>
      </w:r>
    </w:p>
    <w:p w14:paraId="2ED2EACB">
      <w:pPr>
        <w:spacing w:line="360" w:lineRule="auto"/>
        <w:ind w:firstLine="480" w:firstLineChars="200"/>
        <w:rPr>
          <w:rFonts w:ascii="宋体" w:hAnsi="宋体" w:cs="宋体"/>
          <w:sz w:val="24"/>
        </w:rPr>
      </w:pPr>
      <w:r>
        <w:rPr>
          <w:rFonts w:hint="eastAsia" w:ascii="宋体" w:hAnsi="宋体" w:cs="宋体"/>
          <w:sz w:val="24"/>
        </w:rPr>
        <w:t>16.1.1发包人违约的情形</w:t>
      </w:r>
    </w:p>
    <w:p w14:paraId="6A078632">
      <w:pPr>
        <w:spacing w:line="360" w:lineRule="auto"/>
        <w:ind w:firstLine="480" w:firstLineChars="200"/>
        <w:rPr>
          <w:rFonts w:ascii="宋体" w:hAnsi="宋体" w:cs="宋体"/>
          <w:kern w:val="0"/>
          <w:sz w:val="24"/>
          <w:u w:val="single"/>
        </w:rPr>
      </w:pPr>
      <w:r>
        <w:rPr>
          <w:rFonts w:hint="eastAsia" w:ascii="宋体" w:hAnsi="宋体" w:cs="宋体"/>
          <w:kern w:val="0"/>
          <w:sz w:val="24"/>
        </w:rPr>
        <w:t>发包人违约的其他情形：</w:t>
      </w:r>
      <w:r>
        <w:rPr>
          <w:rFonts w:hint="eastAsia" w:ascii="宋体" w:hAnsi="宋体" w:cs="宋体"/>
          <w:sz w:val="24"/>
          <w:u w:val="single"/>
        </w:rPr>
        <w:t xml:space="preserve">   /  </w:t>
      </w:r>
      <w:r>
        <w:rPr>
          <w:rFonts w:hint="eastAsia" w:ascii="宋体" w:hAnsi="宋体" w:cs="宋体"/>
          <w:kern w:val="0"/>
          <w:sz w:val="24"/>
        </w:rPr>
        <w:t>。</w:t>
      </w:r>
    </w:p>
    <w:p w14:paraId="24BB5715">
      <w:pPr>
        <w:spacing w:line="360" w:lineRule="auto"/>
        <w:ind w:firstLine="480" w:firstLineChars="200"/>
        <w:rPr>
          <w:rFonts w:ascii="宋体" w:hAnsi="宋体" w:cs="宋体"/>
          <w:kern w:val="0"/>
          <w:sz w:val="24"/>
        </w:rPr>
      </w:pPr>
      <w:r>
        <w:rPr>
          <w:rFonts w:hint="eastAsia" w:ascii="宋体" w:hAnsi="宋体" w:cs="宋体"/>
          <w:kern w:val="0"/>
          <w:sz w:val="24"/>
        </w:rPr>
        <w:t xml:space="preserve">    16.1.2 发包人违约的责任</w:t>
      </w:r>
    </w:p>
    <w:p w14:paraId="15D6672D">
      <w:pPr>
        <w:spacing w:line="360" w:lineRule="auto"/>
        <w:ind w:firstLine="480" w:firstLineChars="200"/>
        <w:rPr>
          <w:rFonts w:ascii="宋体" w:hAnsi="宋体" w:cs="宋体"/>
          <w:kern w:val="0"/>
          <w:sz w:val="24"/>
        </w:rPr>
      </w:pPr>
      <w:r>
        <w:rPr>
          <w:rFonts w:hint="eastAsia" w:ascii="宋体" w:hAnsi="宋体" w:cs="宋体"/>
          <w:kern w:val="0"/>
          <w:sz w:val="24"/>
        </w:rPr>
        <w:t>发包人违约责任的承担方式和计算方法：</w:t>
      </w:r>
    </w:p>
    <w:p w14:paraId="481636E1">
      <w:pPr>
        <w:spacing w:line="360" w:lineRule="auto"/>
        <w:ind w:firstLine="480" w:firstLineChars="200"/>
        <w:rPr>
          <w:rFonts w:ascii="宋体" w:hAnsi="宋体" w:cs="宋体"/>
          <w:kern w:val="0"/>
          <w:sz w:val="24"/>
          <w:u w:val="single"/>
        </w:rPr>
      </w:pPr>
      <w:r>
        <w:rPr>
          <w:rFonts w:hint="eastAsia" w:ascii="宋体" w:hAnsi="宋体" w:cs="宋体"/>
          <w:kern w:val="0"/>
          <w:sz w:val="24"/>
        </w:rPr>
        <w:t>（1）因发包人原因未能在计划开工日期前7天内下达开工通知的违约责任：</w:t>
      </w:r>
      <w:r>
        <w:rPr>
          <w:rFonts w:hint="eastAsia" w:ascii="宋体" w:hAnsi="宋体" w:cs="宋体"/>
          <w:sz w:val="24"/>
          <w:u w:val="single"/>
        </w:rPr>
        <w:t xml:space="preserve">   /  </w:t>
      </w:r>
      <w:r>
        <w:rPr>
          <w:rFonts w:hint="eastAsia" w:ascii="宋体" w:hAnsi="宋体" w:cs="宋体"/>
          <w:kern w:val="0"/>
          <w:sz w:val="24"/>
        </w:rPr>
        <w:t>。</w:t>
      </w:r>
    </w:p>
    <w:p w14:paraId="01BAF372">
      <w:pPr>
        <w:spacing w:line="360" w:lineRule="auto"/>
        <w:ind w:firstLine="480" w:firstLineChars="200"/>
        <w:rPr>
          <w:rFonts w:ascii="宋体" w:hAnsi="宋体" w:cs="宋体"/>
          <w:kern w:val="0"/>
          <w:sz w:val="24"/>
        </w:rPr>
      </w:pPr>
      <w:r>
        <w:rPr>
          <w:rFonts w:hint="eastAsia" w:ascii="宋体" w:hAnsi="宋体" w:cs="宋体"/>
          <w:kern w:val="0"/>
          <w:sz w:val="24"/>
        </w:rPr>
        <w:t>（2）因发包人原因未能按合同约定支付合同价款的违约责任：</w:t>
      </w:r>
      <w:r>
        <w:rPr>
          <w:rFonts w:hint="eastAsia" w:ascii="宋体" w:hAnsi="宋体" w:cs="宋体"/>
          <w:sz w:val="24"/>
          <w:u w:val="single"/>
        </w:rPr>
        <w:t xml:space="preserve">   /  </w:t>
      </w:r>
      <w:r>
        <w:rPr>
          <w:rFonts w:hint="eastAsia" w:ascii="宋体" w:hAnsi="宋体" w:cs="宋体"/>
          <w:kern w:val="0"/>
          <w:sz w:val="24"/>
        </w:rPr>
        <w:t>。</w:t>
      </w:r>
    </w:p>
    <w:p w14:paraId="18CFE5FC">
      <w:pPr>
        <w:spacing w:line="360" w:lineRule="auto"/>
        <w:ind w:firstLine="480" w:firstLineChars="200"/>
        <w:rPr>
          <w:rFonts w:ascii="宋体" w:hAnsi="宋体" w:cs="宋体"/>
          <w:kern w:val="0"/>
          <w:sz w:val="24"/>
        </w:rPr>
      </w:pPr>
      <w:r>
        <w:rPr>
          <w:rFonts w:hint="eastAsia" w:ascii="宋体" w:hAnsi="宋体" w:cs="宋体"/>
          <w:kern w:val="0"/>
          <w:sz w:val="24"/>
        </w:rPr>
        <w:t>（3）发包人违反第10.1款〔变更的范围〕第（2）项约定，自行实施被取消的工作或转由他人实施的违约责任：</w:t>
      </w:r>
      <w:r>
        <w:rPr>
          <w:rFonts w:hint="eastAsia" w:ascii="宋体" w:hAnsi="宋体" w:cs="宋体"/>
          <w:sz w:val="24"/>
          <w:u w:val="single"/>
        </w:rPr>
        <w:t xml:space="preserve">   /  </w:t>
      </w:r>
      <w:r>
        <w:rPr>
          <w:rFonts w:hint="eastAsia" w:ascii="宋体" w:hAnsi="宋体" w:cs="宋体"/>
          <w:kern w:val="0"/>
          <w:sz w:val="24"/>
        </w:rPr>
        <w:t>。</w:t>
      </w:r>
    </w:p>
    <w:p w14:paraId="6D0E047E">
      <w:pPr>
        <w:spacing w:line="360" w:lineRule="auto"/>
        <w:ind w:firstLine="480" w:firstLineChars="200"/>
        <w:rPr>
          <w:rFonts w:ascii="宋体" w:hAnsi="宋体" w:cs="宋体"/>
          <w:kern w:val="0"/>
          <w:sz w:val="24"/>
        </w:rPr>
      </w:pPr>
      <w:r>
        <w:rPr>
          <w:rFonts w:hint="eastAsia" w:ascii="宋体" w:hAnsi="宋体" w:cs="宋体"/>
          <w:kern w:val="0"/>
          <w:sz w:val="24"/>
        </w:rPr>
        <w:t>（4）发包人提供的材料、工程设备的规格、数量或质量不符合合同约定，或因发包人原因导致交货日期延误或交货地点变更等情况的违约责任：</w:t>
      </w:r>
      <w:r>
        <w:rPr>
          <w:rFonts w:hint="eastAsia" w:ascii="宋体" w:hAnsi="宋体" w:cs="宋体"/>
          <w:sz w:val="24"/>
          <w:u w:val="single"/>
        </w:rPr>
        <w:t xml:space="preserve">   /  </w:t>
      </w:r>
      <w:r>
        <w:rPr>
          <w:rFonts w:hint="eastAsia" w:ascii="宋体" w:hAnsi="宋体" w:cs="宋体"/>
          <w:kern w:val="0"/>
          <w:sz w:val="24"/>
        </w:rPr>
        <w:t>。</w:t>
      </w:r>
    </w:p>
    <w:p w14:paraId="43B06235">
      <w:pPr>
        <w:spacing w:line="360" w:lineRule="auto"/>
        <w:ind w:firstLine="480" w:firstLineChars="200"/>
        <w:rPr>
          <w:rFonts w:ascii="宋体" w:hAnsi="宋体" w:cs="宋体"/>
          <w:kern w:val="0"/>
          <w:sz w:val="24"/>
          <w:u w:val="single"/>
        </w:rPr>
      </w:pPr>
      <w:r>
        <w:rPr>
          <w:rFonts w:hint="eastAsia" w:ascii="宋体" w:hAnsi="宋体" w:cs="宋体"/>
          <w:kern w:val="0"/>
          <w:sz w:val="24"/>
        </w:rPr>
        <w:t>（5）因发包人违反合同约定造成暂停施工的违约责任：</w:t>
      </w:r>
      <w:r>
        <w:rPr>
          <w:rFonts w:hint="eastAsia" w:ascii="宋体" w:hAnsi="宋体" w:cs="宋体"/>
          <w:sz w:val="24"/>
          <w:u w:val="single"/>
        </w:rPr>
        <w:t xml:space="preserve">   /  </w:t>
      </w:r>
      <w:r>
        <w:rPr>
          <w:rFonts w:hint="eastAsia" w:ascii="宋体" w:hAnsi="宋体" w:cs="宋体"/>
          <w:kern w:val="0"/>
          <w:sz w:val="24"/>
        </w:rPr>
        <w:t>。</w:t>
      </w:r>
    </w:p>
    <w:p w14:paraId="5845C4ED">
      <w:pPr>
        <w:spacing w:line="360" w:lineRule="auto"/>
        <w:ind w:firstLine="480" w:firstLineChars="200"/>
        <w:rPr>
          <w:rFonts w:ascii="宋体" w:hAnsi="宋体" w:cs="宋体"/>
          <w:kern w:val="0"/>
          <w:sz w:val="24"/>
        </w:rPr>
      </w:pPr>
      <w:r>
        <w:rPr>
          <w:rFonts w:hint="eastAsia" w:ascii="宋体" w:hAnsi="宋体" w:cs="宋体"/>
          <w:kern w:val="0"/>
          <w:sz w:val="24"/>
        </w:rPr>
        <w:t>（6）发包人无正当理由没有在约定期限内发出复工指示，导致承包人无法复工的违约责任：</w:t>
      </w:r>
      <w:r>
        <w:rPr>
          <w:rFonts w:hint="eastAsia" w:ascii="宋体" w:hAnsi="宋体" w:cs="宋体"/>
          <w:sz w:val="24"/>
          <w:u w:val="single"/>
        </w:rPr>
        <w:t xml:space="preserve">   /  </w:t>
      </w:r>
      <w:r>
        <w:rPr>
          <w:rFonts w:hint="eastAsia" w:ascii="宋体" w:hAnsi="宋体" w:cs="宋体"/>
          <w:kern w:val="0"/>
          <w:sz w:val="24"/>
        </w:rPr>
        <w:t>。</w:t>
      </w:r>
    </w:p>
    <w:p w14:paraId="594971DF">
      <w:pPr>
        <w:spacing w:line="360" w:lineRule="auto"/>
        <w:ind w:firstLine="480" w:firstLineChars="200"/>
        <w:rPr>
          <w:rFonts w:ascii="宋体" w:hAnsi="宋体" w:cs="宋体"/>
          <w:kern w:val="0"/>
          <w:sz w:val="24"/>
        </w:rPr>
      </w:pPr>
      <w:r>
        <w:rPr>
          <w:rFonts w:hint="eastAsia" w:ascii="宋体" w:hAnsi="宋体" w:cs="宋体"/>
          <w:kern w:val="0"/>
          <w:sz w:val="24"/>
        </w:rPr>
        <w:t>（7）其他：</w:t>
      </w:r>
      <w:r>
        <w:rPr>
          <w:rFonts w:hint="eastAsia" w:ascii="宋体" w:hAnsi="宋体" w:cs="宋体"/>
          <w:sz w:val="24"/>
          <w:u w:val="single"/>
        </w:rPr>
        <w:t xml:space="preserve">   /  </w:t>
      </w:r>
      <w:r>
        <w:rPr>
          <w:rFonts w:hint="eastAsia" w:ascii="宋体" w:hAnsi="宋体" w:cs="宋体"/>
          <w:kern w:val="0"/>
          <w:sz w:val="24"/>
        </w:rPr>
        <w:t>。</w:t>
      </w:r>
    </w:p>
    <w:p w14:paraId="3D40E198">
      <w:pPr>
        <w:spacing w:line="360" w:lineRule="auto"/>
        <w:ind w:firstLine="480" w:firstLineChars="200"/>
        <w:rPr>
          <w:rFonts w:ascii="宋体" w:hAnsi="宋体" w:cs="宋体"/>
          <w:sz w:val="24"/>
        </w:rPr>
      </w:pPr>
      <w:r>
        <w:rPr>
          <w:rFonts w:hint="eastAsia" w:ascii="宋体" w:hAnsi="宋体" w:cs="宋体"/>
          <w:sz w:val="24"/>
        </w:rPr>
        <w:t>16.1.3 因发包人违约解除合同</w:t>
      </w:r>
    </w:p>
    <w:p w14:paraId="26B8F07E">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承包人按16.1.1项〔发包人违约的情形〕约定暂停施工满</w:t>
      </w:r>
      <w:r>
        <w:rPr>
          <w:rFonts w:hint="eastAsia" w:ascii="宋体" w:hAnsi="宋体" w:cs="宋体"/>
          <w:sz w:val="24"/>
          <w:u w:val="single"/>
        </w:rPr>
        <w:t xml:space="preserve">   /  </w:t>
      </w:r>
      <w:r>
        <w:rPr>
          <w:rFonts w:hint="eastAsia" w:ascii="宋体" w:hAnsi="宋体" w:cs="宋体"/>
          <w:kern w:val="0"/>
          <w:sz w:val="24"/>
        </w:rPr>
        <w:t>天后发包人仍不纠正其违约行为并致使合同目的不能实现的，承包人有权解除合同。</w:t>
      </w:r>
    </w:p>
    <w:p w14:paraId="732A75B9">
      <w:pPr>
        <w:spacing w:line="360" w:lineRule="auto"/>
        <w:ind w:firstLine="480" w:firstLineChars="200"/>
        <w:rPr>
          <w:rFonts w:ascii="宋体" w:hAnsi="宋体" w:cs="宋体"/>
          <w:sz w:val="24"/>
        </w:rPr>
      </w:pPr>
      <w:r>
        <w:rPr>
          <w:rFonts w:hint="eastAsia" w:ascii="宋体" w:hAnsi="宋体" w:cs="宋体"/>
          <w:sz w:val="24"/>
        </w:rPr>
        <w:t>16.2 承包人违约</w:t>
      </w:r>
    </w:p>
    <w:p w14:paraId="4ECA159E">
      <w:pPr>
        <w:spacing w:line="360" w:lineRule="auto"/>
        <w:ind w:firstLine="480" w:firstLineChars="200"/>
        <w:rPr>
          <w:rFonts w:ascii="宋体" w:hAnsi="宋体" w:cs="宋体"/>
          <w:strike/>
          <w:kern w:val="0"/>
          <w:sz w:val="24"/>
        </w:rPr>
      </w:pPr>
      <w:r>
        <w:rPr>
          <w:rFonts w:hint="eastAsia" w:ascii="宋体" w:hAnsi="宋体" w:cs="宋体"/>
          <w:kern w:val="0"/>
          <w:sz w:val="24"/>
        </w:rPr>
        <w:t xml:space="preserve">16.2.1 承包人违约的情形 </w:t>
      </w:r>
    </w:p>
    <w:p w14:paraId="59457FEE">
      <w:pPr>
        <w:spacing w:line="360" w:lineRule="auto"/>
        <w:ind w:firstLine="480" w:firstLineChars="200"/>
        <w:rPr>
          <w:rFonts w:ascii="宋体" w:hAnsi="宋体" w:cs="宋体"/>
          <w:kern w:val="0"/>
          <w:sz w:val="24"/>
          <w:u w:val="single"/>
        </w:rPr>
      </w:pPr>
      <w:r>
        <w:rPr>
          <w:rFonts w:hint="eastAsia" w:ascii="宋体" w:hAnsi="宋体" w:cs="宋体"/>
          <w:kern w:val="0"/>
          <w:sz w:val="24"/>
        </w:rPr>
        <w:t>承包人违约的其他情形：</w:t>
      </w:r>
      <w:r>
        <w:rPr>
          <w:rFonts w:hint="eastAsia" w:ascii="宋体" w:hAnsi="宋体" w:cs="宋体"/>
          <w:kern w:val="0"/>
          <w:sz w:val="24"/>
          <w:u w:val="single"/>
        </w:rPr>
        <w:t xml:space="preserve">   /  </w:t>
      </w:r>
      <w:r>
        <w:rPr>
          <w:rFonts w:hint="eastAsia" w:ascii="宋体" w:hAnsi="宋体" w:cs="宋体"/>
          <w:kern w:val="0"/>
          <w:sz w:val="24"/>
        </w:rPr>
        <w:t>。</w:t>
      </w:r>
    </w:p>
    <w:p w14:paraId="44D23688">
      <w:pPr>
        <w:spacing w:line="360" w:lineRule="auto"/>
        <w:ind w:firstLine="480" w:firstLineChars="200"/>
        <w:rPr>
          <w:rFonts w:ascii="宋体" w:hAnsi="宋体" w:cs="宋体"/>
          <w:kern w:val="0"/>
          <w:sz w:val="24"/>
        </w:rPr>
      </w:pPr>
      <w:r>
        <w:rPr>
          <w:rFonts w:hint="eastAsia" w:ascii="宋体" w:hAnsi="宋体" w:cs="宋体"/>
          <w:kern w:val="0"/>
          <w:sz w:val="24"/>
        </w:rPr>
        <w:t>16.2.2承包人违约的责任</w:t>
      </w:r>
    </w:p>
    <w:p w14:paraId="447C1AB3">
      <w:pPr>
        <w:spacing w:line="360" w:lineRule="auto"/>
        <w:ind w:firstLine="480" w:firstLineChars="200"/>
        <w:rPr>
          <w:rFonts w:ascii="宋体" w:hAnsi="宋体" w:cs="宋体"/>
          <w:b/>
          <w:bCs/>
          <w:sz w:val="24"/>
          <w:u w:val="single"/>
        </w:rPr>
      </w:pPr>
      <w:r>
        <w:rPr>
          <w:rFonts w:hint="eastAsia" w:ascii="宋体" w:hAnsi="宋体" w:cs="宋体"/>
          <w:kern w:val="0"/>
          <w:sz w:val="24"/>
        </w:rPr>
        <w:t>承包人违约责任的承担方式和计算方法：</w:t>
      </w:r>
      <w:r>
        <w:rPr>
          <w:rFonts w:hint="eastAsia" w:ascii="宋体" w:hAnsi="宋体" w:cs="宋体"/>
          <w:b/>
          <w:bCs/>
          <w:sz w:val="24"/>
          <w:u w:val="single"/>
        </w:rPr>
        <w:t xml:space="preserve">                                      </w:t>
      </w:r>
    </w:p>
    <w:p w14:paraId="534B0492">
      <w:pPr>
        <w:spacing w:line="360" w:lineRule="auto"/>
        <w:ind w:firstLine="480" w:firstLineChars="200"/>
        <w:rPr>
          <w:rFonts w:ascii="宋体" w:hAnsi="宋体" w:cs="宋体"/>
          <w:sz w:val="24"/>
        </w:rPr>
      </w:pPr>
      <w:r>
        <w:rPr>
          <w:rFonts w:hint="eastAsia" w:ascii="宋体" w:hAnsi="宋体" w:cs="宋体"/>
          <w:sz w:val="24"/>
        </w:rPr>
        <w:t>16.2.3 因承包人违约解除合同</w:t>
      </w:r>
    </w:p>
    <w:p w14:paraId="62F9F113">
      <w:pPr>
        <w:spacing w:line="360" w:lineRule="auto"/>
        <w:ind w:firstLine="480" w:firstLineChars="200"/>
        <w:rPr>
          <w:rFonts w:ascii="宋体" w:hAnsi="宋体" w:cs="宋体"/>
          <w:kern w:val="0"/>
          <w:sz w:val="24"/>
          <w:u w:val="single"/>
        </w:rPr>
      </w:pPr>
      <w:r>
        <w:rPr>
          <w:rFonts w:hint="eastAsia" w:ascii="宋体" w:hAnsi="宋体" w:cs="宋体"/>
          <w:kern w:val="0"/>
          <w:sz w:val="24"/>
        </w:rPr>
        <w:t>关于承包人违约解除合同的特别约定：</w:t>
      </w:r>
      <w:r>
        <w:rPr>
          <w:rFonts w:hint="eastAsia" w:ascii="宋体" w:hAnsi="宋体" w:cs="宋体"/>
          <w:sz w:val="24"/>
          <w:u w:val="single"/>
        </w:rPr>
        <w:t xml:space="preserve">   /  </w:t>
      </w:r>
      <w:r>
        <w:rPr>
          <w:rFonts w:hint="eastAsia" w:ascii="宋体" w:hAnsi="宋体" w:cs="宋体"/>
          <w:kern w:val="0"/>
          <w:sz w:val="24"/>
        </w:rPr>
        <w:t>。</w:t>
      </w:r>
    </w:p>
    <w:p w14:paraId="17CCC7E2">
      <w:pPr>
        <w:spacing w:line="360" w:lineRule="auto"/>
        <w:ind w:firstLine="480" w:firstLineChars="200"/>
        <w:rPr>
          <w:rFonts w:ascii="宋体" w:hAnsi="宋体" w:cs="宋体"/>
          <w:kern w:val="0"/>
          <w:sz w:val="24"/>
        </w:rPr>
      </w:pPr>
      <w:r>
        <w:rPr>
          <w:rFonts w:hint="eastAsia" w:ascii="宋体" w:hAnsi="宋体" w:cs="宋体"/>
          <w:kern w:val="0"/>
          <w:sz w:val="24"/>
        </w:rPr>
        <w:t>发包人继续使用承包人在施工现场的材料、设备、临时工程、承包人文件和由承包人或以其名义编制的其他文件的费用承担方式：</w:t>
      </w:r>
      <w:r>
        <w:rPr>
          <w:rFonts w:hint="eastAsia" w:ascii="宋体" w:hAnsi="宋体" w:cs="宋体"/>
          <w:sz w:val="24"/>
          <w:u w:val="single"/>
        </w:rPr>
        <w:t xml:space="preserve">   /  </w:t>
      </w:r>
      <w:r>
        <w:rPr>
          <w:rFonts w:hint="eastAsia" w:ascii="宋体" w:hAnsi="宋体" w:cs="宋体"/>
          <w:kern w:val="0"/>
          <w:sz w:val="24"/>
        </w:rPr>
        <w:t>。</w:t>
      </w:r>
    </w:p>
    <w:p w14:paraId="6F9AB1BD">
      <w:pPr>
        <w:spacing w:line="360" w:lineRule="auto"/>
        <w:ind w:firstLine="482" w:firstLineChars="200"/>
        <w:rPr>
          <w:rFonts w:ascii="宋体" w:hAnsi="宋体" w:cs="宋体"/>
          <w:b/>
          <w:bCs/>
          <w:sz w:val="24"/>
        </w:rPr>
      </w:pPr>
      <w:r>
        <w:rPr>
          <w:rFonts w:hint="eastAsia" w:ascii="宋体" w:hAnsi="宋体" w:cs="宋体"/>
          <w:b/>
          <w:bCs/>
          <w:sz w:val="24"/>
        </w:rPr>
        <w:t xml:space="preserve">17、不可抗力 </w:t>
      </w:r>
    </w:p>
    <w:p w14:paraId="6E987ACE">
      <w:pPr>
        <w:spacing w:line="360" w:lineRule="auto"/>
        <w:ind w:firstLine="480" w:firstLineChars="200"/>
        <w:rPr>
          <w:rFonts w:ascii="宋体" w:hAnsi="宋体" w:cs="宋体"/>
          <w:sz w:val="24"/>
        </w:rPr>
      </w:pPr>
      <w:r>
        <w:rPr>
          <w:rFonts w:hint="eastAsia" w:ascii="宋体" w:hAnsi="宋体" w:cs="宋体"/>
          <w:sz w:val="24"/>
        </w:rPr>
        <w:t>17.1不可抗力的确认</w:t>
      </w:r>
    </w:p>
    <w:p w14:paraId="231F0CF0">
      <w:pPr>
        <w:spacing w:line="360" w:lineRule="auto"/>
        <w:ind w:firstLine="480" w:firstLineChars="200"/>
        <w:rPr>
          <w:rFonts w:ascii="宋体" w:hAnsi="宋体" w:cs="宋体"/>
          <w:kern w:val="0"/>
          <w:sz w:val="24"/>
          <w:u w:val="single"/>
        </w:rPr>
      </w:pPr>
      <w:r>
        <w:rPr>
          <w:rFonts w:hint="eastAsia" w:ascii="宋体" w:hAnsi="宋体" w:cs="宋体"/>
          <w:sz w:val="24"/>
        </w:rPr>
        <w:t>除通用合同条款约定的不可抗力事件之外，视为不可抗力的其他情形：</w:t>
      </w:r>
      <w:r>
        <w:rPr>
          <w:rFonts w:hint="eastAsia" w:ascii="宋体" w:hAnsi="宋体" w:cs="宋体"/>
          <w:b/>
          <w:bCs/>
          <w:sz w:val="24"/>
          <w:u w:val="single"/>
        </w:rPr>
        <w:t>不可抗力是指本合同生效后，发生不能预见并且对其发生和后果不能防止或避免的事件，且属地政府确认的灾害性事件，如地震(六级及六级以上)、台风(持续半小时10级及10级以上)、水灾(50年一遇及50年一遇以上)、非承包人引起的火灾（损失100万元及损失100万元以上）、战争等，致使直接影响本合同的履行或不能按约定的条件履行</w:t>
      </w:r>
      <w:r>
        <w:rPr>
          <w:rFonts w:hint="eastAsia" w:ascii="宋体" w:hAnsi="宋体" w:cs="宋体"/>
          <w:b/>
          <w:bCs/>
          <w:kern w:val="0"/>
          <w:sz w:val="24"/>
        </w:rPr>
        <w:t>。</w:t>
      </w:r>
    </w:p>
    <w:p w14:paraId="1E2FC051">
      <w:pPr>
        <w:spacing w:line="360" w:lineRule="auto"/>
        <w:ind w:firstLine="480" w:firstLineChars="200"/>
        <w:rPr>
          <w:rFonts w:ascii="宋体" w:hAnsi="宋体" w:cs="宋体"/>
          <w:sz w:val="24"/>
        </w:rPr>
      </w:pPr>
      <w:r>
        <w:rPr>
          <w:rFonts w:hint="eastAsia" w:ascii="宋体" w:hAnsi="宋体" w:cs="宋体"/>
          <w:sz w:val="24"/>
        </w:rPr>
        <w:t>17.4因不可抗力解除合同</w:t>
      </w:r>
    </w:p>
    <w:p w14:paraId="54B53C2B">
      <w:pPr>
        <w:spacing w:line="360" w:lineRule="auto"/>
        <w:ind w:firstLine="480" w:firstLineChars="200"/>
        <w:rPr>
          <w:rFonts w:ascii="宋体" w:hAnsi="宋体" w:cs="宋体"/>
          <w:sz w:val="24"/>
        </w:rPr>
      </w:pPr>
      <w:r>
        <w:rPr>
          <w:rFonts w:hint="eastAsia" w:ascii="宋体" w:hAnsi="宋体" w:cs="宋体"/>
          <w:sz w:val="24"/>
        </w:rPr>
        <w:t>合同解除后，发包人应在商定或确定发包人应支付款项后</w:t>
      </w:r>
      <w:r>
        <w:rPr>
          <w:rFonts w:hint="eastAsia" w:ascii="宋体" w:hAnsi="宋体" w:cs="宋体"/>
          <w:sz w:val="24"/>
          <w:u w:val="single"/>
        </w:rPr>
        <w:t>28</w:t>
      </w:r>
      <w:r>
        <w:rPr>
          <w:rFonts w:hint="eastAsia" w:ascii="宋体" w:hAnsi="宋体" w:cs="宋体"/>
          <w:sz w:val="24"/>
        </w:rPr>
        <w:t xml:space="preserve">天内完成款项的支付。 </w:t>
      </w:r>
    </w:p>
    <w:p w14:paraId="2069A8D1">
      <w:pPr>
        <w:spacing w:line="360" w:lineRule="auto"/>
        <w:ind w:firstLine="482" w:firstLineChars="200"/>
        <w:rPr>
          <w:rFonts w:ascii="宋体" w:hAnsi="宋体" w:cs="宋体"/>
          <w:b/>
          <w:bCs/>
          <w:sz w:val="24"/>
        </w:rPr>
      </w:pPr>
      <w:r>
        <w:rPr>
          <w:rFonts w:hint="eastAsia" w:ascii="宋体" w:hAnsi="宋体" w:cs="宋体"/>
          <w:b/>
          <w:bCs/>
          <w:sz w:val="24"/>
        </w:rPr>
        <w:t>18、保险</w:t>
      </w:r>
    </w:p>
    <w:p w14:paraId="18E786F6">
      <w:pPr>
        <w:spacing w:line="360" w:lineRule="auto"/>
        <w:ind w:firstLine="480" w:firstLineChars="200"/>
        <w:rPr>
          <w:rFonts w:ascii="宋体" w:hAnsi="宋体" w:cs="宋体"/>
          <w:sz w:val="24"/>
        </w:rPr>
      </w:pPr>
      <w:r>
        <w:rPr>
          <w:rFonts w:hint="eastAsia" w:ascii="宋体" w:hAnsi="宋体" w:cs="宋体"/>
          <w:sz w:val="24"/>
        </w:rPr>
        <w:t>18.1工程保险</w:t>
      </w:r>
    </w:p>
    <w:p w14:paraId="75662BC3">
      <w:pPr>
        <w:spacing w:line="360" w:lineRule="auto"/>
        <w:ind w:firstLine="480" w:firstLineChars="200"/>
        <w:rPr>
          <w:rFonts w:ascii="宋体" w:hAnsi="宋体" w:cs="宋体"/>
          <w:sz w:val="24"/>
        </w:rPr>
      </w:pPr>
      <w:r>
        <w:rPr>
          <w:rFonts w:hint="eastAsia" w:ascii="宋体" w:hAnsi="宋体" w:cs="宋体"/>
          <w:sz w:val="24"/>
        </w:rPr>
        <w:t>关于工程保险的特别约定：</w:t>
      </w:r>
      <w:r>
        <w:rPr>
          <w:rFonts w:hint="eastAsia" w:ascii="宋体" w:hAnsi="宋体" w:cs="宋体"/>
          <w:b/>
          <w:bCs/>
          <w:kern w:val="0"/>
          <w:sz w:val="24"/>
          <w:u w:val="single"/>
        </w:rPr>
        <w:t>承包人应按国家、浙江省、杭州市有关规定办理相关保险并自行支付保费（主要包括：施工场地内自有人员办理意外伤害保险、施工机械设备办理保险等），其中涉及发包人保险利益的，应将发包人列为被保险人。发生事故，除保险公司理赔外，发包人不承担任何费用</w:t>
      </w:r>
      <w:r>
        <w:rPr>
          <w:rFonts w:hint="eastAsia" w:ascii="宋体" w:hAnsi="宋体" w:cs="宋体"/>
          <w:kern w:val="0"/>
          <w:sz w:val="24"/>
        </w:rPr>
        <w:t>。</w:t>
      </w:r>
    </w:p>
    <w:p w14:paraId="34511DA9">
      <w:pPr>
        <w:spacing w:line="360" w:lineRule="auto"/>
        <w:ind w:firstLine="480" w:firstLineChars="200"/>
        <w:rPr>
          <w:rFonts w:ascii="宋体" w:hAnsi="宋体" w:cs="宋体"/>
          <w:sz w:val="24"/>
        </w:rPr>
      </w:pPr>
      <w:r>
        <w:rPr>
          <w:rFonts w:hint="eastAsia" w:ascii="宋体" w:hAnsi="宋体" w:cs="宋体"/>
          <w:sz w:val="24"/>
        </w:rPr>
        <w:t>18.3其他保险</w:t>
      </w:r>
    </w:p>
    <w:p w14:paraId="009835F6">
      <w:pPr>
        <w:spacing w:line="360" w:lineRule="auto"/>
        <w:ind w:firstLine="480" w:firstLineChars="200"/>
        <w:rPr>
          <w:rFonts w:ascii="宋体" w:hAnsi="宋体" w:cs="宋体"/>
          <w:kern w:val="0"/>
          <w:sz w:val="24"/>
        </w:rPr>
      </w:pPr>
      <w:r>
        <w:rPr>
          <w:rFonts w:hint="eastAsia" w:ascii="宋体" w:hAnsi="宋体" w:cs="宋体"/>
          <w:sz w:val="24"/>
        </w:rPr>
        <w:t>关于其他保险的约定：</w:t>
      </w:r>
      <w:r>
        <w:rPr>
          <w:rFonts w:hint="eastAsia" w:ascii="宋体" w:hAnsi="宋体" w:cs="宋体"/>
          <w:sz w:val="24"/>
          <w:u w:val="single"/>
        </w:rPr>
        <w:t xml:space="preserve">   /  </w:t>
      </w:r>
      <w:r>
        <w:rPr>
          <w:rFonts w:hint="eastAsia" w:ascii="宋体" w:hAnsi="宋体" w:cs="宋体"/>
          <w:kern w:val="0"/>
          <w:sz w:val="24"/>
        </w:rPr>
        <w:t>。</w:t>
      </w:r>
    </w:p>
    <w:p w14:paraId="1088315E">
      <w:pPr>
        <w:spacing w:line="360" w:lineRule="auto"/>
        <w:ind w:firstLine="480" w:firstLineChars="200"/>
        <w:rPr>
          <w:rFonts w:ascii="宋体" w:hAnsi="宋体" w:cs="宋体"/>
          <w:sz w:val="24"/>
          <w:u w:val="single"/>
        </w:rPr>
      </w:pPr>
      <w:r>
        <w:rPr>
          <w:rFonts w:hint="eastAsia" w:ascii="宋体" w:hAnsi="宋体" w:cs="宋体"/>
          <w:sz w:val="24"/>
        </w:rPr>
        <w:t>承包人是否应为其施工设备等办理财产保险：</w:t>
      </w:r>
      <w:r>
        <w:rPr>
          <w:rFonts w:hint="eastAsia" w:ascii="宋体" w:hAnsi="宋体" w:cs="宋体"/>
          <w:sz w:val="24"/>
          <w:u w:val="single"/>
        </w:rPr>
        <w:t xml:space="preserve">   /  </w:t>
      </w:r>
      <w:r>
        <w:rPr>
          <w:rFonts w:hint="eastAsia" w:ascii="宋体" w:hAnsi="宋体" w:cs="宋体"/>
          <w:sz w:val="24"/>
        </w:rPr>
        <w:t>。</w:t>
      </w:r>
    </w:p>
    <w:p w14:paraId="08208D41">
      <w:pPr>
        <w:spacing w:line="360" w:lineRule="auto"/>
        <w:ind w:firstLine="480" w:firstLineChars="200"/>
        <w:rPr>
          <w:rFonts w:ascii="宋体" w:hAnsi="宋体" w:cs="宋体"/>
          <w:sz w:val="24"/>
        </w:rPr>
      </w:pPr>
      <w:r>
        <w:rPr>
          <w:rFonts w:hint="eastAsia" w:ascii="宋体" w:hAnsi="宋体" w:cs="宋体"/>
          <w:sz w:val="24"/>
        </w:rPr>
        <w:t>18.7通知义务</w:t>
      </w:r>
    </w:p>
    <w:p w14:paraId="215918BE">
      <w:pPr>
        <w:spacing w:line="360" w:lineRule="auto"/>
        <w:ind w:firstLine="480" w:firstLineChars="200"/>
        <w:rPr>
          <w:rFonts w:ascii="宋体" w:hAnsi="宋体" w:cs="宋体"/>
          <w:b/>
          <w:bCs/>
          <w:sz w:val="24"/>
        </w:rPr>
      </w:pPr>
      <w:r>
        <w:rPr>
          <w:rFonts w:hint="eastAsia" w:ascii="宋体" w:hAnsi="宋体" w:cs="宋体"/>
          <w:kern w:val="0"/>
          <w:sz w:val="24"/>
        </w:rPr>
        <w:t>关于变更保险合同时的通知义务的约定：</w:t>
      </w:r>
      <w:r>
        <w:rPr>
          <w:rFonts w:hint="eastAsia" w:ascii="宋体" w:hAnsi="宋体" w:cs="宋体"/>
          <w:sz w:val="24"/>
          <w:u w:val="single"/>
        </w:rPr>
        <w:t xml:space="preserve">   /  </w:t>
      </w:r>
      <w:r>
        <w:rPr>
          <w:rFonts w:hint="eastAsia" w:ascii="宋体" w:hAnsi="宋体" w:cs="宋体"/>
          <w:sz w:val="24"/>
        </w:rPr>
        <w:t>。</w:t>
      </w:r>
    </w:p>
    <w:p w14:paraId="37427D4C">
      <w:pPr>
        <w:spacing w:line="360" w:lineRule="auto"/>
        <w:ind w:firstLine="482" w:firstLineChars="200"/>
        <w:rPr>
          <w:rFonts w:ascii="宋体" w:hAnsi="宋体" w:cs="宋体"/>
          <w:b/>
          <w:bCs/>
          <w:sz w:val="24"/>
        </w:rPr>
      </w:pPr>
      <w:r>
        <w:rPr>
          <w:rFonts w:hint="eastAsia" w:ascii="宋体" w:hAnsi="宋体" w:cs="宋体"/>
          <w:b/>
          <w:bCs/>
          <w:sz w:val="24"/>
        </w:rPr>
        <w:t>20、争议解决</w:t>
      </w:r>
    </w:p>
    <w:p w14:paraId="0C4B799F">
      <w:pPr>
        <w:spacing w:line="360" w:lineRule="auto"/>
        <w:ind w:firstLine="480" w:firstLineChars="200"/>
        <w:rPr>
          <w:rFonts w:ascii="宋体" w:hAnsi="宋体" w:cs="宋体"/>
          <w:sz w:val="24"/>
        </w:rPr>
      </w:pPr>
      <w:r>
        <w:rPr>
          <w:rFonts w:hint="eastAsia" w:ascii="宋体" w:hAnsi="宋体" w:cs="宋体"/>
          <w:sz w:val="24"/>
        </w:rPr>
        <w:t>20.3争议评审</w:t>
      </w:r>
    </w:p>
    <w:p w14:paraId="48FF26A0">
      <w:pPr>
        <w:spacing w:line="360" w:lineRule="auto"/>
        <w:ind w:firstLine="480" w:firstLineChars="200"/>
        <w:rPr>
          <w:rFonts w:ascii="宋体" w:hAnsi="宋体" w:cs="宋体"/>
          <w:sz w:val="24"/>
        </w:rPr>
      </w:pPr>
      <w:r>
        <w:rPr>
          <w:rFonts w:hint="eastAsia" w:ascii="宋体" w:hAnsi="宋体" w:cs="宋体"/>
          <w:sz w:val="24"/>
        </w:rPr>
        <w:t>合同当事人是否同意将工程争议提交争议评审小组决定：</w:t>
      </w:r>
      <w:r>
        <w:rPr>
          <w:rFonts w:hint="eastAsia" w:ascii="宋体" w:hAnsi="宋体" w:cs="宋体"/>
          <w:b/>
          <w:bCs/>
          <w:sz w:val="24"/>
          <w:u w:val="single"/>
        </w:rPr>
        <w:t>不同意</w:t>
      </w:r>
      <w:r>
        <w:rPr>
          <w:rFonts w:hint="eastAsia" w:ascii="宋体" w:hAnsi="宋体" w:cs="宋体"/>
          <w:sz w:val="24"/>
          <w:u w:val="single"/>
        </w:rPr>
        <w:t>。</w:t>
      </w:r>
      <w:r>
        <w:rPr>
          <w:rFonts w:hint="eastAsia" w:ascii="宋体" w:hAnsi="宋体" w:cs="宋体"/>
          <w:sz w:val="24"/>
        </w:rPr>
        <w:t xml:space="preserve">  </w:t>
      </w:r>
    </w:p>
    <w:p w14:paraId="6DAD89C9">
      <w:pPr>
        <w:spacing w:line="360" w:lineRule="auto"/>
        <w:ind w:firstLine="480" w:firstLineChars="200"/>
        <w:rPr>
          <w:rFonts w:ascii="宋体" w:hAnsi="宋体" w:cs="宋体"/>
          <w:sz w:val="24"/>
        </w:rPr>
      </w:pPr>
      <w:r>
        <w:rPr>
          <w:rFonts w:hint="eastAsia" w:ascii="宋体" w:hAnsi="宋体" w:cs="宋体"/>
          <w:sz w:val="24"/>
        </w:rPr>
        <w:t>20.3.1争议评审小组的确定</w:t>
      </w:r>
    </w:p>
    <w:p w14:paraId="12BBC35C">
      <w:pPr>
        <w:spacing w:line="360" w:lineRule="auto"/>
        <w:ind w:firstLine="480" w:firstLineChars="200"/>
        <w:rPr>
          <w:rFonts w:ascii="宋体" w:hAnsi="宋体" w:cs="宋体"/>
          <w:sz w:val="24"/>
          <w:u w:val="single"/>
        </w:rPr>
      </w:pPr>
      <w:r>
        <w:rPr>
          <w:rFonts w:hint="eastAsia" w:ascii="宋体" w:hAnsi="宋体" w:cs="宋体"/>
          <w:sz w:val="24"/>
        </w:rPr>
        <w:t>争议评审小组成员的确定：</w:t>
      </w:r>
      <w:r>
        <w:rPr>
          <w:rFonts w:hint="eastAsia" w:ascii="宋体" w:hAnsi="宋体" w:cs="宋体"/>
          <w:sz w:val="24"/>
          <w:u w:val="single"/>
        </w:rPr>
        <w:t xml:space="preserve">  /                 </w:t>
      </w:r>
      <w:r>
        <w:rPr>
          <w:rFonts w:hint="eastAsia" w:ascii="宋体" w:hAnsi="宋体" w:cs="宋体"/>
          <w:sz w:val="24"/>
        </w:rPr>
        <w:t>。</w:t>
      </w:r>
    </w:p>
    <w:p w14:paraId="0C6BB84C">
      <w:pPr>
        <w:spacing w:line="360" w:lineRule="auto"/>
        <w:ind w:firstLine="480" w:firstLineChars="200"/>
        <w:rPr>
          <w:rFonts w:ascii="宋体" w:hAnsi="宋体" w:cs="宋体"/>
          <w:sz w:val="24"/>
        </w:rPr>
      </w:pPr>
      <w:r>
        <w:rPr>
          <w:rFonts w:hint="eastAsia" w:ascii="宋体" w:hAnsi="宋体" w:cs="宋体"/>
          <w:sz w:val="24"/>
        </w:rPr>
        <w:t>选定争议评审员的期限：</w:t>
      </w:r>
      <w:r>
        <w:rPr>
          <w:rFonts w:hint="eastAsia" w:ascii="宋体" w:hAnsi="宋体" w:cs="宋体"/>
          <w:sz w:val="24"/>
          <w:u w:val="single"/>
        </w:rPr>
        <w:t xml:space="preserve">                  /                 </w:t>
      </w:r>
      <w:r>
        <w:rPr>
          <w:rFonts w:hint="eastAsia" w:ascii="宋体" w:hAnsi="宋体" w:cs="宋体"/>
          <w:sz w:val="24"/>
        </w:rPr>
        <w:t>。</w:t>
      </w:r>
    </w:p>
    <w:p w14:paraId="681AA770">
      <w:pPr>
        <w:spacing w:line="360" w:lineRule="auto"/>
        <w:ind w:firstLine="480" w:firstLineChars="200"/>
        <w:rPr>
          <w:rFonts w:ascii="宋体" w:hAnsi="宋体" w:cs="宋体"/>
          <w:sz w:val="24"/>
        </w:rPr>
      </w:pPr>
      <w:r>
        <w:rPr>
          <w:rFonts w:hint="eastAsia" w:ascii="宋体" w:hAnsi="宋体" w:cs="宋体"/>
          <w:sz w:val="24"/>
        </w:rPr>
        <w:t>争议评审小组成员的报酬承担方式：</w:t>
      </w:r>
      <w:r>
        <w:rPr>
          <w:rFonts w:hint="eastAsia" w:ascii="宋体" w:hAnsi="宋体" w:cs="宋体"/>
          <w:sz w:val="24"/>
          <w:u w:val="single"/>
        </w:rPr>
        <w:t xml:space="preserve">         /                </w:t>
      </w:r>
      <w:r>
        <w:rPr>
          <w:rFonts w:hint="eastAsia" w:ascii="宋体" w:hAnsi="宋体" w:cs="宋体"/>
          <w:sz w:val="24"/>
        </w:rPr>
        <w:t>。</w:t>
      </w:r>
    </w:p>
    <w:p w14:paraId="3C2ED327">
      <w:pPr>
        <w:spacing w:line="360" w:lineRule="auto"/>
        <w:ind w:firstLine="480" w:firstLineChars="200"/>
        <w:rPr>
          <w:rFonts w:ascii="宋体" w:hAnsi="宋体" w:cs="宋体"/>
          <w:sz w:val="24"/>
        </w:rPr>
      </w:pPr>
      <w:r>
        <w:rPr>
          <w:rFonts w:hint="eastAsia" w:ascii="宋体" w:hAnsi="宋体" w:cs="宋体"/>
          <w:sz w:val="24"/>
        </w:rPr>
        <w:t>其他事项的约定：</w:t>
      </w:r>
      <w:r>
        <w:rPr>
          <w:rFonts w:hint="eastAsia" w:ascii="宋体" w:hAnsi="宋体" w:cs="宋体"/>
          <w:sz w:val="24"/>
          <w:u w:val="single"/>
        </w:rPr>
        <w:t xml:space="preserve">              /               </w:t>
      </w:r>
      <w:r>
        <w:rPr>
          <w:rFonts w:hint="eastAsia" w:ascii="宋体" w:hAnsi="宋体" w:cs="宋体"/>
          <w:sz w:val="24"/>
        </w:rPr>
        <w:t>。</w:t>
      </w:r>
    </w:p>
    <w:p w14:paraId="17DF49C6">
      <w:pPr>
        <w:autoSpaceDE w:val="0"/>
        <w:autoSpaceDN w:val="0"/>
        <w:spacing w:line="360" w:lineRule="auto"/>
        <w:ind w:firstLine="480" w:firstLineChars="200"/>
        <w:rPr>
          <w:rFonts w:ascii="宋体" w:hAnsi="宋体" w:cs="宋体"/>
          <w:kern w:val="0"/>
          <w:sz w:val="24"/>
          <w:u w:val="single"/>
        </w:rPr>
      </w:pPr>
      <w:r>
        <w:rPr>
          <w:rFonts w:hint="eastAsia" w:ascii="宋体" w:hAnsi="宋体" w:cs="宋体"/>
          <w:kern w:val="0"/>
          <w:sz w:val="24"/>
        </w:rPr>
        <w:t>20.3.2争议评审小组的决定</w:t>
      </w:r>
    </w:p>
    <w:p w14:paraId="676F37BA">
      <w:pPr>
        <w:spacing w:line="360" w:lineRule="auto"/>
        <w:ind w:firstLine="480" w:firstLineChars="200"/>
        <w:rPr>
          <w:rFonts w:ascii="宋体" w:hAnsi="宋体" w:cs="宋体"/>
          <w:sz w:val="24"/>
        </w:rPr>
      </w:pPr>
      <w:r>
        <w:rPr>
          <w:rFonts w:hint="eastAsia" w:ascii="宋体" w:hAnsi="宋体" w:cs="宋体"/>
          <w:sz w:val="24"/>
        </w:rPr>
        <w:t>合同当事人关于本项的约定：</w:t>
      </w:r>
      <w:r>
        <w:rPr>
          <w:rFonts w:hint="eastAsia" w:ascii="宋体" w:hAnsi="宋体" w:cs="宋体"/>
          <w:sz w:val="24"/>
          <w:u w:val="single"/>
        </w:rPr>
        <w:t xml:space="preserve">              /   </w:t>
      </w:r>
      <w:r>
        <w:rPr>
          <w:rFonts w:hint="eastAsia" w:ascii="宋体" w:hAnsi="宋体" w:cs="宋体"/>
          <w:sz w:val="24"/>
        </w:rPr>
        <w:t>。</w:t>
      </w:r>
    </w:p>
    <w:p w14:paraId="6948CE12">
      <w:pPr>
        <w:spacing w:line="360" w:lineRule="auto"/>
        <w:ind w:firstLine="480" w:firstLineChars="200"/>
        <w:rPr>
          <w:rFonts w:ascii="宋体" w:hAnsi="宋体" w:cs="宋体"/>
          <w:sz w:val="24"/>
        </w:rPr>
      </w:pPr>
      <w:r>
        <w:rPr>
          <w:rFonts w:hint="eastAsia" w:ascii="宋体" w:hAnsi="宋体" w:cs="宋体"/>
          <w:sz w:val="24"/>
        </w:rPr>
        <w:t>20.4仲裁或诉讼</w:t>
      </w:r>
    </w:p>
    <w:p w14:paraId="2EE0FD5B">
      <w:pPr>
        <w:spacing w:line="360" w:lineRule="auto"/>
        <w:ind w:firstLine="480" w:firstLineChars="200"/>
        <w:rPr>
          <w:rFonts w:ascii="宋体" w:hAnsi="宋体" w:cs="宋体"/>
          <w:sz w:val="24"/>
        </w:rPr>
      </w:pPr>
      <w:r>
        <w:rPr>
          <w:rFonts w:hint="eastAsia" w:ascii="宋体" w:hAnsi="宋体" w:cs="宋体"/>
          <w:sz w:val="24"/>
        </w:rPr>
        <w:t>因合同及合同有关事项发生的争议，双方当事人一致同意按下列解决方式中第</w:t>
      </w:r>
      <w:r>
        <w:rPr>
          <w:rFonts w:hint="eastAsia" w:ascii="宋体" w:hAnsi="宋体" w:cs="宋体"/>
          <w:sz w:val="24"/>
          <w:u w:val="single"/>
        </w:rPr>
        <w:t xml:space="preserve"> </w:t>
      </w:r>
      <w:r>
        <w:rPr>
          <w:rFonts w:hint="eastAsia" w:ascii="宋体" w:hAnsi="宋体" w:cs="宋体"/>
          <w:b/>
          <w:bCs/>
          <w:sz w:val="24"/>
          <w:u w:val="single"/>
        </w:rPr>
        <w:t xml:space="preserve"> （2） </w:t>
      </w:r>
      <w:r>
        <w:rPr>
          <w:rFonts w:hint="eastAsia" w:ascii="宋体" w:hAnsi="宋体" w:cs="宋体"/>
          <w:sz w:val="24"/>
          <w:u w:val="single"/>
        </w:rPr>
        <w:t xml:space="preserve"> </w:t>
      </w:r>
      <w:r>
        <w:rPr>
          <w:rFonts w:hint="eastAsia" w:ascii="宋体" w:hAnsi="宋体" w:cs="宋体"/>
          <w:sz w:val="24"/>
        </w:rPr>
        <w:t>种方式解决：</w:t>
      </w:r>
    </w:p>
    <w:p w14:paraId="017DD646">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提交 / 仲裁委员会申请仲裁</w:t>
      </w:r>
      <w:r>
        <w:rPr>
          <w:rFonts w:hint="eastAsia" w:ascii="宋体" w:hAnsi="宋体" w:cs="宋体"/>
          <w:sz w:val="24"/>
        </w:rPr>
        <w:t>；</w:t>
      </w:r>
    </w:p>
    <w:p w14:paraId="233428E4">
      <w:pPr>
        <w:spacing w:line="360" w:lineRule="auto"/>
        <w:ind w:firstLine="482" w:firstLineChars="200"/>
        <w:rPr>
          <w:rFonts w:ascii="宋体" w:hAnsi="宋体" w:cs="宋体"/>
          <w:sz w:val="24"/>
        </w:rPr>
      </w:pPr>
      <w:r>
        <w:rPr>
          <w:rFonts w:hint="eastAsia" w:ascii="宋体" w:hAnsi="宋体" w:cs="宋体"/>
          <w:b/>
          <w:bCs/>
          <w:sz w:val="24"/>
        </w:rPr>
        <w:t>（2）</w:t>
      </w:r>
      <w:r>
        <w:rPr>
          <w:rFonts w:hint="eastAsia" w:ascii="宋体" w:hAnsi="宋体" w:cs="宋体"/>
          <w:b/>
          <w:bCs/>
          <w:sz w:val="24"/>
          <w:u w:val="single"/>
        </w:rPr>
        <w:t>依法向 工程所在地 人民法院起诉</w:t>
      </w:r>
      <w:r>
        <w:rPr>
          <w:rFonts w:hint="eastAsia" w:ascii="宋体" w:hAnsi="宋体" w:cs="宋体"/>
          <w:sz w:val="24"/>
        </w:rPr>
        <w:t>。</w:t>
      </w:r>
    </w:p>
    <w:p w14:paraId="052CF134">
      <w:pPr>
        <w:spacing w:line="360" w:lineRule="auto"/>
        <w:ind w:firstLine="480" w:firstLineChars="200"/>
        <w:rPr>
          <w:rFonts w:ascii="宋体" w:hAnsi="宋体" w:cs="宋体"/>
          <w:b/>
          <w:sz w:val="24"/>
          <w:u w:val="single"/>
        </w:rPr>
      </w:pPr>
      <w:r>
        <w:rPr>
          <w:rFonts w:hint="eastAsia" w:ascii="宋体" w:hAnsi="宋体" w:cs="宋体"/>
          <w:sz w:val="24"/>
        </w:rPr>
        <w:t>21、其他补充事项的约定：</w:t>
      </w:r>
      <w:r>
        <w:rPr>
          <w:rFonts w:hint="eastAsia" w:ascii="宋体" w:hAnsi="宋体" w:cs="宋体"/>
          <w:sz w:val="24"/>
          <w:u w:val="single"/>
        </w:rPr>
        <w:t xml:space="preserve">  / </w:t>
      </w:r>
      <w:r>
        <w:rPr>
          <w:rFonts w:hint="eastAsia" w:ascii="宋体" w:hAnsi="宋体" w:cs="宋体"/>
          <w:sz w:val="24"/>
        </w:rPr>
        <w:t xml:space="preserve"> 。</w:t>
      </w:r>
    </w:p>
    <w:p w14:paraId="744BA73C">
      <w:pPr>
        <w:rPr>
          <w:rFonts w:hint="eastAsia" w:ascii="宋体" w:hAnsi="宋体" w:eastAsia="宋体" w:cs="宋体"/>
          <w:color w:val="auto"/>
          <w:sz w:val="24"/>
          <w:szCs w:val="24"/>
          <w:highlight w:val="none"/>
        </w:rPr>
      </w:pPr>
    </w:p>
    <w:p w14:paraId="4D953867">
      <w:pPr>
        <w:adjustRightInd/>
        <w:ind w:firstLine="424" w:firstLineChars="177"/>
        <w:jc w:val="left"/>
        <w:rPr>
          <w:rFonts w:hint="eastAsia" w:ascii="宋体" w:hAnsi="宋体" w:eastAsia="宋体" w:cs="宋体"/>
          <w:snapToGrid w:val="0"/>
          <w:color w:val="auto"/>
          <w:kern w:val="0"/>
          <w:sz w:val="24"/>
          <w:szCs w:val="24"/>
          <w:highlight w:val="none"/>
        </w:rPr>
      </w:pPr>
    </w:p>
    <w:p w14:paraId="6B0F11AE">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协议书附件：</w:t>
      </w:r>
    </w:p>
    <w:p w14:paraId="3ABE138D">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附件1：承包人承揽工程项目一览表</w:t>
      </w:r>
    </w:p>
    <w:p w14:paraId="278743D7">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专用合同条款附件：</w:t>
      </w:r>
    </w:p>
    <w:p w14:paraId="4A870FD7">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附件2：发包人供应材料设备一览表</w:t>
      </w:r>
    </w:p>
    <w:p w14:paraId="4D301D4E">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附件3：工程质量保修书</w:t>
      </w:r>
    </w:p>
    <w:p w14:paraId="46CE39C0">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附件4：主要建设工程文件目录</w:t>
      </w:r>
    </w:p>
    <w:p w14:paraId="2386CA7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附件5：承包人用于本工程施工的机械设备表</w:t>
      </w:r>
    </w:p>
    <w:p w14:paraId="10F3E2A3">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附件6：承包人主要施工管理人员表</w:t>
      </w:r>
    </w:p>
    <w:p w14:paraId="2629A3CF">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附件7：分包人主要施工管理人员表</w:t>
      </w:r>
    </w:p>
    <w:p w14:paraId="411B6903">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附件8：履约担保格式</w:t>
      </w:r>
    </w:p>
    <w:p w14:paraId="2DF8EA8D">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附件9：预付款担保格式</w:t>
      </w:r>
    </w:p>
    <w:p w14:paraId="6A4837E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附件10：支付担保格式</w:t>
      </w:r>
      <w:r>
        <w:rPr>
          <w:rFonts w:hint="eastAsia" w:ascii="宋体" w:hAnsi="宋体" w:eastAsia="宋体" w:cs="宋体"/>
          <w:b/>
          <w:color w:val="auto"/>
          <w:sz w:val="24"/>
          <w:szCs w:val="24"/>
          <w:highlight w:val="none"/>
        </w:rPr>
        <w:t>（财政性投资项目按相关规定执行）</w:t>
      </w:r>
    </w:p>
    <w:p w14:paraId="4296E1E9">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附件11：暂估价一览表</w:t>
      </w:r>
    </w:p>
    <w:p w14:paraId="5B0E49D1">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p w14:paraId="527C5188">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sectPr>
          <w:headerReference r:id="rId12" w:type="first"/>
          <w:footerReference r:id="rId15" w:type="first"/>
          <w:headerReference r:id="rId10" w:type="default"/>
          <w:footerReference r:id="rId13" w:type="default"/>
          <w:headerReference r:id="rId11" w:type="even"/>
          <w:footerReference r:id="rId14" w:type="even"/>
          <w:pgSz w:w="11906" w:h="16838"/>
          <w:pgMar w:top="1418" w:right="1555" w:bottom="1418" w:left="1531" w:header="851" w:footer="992" w:gutter="0"/>
          <w:cols w:space="720" w:num="1"/>
          <w:titlePg/>
          <w:docGrid w:type="lines" w:linePitch="312" w:charSpace="0"/>
        </w:sectPr>
      </w:pPr>
    </w:p>
    <w:p w14:paraId="60B059B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w:t>
      </w:r>
    </w:p>
    <w:p w14:paraId="4A7FE8B9">
      <w:pPr>
        <w:keepLines w:val="0"/>
        <w:pageBreakBefore w:val="0"/>
        <w:kinsoku/>
        <w:wordWrap/>
        <w:overflowPunct/>
        <w:topLinePunct w:val="0"/>
        <w:bidi w:val="0"/>
        <w:adjustRightInd w:val="0"/>
        <w:spacing w:line="360" w:lineRule="auto"/>
        <w:ind w:left="0" w:leftChars="0" w:right="0" w:rightChars="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承包人承揽工程项目一览表</w:t>
      </w:r>
    </w:p>
    <w:tbl>
      <w:tblPr>
        <w:tblStyle w:val="62"/>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588E44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noWrap w:val="0"/>
            <w:vAlign w:val="center"/>
          </w:tcPr>
          <w:p w14:paraId="61B3288A">
            <w:pPr>
              <w:pStyle w:val="23"/>
              <w:keepNext/>
              <w:keepLines w:val="0"/>
              <w:pageBreakBefore w:val="0"/>
              <w:kinsoku/>
              <w:wordWrap/>
              <w:overflowPunct/>
              <w:topLinePunct w:val="0"/>
              <w:bidi w:val="0"/>
              <w:adjustRightInd w:val="0"/>
              <w:spacing w:line="240" w:lineRule="auto"/>
              <w:ind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单位工程名称</w:t>
            </w:r>
          </w:p>
        </w:tc>
        <w:tc>
          <w:tcPr>
            <w:tcW w:w="1843" w:type="dxa"/>
            <w:tcBorders>
              <w:top w:val="single" w:color="auto" w:sz="12" w:space="0"/>
              <w:bottom w:val="double" w:color="auto" w:sz="6" w:space="0"/>
            </w:tcBorders>
            <w:noWrap w:val="0"/>
            <w:vAlign w:val="center"/>
          </w:tcPr>
          <w:p w14:paraId="42E62A70">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建设规模</w:t>
            </w:r>
          </w:p>
        </w:tc>
        <w:tc>
          <w:tcPr>
            <w:tcW w:w="1417" w:type="dxa"/>
            <w:tcBorders>
              <w:top w:val="single" w:color="auto" w:sz="12" w:space="0"/>
              <w:bottom w:val="double" w:color="auto" w:sz="6" w:space="0"/>
            </w:tcBorders>
            <w:noWrap w:val="0"/>
            <w:vAlign w:val="center"/>
          </w:tcPr>
          <w:p w14:paraId="18CB442D">
            <w:pPr>
              <w:pStyle w:val="23"/>
              <w:keepNext/>
              <w:keepLines w:val="0"/>
              <w:pageBreakBefore w:val="0"/>
              <w:kinsoku/>
              <w:wordWrap/>
              <w:overflowPunct/>
              <w:topLinePunct w:val="0"/>
              <w:bidi w:val="0"/>
              <w:adjustRightInd w:val="0"/>
              <w:spacing w:line="240" w:lineRule="auto"/>
              <w:ind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建筑面积(m2)</w:t>
            </w:r>
          </w:p>
        </w:tc>
        <w:tc>
          <w:tcPr>
            <w:tcW w:w="2410" w:type="dxa"/>
            <w:tcBorders>
              <w:top w:val="single" w:color="auto" w:sz="12" w:space="0"/>
              <w:bottom w:val="double" w:color="auto" w:sz="6" w:space="0"/>
            </w:tcBorders>
            <w:noWrap w:val="0"/>
            <w:vAlign w:val="center"/>
          </w:tcPr>
          <w:p w14:paraId="30D0278C">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结构形式</w:t>
            </w:r>
          </w:p>
        </w:tc>
        <w:tc>
          <w:tcPr>
            <w:tcW w:w="850" w:type="dxa"/>
            <w:tcBorders>
              <w:top w:val="single" w:color="auto" w:sz="12" w:space="0"/>
              <w:bottom w:val="double" w:color="auto" w:sz="6" w:space="0"/>
            </w:tcBorders>
            <w:noWrap w:val="0"/>
            <w:vAlign w:val="center"/>
          </w:tcPr>
          <w:p w14:paraId="63149789">
            <w:pPr>
              <w:pStyle w:val="23"/>
              <w:keepNext/>
              <w:keepLines w:val="0"/>
              <w:pageBreakBefore w:val="0"/>
              <w:kinsoku/>
              <w:wordWrap/>
              <w:overflowPunct/>
              <w:topLinePunct w:val="0"/>
              <w:bidi w:val="0"/>
              <w:adjustRightInd w:val="0"/>
              <w:spacing w:line="240" w:lineRule="auto"/>
              <w:ind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层数</w:t>
            </w:r>
          </w:p>
        </w:tc>
        <w:tc>
          <w:tcPr>
            <w:tcW w:w="1560" w:type="dxa"/>
            <w:tcBorders>
              <w:top w:val="single" w:color="auto" w:sz="12" w:space="0"/>
              <w:bottom w:val="double" w:color="auto" w:sz="6" w:space="0"/>
            </w:tcBorders>
            <w:noWrap w:val="0"/>
            <w:vAlign w:val="center"/>
          </w:tcPr>
          <w:p w14:paraId="6BFD8BB1">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生产能力</w:t>
            </w:r>
          </w:p>
        </w:tc>
        <w:tc>
          <w:tcPr>
            <w:tcW w:w="2126" w:type="dxa"/>
            <w:tcBorders>
              <w:top w:val="single" w:color="auto" w:sz="12" w:space="0"/>
              <w:bottom w:val="double" w:color="auto" w:sz="6" w:space="0"/>
            </w:tcBorders>
            <w:noWrap w:val="0"/>
            <w:vAlign w:val="center"/>
          </w:tcPr>
          <w:p w14:paraId="183E7F2B">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设备安装内容</w:t>
            </w:r>
          </w:p>
        </w:tc>
        <w:tc>
          <w:tcPr>
            <w:tcW w:w="1417" w:type="dxa"/>
            <w:tcBorders>
              <w:top w:val="single" w:color="auto" w:sz="12" w:space="0"/>
              <w:bottom w:val="double" w:color="auto" w:sz="6" w:space="0"/>
            </w:tcBorders>
            <w:noWrap w:val="0"/>
            <w:vAlign w:val="center"/>
          </w:tcPr>
          <w:p w14:paraId="7FF11CF9">
            <w:pPr>
              <w:pStyle w:val="23"/>
              <w:keepNext/>
              <w:keepLines w:val="0"/>
              <w:pageBreakBefore w:val="0"/>
              <w:kinsoku/>
              <w:wordWrap/>
              <w:overflowPunct/>
              <w:topLinePunct w:val="0"/>
              <w:bidi w:val="0"/>
              <w:adjustRightInd w:val="0"/>
              <w:spacing w:line="240" w:lineRule="auto"/>
              <w:ind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合同价格（元）</w:t>
            </w:r>
          </w:p>
        </w:tc>
        <w:tc>
          <w:tcPr>
            <w:tcW w:w="851" w:type="dxa"/>
            <w:tcBorders>
              <w:top w:val="single" w:color="auto" w:sz="12" w:space="0"/>
              <w:bottom w:val="double" w:color="auto" w:sz="6" w:space="0"/>
            </w:tcBorders>
            <w:noWrap w:val="0"/>
            <w:vAlign w:val="center"/>
          </w:tcPr>
          <w:p w14:paraId="54E69D93">
            <w:pPr>
              <w:pStyle w:val="23"/>
              <w:keepNext/>
              <w:keepLines w:val="0"/>
              <w:pageBreakBefore w:val="0"/>
              <w:kinsoku/>
              <w:wordWrap/>
              <w:overflowPunct/>
              <w:topLinePunct w:val="0"/>
              <w:bidi w:val="0"/>
              <w:adjustRightInd w:val="0"/>
              <w:spacing w:line="240" w:lineRule="auto"/>
              <w:ind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开工日期</w:t>
            </w:r>
          </w:p>
        </w:tc>
        <w:tc>
          <w:tcPr>
            <w:tcW w:w="850" w:type="dxa"/>
            <w:tcBorders>
              <w:top w:val="single" w:color="auto" w:sz="12" w:space="0"/>
              <w:bottom w:val="double" w:color="auto" w:sz="6" w:space="0"/>
            </w:tcBorders>
            <w:noWrap w:val="0"/>
            <w:vAlign w:val="center"/>
          </w:tcPr>
          <w:p w14:paraId="50B6DF3D">
            <w:pPr>
              <w:pStyle w:val="23"/>
              <w:keepNext/>
              <w:keepLines w:val="0"/>
              <w:pageBreakBefore w:val="0"/>
              <w:kinsoku/>
              <w:wordWrap/>
              <w:overflowPunct/>
              <w:topLinePunct w:val="0"/>
              <w:bidi w:val="0"/>
              <w:adjustRightInd w:val="0"/>
              <w:spacing w:line="240" w:lineRule="auto"/>
              <w:ind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竣工日期</w:t>
            </w:r>
          </w:p>
        </w:tc>
      </w:tr>
      <w:tr w14:paraId="110A54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noWrap w:val="0"/>
            <w:vAlign w:val="center"/>
          </w:tcPr>
          <w:p w14:paraId="30D9C729">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843" w:type="dxa"/>
            <w:tcBorders>
              <w:top w:val="double" w:color="auto" w:sz="6" w:space="0"/>
              <w:bottom w:val="single" w:color="auto" w:sz="6" w:space="0"/>
            </w:tcBorders>
            <w:noWrap w:val="0"/>
            <w:vAlign w:val="center"/>
          </w:tcPr>
          <w:p w14:paraId="150882F2">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417" w:type="dxa"/>
            <w:tcBorders>
              <w:top w:val="double" w:color="auto" w:sz="6" w:space="0"/>
              <w:bottom w:val="single" w:color="auto" w:sz="6" w:space="0"/>
            </w:tcBorders>
            <w:noWrap w:val="0"/>
            <w:vAlign w:val="center"/>
          </w:tcPr>
          <w:p w14:paraId="37B5FAF6">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2410" w:type="dxa"/>
            <w:tcBorders>
              <w:top w:val="double" w:color="auto" w:sz="6" w:space="0"/>
              <w:bottom w:val="single" w:color="auto" w:sz="6" w:space="0"/>
            </w:tcBorders>
            <w:noWrap w:val="0"/>
            <w:vAlign w:val="center"/>
          </w:tcPr>
          <w:p w14:paraId="0E8CFCBC">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0" w:type="dxa"/>
            <w:tcBorders>
              <w:top w:val="double" w:color="auto" w:sz="6" w:space="0"/>
              <w:bottom w:val="single" w:color="auto" w:sz="6" w:space="0"/>
            </w:tcBorders>
            <w:noWrap w:val="0"/>
            <w:vAlign w:val="center"/>
          </w:tcPr>
          <w:p w14:paraId="13482166">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560" w:type="dxa"/>
            <w:tcBorders>
              <w:top w:val="double" w:color="auto" w:sz="6" w:space="0"/>
              <w:bottom w:val="single" w:color="auto" w:sz="6" w:space="0"/>
            </w:tcBorders>
            <w:noWrap w:val="0"/>
            <w:vAlign w:val="center"/>
          </w:tcPr>
          <w:p w14:paraId="1DA643EE">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2126" w:type="dxa"/>
            <w:tcBorders>
              <w:top w:val="double" w:color="auto" w:sz="6" w:space="0"/>
              <w:bottom w:val="single" w:color="auto" w:sz="6" w:space="0"/>
            </w:tcBorders>
            <w:noWrap w:val="0"/>
            <w:vAlign w:val="center"/>
          </w:tcPr>
          <w:p w14:paraId="35ED8D75">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417" w:type="dxa"/>
            <w:tcBorders>
              <w:top w:val="double" w:color="auto" w:sz="6" w:space="0"/>
              <w:bottom w:val="single" w:color="auto" w:sz="6" w:space="0"/>
            </w:tcBorders>
            <w:noWrap w:val="0"/>
            <w:vAlign w:val="center"/>
          </w:tcPr>
          <w:p w14:paraId="5C859086">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1" w:type="dxa"/>
            <w:tcBorders>
              <w:top w:val="double" w:color="auto" w:sz="6" w:space="0"/>
              <w:bottom w:val="single" w:color="auto" w:sz="6" w:space="0"/>
            </w:tcBorders>
            <w:noWrap w:val="0"/>
            <w:vAlign w:val="center"/>
          </w:tcPr>
          <w:p w14:paraId="47527C83">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0" w:type="dxa"/>
            <w:tcBorders>
              <w:top w:val="double" w:color="auto" w:sz="6" w:space="0"/>
              <w:bottom w:val="single" w:color="auto" w:sz="6" w:space="0"/>
            </w:tcBorders>
            <w:noWrap w:val="0"/>
            <w:vAlign w:val="center"/>
          </w:tcPr>
          <w:p w14:paraId="6AA591D7">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r>
      <w:tr w14:paraId="5CE18D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69F4441E">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843" w:type="dxa"/>
            <w:tcBorders>
              <w:top w:val="nil"/>
            </w:tcBorders>
            <w:noWrap w:val="0"/>
            <w:vAlign w:val="center"/>
          </w:tcPr>
          <w:p w14:paraId="47C21AA7">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417" w:type="dxa"/>
            <w:tcBorders>
              <w:top w:val="nil"/>
            </w:tcBorders>
            <w:noWrap w:val="0"/>
            <w:vAlign w:val="center"/>
          </w:tcPr>
          <w:p w14:paraId="2F632B4B">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2410" w:type="dxa"/>
            <w:tcBorders>
              <w:top w:val="nil"/>
            </w:tcBorders>
            <w:noWrap w:val="0"/>
            <w:vAlign w:val="center"/>
          </w:tcPr>
          <w:p w14:paraId="635BDFD8">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0" w:type="dxa"/>
            <w:tcBorders>
              <w:top w:val="nil"/>
            </w:tcBorders>
            <w:noWrap w:val="0"/>
            <w:vAlign w:val="center"/>
          </w:tcPr>
          <w:p w14:paraId="39330CB1">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560" w:type="dxa"/>
            <w:tcBorders>
              <w:top w:val="nil"/>
            </w:tcBorders>
            <w:noWrap w:val="0"/>
            <w:vAlign w:val="center"/>
          </w:tcPr>
          <w:p w14:paraId="271877AB">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2126" w:type="dxa"/>
            <w:tcBorders>
              <w:top w:val="nil"/>
            </w:tcBorders>
            <w:noWrap w:val="0"/>
            <w:vAlign w:val="center"/>
          </w:tcPr>
          <w:p w14:paraId="0098802C">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417" w:type="dxa"/>
            <w:tcBorders>
              <w:top w:val="nil"/>
            </w:tcBorders>
            <w:noWrap w:val="0"/>
            <w:vAlign w:val="center"/>
          </w:tcPr>
          <w:p w14:paraId="5BC4EDA2">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1" w:type="dxa"/>
            <w:tcBorders>
              <w:top w:val="nil"/>
            </w:tcBorders>
            <w:noWrap w:val="0"/>
            <w:vAlign w:val="center"/>
          </w:tcPr>
          <w:p w14:paraId="2ACDE712">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0" w:type="dxa"/>
            <w:tcBorders>
              <w:top w:val="nil"/>
            </w:tcBorders>
            <w:noWrap w:val="0"/>
            <w:vAlign w:val="center"/>
          </w:tcPr>
          <w:p w14:paraId="7C8101B6">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r>
      <w:tr w14:paraId="5351FD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0F854D70">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843" w:type="dxa"/>
            <w:tcBorders>
              <w:top w:val="nil"/>
            </w:tcBorders>
            <w:noWrap w:val="0"/>
            <w:vAlign w:val="center"/>
          </w:tcPr>
          <w:p w14:paraId="0354F70F">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417" w:type="dxa"/>
            <w:tcBorders>
              <w:top w:val="nil"/>
            </w:tcBorders>
            <w:noWrap w:val="0"/>
            <w:vAlign w:val="center"/>
          </w:tcPr>
          <w:p w14:paraId="6BE59910">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2410" w:type="dxa"/>
            <w:tcBorders>
              <w:top w:val="nil"/>
            </w:tcBorders>
            <w:noWrap w:val="0"/>
            <w:vAlign w:val="center"/>
          </w:tcPr>
          <w:p w14:paraId="053A174A">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0" w:type="dxa"/>
            <w:tcBorders>
              <w:top w:val="nil"/>
            </w:tcBorders>
            <w:noWrap w:val="0"/>
            <w:vAlign w:val="center"/>
          </w:tcPr>
          <w:p w14:paraId="640FAF73">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560" w:type="dxa"/>
            <w:tcBorders>
              <w:top w:val="nil"/>
            </w:tcBorders>
            <w:noWrap w:val="0"/>
            <w:vAlign w:val="center"/>
          </w:tcPr>
          <w:p w14:paraId="3926D7BB">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2126" w:type="dxa"/>
            <w:tcBorders>
              <w:top w:val="nil"/>
            </w:tcBorders>
            <w:noWrap w:val="0"/>
            <w:vAlign w:val="center"/>
          </w:tcPr>
          <w:p w14:paraId="3B7FAA7C">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417" w:type="dxa"/>
            <w:tcBorders>
              <w:top w:val="nil"/>
            </w:tcBorders>
            <w:noWrap w:val="0"/>
            <w:vAlign w:val="center"/>
          </w:tcPr>
          <w:p w14:paraId="42F539BD">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1" w:type="dxa"/>
            <w:tcBorders>
              <w:top w:val="nil"/>
            </w:tcBorders>
            <w:noWrap w:val="0"/>
            <w:vAlign w:val="center"/>
          </w:tcPr>
          <w:p w14:paraId="69CC6E7E">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0" w:type="dxa"/>
            <w:tcBorders>
              <w:top w:val="nil"/>
            </w:tcBorders>
            <w:noWrap w:val="0"/>
            <w:vAlign w:val="center"/>
          </w:tcPr>
          <w:p w14:paraId="50013460">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r>
      <w:tr w14:paraId="69300C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2C5A3562">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843" w:type="dxa"/>
            <w:noWrap w:val="0"/>
            <w:vAlign w:val="center"/>
          </w:tcPr>
          <w:p w14:paraId="263B9035">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417" w:type="dxa"/>
            <w:noWrap w:val="0"/>
            <w:vAlign w:val="center"/>
          </w:tcPr>
          <w:p w14:paraId="40A33BA2">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2410" w:type="dxa"/>
            <w:noWrap w:val="0"/>
            <w:vAlign w:val="center"/>
          </w:tcPr>
          <w:p w14:paraId="2F76E790">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0" w:type="dxa"/>
            <w:noWrap w:val="0"/>
            <w:vAlign w:val="center"/>
          </w:tcPr>
          <w:p w14:paraId="6611C1AC">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560" w:type="dxa"/>
            <w:noWrap w:val="0"/>
            <w:vAlign w:val="center"/>
          </w:tcPr>
          <w:p w14:paraId="6CE89F56">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2126" w:type="dxa"/>
            <w:noWrap w:val="0"/>
            <w:vAlign w:val="center"/>
          </w:tcPr>
          <w:p w14:paraId="4930A770">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417" w:type="dxa"/>
            <w:noWrap w:val="0"/>
            <w:vAlign w:val="center"/>
          </w:tcPr>
          <w:p w14:paraId="4131A0C9">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1" w:type="dxa"/>
            <w:noWrap w:val="0"/>
            <w:vAlign w:val="center"/>
          </w:tcPr>
          <w:p w14:paraId="43F97DF5">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0" w:type="dxa"/>
            <w:noWrap w:val="0"/>
            <w:vAlign w:val="center"/>
          </w:tcPr>
          <w:p w14:paraId="4AC5EF80">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r>
      <w:tr w14:paraId="3942A6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312F13AE">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843" w:type="dxa"/>
            <w:tcBorders>
              <w:top w:val="nil"/>
            </w:tcBorders>
            <w:noWrap w:val="0"/>
            <w:vAlign w:val="center"/>
          </w:tcPr>
          <w:p w14:paraId="46D10293">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417" w:type="dxa"/>
            <w:tcBorders>
              <w:top w:val="nil"/>
            </w:tcBorders>
            <w:noWrap w:val="0"/>
            <w:vAlign w:val="center"/>
          </w:tcPr>
          <w:p w14:paraId="4E582A3A">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2410" w:type="dxa"/>
            <w:tcBorders>
              <w:top w:val="nil"/>
            </w:tcBorders>
            <w:noWrap w:val="0"/>
            <w:vAlign w:val="center"/>
          </w:tcPr>
          <w:p w14:paraId="5FC675DE">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0" w:type="dxa"/>
            <w:tcBorders>
              <w:top w:val="nil"/>
            </w:tcBorders>
            <w:noWrap w:val="0"/>
            <w:vAlign w:val="center"/>
          </w:tcPr>
          <w:p w14:paraId="68CCE9D7">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560" w:type="dxa"/>
            <w:tcBorders>
              <w:top w:val="nil"/>
            </w:tcBorders>
            <w:noWrap w:val="0"/>
            <w:vAlign w:val="center"/>
          </w:tcPr>
          <w:p w14:paraId="354513C6">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2126" w:type="dxa"/>
            <w:tcBorders>
              <w:top w:val="nil"/>
            </w:tcBorders>
            <w:noWrap w:val="0"/>
            <w:vAlign w:val="center"/>
          </w:tcPr>
          <w:p w14:paraId="1C26B6EE">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417" w:type="dxa"/>
            <w:tcBorders>
              <w:top w:val="nil"/>
            </w:tcBorders>
            <w:noWrap w:val="0"/>
            <w:vAlign w:val="center"/>
          </w:tcPr>
          <w:p w14:paraId="5A8D7ACA">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1" w:type="dxa"/>
            <w:tcBorders>
              <w:top w:val="nil"/>
            </w:tcBorders>
            <w:noWrap w:val="0"/>
            <w:vAlign w:val="center"/>
          </w:tcPr>
          <w:p w14:paraId="6102B14A">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0" w:type="dxa"/>
            <w:tcBorders>
              <w:top w:val="nil"/>
            </w:tcBorders>
            <w:noWrap w:val="0"/>
            <w:vAlign w:val="center"/>
          </w:tcPr>
          <w:p w14:paraId="7BC23CBB">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r>
      <w:tr w14:paraId="6005A9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59FB4B95">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843" w:type="dxa"/>
            <w:noWrap w:val="0"/>
            <w:vAlign w:val="center"/>
          </w:tcPr>
          <w:p w14:paraId="3753AF11">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417" w:type="dxa"/>
            <w:noWrap w:val="0"/>
            <w:vAlign w:val="center"/>
          </w:tcPr>
          <w:p w14:paraId="2223188D">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2410" w:type="dxa"/>
            <w:noWrap w:val="0"/>
            <w:vAlign w:val="center"/>
          </w:tcPr>
          <w:p w14:paraId="43A4305D">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0" w:type="dxa"/>
            <w:noWrap w:val="0"/>
            <w:vAlign w:val="center"/>
          </w:tcPr>
          <w:p w14:paraId="2C300F6D">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560" w:type="dxa"/>
            <w:noWrap w:val="0"/>
            <w:vAlign w:val="center"/>
          </w:tcPr>
          <w:p w14:paraId="24372720">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2126" w:type="dxa"/>
            <w:noWrap w:val="0"/>
            <w:vAlign w:val="center"/>
          </w:tcPr>
          <w:p w14:paraId="4880E5D4">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417" w:type="dxa"/>
            <w:noWrap w:val="0"/>
            <w:vAlign w:val="center"/>
          </w:tcPr>
          <w:p w14:paraId="3AEEF8F7">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1" w:type="dxa"/>
            <w:noWrap w:val="0"/>
            <w:vAlign w:val="center"/>
          </w:tcPr>
          <w:p w14:paraId="57262DEC">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0" w:type="dxa"/>
            <w:noWrap w:val="0"/>
            <w:vAlign w:val="center"/>
          </w:tcPr>
          <w:p w14:paraId="73B5E257">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r>
      <w:tr w14:paraId="0DFC0E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68F5E186">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843" w:type="dxa"/>
            <w:tcBorders>
              <w:top w:val="nil"/>
            </w:tcBorders>
            <w:noWrap w:val="0"/>
            <w:vAlign w:val="center"/>
          </w:tcPr>
          <w:p w14:paraId="5C92EBCD">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417" w:type="dxa"/>
            <w:tcBorders>
              <w:top w:val="nil"/>
            </w:tcBorders>
            <w:noWrap w:val="0"/>
            <w:vAlign w:val="center"/>
          </w:tcPr>
          <w:p w14:paraId="4A8EA050">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2410" w:type="dxa"/>
            <w:tcBorders>
              <w:top w:val="nil"/>
            </w:tcBorders>
            <w:noWrap w:val="0"/>
            <w:vAlign w:val="center"/>
          </w:tcPr>
          <w:p w14:paraId="4174781E">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0" w:type="dxa"/>
            <w:tcBorders>
              <w:top w:val="nil"/>
            </w:tcBorders>
            <w:noWrap w:val="0"/>
            <w:vAlign w:val="center"/>
          </w:tcPr>
          <w:p w14:paraId="6213B16C">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560" w:type="dxa"/>
            <w:tcBorders>
              <w:top w:val="nil"/>
            </w:tcBorders>
            <w:noWrap w:val="0"/>
            <w:vAlign w:val="center"/>
          </w:tcPr>
          <w:p w14:paraId="4EE1FD48">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2126" w:type="dxa"/>
            <w:tcBorders>
              <w:top w:val="nil"/>
            </w:tcBorders>
            <w:noWrap w:val="0"/>
            <w:vAlign w:val="center"/>
          </w:tcPr>
          <w:p w14:paraId="4695A32E">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417" w:type="dxa"/>
            <w:tcBorders>
              <w:top w:val="nil"/>
            </w:tcBorders>
            <w:noWrap w:val="0"/>
            <w:vAlign w:val="center"/>
          </w:tcPr>
          <w:p w14:paraId="2FEDC0D7">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1" w:type="dxa"/>
            <w:tcBorders>
              <w:top w:val="nil"/>
            </w:tcBorders>
            <w:noWrap w:val="0"/>
            <w:vAlign w:val="center"/>
          </w:tcPr>
          <w:p w14:paraId="5AA0200C">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0" w:type="dxa"/>
            <w:tcBorders>
              <w:top w:val="nil"/>
            </w:tcBorders>
            <w:noWrap w:val="0"/>
            <w:vAlign w:val="center"/>
          </w:tcPr>
          <w:p w14:paraId="7C658768">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r>
      <w:tr w14:paraId="310DE1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5E894ED7">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843" w:type="dxa"/>
            <w:tcBorders>
              <w:top w:val="nil"/>
            </w:tcBorders>
            <w:noWrap w:val="0"/>
            <w:vAlign w:val="center"/>
          </w:tcPr>
          <w:p w14:paraId="34854F35">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417" w:type="dxa"/>
            <w:tcBorders>
              <w:top w:val="nil"/>
            </w:tcBorders>
            <w:noWrap w:val="0"/>
            <w:vAlign w:val="center"/>
          </w:tcPr>
          <w:p w14:paraId="507B1DB3">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2410" w:type="dxa"/>
            <w:tcBorders>
              <w:top w:val="nil"/>
            </w:tcBorders>
            <w:noWrap w:val="0"/>
            <w:vAlign w:val="center"/>
          </w:tcPr>
          <w:p w14:paraId="4974A1A3">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0" w:type="dxa"/>
            <w:tcBorders>
              <w:top w:val="nil"/>
            </w:tcBorders>
            <w:noWrap w:val="0"/>
            <w:vAlign w:val="center"/>
          </w:tcPr>
          <w:p w14:paraId="60496951">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560" w:type="dxa"/>
            <w:tcBorders>
              <w:top w:val="nil"/>
            </w:tcBorders>
            <w:noWrap w:val="0"/>
            <w:vAlign w:val="center"/>
          </w:tcPr>
          <w:p w14:paraId="07F0E942">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2126" w:type="dxa"/>
            <w:tcBorders>
              <w:top w:val="nil"/>
            </w:tcBorders>
            <w:noWrap w:val="0"/>
            <w:vAlign w:val="center"/>
          </w:tcPr>
          <w:p w14:paraId="1BBA1591">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417" w:type="dxa"/>
            <w:tcBorders>
              <w:top w:val="nil"/>
            </w:tcBorders>
            <w:noWrap w:val="0"/>
            <w:vAlign w:val="center"/>
          </w:tcPr>
          <w:p w14:paraId="09991E55">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1" w:type="dxa"/>
            <w:tcBorders>
              <w:top w:val="nil"/>
            </w:tcBorders>
            <w:noWrap w:val="0"/>
            <w:vAlign w:val="center"/>
          </w:tcPr>
          <w:p w14:paraId="4E822FB8">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0" w:type="dxa"/>
            <w:tcBorders>
              <w:top w:val="nil"/>
            </w:tcBorders>
            <w:noWrap w:val="0"/>
            <w:vAlign w:val="center"/>
          </w:tcPr>
          <w:p w14:paraId="53E2ABEA">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r>
      <w:tr w14:paraId="482B34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3A6B61B1">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843" w:type="dxa"/>
            <w:noWrap w:val="0"/>
            <w:vAlign w:val="center"/>
          </w:tcPr>
          <w:p w14:paraId="19E971A4">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417" w:type="dxa"/>
            <w:noWrap w:val="0"/>
            <w:vAlign w:val="center"/>
          </w:tcPr>
          <w:p w14:paraId="454F4053">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2410" w:type="dxa"/>
            <w:noWrap w:val="0"/>
            <w:vAlign w:val="center"/>
          </w:tcPr>
          <w:p w14:paraId="764EA80F">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0" w:type="dxa"/>
            <w:noWrap w:val="0"/>
            <w:vAlign w:val="center"/>
          </w:tcPr>
          <w:p w14:paraId="1D38B384">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560" w:type="dxa"/>
            <w:noWrap w:val="0"/>
            <w:vAlign w:val="center"/>
          </w:tcPr>
          <w:p w14:paraId="0DA5DC0B">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2126" w:type="dxa"/>
            <w:noWrap w:val="0"/>
            <w:vAlign w:val="center"/>
          </w:tcPr>
          <w:p w14:paraId="725BB515">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417" w:type="dxa"/>
            <w:noWrap w:val="0"/>
            <w:vAlign w:val="center"/>
          </w:tcPr>
          <w:p w14:paraId="442A5D6D">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1" w:type="dxa"/>
            <w:noWrap w:val="0"/>
            <w:vAlign w:val="center"/>
          </w:tcPr>
          <w:p w14:paraId="6E0FE872">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0" w:type="dxa"/>
            <w:noWrap w:val="0"/>
            <w:vAlign w:val="center"/>
          </w:tcPr>
          <w:p w14:paraId="0C5D883E">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r>
      <w:tr w14:paraId="2142DD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740038FD">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843" w:type="dxa"/>
            <w:tcBorders>
              <w:top w:val="nil"/>
            </w:tcBorders>
            <w:noWrap w:val="0"/>
            <w:vAlign w:val="center"/>
          </w:tcPr>
          <w:p w14:paraId="3EBEF7B9">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417" w:type="dxa"/>
            <w:tcBorders>
              <w:top w:val="nil"/>
            </w:tcBorders>
            <w:noWrap w:val="0"/>
            <w:vAlign w:val="center"/>
          </w:tcPr>
          <w:p w14:paraId="62D2D5C8">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2410" w:type="dxa"/>
            <w:tcBorders>
              <w:top w:val="nil"/>
            </w:tcBorders>
            <w:noWrap w:val="0"/>
            <w:vAlign w:val="center"/>
          </w:tcPr>
          <w:p w14:paraId="2ECA4EC8">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0" w:type="dxa"/>
            <w:tcBorders>
              <w:top w:val="nil"/>
            </w:tcBorders>
            <w:noWrap w:val="0"/>
            <w:vAlign w:val="center"/>
          </w:tcPr>
          <w:p w14:paraId="3B185B12">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560" w:type="dxa"/>
            <w:tcBorders>
              <w:top w:val="nil"/>
            </w:tcBorders>
            <w:noWrap w:val="0"/>
            <w:vAlign w:val="center"/>
          </w:tcPr>
          <w:p w14:paraId="5074BFF8">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2126" w:type="dxa"/>
            <w:tcBorders>
              <w:top w:val="nil"/>
            </w:tcBorders>
            <w:noWrap w:val="0"/>
            <w:vAlign w:val="center"/>
          </w:tcPr>
          <w:p w14:paraId="2D4F935B">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417" w:type="dxa"/>
            <w:tcBorders>
              <w:top w:val="nil"/>
            </w:tcBorders>
            <w:noWrap w:val="0"/>
            <w:vAlign w:val="center"/>
          </w:tcPr>
          <w:p w14:paraId="46865172">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1" w:type="dxa"/>
            <w:tcBorders>
              <w:top w:val="nil"/>
            </w:tcBorders>
            <w:noWrap w:val="0"/>
            <w:vAlign w:val="center"/>
          </w:tcPr>
          <w:p w14:paraId="3087B234">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0" w:type="dxa"/>
            <w:tcBorders>
              <w:top w:val="nil"/>
            </w:tcBorders>
            <w:noWrap w:val="0"/>
            <w:vAlign w:val="center"/>
          </w:tcPr>
          <w:p w14:paraId="22EF11A8">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r>
      <w:tr w14:paraId="35FF46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0D8FC6EF">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843" w:type="dxa"/>
            <w:noWrap w:val="0"/>
            <w:vAlign w:val="center"/>
          </w:tcPr>
          <w:p w14:paraId="0B8EBEE8">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417" w:type="dxa"/>
            <w:noWrap w:val="0"/>
            <w:vAlign w:val="center"/>
          </w:tcPr>
          <w:p w14:paraId="733F4BBA">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2410" w:type="dxa"/>
            <w:noWrap w:val="0"/>
            <w:vAlign w:val="center"/>
          </w:tcPr>
          <w:p w14:paraId="340D2D11">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0" w:type="dxa"/>
            <w:noWrap w:val="0"/>
            <w:vAlign w:val="center"/>
          </w:tcPr>
          <w:p w14:paraId="539B32B7">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560" w:type="dxa"/>
            <w:noWrap w:val="0"/>
            <w:vAlign w:val="center"/>
          </w:tcPr>
          <w:p w14:paraId="11680B9A">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2126" w:type="dxa"/>
            <w:noWrap w:val="0"/>
            <w:vAlign w:val="center"/>
          </w:tcPr>
          <w:p w14:paraId="21E5642D">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417" w:type="dxa"/>
            <w:noWrap w:val="0"/>
            <w:vAlign w:val="center"/>
          </w:tcPr>
          <w:p w14:paraId="0B2B174E">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1" w:type="dxa"/>
            <w:noWrap w:val="0"/>
            <w:vAlign w:val="center"/>
          </w:tcPr>
          <w:p w14:paraId="3C751C9E">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0" w:type="dxa"/>
            <w:noWrap w:val="0"/>
            <w:vAlign w:val="center"/>
          </w:tcPr>
          <w:p w14:paraId="49D61ACA">
            <w:pPr>
              <w:pStyle w:val="23"/>
              <w:keepNext/>
              <w:keepLines w:val="0"/>
              <w:pageBreakBefore w:val="0"/>
              <w:kinsoku/>
              <w:wordWrap/>
              <w:overflowPunct/>
              <w:topLinePunct w:val="0"/>
              <w:bidi w:val="0"/>
              <w:adjustRightInd w:val="0"/>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r>
    </w:tbl>
    <w:p w14:paraId="674CAEFE">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b/>
          <w:color w:val="auto"/>
          <w:sz w:val="24"/>
          <w:szCs w:val="24"/>
          <w:highlight w:val="none"/>
        </w:rPr>
        <w:sectPr>
          <w:pgSz w:w="16838" w:h="11906" w:orient="landscape"/>
          <w:pgMar w:top="1135" w:right="1418" w:bottom="1531" w:left="1418" w:header="851" w:footer="992" w:gutter="0"/>
          <w:cols w:space="720" w:num="1"/>
          <w:titlePg/>
          <w:docGrid w:type="linesAndChars" w:linePitch="312" w:charSpace="0"/>
        </w:sectPr>
      </w:pPr>
    </w:p>
    <w:p w14:paraId="01F718E6">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附件2：</w:t>
      </w:r>
    </w:p>
    <w:p w14:paraId="03623A58">
      <w:pPr>
        <w:keepLines w:val="0"/>
        <w:pageBreakBefore w:val="0"/>
        <w:kinsoku/>
        <w:wordWrap/>
        <w:overflowPunct/>
        <w:topLinePunct w:val="0"/>
        <w:bidi w:val="0"/>
        <w:adjustRightInd w:val="0"/>
        <w:spacing w:line="360" w:lineRule="auto"/>
        <w:ind w:left="0" w:leftChars="0" w:right="0" w:rightChars="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发包人供应材料设备一览表</w:t>
      </w:r>
    </w:p>
    <w:tbl>
      <w:tblPr>
        <w:tblStyle w:val="6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89"/>
        <w:gridCol w:w="1276"/>
        <w:gridCol w:w="1162"/>
        <w:gridCol w:w="940"/>
        <w:gridCol w:w="851"/>
        <w:gridCol w:w="1044"/>
        <w:gridCol w:w="731"/>
        <w:gridCol w:w="851"/>
        <w:gridCol w:w="1314"/>
        <w:gridCol w:w="730"/>
      </w:tblGrid>
      <w:tr w14:paraId="2AE03B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89" w:type="dxa"/>
            <w:tcBorders>
              <w:top w:val="single" w:color="auto" w:sz="12" w:space="0"/>
              <w:bottom w:val="double" w:color="auto" w:sz="6" w:space="0"/>
            </w:tcBorders>
            <w:noWrap w:val="0"/>
            <w:vAlign w:val="center"/>
          </w:tcPr>
          <w:p w14:paraId="5EA67BF9">
            <w:pPr>
              <w:pStyle w:val="23"/>
              <w:keepNext/>
              <w:keepLines w:val="0"/>
              <w:pageBreakBefore w:val="0"/>
              <w:kinsoku/>
              <w:wordWrap/>
              <w:overflowPunct/>
              <w:topLinePunct w:val="0"/>
              <w:bidi w:val="0"/>
              <w:adjustRightInd w:val="0"/>
              <w:spacing w:line="360" w:lineRule="auto"/>
              <w:ind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序号</w:t>
            </w:r>
          </w:p>
        </w:tc>
        <w:tc>
          <w:tcPr>
            <w:tcW w:w="1276" w:type="dxa"/>
            <w:tcBorders>
              <w:top w:val="single" w:color="auto" w:sz="12" w:space="0"/>
              <w:bottom w:val="double" w:color="auto" w:sz="6" w:space="0"/>
            </w:tcBorders>
            <w:noWrap w:val="0"/>
            <w:vAlign w:val="center"/>
          </w:tcPr>
          <w:p w14:paraId="155E2579">
            <w:pPr>
              <w:pStyle w:val="23"/>
              <w:keepNext/>
              <w:keepLines w:val="0"/>
              <w:pageBreakBefore w:val="0"/>
              <w:kinsoku/>
              <w:wordWrap/>
              <w:overflowPunct/>
              <w:topLinePunct w:val="0"/>
              <w:bidi w:val="0"/>
              <w:adjustRightInd w:val="0"/>
              <w:spacing w:line="360" w:lineRule="auto"/>
              <w:ind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材料、设备品种</w:t>
            </w:r>
          </w:p>
        </w:tc>
        <w:tc>
          <w:tcPr>
            <w:tcW w:w="1162" w:type="dxa"/>
            <w:tcBorders>
              <w:top w:val="single" w:color="auto" w:sz="12" w:space="0"/>
              <w:bottom w:val="double" w:color="auto" w:sz="6" w:space="0"/>
            </w:tcBorders>
            <w:noWrap w:val="0"/>
            <w:vAlign w:val="center"/>
          </w:tcPr>
          <w:p w14:paraId="0E7438E6">
            <w:pPr>
              <w:pStyle w:val="23"/>
              <w:keepNext/>
              <w:keepLines w:val="0"/>
              <w:pageBreakBefore w:val="0"/>
              <w:kinsoku/>
              <w:wordWrap/>
              <w:overflowPunct/>
              <w:topLinePunct w:val="0"/>
              <w:bidi w:val="0"/>
              <w:adjustRightInd w:val="0"/>
              <w:spacing w:line="360" w:lineRule="auto"/>
              <w:ind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规格型号</w:t>
            </w:r>
          </w:p>
        </w:tc>
        <w:tc>
          <w:tcPr>
            <w:tcW w:w="940" w:type="dxa"/>
            <w:tcBorders>
              <w:top w:val="single" w:color="auto" w:sz="12" w:space="0"/>
              <w:bottom w:val="double" w:color="auto" w:sz="6" w:space="0"/>
            </w:tcBorders>
            <w:noWrap w:val="0"/>
            <w:vAlign w:val="center"/>
          </w:tcPr>
          <w:p w14:paraId="128C2384">
            <w:pPr>
              <w:pStyle w:val="23"/>
              <w:keepNext/>
              <w:keepLines w:val="0"/>
              <w:pageBreakBefore w:val="0"/>
              <w:kinsoku/>
              <w:wordWrap/>
              <w:overflowPunct/>
              <w:topLinePunct w:val="0"/>
              <w:bidi w:val="0"/>
              <w:adjustRightInd w:val="0"/>
              <w:spacing w:line="360" w:lineRule="auto"/>
              <w:ind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单位</w:t>
            </w:r>
          </w:p>
        </w:tc>
        <w:tc>
          <w:tcPr>
            <w:tcW w:w="851" w:type="dxa"/>
            <w:tcBorders>
              <w:top w:val="single" w:color="auto" w:sz="12" w:space="0"/>
              <w:bottom w:val="double" w:color="auto" w:sz="6" w:space="0"/>
            </w:tcBorders>
            <w:noWrap w:val="0"/>
            <w:vAlign w:val="center"/>
          </w:tcPr>
          <w:p w14:paraId="12A9E572">
            <w:pPr>
              <w:pStyle w:val="23"/>
              <w:keepNext/>
              <w:keepLines w:val="0"/>
              <w:pageBreakBefore w:val="0"/>
              <w:kinsoku/>
              <w:wordWrap/>
              <w:overflowPunct/>
              <w:topLinePunct w:val="0"/>
              <w:bidi w:val="0"/>
              <w:adjustRightInd w:val="0"/>
              <w:spacing w:line="360" w:lineRule="auto"/>
              <w:ind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数量</w:t>
            </w:r>
          </w:p>
        </w:tc>
        <w:tc>
          <w:tcPr>
            <w:tcW w:w="1044" w:type="dxa"/>
            <w:tcBorders>
              <w:top w:val="single" w:color="auto" w:sz="12" w:space="0"/>
              <w:bottom w:val="double" w:color="auto" w:sz="6" w:space="0"/>
            </w:tcBorders>
            <w:noWrap w:val="0"/>
            <w:vAlign w:val="center"/>
          </w:tcPr>
          <w:p w14:paraId="3F423B0F">
            <w:pPr>
              <w:pStyle w:val="23"/>
              <w:keepNext/>
              <w:keepLines w:val="0"/>
              <w:pageBreakBefore w:val="0"/>
              <w:kinsoku/>
              <w:wordWrap/>
              <w:overflowPunct/>
              <w:topLinePunct w:val="0"/>
              <w:bidi w:val="0"/>
              <w:adjustRightInd w:val="0"/>
              <w:spacing w:line="360" w:lineRule="auto"/>
              <w:ind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单价（元）</w:t>
            </w:r>
          </w:p>
        </w:tc>
        <w:tc>
          <w:tcPr>
            <w:tcW w:w="731" w:type="dxa"/>
            <w:tcBorders>
              <w:top w:val="single" w:color="auto" w:sz="12" w:space="0"/>
              <w:bottom w:val="double" w:color="auto" w:sz="6" w:space="0"/>
            </w:tcBorders>
            <w:noWrap w:val="0"/>
            <w:vAlign w:val="center"/>
          </w:tcPr>
          <w:p w14:paraId="01507474">
            <w:pPr>
              <w:pStyle w:val="23"/>
              <w:keepNext/>
              <w:keepLines w:val="0"/>
              <w:pageBreakBefore w:val="0"/>
              <w:kinsoku/>
              <w:wordWrap/>
              <w:overflowPunct/>
              <w:topLinePunct w:val="0"/>
              <w:bidi w:val="0"/>
              <w:adjustRightInd w:val="0"/>
              <w:spacing w:line="360" w:lineRule="auto"/>
              <w:ind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质量等级</w:t>
            </w:r>
          </w:p>
        </w:tc>
        <w:tc>
          <w:tcPr>
            <w:tcW w:w="851" w:type="dxa"/>
            <w:tcBorders>
              <w:top w:val="single" w:color="auto" w:sz="12" w:space="0"/>
              <w:bottom w:val="double" w:color="auto" w:sz="6" w:space="0"/>
            </w:tcBorders>
            <w:noWrap w:val="0"/>
            <w:vAlign w:val="center"/>
          </w:tcPr>
          <w:p w14:paraId="7FBB605A">
            <w:pPr>
              <w:pStyle w:val="23"/>
              <w:keepNext/>
              <w:keepLines w:val="0"/>
              <w:pageBreakBefore w:val="0"/>
              <w:kinsoku/>
              <w:wordWrap/>
              <w:overflowPunct/>
              <w:topLinePunct w:val="0"/>
              <w:bidi w:val="0"/>
              <w:adjustRightInd w:val="0"/>
              <w:spacing w:line="360" w:lineRule="auto"/>
              <w:ind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供应时间</w:t>
            </w:r>
          </w:p>
        </w:tc>
        <w:tc>
          <w:tcPr>
            <w:tcW w:w="1314" w:type="dxa"/>
            <w:tcBorders>
              <w:top w:val="single" w:color="auto" w:sz="12" w:space="0"/>
              <w:bottom w:val="double" w:color="auto" w:sz="6" w:space="0"/>
            </w:tcBorders>
            <w:noWrap w:val="0"/>
            <w:vAlign w:val="center"/>
          </w:tcPr>
          <w:p w14:paraId="19762C67">
            <w:pPr>
              <w:pStyle w:val="23"/>
              <w:keepNext/>
              <w:keepLines w:val="0"/>
              <w:pageBreakBefore w:val="0"/>
              <w:kinsoku/>
              <w:wordWrap/>
              <w:overflowPunct/>
              <w:topLinePunct w:val="0"/>
              <w:bidi w:val="0"/>
              <w:adjustRightInd w:val="0"/>
              <w:spacing w:line="360" w:lineRule="auto"/>
              <w:ind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送达地点</w:t>
            </w:r>
          </w:p>
        </w:tc>
        <w:tc>
          <w:tcPr>
            <w:tcW w:w="730" w:type="dxa"/>
            <w:tcBorders>
              <w:top w:val="single" w:color="auto" w:sz="12" w:space="0"/>
              <w:bottom w:val="double" w:color="auto" w:sz="6" w:space="0"/>
            </w:tcBorders>
            <w:noWrap w:val="0"/>
            <w:vAlign w:val="center"/>
          </w:tcPr>
          <w:p w14:paraId="74E9963D">
            <w:pPr>
              <w:pStyle w:val="23"/>
              <w:keepNext/>
              <w:keepLines w:val="0"/>
              <w:pageBreakBefore w:val="0"/>
              <w:kinsoku/>
              <w:wordWrap/>
              <w:overflowPunct/>
              <w:topLinePunct w:val="0"/>
              <w:bidi w:val="0"/>
              <w:adjustRightInd w:val="0"/>
              <w:spacing w:line="360" w:lineRule="auto"/>
              <w:ind w:right="0" w:right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备注</w:t>
            </w:r>
          </w:p>
        </w:tc>
      </w:tr>
      <w:tr w14:paraId="0C819B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tcBorders>
              <w:top w:val="double" w:color="auto" w:sz="6" w:space="0"/>
              <w:bottom w:val="single" w:color="auto" w:sz="6" w:space="0"/>
            </w:tcBorders>
            <w:noWrap w:val="0"/>
            <w:vAlign w:val="center"/>
          </w:tcPr>
          <w:p w14:paraId="5F81AFC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276" w:type="dxa"/>
            <w:tcBorders>
              <w:top w:val="double" w:color="auto" w:sz="6" w:space="0"/>
              <w:bottom w:val="single" w:color="auto" w:sz="6" w:space="0"/>
            </w:tcBorders>
            <w:noWrap w:val="0"/>
            <w:vAlign w:val="center"/>
          </w:tcPr>
          <w:p w14:paraId="21FA20C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162" w:type="dxa"/>
            <w:tcBorders>
              <w:top w:val="double" w:color="auto" w:sz="6" w:space="0"/>
              <w:bottom w:val="single" w:color="auto" w:sz="6" w:space="0"/>
            </w:tcBorders>
            <w:noWrap w:val="0"/>
            <w:vAlign w:val="center"/>
          </w:tcPr>
          <w:p w14:paraId="0E2FBCF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940" w:type="dxa"/>
            <w:tcBorders>
              <w:top w:val="double" w:color="auto" w:sz="6" w:space="0"/>
              <w:bottom w:val="single" w:color="auto" w:sz="6" w:space="0"/>
            </w:tcBorders>
            <w:noWrap w:val="0"/>
            <w:vAlign w:val="center"/>
          </w:tcPr>
          <w:p w14:paraId="0ADEA88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1" w:type="dxa"/>
            <w:tcBorders>
              <w:top w:val="double" w:color="auto" w:sz="6" w:space="0"/>
              <w:bottom w:val="single" w:color="auto" w:sz="6" w:space="0"/>
            </w:tcBorders>
            <w:noWrap w:val="0"/>
            <w:vAlign w:val="center"/>
          </w:tcPr>
          <w:p w14:paraId="597E480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044" w:type="dxa"/>
            <w:tcBorders>
              <w:top w:val="double" w:color="auto" w:sz="6" w:space="0"/>
              <w:bottom w:val="single" w:color="auto" w:sz="6" w:space="0"/>
            </w:tcBorders>
            <w:noWrap w:val="0"/>
            <w:vAlign w:val="center"/>
          </w:tcPr>
          <w:p w14:paraId="5CD3455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731" w:type="dxa"/>
            <w:tcBorders>
              <w:top w:val="double" w:color="auto" w:sz="6" w:space="0"/>
              <w:bottom w:val="single" w:color="auto" w:sz="6" w:space="0"/>
            </w:tcBorders>
            <w:noWrap w:val="0"/>
            <w:vAlign w:val="center"/>
          </w:tcPr>
          <w:p w14:paraId="66F624D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1" w:type="dxa"/>
            <w:tcBorders>
              <w:top w:val="double" w:color="auto" w:sz="6" w:space="0"/>
              <w:bottom w:val="single" w:color="auto" w:sz="6" w:space="0"/>
            </w:tcBorders>
            <w:noWrap w:val="0"/>
            <w:vAlign w:val="center"/>
          </w:tcPr>
          <w:p w14:paraId="79D6079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314" w:type="dxa"/>
            <w:tcBorders>
              <w:top w:val="double" w:color="auto" w:sz="6" w:space="0"/>
              <w:bottom w:val="single" w:color="auto" w:sz="6" w:space="0"/>
            </w:tcBorders>
            <w:noWrap w:val="0"/>
            <w:vAlign w:val="center"/>
          </w:tcPr>
          <w:p w14:paraId="1093172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730" w:type="dxa"/>
            <w:tcBorders>
              <w:top w:val="double" w:color="auto" w:sz="6" w:space="0"/>
              <w:bottom w:val="single" w:color="auto" w:sz="6" w:space="0"/>
            </w:tcBorders>
            <w:noWrap w:val="0"/>
            <w:vAlign w:val="center"/>
          </w:tcPr>
          <w:p w14:paraId="6D95583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r>
      <w:tr w14:paraId="3012F3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tcBorders>
              <w:top w:val="nil"/>
            </w:tcBorders>
            <w:noWrap w:val="0"/>
            <w:vAlign w:val="center"/>
          </w:tcPr>
          <w:p w14:paraId="271AD38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276" w:type="dxa"/>
            <w:tcBorders>
              <w:top w:val="nil"/>
            </w:tcBorders>
            <w:noWrap w:val="0"/>
            <w:vAlign w:val="center"/>
          </w:tcPr>
          <w:p w14:paraId="1F83BD9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162" w:type="dxa"/>
            <w:tcBorders>
              <w:top w:val="nil"/>
            </w:tcBorders>
            <w:noWrap w:val="0"/>
            <w:vAlign w:val="center"/>
          </w:tcPr>
          <w:p w14:paraId="404EFDE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940" w:type="dxa"/>
            <w:tcBorders>
              <w:top w:val="nil"/>
            </w:tcBorders>
            <w:noWrap w:val="0"/>
            <w:vAlign w:val="center"/>
          </w:tcPr>
          <w:p w14:paraId="070CF80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1" w:type="dxa"/>
            <w:tcBorders>
              <w:top w:val="nil"/>
            </w:tcBorders>
            <w:noWrap w:val="0"/>
            <w:vAlign w:val="center"/>
          </w:tcPr>
          <w:p w14:paraId="5901419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044" w:type="dxa"/>
            <w:tcBorders>
              <w:top w:val="nil"/>
            </w:tcBorders>
            <w:noWrap w:val="0"/>
            <w:vAlign w:val="center"/>
          </w:tcPr>
          <w:p w14:paraId="3B3E0F5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731" w:type="dxa"/>
            <w:tcBorders>
              <w:top w:val="nil"/>
            </w:tcBorders>
            <w:noWrap w:val="0"/>
            <w:vAlign w:val="center"/>
          </w:tcPr>
          <w:p w14:paraId="0CBC79D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1" w:type="dxa"/>
            <w:tcBorders>
              <w:top w:val="nil"/>
            </w:tcBorders>
            <w:noWrap w:val="0"/>
            <w:vAlign w:val="center"/>
          </w:tcPr>
          <w:p w14:paraId="02BA24C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314" w:type="dxa"/>
            <w:tcBorders>
              <w:top w:val="nil"/>
            </w:tcBorders>
            <w:noWrap w:val="0"/>
            <w:vAlign w:val="center"/>
          </w:tcPr>
          <w:p w14:paraId="6C7A8BC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730" w:type="dxa"/>
            <w:tcBorders>
              <w:top w:val="nil"/>
            </w:tcBorders>
            <w:noWrap w:val="0"/>
            <w:vAlign w:val="center"/>
          </w:tcPr>
          <w:p w14:paraId="7A6EF71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r>
      <w:tr w14:paraId="03D69A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noWrap w:val="0"/>
            <w:vAlign w:val="center"/>
          </w:tcPr>
          <w:p w14:paraId="27BEF7B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276" w:type="dxa"/>
            <w:noWrap w:val="0"/>
            <w:vAlign w:val="center"/>
          </w:tcPr>
          <w:p w14:paraId="7F55FA0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162" w:type="dxa"/>
            <w:noWrap w:val="0"/>
            <w:vAlign w:val="center"/>
          </w:tcPr>
          <w:p w14:paraId="7906A70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940" w:type="dxa"/>
            <w:noWrap w:val="0"/>
            <w:vAlign w:val="center"/>
          </w:tcPr>
          <w:p w14:paraId="355C02A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1" w:type="dxa"/>
            <w:noWrap w:val="0"/>
            <w:vAlign w:val="center"/>
          </w:tcPr>
          <w:p w14:paraId="6125841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044" w:type="dxa"/>
            <w:noWrap w:val="0"/>
            <w:vAlign w:val="center"/>
          </w:tcPr>
          <w:p w14:paraId="715A6F6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731" w:type="dxa"/>
            <w:noWrap w:val="0"/>
            <w:vAlign w:val="center"/>
          </w:tcPr>
          <w:p w14:paraId="0290997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1" w:type="dxa"/>
            <w:noWrap w:val="0"/>
            <w:vAlign w:val="center"/>
          </w:tcPr>
          <w:p w14:paraId="0DB4FB6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314" w:type="dxa"/>
            <w:noWrap w:val="0"/>
            <w:vAlign w:val="center"/>
          </w:tcPr>
          <w:p w14:paraId="7571A44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730" w:type="dxa"/>
            <w:noWrap w:val="0"/>
            <w:vAlign w:val="center"/>
          </w:tcPr>
          <w:p w14:paraId="460E849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r>
      <w:tr w14:paraId="097195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noWrap w:val="0"/>
            <w:vAlign w:val="center"/>
          </w:tcPr>
          <w:p w14:paraId="14E16A4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276" w:type="dxa"/>
            <w:noWrap w:val="0"/>
            <w:vAlign w:val="center"/>
          </w:tcPr>
          <w:p w14:paraId="4C0F127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162" w:type="dxa"/>
            <w:noWrap w:val="0"/>
            <w:vAlign w:val="center"/>
          </w:tcPr>
          <w:p w14:paraId="10367AA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940" w:type="dxa"/>
            <w:noWrap w:val="0"/>
            <w:vAlign w:val="center"/>
          </w:tcPr>
          <w:p w14:paraId="38EAEDA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1" w:type="dxa"/>
            <w:noWrap w:val="0"/>
            <w:vAlign w:val="center"/>
          </w:tcPr>
          <w:p w14:paraId="2576695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044" w:type="dxa"/>
            <w:noWrap w:val="0"/>
            <w:vAlign w:val="center"/>
          </w:tcPr>
          <w:p w14:paraId="63E48A8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731" w:type="dxa"/>
            <w:noWrap w:val="0"/>
            <w:vAlign w:val="center"/>
          </w:tcPr>
          <w:p w14:paraId="71ED413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1" w:type="dxa"/>
            <w:noWrap w:val="0"/>
            <w:vAlign w:val="center"/>
          </w:tcPr>
          <w:p w14:paraId="6EB3559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314" w:type="dxa"/>
            <w:noWrap w:val="0"/>
            <w:vAlign w:val="center"/>
          </w:tcPr>
          <w:p w14:paraId="3B8238C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730" w:type="dxa"/>
            <w:noWrap w:val="0"/>
            <w:vAlign w:val="center"/>
          </w:tcPr>
          <w:p w14:paraId="40FBAC1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r>
      <w:tr w14:paraId="1AE6C9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noWrap w:val="0"/>
            <w:vAlign w:val="center"/>
          </w:tcPr>
          <w:p w14:paraId="427FBCE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276" w:type="dxa"/>
            <w:noWrap w:val="0"/>
            <w:vAlign w:val="center"/>
          </w:tcPr>
          <w:p w14:paraId="2759DF3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162" w:type="dxa"/>
            <w:noWrap w:val="0"/>
            <w:vAlign w:val="center"/>
          </w:tcPr>
          <w:p w14:paraId="52E496C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940" w:type="dxa"/>
            <w:noWrap w:val="0"/>
            <w:vAlign w:val="center"/>
          </w:tcPr>
          <w:p w14:paraId="1EDBD45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1" w:type="dxa"/>
            <w:noWrap w:val="0"/>
            <w:vAlign w:val="center"/>
          </w:tcPr>
          <w:p w14:paraId="22CC03A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044" w:type="dxa"/>
            <w:noWrap w:val="0"/>
            <w:vAlign w:val="center"/>
          </w:tcPr>
          <w:p w14:paraId="54F8DD8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731" w:type="dxa"/>
            <w:noWrap w:val="0"/>
            <w:vAlign w:val="center"/>
          </w:tcPr>
          <w:p w14:paraId="7F60C75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1" w:type="dxa"/>
            <w:noWrap w:val="0"/>
            <w:vAlign w:val="center"/>
          </w:tcPr>
          <w:p w14:paraId="01E3EAB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314" w:type="dxa"/>
            <w:noWrap w:val="0"/>
            <w:vAlign w:val="center"/>
          </w:tcPr>
          <w:p w14:paraId="3D6E955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730" w:type="dxa"/>
            <w:noWrap w:val="0"/>
            <w:vAlign w:val="center"/>
          </w:tcPr>
          <w:p w14:paraId="4322290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r>
      <w:tr w14:paraId="1B9A43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noWrap w:val="0"/>
            <w:vAlign w:val="center"/>
          </w:tcPr>
          <w:p w14:paraId="7D6695F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276" w:type="dxa"/>
            <w:noWrap w:val="0"/>
            <w:vAlign w:val="center"/>
          </w:tcPr>
          <w:p w14:paraId="305490C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162" w:type="dxa"/>
            <w:noWrap w:val="0"/>
            <w:vAlign w:val="center"/>
          </w:tcPr>
          <w:p w14:paraId="39A82BC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940" w:type="dxa"/>
            <w:noWrap w:val="0"/>
            <w:vAlign w:val="center"/>
          </w:tcPr>
          <w:p w14:paraId="0067DD7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1" w:type="dxa"/>
            <w:noWrap w:val="0"/>
            <w:vAlign w:val="center"/>
          </w:tcPr>
          <w:p w14:paraId="60CE344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044" w:type="dxa"/>
            <w:noWrap w:val="0"/>
            <w:vAlign w:val="center"/>
          </w:tcPr>
          <w:p w14:paraId="40A3BEF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731" w:type="dxa"/>
            <w:noWrap w:val="0"/>
            <w:vAlign w:val="center"/>
          </w:tcPr>
          <w:p w14:paraId="218EFD8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1" w:type="dxa"/>
            <w:noWrap w:val="0"/>
            <w:vAlign w:val="center"/>
          </w:tcPr>
          <w:p w14:paraId="24BC190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314" w:type="dxa"/>
            <w:noWrap w:val="0"/>
            <w:vAlign w:val="center"/>
          </w:tcPr>
          <w:p w14:paraId="60BBFB6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730" w:type="dxa"/>
            <w:noWrap w:val="0"/>
            <w:vAlign w:val="center"/>
          </w:tcPr>
          <w:p w14:paraId="609BD93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r>
      <w:tr w14:paraId="057493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noWrap w:val="0"/>
            <w:vAlign w:val="center"/>
          </w:tcPr>
          <w:p w14:paraId="490CA57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276" w:type="dxa"/>
            <w:noWrap w:val="0"/>
            <w:vAlign w:val="center"/>
          </w:tcPr>
          <w:p w14:paraId="472621D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162" w:type="dxa"/>
            <w:noWrap w:val="0"/>
            <w:vAlign w:val="center"/>
          </w:tcPr>
          <w:p w14:paraId="5DCA7FD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940" w:type="dxa"/>
            <w:noWrap w:val="0"/>
            <w:vAlign w:val="center"/>
          </w:tcPr>
          <w:p w14:paraId="5297C52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1" w:type="dxa"/>
            <w:noWrap w:val="0"/>
            <w:vAlign w:val="center"/>
          </w:tcPr>
          <w:p w14:paraId="520A749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044" w:type="dxa"/>
            <w:noWrap w:val="0"/>
            <w:vAlign w:val="center"/>
          </w:tcPr>
          <w:p w14:paraId="2A11584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731" w:type="dxa"/>
            <w:noWrap w:val="0"/>
            <w:vAlign w:val="center"/>
          </w:tcPr>
          <w:p w14:paraId="07C1F86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1" w:type="dxa"/>
            <w:noWrap w:val="0"/>
            <w:vAlign w:val="center"/>
          </w:tcPr>
          <w:p w14:paraId="17964BD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314" w:type="dxa"/>
            <w:noWrap w:val="0"/>
            <w:vAlign w:val="center"/>
          </w:tcPr>
          <w:p w14:paraId="1EF2E11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730" w:type="dxa"/>
            <w:noWrap w:val="0"/>
            <w:vAlign w:val="center"/>
          </w:tcPr>
          <w:p w14:paraId="346509D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r>
      <w:tr w14:paraId="1E4338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noWrap w:val="0"/>
            <w:vAlign w:val="center"/>
          </w:tcPr>
          <w:p w14:paraId="439B358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276" w:type="dxa"/>
            <w:noWrap w:val="0"/>
            <w:vAlign w:val="center"/>
          </w:tcPr>
          <w:p w14:paraId="1BD4F68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162" w:type="dxa"/>
            <w:noWrap w:val="0"/>
            <w:vAlign w:val="center"/>
          </w:tcPr>
          <w:p w14:paraId="474BD76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940" w:type="dxa"/>
            <w:noWrap w:val="0"/>
            <w:vAlign w:val="center"/>
          </w:tcPr>
          <w:p w14:paraId="2564F05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1" w:type="dxa"/>
            <w:noWrap w:val="0"/>
            <w:vAlign w:val="center"/>
          </w:tcPr>
          <w:p w14:paraId="2D8EC48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044" w:type="dxa"/>
            <w:noWrap w:val="0"/>
            <w:vAlign w:val="center"/>
          </w:tcPr>
          <w:p w14:paraId="155D2E8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731" w:type="dxa"/>
            <w:noWrap w:val="0"/>
            <w:vAlign w:val="center"/>
          </w:tcPr>
          <w:p w14:paraId="1A361F1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1" w:type="dxa"/>
            <w:noWrap w:val="0"/>
            <w:vAlign w:val="center"/>
          </w:tcPr>
          <w:p w14:paraId="3FEC27A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314" w:type="dxa"/>
            <w:noWrap w:val="0"/>
            <w:vAlign w:val="center"/>
          </w:tcPr>
          <w:p w14:paraId="49856BF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730" w:type="dxa"/>
            <w:noWrap w:val="0"/>
            <w:vAlign w:val="center"/>
          </w:tcPr>
          <w:p w14:paraId="2E66712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r>
      <w:tr w14:paraId="4CC874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noWrap w:val="0"/>
            <w:vAlign w:val="center"/>
          </w:tcPr>
          <w:p w14:paraId="100B635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276" w:type="dxa"/>
            <w:noWrap w:val="0"/>
            <w:vAlign w:val="center"/>
          </w:tcPr>
          <w:p w14:paraId="35141A61">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162" w:type="dxa"/>
            <w:noWrap w:val="0"/>
            <w:vAlign w:val="center"/>
          </w:tcPr>
          <w:p w14:paraId="3CA72C9E">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940" w:type="dxa"/>
            <w:noWrap w:val="0"/>
            <w:vAlign w:val="center"/>
          </w:tcPr>
          <w:p w14:paraId="51E2A4A9">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51" w:type="dxa"/>
            <w:noWrap w:val="0"/>
            <w:vAlign w:val="center"/>
          </w:tcPr>
          <w:p w14:paraId="0B6F150A">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44" w:type="dxa"/>
            <w:noWrap w:val="0"/>
            <w:vAlign w:val="center"/>
          </w:tcPr>
          <w:p w14:paraId="7084BA21">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731" w:type="dxa"/>
            <w:noWrap w:val="0"/>
            <w:vAlign w:val="center"/>
          </w:tcPr>
          <w:p w14:paraId="3CEF2B7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51" w:type="dxa"/>
            <w:noWrap w:val="0"/>
            <w:vAlign w:val="center"/>
          </w:tcPr>
          <w:p w14:paraId="1DEDCFC2">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314" w:type="dxa"/>
            <w:noWrap w:val="0"/>
            <w:vAlign w:val="center"/>
          </w:tcPr>
          <w:p w14:paraId="35A0078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730" w:type="dxa"/>
            <w:noWrap w:val="0"/>
            <w:vAlign w:val="center"/>
          </w:tcPr>
          <w:p w14:paraId="73D9BE9F">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r>
      <w:tr w14:paraId="0FF614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noWrap w:val="0"/>
            <w:vAlign w:val="center"/>
          </w:tcPr>
          <w:p w14:paraId="59232EA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276" w:type="dxa"/>
            <w:noWrap w:val="0"/>
            <w:vAlign w:val="center"/>
          </w:tcPr>
          <w:p w14:paraId="2248660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162" w:type="dxa"/>
            <w:noWrap w:val="0"/>
            <w:vAlign w:val="center"/>
          </w:tcPr>
          <w:p w14:paraId="6F8B05E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940" w:type="dxa"/>
            <w:noWrap w:val="0"/>
            <w:vAlign w:val="center"/>
          </w:tcPr>
          <w:p w14:paraId="2A3D932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1" w:type="dxa"/>
            <w:noWrap w:val="0"/>
            <w:vAlign w:val="center"/>
          </w:tcPr>
          <w:p w14:paraId="4FD0C9B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044" w:type="dxa"/>
            <w:noWrap w:val="0"/>
            <w:vAlign w:val="center"/>
          </w:tcPr>
          <w:p w14:paraId="4F9EAC3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731" w:type="dxa"/>
            <w:noWrap w:val="0"/>
            <w:vAlign w:val="center"/>
          </w:tcPr>
          <w:p w14:paraId="67B4762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851" w:type="dxa"/>
            <w:noWrap w:val="0"/>
            <w:vAlign w:val="center"/>
          </w:tcPr>
          <w:p w14:paraId="3E89243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1314" w:type="dxa"/>
            <w:noWrap w:val="0"/>
            <w:vAlign w:val="center"/>
          </w:tcPr>
          <w:p w14:paraId="300A3D9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c>
          <w:tcPr>
            <w:tcW w:w="730" w:type="dxa"/>
            <w:noWrap w:val="0"/>
            <w:vAlign w:val="center"/>
          </w:tcPr>
          <w:p w14:paraId="493F95F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bidi="ar-SA"/>
              </w:rPr>
            </w:pPr>
          </w:p>
        </w:tc>
      </w:tr>
      <w:tr w14:paraId="730B4A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noWrap w:val="0"/>
            <w:vAlign w:val="center"/>
          </w:tcPr>
          <w:p w14:paraId="189AA5E1">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276" w:type="dxa"/>
            <w:noWrap w:val="0"/>
            <w:vAlign w:val="center"/>
          </w:tcPr>
          <w:p w14:paraId="524518C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162" w:type="dxa"/>
            <w:noWrap w:val="0"/>
            <w:vAlign w:val="center"/>
          </w:tcPr>
          <w:p w14:paraId="2E568FD2">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940" w:type="dxa"/>
            <w:noWrap w:val="0"/>
            <w:vAlign w:val="center"/>
          </w:tcPr>
          <w:p w14:paraId="744B309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51" w:type="dxa"/>
            <w:noWrap w:val="0"/>
            <w:vAlign w:val="center"/>
          </w:tcPr>
          <w:p w14:paraId="740A17C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44" w:type="dxa"/>
            <w:noWrap w:val="0"/>
            <w:vAlign w:val="center"/>
          </w:tcPr>
          <w:p w14:paraId="4F31E93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731" w:type="dxa"/>
            <w:noWrap w:val="0"/>
            <w:vAlign w:val="center"/>
          </w:tcPr>
          <w:p w14:paraId="3116D6AF">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51" w:type="dxa"/>
            <w:noWrap w:val="0"/>
            <w:vAlign w:val="center"/>
          </w:tcPr>
          <w:p w14:paraId="6287F747">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314" w:type="dxa"/>
            <w:noWrap w:val="0"/>
            <w:vAlign w:val="center"/>
          </w:tcPr>
          <w:p w14:paraId="6A7C43DF">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730" w:type="dxa"/>
            <w:noWrap w:val="0"/>
            <w:vAlign w:val="center"/>
          </w:tcPr>
          <w:p w14:paraId="776DC8B9">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r>
      <w:tr w14:paraId="3F482F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noWrap w:val="0"/>
            <w:vAlign w:val="center"/>
          </w:tcPr>
          <w:p w14:paraId="1CB10B41">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276" w:type="dxa"/>
            <w:noWrap w:val="0"/>
            <w:vAlign w:val="center"/>
          </w:tcPr>
          <w:p w14:paraId="16C44CDD">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162" w:type="dxa"/>
            <w:noWrap w:val="0"/>
            <w:vAlign w:val="center"/>
          </w:tcPr>
          <w:p w14:paraId="7116A312">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940" w:type="dxa"/>
            <w:noWrap w:val="0"/>
            <w:vAlign w:val="center"/>
          </w:tcPr>
          <w:p w14:paraId="73AADFEF">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51" w:type="dxa"/>
            <w:noWrap w:val="0"/>
            <w:vAlign w:val="center"/>
          </w:tcPr>
          <w:p w14:paraId="7AE7524F">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44" w:type="dxa"/>
            <w:noWrap w:val="0"/>
            <w:vAlign w:val="center"/>
          </w:tcPr>
          <w:p w14:paraId="770C06B8">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731" w:type="dxa"/>
            <w:noWrap w:val="0"/>
            <w:vAlign w:val="center"/>
          </w:tcPr>
          <w:p w14:paraId="66E6FF02">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51" w:type="dxa"/>
            <w:noWrap w:val="0"/>
            <w:vAlign w:val="center"/>
          </w:tcPr>
          <w:p w14:paraId="20945696">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314" w:type="dxa"/>
            <w:noWrap w:val="0"/>
            <w:vAlign w:val="center"/>
          </w:tcPr>
          <w:p w14:paraId="5FD0B9B8">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730" w:type="dxa"/>
            <w:noWrap w:val="0"/>
            <w:vAlign w:val="center"/>
          </w:tcPr>
          <w:p w14:paraId="40A20F19">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r>
      <w:tr w14:paraId="38ACA1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noWrap w:val="0"/>
            <w:vAlign w:val="center"/>
          </w:tcPr>
          <w:p w14:paraId="0961B280">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276" w:type="dxa"/>
            <w:noWrap w:val="0"/>
            <w:vAlign w:val="center"/>
          </w:tcPr>
          <w:p w14:paraId="35990370">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162" w:type="dxa"/>
            <w:noWrap w:val="0"/>
            <w:vAlign w:val="center"/>
          </w:tcPr>
          <w:p w14:paraId="7762751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940" w:type="dxa"/>
            <w:noWrap w:val="0"/>
            <w:vAlign w:val="center"/>
          </w:tcPr>
          <w:p w14:paraId="27CB7B40">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51" w:type="dxa"/>
            <w:noWrap w:val="0"/>
            <w:vAlign w:val="center"/>
          </w:tcPr>
          <w:p w14:paraId="6A02136F">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44" w:type="dxa"/>
            <w:noWrap w:val="0"/>
            <w:vAlign w:val="center"/>
          </w:tcPr>
          <w:p w14:paraId="172807F9">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731" w:type="dxa"/>
            <w:noWrap w:val="0"/>
            <w:vAlign w:val="center"/>
          </w:tcPr>
          <w:p w14:paraId="139D55FD">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51" w:type="dxa"/>
            <w:noWrap w:val="0"/>
            <w:vAlign w:val="center"/>
          </w:tcPr>
          <w:p w14:paraId="4459AD44">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314" w:type="dxa"/>
            <w:noWrap w:val="0"/>
            <w:vAlign w:val="center"/>
          </w:tcPr>
          <w:p w14:paraId="52EA7CE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730" w:type="dxa"/>
            <w:noWrap w:val="0"/>
            <w:vAlign w:val="center"/>
          </w:tcPr>
          <w:p w14:paraId="188654F2">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r>
      <w:tr w14:paraId="05D10E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noWrap w:val="0"/>
            <w:vAlign w:val="center"/>
          </w:tcPr>
          <w:p w14:paraId="44790BD7">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276" w:type="dxa"/>
            <w:noWrap w:val="0"/>
            <w:vAlign w:val="center"/>
          </w:tcPr>
          <w:p w14:paraId="13649602">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162" w:type="dxa"/>
            <w:noWrap w:val="0"/>
            <w:vAlign w:val="center"/>
          </w:tcPr>
          <w:p w14:paraId="71CBFE52">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940" w:type="dxa"/>
            <w:noWrap w:val="0"/>
            <w:vAlign w:val="center"/>
          </w:tcPr>
          <w:p w14:paraId="3379A660">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51" w:type="dxa"/>
            <w:noWrap w:val="0"/>
            <w:vAlign w:val="center"/>
          </w:tcPr>
          <w:p w14:paraId="79F1077F">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44" w:type="dxa"/>
            <w:noWrap w:val="0"/>
            <w:vAlign w:val="center"/>
          </w:tcPr>
          <w:p w14:paraId="3A5296D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731" w:type="dxa"/>
            <w:noWrap w:val="0"/>
            <w:vAlign w:val="center"/>
          </w:tcPr>
          <w:p w14:paraId="52F3BDC7">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51" w:type="dxa"/>
            <w:noWrap w:val="0"/>
            <w:vAlign w:val="center"/>
          </w:tcPr>
          <w:p w14:paraId="268992D3">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314" w:type="dxa"/>
            <w:noWrap w:val="0"/>
            <w:vAlign w:val="center"/>
          </w:tcPr>
          <w:p w14:paraId="2BAA19E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730" w:type="dxa"/>
            <w:noWrap w:val="0"/>
            <w:vAlign w:val="center"/>
          </w:tcPr>
          <w:p w14:paraId="25D1E658">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r>
      <w:tr w14:paraId="098B5D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noWrap w:val="0"/>
            <w:vAlign w:val="center"/>
          </w:tcPr>
          <w:p w14:paraId="2CA91F1E">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276" w:type="dxa"/>
            <w:noWrap w:val="0"/>
            <w:vAlign w:val="center"/>
          </w:tcPr>
          <w:p w14:paraId="155F9E23">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162" w:type="dxa"/>
            <w:noWrap w:val="0"/>
            <w:vAlign w:val="center"/>
          </w:tcPr>
          <w:p w14:paraId="11C62996">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940" w:type="dxa"/>
            <w:noWrap w:val="0"/>
            <w:vAlign w:val="center"/>
          </w:tcPr>
          <w:p w14:paraId="11EFD7A4">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51" w:type="dxa"/>
            <w:noWrap w:val="0"/>
            <w:vAlign w:val="center"/>
          </w:tcPr>
          <w:p w14:paraId="7FB5010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44" w:type="dxa"/>
            <w:noWrap w:val="0"/>
            <w:vAlign w:val="center"/>
          </w:tcPr>
          <w:p w14:paraId="1804ED4D">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731" w:type="dxa"/>
            <w:noWrap w:val="0"/>
            <w:vAlign w:val="center"/>
          </w:tcPr>
          <w:p w14:paraId="2FB993D7">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51" w:type="dxa"/>
            <w:noWrap w:val="0"/>
            <w:vAlign w:val="center"/>
          </w:tcPr>
          <w:p w14:paraId="07A59F9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314" w:type="dxa"/>
            <w:noWrap w:val="0"/>
            <w:vAlign w:val="center"/>
          </w:tcPr>
          <w:p w14:paraId="0C72BC91">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730" w:type="dxa"/>
            <w:noWrap w:val="0"/>
            <w:vAlign w:val="center"/>
          </w:tcPr>
          <w:p w14:paraId="4224D579">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r>
      <w:tr w14:paraId="243458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noWrap w:val="0"/>
            <w:vAlign w:val="center"/>
          </w:tcPr>
          <w:p w14:paraId="15D96447">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276" w:type="dxa"/>
            <w:noWrap w:val="0"/>
            <w:vAlign w:val="center"/>
          </w:tcPr>
          <w:p w14:paraId="741FA431">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162" w:type="dxa"/>
            <w:noWrap w:val="0"/>
            <w:vAlign w:val="center"/>
          </w:tcPr>
          <w:p w14:paraId="0E4EC98D">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940" w:type="dxa"/>
            <w:noWrap w:val="0"/>
            <w:vAlign w:val="center"/>
          </w:tcPr>
          <w:p w14:paraId="0D355DC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51" w:type="dxa"/>
            <w:noWrap w:val="0"/>
            <w:vAlign w:val="center"/>
          </w:tcPr>
          <w:p w14:paraId="70180803">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44" w:type="dxa"/>
            <w:noWrap w:val="0"/>
            <w:vAlign w:val="center"/>
          </w:tcPr>
          <w:p w14:paraId="630011AD">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731" w:type="dxa"/>
            <w:noWrap w:val="0"/>
            <w:vAlign w:val="center"/>
          </w:tcPr>
          <w:p w14:paraId="051AC778">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51" w:type="dxa"/>
            <w:noWrap w:val="0"/>
            <w:vAlign w:val="center"/>
          </w:tcPr>
          <w:p w14:paraId="0C04400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314" w:type="dxa"/>
            <w:noWrap w:val="0"/>
            <w:vAlign w:val="center"/>
          </w:tcPr>
          <w:p w14:paraId="086997D1">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730" w:type="dxa"/>
            <w:noWrap w:val="0"/>
            <w:vAlign w:val="center"/>
          </w:tcPr>
          <w:p w14:paraId="7C15EF82">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r>
      <w:tr w14:paraId="04F28F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noWrap w:val="0"/>
            <w:vAlign w:val="center"/>
          </w:tcPr>
          <w:p w14:paraId="2D00392A">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276" w:type="dxa"/>
            <w:noWrap w:val="0"/>
            <w:vAlign w:val="center"/>
          </w:tcPr>
          <w:p w14:paraId="654FBF7D">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162" w:type="dxa"/>
            <w:noWrap w:val="0"/>
            <w:vAlign w:val="center"/>
          </w:tcPr>
          <w:p w14:paraId="072C4CC8">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940" w:type="dxa"/>
            <w:noWrap w:val="0"/>
            <w:vAlign w:val="center"/>
          </w:tcPr>
          <w:p w14:paraId="49B2370E">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51" w:type="dxa"/>
            <w:noWrap w:val="0"/>
            <w:vAlign w:val="center"/>
          </w:tcPr>
          <w:p w14:paraId="03DDFB67">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44" w:type="dxa"/>
            <w:noWrap w:val="0"/>
            <w:vAlign w:val="center"/>
          </w:tcPr>
          <w:p w14:paraId="751E7861">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731" w:type="dxa"/>
            <w:noWrap w:val="0"/>
            <w:vAlign w:val="center"/>
          </w:tcPr>
          <w:p w14:paraId="289E52C0">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51" w:type="dxa"/>
            <w:noWrap w:val="0"/>
            <w:vAlign w:val="center"/>
          </w:tcPr>
          <w:p w14:paraId="58B7D703">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314" w:type="dxa"/>
            <w:noWrap w:val="0"/>
            <w:vAlign w:val="center"/>
          </w:tcPr>
          <w:p w14:paraId="7BF8636A">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730" w:type="dxa"/>
            <w:noWrap w:val="0"/>
            <w:vAlign w:val="center"/>
          </w:tcPr>
          <w:p w14:paraId="06D8F7AE">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r>
      <w:tr w14:paraId="2B6EF3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noWrap w:val="0"/>
            <w:vAlign w:val="center"/>
          </w:tcPr>
          <w:p w14:paraId="61668663">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276" w:type="dxa"/>
            <w:noWrap w:val="0"/>
            <w:vAlign w:val="center"/>
          </w:tcPr>
          <w:p w14:paraId="51998797">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162" w:type="dxa"/>
            <w:noWrap w:val="0"/>
            <w:vAlign w:val="center"/>
          </w:tcPr>
          <w:p w14:paraId="37A5F093">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940" w:type="dxa"/>
            <w:noWrap w:val="0"/>
            <w:vAlign w:val="center"/>
          </w:tcPr>
          <w:p w14:paraId="02523D0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51" w:type="dxa"/>
            <w:noWrap w:val="0"/>
            <w:vAlign w:val="center"/>
          </w:tcPr>
          <w:p w14:paraId="6B0DC93A">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44" w:type="dxa"/>
            <w:noWrap w:val="0"/>
            <w:vAlign w:val="center"/>
          </w:tcPr>
          <w:p w14:paraId="0ED7F54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731" w:type="dxa"/>
            <w:noWrap w:val="0"/>
            <w:vAlign w:val="center"/>
          </w:tcPr>
          <w:p w14:paraId="2151902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51" w:type="dxa"/>
            <w:noWrap w:val="0"/>
            <w:vAlign w:val="center"/>
          </w:tcPr>
          <w:p w14:paraId="054F550D">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314" w:type="dxa"/>
            <w:noWrap w:val="0"/>
            <w:vAlign w:val="center"/>
          </w:tcPr>
          <w:p w14:paraId="36F27647">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730" w:type="dxa"/>
            <w:noWrap w:val="0"/>
            <w:vAlign w:val="center"/>
          </w:tcPr>
          <w:p w14:paraId="3C88D72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r>
    </w:tbl>
    <w:p w14:paraId="223227A2">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p w14:paraId="71272000">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附件3：</w:t>
      </w:r>
    </w:p>
    <w:p w14:paraId="00830F66">
      <w:pPr>
        <w:keepLines w:val="0"/>
        <w:pageBreakBefore w:val="0"/>
        <w:kinsoku/>
        <w:wordWrap/>
        <w:overflowPunct/>
        <w:topLinePunct w:val="0"/>
        <w:autoSpaceDE w:val="0"/>
        <w:autoSpaceDN w:val="0"/>
        <w:bidi w:val="0"/>
        <w:adjustRightInd w:val="0"/>
        <w:spacing w:line="360" w:lineRule="auto"/>
        <w:ind w:left="0" w:leftChars="0" w:right="0" w:rightChars="0" w:firstLine="482" w:firstLineChars="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房屋建筑工程质量保修书</w:t>
      </w:r>
    </w:p>
    <w:p w14:paraId="7B092B4B">
      <w:pPr>
        <w:keepLines w:val="0"/>
        <w:pageBreakBefore w:val="0"/>
        <w:kinsoku/>
        <w:wordWrap/>
        <w:overflowPunct/>
        <w:topLinePunct w:val="0"/>
        <w:autoSpaceDE w:val="0"/>
        <w:autoSpaceDN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u w:val="single"/>
          <w:lang w:eastAsia="zh-CN"/>
        </w:rPr>
      </w:pPr>
      <w:r>
        <w:rPr>
          <w:rFonts w:hint="eastAsia" w:ascii="宋体" w:hAnsi="宋体" w:eastAsia="宋体" w:cs="宋体"/>
          <w:color w:val="auto"/>
          <w:kern w:val="0"/>
          <w:sz w:val="24"/>
          <w:szCs w:val="24"/>
          <w:highlight w:val="none"/>
        </w:rPr>
        <w:t>发</w:t>
      </w:r>
      <w:r>
        <w:rPr>
          <w:rFonts w:hint="eastAsia" w:ascii="宋体" w:hAnsi="宋体" w:eastAsia="宋体" w:cs="宋体"/>
          <w:color w:val="auto"/>
          <w:sz w:val="24"/>
          <w:szCs w:val="24"/>
          <w:highlight w:val="none"/>
        </w:rPr>
        <w:t>包人（全称）：</w:t>
      </w:r>
      <w:r>
        <w:rPr>
          <w:rFonts w:hint="eastAsia" w:ascii="宋体" w:hAnsi="宋体" w:cs="宋体"/>
          <w:color w:val="auto"/>
          <w:sz w:val="24"/>
          <w:szCs w:val="24"/>
          <w:highlight w:val="none"/>
          <w:u w:val="single"/>
          <w:lang w:val="en-US" w:eastAsia="zh-CN"/>
        </w:rPr>
        <w:t>杭州市长寿桥小学</w:t>
      </w:r>
    </w:p>
    <w:p w14:paraId="698F2D6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承包人（全称）：</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20B0B379">
      <w:pPr>
        <w:keepLines w:val="0"/>
        <w:pageBreakBefore w:val="0"/>
        <w:kinsoku/>
        <w:wordWrap/>
        <w:overflowPunct/>
        <w:topLinePunct w:val="0"/>
        <w:autoSpaceDE w:val="0"/>
        <w:autoSpaceDN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发包人、承包人根据《中华人民共和国建筑法》、《建设工程质量管理条例》和《房屋建筑工程质量保修办法》，经协商一致，对签定工程质量保修书。</w:t>
      </w:r>
    </w:p>
    <w:p w14:paraId="699BA540">
      <w:pPr>
        <w:keepLines w:val="0"/>
        <w:pageBreakBefore w:val="0"/>
        <w:kinsoku/>
        <w:wordWrap/>
        <w:overflowPunct/>
        <w:topLinePunct w:val="0"/>
        <w:autoSpaceDE w:val="0"/>
        <w:autoSpaceDN w:val="0"/>
        <w:bidi w:val="0"/>
        <w:adjustRightInd w:val="0"/>
        <w:spacing w:line="360" w:lineRule="auto"/>
        <w:ind w:left="0" w:leftChars="0" w:right="0" w:rightChars="0" w:firstLine="482" w:firstLineChars="20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一、工程质量保修范围和内容</w:t>
      </w:r>
    </w:p>
    <w:p w14:paraId="6E22E36E">
      <w:pPr>
        <w:keepLines w:val="0"/>
        <w:pageBreakBefore w:val="0"/>
        <w:kinsoku/>
        <w:wordWrap/>
        <w:overflowPunct/>
        <w:topLinePunct w:val="0"/>
        <w:autoSpaceDE w:val="0"/>
        <w:autoSpaceDN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承包人在质量保修期内，按照有关法律、法规、规章的管理规定和双方约定，承担本工程质量保修责任。</w:t>
      </w:r>
    </w:p>
    <w:p w14:paraId="77531C4D">
      <w:pPr>
        <w:keepLines w:val="0"/>
        <w:pageBreakBefore w:val="0"/>
        <w:kinsoku/>
        <w:wordWrap/>
        <w:overflowPunct/>
        <w:topLinePunct w:val="0"/>
        <w:autoSpaceDE w:val="0"/>
        <w:autoSpaceDN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质量保修范围包括地基基础工程、主体结构工程，屋面防水工程、外墙面防水工程的防渗漏，电气管线、给排水管道、设备安装和装修工程，以及双方约定的其他项目。具体保修的内容，双方约定如下：</w:t>
      </w:r>
      <w:r>
        <w:rPr>
          <w:rFonts w:hint="eastAsia" w:ascii="宋体" w:hAnsi="宋体" w:eastAsia="宋体" w:cs="宋体"/>
          <w:b/>
          <w:bCs/>
          <w:color w:val="auto"/>
          <w:kern w:val="0"/>
          <w:sz w:val="24"/>
          <w:szCs w:val="24"/>
          <w:highlight w:val="none"/>
          <w:u w:val="single"/>
        </w:rPr>
        <w:t xml:space="preserve"> 承包人承包范围内的所有内容 </w:t>
      </w:r>
      <w:r>
        <w:rPr>
          <w:rFonts w:hint="eastAsia" w:ascii="宋体" w:hAnsi="宋体" w:eastAsia="宋体" w:cs="宋体"/>
          <w:b/>
          <w:bCs/>
          <w:color w:val="auto"/>
          <w:kern w:val="0"/>
          <w:sz w:val="24"/>
          <w:szCs w:val="24"/>
          <w:highlight w:val="none"/>
        </w:rPr>
        <w:t>。</w:t>
      </w:r>
    </w:p>
    <w:p w14:paraId="203201B3">
      <w:pPr>
        <w:keepLines w:val="0"/>
        <w:pageBreakBefore w:val="0"/>
        <w:kinsoku/>
        <w:wordWrap/>
        <w:overflowPunct/>
        <w:topLinePunct w:val="0"/>
        <w:autoSpaceDE w:val="0"/>
        <w:autoSpaceDN w:val="0"/>
        <w:bidi w:val="0"/>
        <w:adjustRightInd w:val="0"/>
        <w:spacing w:line="360" w:lineRule="auto"/>
        <w:ind w:left="0" w:leftChars="0" w:right="0" w:rightChars="0" w:firstLine="482" w:firstLineChars="20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二、质量保修期</w:t>
      </w:r>
    </w:p>
    <w:p w14:paraId="564106C8">
      <w:pPr>
        <w:keepLines w:val="0"/>
        <w:pageBreakBefore w:val="0"/>
        <w:kinsoku/>
        <w:wordWrap/>
        <w:overflowPunct/>
        <w:topLinePunct w:val="0"/>
        <w:autoSpaceDE w:val="0"/>
        <w:autoSpaceDN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双方根据《建设工程质量管理条例》及有关规定，约定本工程的质量保修期如下：</w:t>
      </w:r>
    </w:p>
    <w:p w14:paraId="76B16043">
      <w:pPr>
        <w:keepLines w:val="0"/>
        <w:pageBreakBefore w:val="0"/>
        <w:kinsoku/>
        <w:wordWrap/>
        <w:overflowPunct/>
        <w:topLinePunct w:val="0"/>
        <w:autoSpaceDE w:val="0"/>
        <w:autoSpaceDN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1、地基基础工程和主体结构工程为设计文件规定的该工程合理使用年限；</w:t>
      </w:r>
    </w:p>
    <w:p w14:paraId="18C0F190">
      <w:pPr>
        <w:keepLines w:val="0"/>
        <w:pageBreakBefore w:val="0"/>
        <w:kinsoku/>
        <w:wordWrap/>
        <w:overflowPunct/>
        <w:topLinePunct w:val="0"/>
        <w:autoSpaceDE w:val="0"/>
        <w:autoSpaceDN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 xml:space="preserve">本工程屋面防水工程、外墙面防水工程的防渗漏 </w:t>
      </w:r>
      <w:r>
        <w:rPr>
          <w:rFonts w:hint="eastAsia" w:ascii="宋体" w:hAnsi="宋体" w:eastAsia="宋体" w:cs="宋体"/>
          <w:color w:val="auto"/>
          <w:kern w:val="0"/>
          <w:sz w:val="24"/>
          <w:szCs w:val="24"/>
          <w:highlight w:val="none"/>
        </w:rPr>
        <w:t>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5</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p>
    <w:p w14:paraId="1986D113">
      <w:pPr>
        <w:keepLines w:val="0"/>
        <w:pageBreakBefore w:val="0"/>
        <w:kinsoku/>
        <w:wordWrap/>
        <w:overflowPunct/>
        <w:topLinePunct w:val="0"/>
        <w:autoSpaceDE w:val="0"/>
        <w:autoSpaceDN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3、装修工程为</w:t>
      </w:r>
      <w:r>
        <w:rPr>
          <w:rFonts w:hint="eastAsia" w:ascii="宋体" w:hAnsi="宋体" w:eastAsia="宋体" w:cs="宋体"/>
          <w:color w:val="auto"/>
          <w:kern w:val="0"/>
          <w:sz w:val="24"/>
          <w:szCs w:val="24"/>
          <w:highlight w:val="none"/>
          <w:u w:val="single"/>
        </w:rPr>
        <w:t xml:space="preserve">  2  </w:t>
      </w:r>
      <w:r>
        <w:rPr>
          <w:rFonts w:hint="eastAsia" w:ascii="宋体" w:hAnsi="宋体" w:eastAsia="宋体" w:cs="宋体"/>
          <w:color w:val="auto"/>
          <w:kern w:val="0"/>
          <w:sz w:val="24"/>
          <w:szCs w:val="24"/>
          <w:highlight w:val="none"/>
        </w:rPr>
        <w:t>年；</w:t>
      </w:r>
    </w:p>
    <w:p w14:paraId="7A9F4E20">
      <w:pPr>
        <w:keepLines w:val="0"/>
        <w:pageBreakBefore w:val="0"/>
        <w:kinsoku/>
        <w:wordWrap/>
        <w:overflowPunct/>
        <w:topLinePunct w:val="0"/>
        <w:autoSpaceDE w:val="0"/>
        <w:autoSpaceDN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4、电气管线、给排水管道、设备安装工程为</w:t>
      </w:r>
      <w:r>
        <w:rPr>
          <w:rFonts w:hint="eastAsia" w:ascii="宋体" w:hAnsi="宋体" w:eastAsia="宋体" w:cs="宋体"/>
          <w:color w:val="auto"/>
          <w:kern w:val="0"/>
          <w:sz w:val="24"/>
          <w:szCs w:val="24"/>
          <w:highlight w:val="none"/>
          <w:u w:val="single"/>
        </w:rPr>
        <w:t xml:space="preserve">   2  </w:t>
      </w:r>
      <w:r>
        <w:rPr>
          <w:rFonts w:hint="eastAsia" w:ascii="宋体" w:hAnsi="宋体" w:eastAsia="宋体" w:cs="宋体"/>
          <w:color w:val="auto"/>
          <w:kern w:val="0"/>
          <w:sz w:val="24"/>
          <w:szCs w:val="24"/>
          <w:highlight w:val="none"/>
        </w:rPr>
        <w:t>年；</w:t>
      </w:r>
    </w:p>
    <w:p w14:paraId="5E1531A9">
      <w:pPr>
        <w:keepLines w:val="0"/>
        <w:pageBreakBefore w:val="0"/>
        <w:kinsoku/>
        <w:wordWrap/>
        <w:overflowPunct/>
        <w:topLinePunct w:val="0"/>
        <w:autoSpaceDE w:val="0"/>
        <w:autoSpaceDN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5、供热与供冷系统为</w:t>
      </w:r>
      <w:r>
        <w:rPr>
          <w:rFonts w:hint="eastAsia" w:ascii="宋体" w:hAnsi="宋体" w:eastAsia="宋体" w:cs="宋体"/>
          <w:color w:val="auto"/>
          <w:kern w:val="0"/>
          <w:sz w:val="24"/>
          <w:szCs w:val="24"/>
          <w:highlight w:val="none"/>
          <w:u w:val="single"/>
        </w:rPr>
        <w:t xml:space="preserve">   2  </w:t>
      </w:r>
      <w:r>
        <w:rPr>
          <w:rFonts w:hint="eastAsia" w:ascii="宋体" w:hAnsi="宋体" w:eastAsia="宋体" w:cs="宋体"/>
          <w:color w:val="auto"/>
          <w:kern w:val="0"/>
          <w:sz w:val="24"/>
          <w:szCs w:val="24"/>
          <w:highlight w:val="none"/>
        </w:rPr>
        <w:t>个采暖期、供冷期；</w:t>
      </w:r>
    </w:p>
    <w:p w14:paraId="61FED78C">
      <w:pPr>
        <w:keepLines w:val="0"/>
        <w:pageBreakBefore w:val="0"/>
        <w:kinsoku/>
        <w:wordWrap/>
        <w:overflowPunct/>
        <w:topLinePunct w:val="0"/>
        <w:autoSpaceDE w:val="0"/>
        <w:autoSpaceDN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6、住宅小区内的给排水设施、道路等配套工程为</w:t>
      </w:r>
      <w:r>
        <w:rPr>
          <w:rFonts w:hint="eastAsia" w:ascii="宋体" w:hAnsi="宋体" w:eastAsia="宋体" w:cs="宋体"/>
          <w:color w:val="auto"/>
          <w:kern w:val="0"/>
          <w:sz w:val="24"/>
          <w:szCs w:val="24"/>
          <w:highlight w:val="none"/>
          <w:u w:val="single"/>
        </w:rPr>
        <w:t xml:space="preserve">   2   </w:t>
      </w:r>
      <w:r>
        <w:rPr>
          <w:rFonts w:hint="eastAsia" w:ascii="宋体" w:hAnsi="宋体" w:eastAsia="宋体" w:cs="宋体"/>
          <w:color w:val="auto"/>
          <w:kern w:val="0"/>
          <w:sz w:val="24"/>
          <w:szCs w:val="24"/>
          <w:highlight w:val="none"/>
        </w:rPr>
        <w:t>年；</w:t>
      </w:r>
    </w:p>
    <w:p w14:paraId="1AF68906">
      <w:pPr>
        <w:keepLines w:val="0"/>
        <w:pageBreakBefore w:val="0"/>
        <w:kinsoku/>
        <w:wordWrap/>
        <w:overflowPunct/>
        <w:topLinePunct w:val="0"/>
        <w:autoSpaceDE w:val="0"/>
        <w:autoSpaceDN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7、其他项目保修期限：</w:t>
      </w:r>
      <w:r>
        <w:rPr>
          <w:rFonts w:hint="eastAsia" w:ascii="宋体" w:hAnsi="宋体" w:eastAsia="宋体" w:cs="宋体"/>
          <w:color w:val="auto"/>
          <w:kern w:val="0"/>
          <w:sz w:val="24"/>
          <w:szCs w:val="24"/>
          <w:highlight w:val="none"/>
          <w:u w:val="single"/>
        </w:rPr>
        <w:t xml:space="preserve">   2   </w:t>
      </w:r>
      <w:r>
        <w:rPr>
          <w:rFonts w:hint="eastAsia" w:ascii="宋体" w:hAnsi="宋体" w:eastAsia="宋体" w:cs="宋体"/>
          <w:color w:val="auto"/>
          <w:kern w:val="0"/>
          <w:sz w:val="24"/>
          <w:szCs w:val="24"/>
          <w:highlight w:val="none"/>
        </w:rPr>
        <w:t>年。</w:t>
      </w:r>
    </w:p>
    <w:p w14:paraId="758C876B">
      <w:pPr>
        <w:keepLines w:val="0"/>
        <w:pageBreakBefore w:val="0"/>
        <w:kinsoku/>
        <w:wordWrap/>
        <w:overflowPunct/>
        <w:topLinePunct w:val="0"/>
        <w:autoSpaceDE w:val="0"/>
        <w:autoSpaceDN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 xml:space="preserve">质量保修期自工程整体移交接收单位之日起计算。 </w:t>
      </w:r>
    </w:p>
    <w:p w14:paraId="5E875F84">
      <w:pPr>
        <w:keepLines w:val="0"/>
        <w:pageBreakBefore w:val="0"/>
        <w:numPr>
          <w:ilvl w:val="0"/>
          <w:numId w:val="2"/>
        </w:numPr>
        <w:kinsoku/>
        <w:wordWrap/>
        <w:overflowPunct/>
        <w:topLinePunct w:val="0"/>
        <w:autoSpaceDE w:val="0"/>
        <w:autoSpaceDN w:val="0"/>
        <w:bidi w:val="0"/>
        <w:adjustRightInd w:val="0"/>
        <w:spacing w:line="360" w:lineRule="auto"/>
        <w:ind w:left="0" w:leftChars="0" w:right="0" w:rightChars="0" w:firstLine="482" w:firstLineChars="20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质量保修责任</w:t>
      </w:r>
    </w:p>
    <w:p w14:paraId="1E6BFE45">
      <w:pPr>
        <w:keepLines w:val="0"/>
        <w:pageBreakBefore w:val="0"/>
        <w:widowControl/>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属于保修范围和内容的项目，承包人应在接到修理通知之日后24小时内派人修理。承包人不在约定期限内派人修理，发包人可委托其他人员修理，产生的费用由承包人加倍支付，同意由发包人在工程保修金中扣除。</w:t>
      </w:r>
    </w:p>
    <w:p w14:paraId="36C7D0BA">
      <w:pPr>
        <w:keepLines w:val="0"/>
        <w:pageBreakBefore w:val="0"/>
        <w:widowControl/>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2、发生紧急抢修事故的，承包人接到事故通知后，应立即（2小时内）到达事故现场抢修。</w:t>
      </w:r>
    </w:p>
    <w:p w14:paraId="0EB8977B">
      <w:pPr>
        <w:keepLines w:val="0"/>
        <w:pageBreakBefore w:val="0"/>
        <w:widowControl/>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涉及结构安全的质量问题，应当按照《房屋建筑工程质量保修办法》的规定，立即向当地建设行政主管部门报告，采取安全防范措施；由原设计单位或具有相当资质等级的设计单位提出保修方案，承包人组织验收。</w:t>
      </w:r>
    </w:p>
    <w:p w14:paraId="403DC8D5">
      <w:pPr>
        <w:keepLines w:val="0"/>
        <w:pageBreakBefore w:val="0"/>
        <w:kinsoku/>
        <w:wordWrap/>
        <w:overflowPunct/>
        <w:topLinePunct w:val="0"/>
        <w:bidi w:val="0"/>
        <w:adjustRightInd w:val="0"/>
        <w:snapToGri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sz w:val="24"/>
          <w:szCs w:val="24"/>
          <w:highlight w:val="none"/>
        </w:rPr>
        <w:t>遇下列特殊情况时，在承包人到达之前，承包人同意发包人可以先行采取应急措施处理：</w:t>
      </w:r>
    </w:p>
    <w:p w14:paraId="2FB20146">
      <w:pPr>
        <w:keepLines w:val="0"/>
        <w:pageBreakBefore w:val="0"/>
        <w:kinsoku/>
        <w:wordWrap/>
        <w:overflowPunct/>
        <w:topLinePunct w:val="0"/>
        <w:bidi w:val="0"/>
        <w:adjustRightInd w:val="0"/>
        <w:snapToGri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4．1发生紧急抢修事故时，为避免损失进一步扩大；</w:t>
      </w:r>
    </w:p>
    <w:p w14:paraId="0BAC7E3C">
      <w:pPr>
        <w:keepLines w:val="0"/>
        <w:pageBreakBefore w:val="0"/>
        <w:kinsoku/>
        <w:wordWrap/>
        <w:overflowPunct/>
        <w:topLinePunct w:val="0"/>
        <w:autoSpaceDE w:val="0"/>
        <w:autoSpaceDN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4．2直接影响到业主正常生活，威胁业主人身财产及公司财产安全时。</w:t>
      </w:r>
    </w:p>
    <w:p w14:paraId="257FA484">
      <w:pPr>
        <w:keepLines w:val="0"/>
        <w:pageBreakBefore w:val="0"/>
        <w:kinsoku/>
        <w:wordWrap/>
        <w:overflowPunct/>
        <w:topLinePunct w:val="0"/>
        <w:autoSpaceDE w:val="0"/>
        <w:autoSpaceDN w:val="0"/>
        <w:bidi w:val="0"/>
        <w:adjustRightInd w:val="0"/>
        <w:spacing w:line="360" w:lineRule="auto"/>
        <w:ind w:left="0" w:leftChars="0" w:right="0" w:rightChars="0" w:firstLine="482" w:firstLineChars="20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四、保修费用</w:t>
      </w:r>
    </w:p>
    <w:p w14:paraId="7303CEB4">
      <w:pPr>
        <w:keepLines w:val="0"/>
        <w:pageBreakBefore w:val="0"/>
        <w:kinsoku/>
        <w:wordWrap/>
        <w:overflowPunct/>
        <w:topLinePunct w:val="0"/>
        <w:autoSpaceDE w:val="0"/>
        <w:autoSpaceDN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保修费用由造成质量缺陷的责任方承担。</w:t>
      </w:r>
    </w:p>
    <w:p w14:paraId="084A6055">
      <w:pPr>
        <w:keepLines w:val="0"/>
        <w:pageBreakBefore w:val="0"/>
        <w:kinsoku/>
        <w:wordWrap/>
        <w:overflowPunct/>
        <w:topLinePunct w:val="0"/>
        <w:autoSpaceDE w:val="0"/>
        <w:autoSpaceDN w:val="0"/>
        <w:bidi w:val="0"/>
        <w:adjustRightInd w:val="0"/>
        <w:spacing w:line="360" w:lineRule="auto"/>
        <w:ind w:left="0" w:leftChars="0" w:right="0" w:rightChars="0" w:firstLine="482" w:firstLineChars="20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五、其他</w:t>
      </w:r>
    </w:p>
    <w:p w14:paraId="2839FF8C">
      <w:pPr>
        <w:keepLines w:val="0"/>
        <w:pageBreakBefore w:val="0"/>
        <w:kinsoku/>
        <w:wordWrap/>
        <w:overflowPunct/>
        <w:topLinePunct w:val="0"/>
        <w:autoSpaceDE w:val="0"/>
        <w:autoSpaceDN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双方约定的其他工程质量保修事宜：</w:t>
      </w:r>
    </w:p>
    <w:p w14:paraId="575B2C13">
      <w:pPr>
        <w:keepLines w:val="0"/>
        <w:pageBreakBefore w:val="0"/>
        <w:kinsoku/>
        <w:wordWrap/>
        <w:overflowPunct/>
        <w:topLinePunct w:val="0"/>
        <w:autoSpaceDE w:val="0"/>
        <w:autoSpaceDN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本工程质量保修书，由施工合同发包人、承包人双方在施工合同签订时共同签署，作为施工合同附件，其有效期限至保修期满。</w:t>
      </w:r>
    </w:p>
    <w:p w14:paraId="62B3D84C">
      <w:pPr>
        <w:keepLines w:val="0"/>
        <w:pageBreakBefore w:val="0"/>
        <w:kinsoku/>
        <w:wordWrap/>
        <w:overflowPunct/>
        <w:topLinePunct w:val="0"/>
        <w:autoSpaceDE w:val="0"/>
        <w:autoSpaceDN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rPr>
      </w:pPr>
    </w:p>
    <w:p w14:paraId="085926C0">
      <w:pPr>
        <w:keepLines w:val="0"/>
        <w:pageBreakBefore w:val="0"/>
        <w:kinsoku/>
        <w:wordWrap/>
        <w:overflowPunct/>
        <w:topLinePunct w:val="0"/>
        <w:autoSpaceDE w:val="0"/>
        <w:autoSpaceDN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发包人（公章）：                           承包人（公章）：               </w:t>
      </w:r>
    </w:p>
    <w:p w14:paraId="0A8571B2">
      <w:pPr>
        <w:keepLines w:val="0"/>
        <w:pageBreakBefore w:val="0"/>
        <w:kinsoku/>
        <w:wordWrap/>
        <w:overflowPunct/>
        <w:topLinePunct w:val="0"/>
        <w:autoSpaceDE w:val="0"/>
        <w:autoSpaceDN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rPr>
      </w:pPr>
    </w:p>
    <w:p w14:paraId="42F4B06D">
      <w:pPr>
        <w:keepLines w:val="0"/>
        <w:pageBreakBefore w:val="0"/>
        <w:kinsoku/>
        <w:wordWrap/>
        <w:overflowPunct/>
        <w:topLinePunct w:val="0"/>
        <w:autoSpaceDE w:val="0"/>
        <w:autoSpaceDN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法定代表人（签字或盖章）：                 法定代表人（签字或盖章）</w:t>
      </w:r>
    </w:p>
    <w:p w14:paraId="4206AA6C">
      <w:pPr>
        <w:keepLines w:val="0"/>
        <w:pageBreakBefore w:val="0"/>
        <w:kinsoku/>
        <w:wordWrap/>
        <w:overflowPunct/>
        <w:topLinePunct w:val="0"/>
        <w:autoSpaceDE w:val="0"/>
        <w:autoSpaceDN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rPr>
      </w:pPr>
    </w:p>
    <w:p w14:paraId="3A0B225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 xml:space="preserve">年  月  日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  月  日</w:t>
      </w:r>
    </w:p>
    <w:p w14:paraId="1D30ACAD">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p w14:paraId="256AEC80">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p w14:paraId="5BA5FA3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p w14:paraId="38EA161A">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p w14:paraId="1A820DD2">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p w14:paraId="4278A5B4">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p w14:paraId="7210256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p w14:paraId="47DE3F6F">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p w14:paraId="392B8FAD">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p w14:paraId="5908429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p w14:paraId="782FEC67">
      <w:pPr>
        <w:keepLines w:val="0"/>
        <w:pageBreakBefore w:val="0"/>
        <w:kinsoku/>
        <w:wordWrap/>
        <w:overflowPunct/>
        <w:topLinePunct w:val="0"/>
        <w:bidi w:val="0"/>
        <w:adjustRightInd w:val="0"/>
        <w:spacing w:line="360" w:lineRule="auto"/>
        <w:ind w:left="0" w:leftChars="0" w:right="0" w:rightChars="0" w:firstLine="0" w:firstLineChars="0"/>
        <w:jc w:val="both"/>
        <w:textAlignment w:val="auto"/>
        <w:rPr>
          <w:rFonts w:hint="eastAsia" w:ascii="宋体" w:hAnsi="宋体" w:eastAsia="宋体" w:cs="宋体"/>
          <w:color w:val="auto"/>
          <w:sz w:val="24"/>
          <w:szCs w:val="24"/>
          <w:highlight w:val="none"/>
        </w:rPr>
      </w:pPr>
    </w:p>
    <w:p w14:paraId="01C15C34">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附件4：</w:t>
      </w:r>
    </w:p>
    <w:p w14:paraId="079B5D52">
      <w:pPr>
        <w:keepLines w:val="0"/>
        <w:pageBreakBefore w:val="0"/>
        <w:kinsoku/>
        <w:wordWrap/>
        <w:overflowPunct/>
        <w:topLinePunct w:val="0"/>
        <w:bidi w:val="0"/>
        <w:adjustRightInd w:val="0"/>
        <w:spacing w:line="360" w:lineRule="auto"/>
        <w:ind w:left="0" w:leftChars="0" w:right="0" w:rightChars="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主要建设工程文件目录</w:t>
      </w:r>
    </w:p>
    <w:tbl>
      <w:tblPr>
        <w:tblStyle w:val="6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3D762D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577B47A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文件名称</w:t>
            </w:r>
          </w:p>
        </w:tc>
        <w:tc>
          <w:tcPr>
            <w:tcW w:w="1276" w:type="dxa"/>
            <w:tcBorders>
              <w:top w:val="single" w:color="auto" w:sz="12" w:space="0"/>
              <w:bottom w:val="double" w:color="auto" w:sz="6" w:space="0"/>
            </w:tcBorders>
            <w:vAlign w:val="center"/>
          </w:tcPr>
          <w:p w14:paraId="4A43A55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套数</w:t>
            </w:r>
          </w:p>
        </w:tc>
        <w:tc>
          <w:tcPr>
            <w:tcW w:w="1450" w:type="dxa"/>
            <w:tcBorders>
              <w:top w:val="single" w:color="auto" w:sz="12" w:space="0"/>
              <w:bottom w:val="double" w:color="auto" w:sz="6" w:space="0"/>
            </w:tcBorders>
            <w:vAlign w:val="center"/>
          </w:tcPr>
          <w:p w14:paraId="0B66BF2C">
            <w:pPr>
              <w:pStyle w:val="23"/>
              <w:keepNext/>
              <w:keepLines w:val="0"/>
              <w:pageBreakBefore w:val="0"/>
              <w:kinsoku/>
              <w:wordWrap/>
              <w:overflowPunct/>
              <w:topLinePunct w:val="0"/>
              <w:bidi w:val="0"/>
              <w:adjustRightInd w:val="0"/>
              <w:spacing w:line="360" w:lineRule="auto"/>
              <w:ind w:right="0" w:rightChars="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费用（元）</w:t>
            </w:r>
          </w:p>
        </w:tc>
        <w:tc>
          <w:tcPr>
            <w:tcW w:w="1243" w:type="dxa"/>
            <w:tcBorders>
              <w:top w:val="single" w:color="auto" w:sz="12" w:space="0"/>
              <w:bottom w:val="double" w:color="auto" w:sz="6" w:space="0"/>
            </w:tcBorders>
            <w:vAlign w:val="center"/>
          </w:tcPr>
          <w:p w14:paraId="6FB84F89">
            <w:pPr>
              <w:pStyle w:val="23"/>
              <w:keepNext/>
              <w:keepLines w:val="0"/>
              <w:pageBreakBefore w:val="0"/>
              <w:kinsoku/>
              <w:wordWrap/>
              <w:overflowPunct/>
              <w:topLinePunct w:val="0"/>
              <w:bidi w:val="0"/>
              <w:adjustRightInd w:val="0"/>
              <w:spacing w:line="360" w:lineRule="auto"/>
              <w:ind w:right="0" w:rightChars="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质量</w:t>
            </w:r>
          </w:p>
        </w:tc>
        <w:tc>
          <w:tcPr>
            <w:tcW w:w="1450" w:type="dxa"/>
            <w:tcBorders>
              <w:top w:val="single" w:color="auto" w:sz="12" w:space="0"/>
              <w:bottom w:val="double" w:color="auto" w:sz="6" w:space="0"/>
            </w:tcBorders>
          </w:tcPr>
          <w:p w14:paraId="483392E7">
            <w:pPr>
              <w:keepLines w:val="0"/>
              <w:pageBreakBefore w:val="0"/>
              <w:kinsoku/>
              <w:wordWrap/>
              <w:overflowPunct/>
              <w:topLinePunct w:val="0"/>
              <w:bidi w:val="0"/>
              <w:adjustRightInd w:val="0"/>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移交时间</w:t>
            </w:r>
          </w:p>
        </w:tc>
        <w:tc>
          <w:tcPr>
            <w:tcW w:w="1667" w:type="dxa"/>
            <w:tcBorders>
              <w:top w:val="single" w:color="auto" w:sz="12" w:space="0"/>
              <w:bottom w:val="double" w:color="auto" w:sz="6" w:space="0"/>
            </w:tcBorders>
          </w:tcPr>
          <w:p w14:paraId="20614832">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责任人</w:t>
            </w:r>
          </w:p>
        </w:tc>
      </w:tr>
      <w:tr w14:paraId="4B88EC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676A4E9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276" w:type="dxa"/>
            <w:tcBorders>
              <w:top w:val="double" w:color="auto" w:sz="6" w:space="0"/>
              <w:bottom w:val="single" w:color="auto" w:sz="6" w:space="0"/>
            </w:tcBorders>
            <w:vAlign w:val="center"/>
          </w:tcPr>
          <w:p w14:paraId="34B31F1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50" w:type="dxa"/>
            <w:tcBorders>
              <w:top w:val="double" w:color="auto" w:sz="6" w:space="0"/>
              <w:bottom w:val="single" w:color="auto" w:sz="6" w:space="0"/>
            </w:tcBorders>
            <w:vAlign w:val="center"/>
          </w:tcPr>
          <w:p w14:paraId="289578F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243" w:type="dxa"/>
            <w:tcBorders>
              <w:top w:val="double" w:color="auto" w:sz="6" w:space="0"/>
              <w:bottom w:val="single" w:color="auto" w:sz="6" w:space="0"/>
            </w:tcBorders>
            <w:vAlign w:val="center"/>
          </w:tcPr>
          <w:p w14:paraId="5BDEDF8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50" w:type="dxa"/>
            <w:tcBorders>
              <w:top w:val="double" w:color="auto" w:sz="6" w:space="0"/>
              <w:bottom w:val="single" w:color="auto" w:sz="6" w:space="0"/>
            </w:tcBorders>
            <w:vAlign w:val="center"/>
          </w:tcPr>
          <w:p w14:paraId="02E7FBE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667" w:type="dxa"/>
            <w:tcBorders>
              <w:top w:val="double" w:color="auto" w:sz="6" w:space="0"/>
              <w:bottom w:val="single" w:color="auto" w:sz="6" w:space="0"/>
            </w:tcBorders>
            <w:vAlign w:val="center"/>
          </w:tcPr>
          <w:p w14:paraId="0E36015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2D09B8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7DA1C0F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276" w:type="dxa"/>
            <w:tcBorders>
              <w:top w:val="nil"/>
            </w:tcBorders>
            <w:vAlign w:val="center"/>
          </w:tcPr>
          <w:p w14:paraId="5E62B3F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50" w:type="dxa"/>
            <w:tcBorders>
              <w:top w:val="nil"/>
            </w:tcBorders>
            <w:vAlign w:val="center"/>
          </w:tcPr>
          <w:p w14:paraId="5A6EDF7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243" w:type="dxa"/>
            <w:tcBorders>
              <w:top w:val="nil"/>
            </w:tcBorders>
            <w:vAlign w:val="center"/>
          </w:tcPr>
          <w:p w14:paraId="30E936F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50" w:type="dxa"/>
            <w:tcBorders>
              <w:top w:val="nil"/>
            </w:tcBorders>
            <w:vAlign w:val="center"/>
          </w:tcPr>
          <w:p w14:paraId="7F70288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667" w:type="dxa"/>
            <w:tcBorders>
              <w:top w:val="nil"/>
            </w:tcBorders>
            <w:vAlign w:val="center"/>
          </w:tcPr>
          <w:p w14:paraId="38C6BD3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0ADDEC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C3D7B3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276" w:type="dxa"/>
            <w:vAlign w:val="center"/>
          </w:tcPr>
          <w:p w14:paraId="76C78F7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50" w:type="dxa"/>
            <w:vAlign w:val="center"/>
          </w:tcPr>
          <w:p w14:paraId="45FB3D4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243" w:type="dxa"/>
            <w:vAlign w:val="center"/>
          </w:tcPr>
          <w:p w14:paraId="5BE8F48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50" w:type="dxa"/>
            <w:vAlign w:val="center"/>
          </w:tcPr>
          <w:p w14:paraId="5000F43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667" w:type="dxa"/>
            <w:vAlign w:val="center"/>
          </w:tcPr>
          <w:p w14:paraId="7B85997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0E8FA6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A6D6FF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276" w:type="dxa"/>
            <w:vAlign w:val="center"/>
          </w:tcPr>
          <w:p w14:paraId="6B9AFCD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50" w:type="dxa"/>
            <w:vAlign w:val="center"/>
          </w:tcPr>
          <w:p w14:paraId="633CF00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243" w:type="dxa"/>
            <w:vAlign w:val="center"/>
          </w:tcPr>
          <w:p w14:paraId="0B13D53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50" w:type="dxa"/>
            <w:vAlign w:val="center"/>
          </w:tcPr>
          <w:p w14:paraId="7D3650E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667" w:type="dxa"/>
            <w:vAlign w:val="center"/>
          </w:tcPr>
          <w:p w14:paraId="03C2C2C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3142DE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EBB27D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276" w:type="dxa"/>
            <w:vAlign w:val="center"/>
          </w:tcPr>
          <w:p w14:paraId="30E65F8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50" w:type="dxa"/>
            <w:vAlign w:val="center"/>
          </w:tcPr>
          <w:p w14:paraId="64FAF23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243" w:type="dxa"/>
            <w:vAlign w:val="center"/>
          </w:tcPr>
          <w:p w14:paraId="4ED366F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50" w:type="dxa"/>
            <w:vAlign w:val="center"/>
          </w:tcPr>
          <w:p w14:paraId="48907C9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667" w:type="dxa"/>
            <w:vAlign w:val="center"/>
          </w:tcPr>
          <w:p w14:paraId="3BDECF8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4862BE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F90284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276" w:type="dxa"/>
            <w:vAlign w:val="center"/>
          </w:tcPr>
          <w:p w14:paraId="224A537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50" w:type="dxa"/>
            <w:vAlign w:val="center"/>
          </w:tcPr>
          <w:p w14:paraId="1431833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243" w:type="dxa"/>
            <w:vAlign w:val="center"/>
          </w:tcPr>
          <w:p w14:paraId="6013757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50" w:type="dxa"/>
            <w:vAlign w:val="center"/>
          </w:tcPr>
          <w:p w14:paraId="2A0B259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667" w:type="dxa"/>
            <w:vAlign w:val="center"/>
          </w:tcPr>
          <w:p w14:paraId="7D1E690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7C86D9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4E964D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276" w:type="dxa"/>
            <w:vAlign w:val="center"/>
          </w:tcPr>
          <w:p w14:paraId="4060024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50" w:type="dxa"/>
            <w:vAlign w:val="center"/>
          </w:tcPr>
          <w:p w14:paraId="6EB4A77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243" w:type="dxa"/>
            <w:vAlign w:val="center"/>
          </w:tcPr>
          <w:p w14:paraId="2E43872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50" w:type="dxa"/>
            <w:vAlign w:val="center"/>
          </w:tcPr>
          <w:p w14:paraId="386901D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667" w:type="dxa"/>
            <w:vAlign w:val="center"/>
          </w:tcPr>
          <w:p w14:paraId="034D1B6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6A2250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03F0A49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276" w:type="dxa"/>
            <w:vAlign w:val="center"/>
          </w:tcPr>
          <w:p w14:paraId="540D29A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50" w:type="dxa"/>
            <w:vAlign w:val="center"/>
          </w:tcPr>
          <w:p w14:paraId="6F6FA3B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243" w:type="dxa"/>
            <w:vAlign w:val="center"/>
          </w:tcPr>
          <w:p w14:paraId="55F4112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50" w:type="dxa"/>
            <w:vAlign w:val="center"/>
          </w:tcPr>
          <w:p w14:paraId="658C8AF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667" w:type="dxa"/>
            <w:vAlign w:val="center"/>
          </w:tcPr>
          <w:p w14:paraId="105253C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5EF573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DFFB290">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276" w:type="dxa"/>
          </w:tcPr>
          <w:p w14:paraId="1A190E5F">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50" w:type="dxa"/>
          </w:tcPr>
          <w:p w14:paraId="71927F6D">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243" w:type="dxa"/>
          </w:tcPr>
          <w:p w14:paraId="3F9AE41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50" w:type="dxa"/>
          </w:tcPr>
          <w:p w14:paraId="262D161F">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667" w:type="dxa"/>
          </w:tcPr>
          <w:p w14:paraId="2BA17512">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r>
      <w:tr w14:paraId="67F3D7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1A17F7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276" w:type="dxa"/>
            <w:vAlign w:val="center"/>
          </w:tcPr>
          <w:p w14:paraId="4EBD0AF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50" w:type="dxa"/>
            <w:vAlign w:val="center"/>
          </w:tcPr>
          <w:p w14:paraId="1F88707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243" w:type="dxa"/>
            <w:vAlign w:val="center"/>
          </w:tcPr>
          <w:p w14:paraId="7A29DD6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50" w:type="dxa"/>
            <w:vAlign w:val="center"/>
          </w:tcPr>
          <w:p w14:paraId="0606DB9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667" w:type="dxa"/>
            <w:vAlign w:val="center"/>
          </w:tcPr>
          <w:p w14:paraId="2D63822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030264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ECFD83D">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276" w:type="dxa"/>
          </w:tcPr>
          <w:p w14:paraId="39F502A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50" w:type="dxa"/>
          </w:tcPr>
          <w:p w14:paraId="452ABE1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243" w:type="dxa"/>
          </w:tcPr>
          <w:p w14:paraId="1EF3BB04">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50" w:type="dxa"/>
          </w:tcPr>
          <w:p w14:paraId="65257A76">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667" w:type="dxa"/>
          </w:tcPr>
          <w:p w14:paraId="7F765B33">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r>
      <w:tr w14:paraId="4C08EE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C9E78D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276" w:type="dxa"/>
          </w:tcPr>
          <w:p w14:paraId="310D6A28">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50" w:type="dxa"/>
          </w:tcPr>
          <w:p w14:paraId="16EBBDFA">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243" w:type="dxa"/>
          </w:tcPr>
          <w:p w14:paraId="6622C4F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50" w:type="dxa"/>
          </w:tcPr>
          <w:p w14:paraId="03E57EE6">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667" w:type="dxa"/>
          </w:tcPr>
          <w:p w14:paraId="62ECD6A0">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r>
      <w:tr w14:paraId="393E83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D8D5B82">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276" w:type="dxa"/>
          </w:tcPr>
          <w:p w14:paraId="48C251AD">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50" w:type="dxa"/>
          </w:tcPr>
          <w:p w14:paraId="3963FA16">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243" w:type="dxa"/>
          </w:tcPr>
          <w:p w14:paraId="7483D7DD">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50" w:type="dxa"/>
          </w:tcPr>
          <w:p w14:paraId="5BBD87ED">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667" w:type="dxa"/>
          </w:tcPr>
          <w:p w14:paraId="061997BD">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r>
      <w:tr w14:paraId="2D593D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262F77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276" w:type="dxa"/>
          </w:tcPr>
          <w:p w14:paraId="1DCF6C9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50" w:type="dxa"/>
          </w:tcPr>
          <w:p w14:paraId="55A8612D">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243" w:type="dxa"/>
          </w:tcPr>
          <w:p w14:paraId="16DEEC74">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50" w:type="dxa"/>
          </w:tcPr>
          <w:p w14:paraId="54398349">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667" w:type="dxa"/>
          </w:tcPr>
          <w:p w14:paraId="1DA7365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r>
      <w:tr w14:paraId="41E096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3098E3C2">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276" w:type="dxa"/>
          </w:tcPr>
          <w:p w14:paraId="745A8D3A">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50" w:type="dxa"/>
          </w:tcPr>
          <w:p w14:paraId="31D3A663">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243" w:type="dxa"/>
          </w:tcPr>
          <w:p w14:paraId="1C17B2F3">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50" w:type="dxa"/>
          </w:tcPr>
          <w:p w14:paraId="16DB40D3">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667" w:type="dxa"/>
          </w:tcPr>
          <w:p w14:paraId="5A6C1AF8">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r>
      <w:tr w14:paraId="50A349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3991FDCE">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276" w:type="dxa"/>
          </w:tcPr>
          <w:p w14:paraId="338AAFC1">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50" w:type="dxa"/>
          </w:tcPr>
          <w:p w14:paraId="2B30A2A7">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243" w:type="dxa"/>
          </w:tcPr>
          <w:p w14:paraId="041818C2">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50" w:type="dxa"/>
          </w:tcPr>
          <w:p w14:paraId="3042B392">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667" w:type="dxa"/>
          </w:tcPr>
          <w:p w14:paraId="44E738C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r>
      <w:tr w14:paraId="7988E5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EEDED52">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276" w:type="dxa"/>
          </w:tcPr>
          <w:p w14:paraId="220E375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50" w:type="dxa"/>
          </w:tcPr>
          <w:p w14:paraId="30182CF4">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243" w:type="dxa"/>
          </w:tcPr>
          <w:p w14:paraId="72045043">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50" w:type="dxa"/>
          </w:tcPr>
          <w:p w14:paraId="2DC3425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667" w:type="dxa"/>
          </w:tcPr>
          <w:p w14:paraId="7257A987">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r>
      <w:tr w14:paraId="2E6B12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2B44F29">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276" w:type="dxa"/>
          </w:tcPr>
          <w:p w14:paraId="7DB95D82">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50" w:type="dxa"/>
          </w:tcPr>
          <w:p w14:paraId="5561776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243" w:type="dxa"/>
          </w:tcPr>
          <w:p w14:paraId="0FA6A441">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50" w:type="dxa"/>
          </w:tcPr>
          <w:p w14:paraId="7A167DE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667" w:type="dxa"/>
          </w:tcPr>
          <w:p w14:paraId="61E66D4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r>
      <w:tr w14:paraId="734FF4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4C9DA0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276" w:type="dxa"/>
          </w:tcPr>
          <w:p w14:paraId="2199F580">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50" w:type="dxa"/>
          </w:tcPr>
          <w:p w14:paraId="6F8E005F">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243" w:type="dxa"/>
          </w:tcPr>
          <w:p w14:paraId="41C83371">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50" w:type="dxa"/>
          </w:tcPr>
          <w:p w14:paraId="76DB8736">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667" w:type="dxa"/>
          </w:tcPr>
          <w:p w14:paraId="717C4B71">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r>
    </w:tbl>
    <w:p w14:paraId="112170D0">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p w14:paraId="28CE4DE8">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w:t>
      </w:r>
      <w:bookmarkStart w:id="462" w:name="_Toc296503227"/>
      <w:bookmarkStart w:id="463" w:name="_Toc296891267"/>
      <w:bookmarkStart w:id="464" w:name="_Toc267261698"/>
      <w:bookmarkStart w:id="465" w:name="_Toc296347226"/>
      <w:bookmarkStart w:id="466" w:name="_Toc296944566"/>
      <w:bookmarkStart w:id="467" w:name="_Toc296891055"/>
      <w:bookmarkStart w:id="468" w:name="_Toc296346728"/>
      <w:r>
        <w:rPr>
          <w:rFonts w:hint="eastAsia" w:ascii="宋体" w:hAnsi="宋体" w:eastAsia="宋体" w:cs="宋体"/>
          <w:color w:val="auto"/>
          <w:sz w:val="24"/>
          <w:szCs w:val="24"/>
          <w:highlight w:val="none"/>
        </w:rPr>
        <w:t>件5：</w:t>
      </w:r>
    </w:p>
    <w:bookmarkEnd w:id="462"/>
    <w:bookmarkEnd w:id="463"/>
    <w:bookmarkEnd w:id="464"/>
    <w:bookmarkEnd w:id="465"/>
    <w:bookmarkEnd w:id="466"/>
    <w:bookmarkEnd w:id="467"/>
    <w:bookmarkEnd w:id="468"/>
    <w:p w14:paraId="5D765CCB">
      <w:pPr>
        <w:keepLines w:val="0"/>
        <w:pageBreakBefore w:val="0"/>
        <w:kinsoku/>
        <w:wordWrap/>
        <w:overflowPunct/>
        <w:topLinePunct w:val="0"/>
        <w:bidi w:val="0"/>
        <w:adjustRightInd w:val="0"/>
        <w:spacing w:line="360" w:lineRule="auto"/>
        <w:ind w:left="0" w:leftChars="0" w:right="0" w:rightChars="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承包人用于本工程施工的机械设备表</w:t>
      </w:r>
    </w:p>
    <w:tbl>
      <w:tblPr>
        <w:tblStyle w:val="6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7AB8C3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14:paraId="3D98FC9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序号</w:t>
            </w:r>
          </w:p>
        </w:tc>
        <w:tc>
          <w:tcPr>
            <w:tcW w:w="1418" w:type="dxa"/>
            <w:tcBorders>
              <w:top w:val="single" w:color="auto" w:sz="12" w:space="0"/>
              <w:bottom w:val="double" w:color="auto" w:sz="6" w:space="0"/>
            </w:tcBorders>
            <w:vAlign w:val="center"/>
          </w:tcPr>
          <w:p w14:paraId="2DDEDEC5">
            <w:pPr>
              <w:pStyle w:val="23"/>
              <w:keepNext/>
              <w:keepLines w:val="0"/>
              <w:pageBreakBefore w:val="0"/>
              <w:kinsoku/>
              <w:wordWrap/>
              <w:overflowPunct/>
              <w:topLinePunct w:val="0"/>
              <w:bidi w:val="0"/>
              <w:adjustRightInd w:val="0"/>
              <w:spacing w:line="360" w:lineRule="auto"/>
              <w:ind w:right="0" w:rightChars="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机械或设备名称</w:t>
            </w:r>
          </w:p>
        </w:tc>
        <w:tc>
          <w:tcPr>
            <w:tcW w:w="850" w:type="dxa"/>
            <w:tcBorders>
              <w:top w:val="single" w:color="auto" w:sz="12" w:space="0"/>
              <w:bottom w:val="double" w:color="auto" w:sz="6" w:space="0"/>
            </w:tcBorders>
            <w:vAlign w:val="center"/>
          </w:tcPr>
          <w:p w14:paraId="14C17A8B">
            <w:pPr>
              <w:pStyle w:val="23"/>
              <w:keepNext/>
              <w:keepLines w:val="0"/>
              <w:pageBreakBefore w:val="0"/>
              <w:kinsoku/>
              <w:wordWrap/>
              <w:overflowPunct/>
              <w:topLinePunct w:val="0"/>
              <w:bidi w:val="0"/>
              <w:adjustRightInd w:val="0"/>
              <w:spacing w:line="360" w:lineRule="auto"/>
              <w:ind w:right="0" w:rightChars="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规格型号</w:t>
            </w:r>
          </w:p>
        </w:tc>
        <w:tc>
          <w:tcPr>
            <w:tcW w:w="1058" w:type="dxa"/>
            <w:tcBorders>
              <w:top w:val="single" w:color="auto" w:sz="12" w:space="0"/>
              <w:bottom w:val="double" w:color="auto" w:sz="6" w:space="0"/>
            </w:tcBorders>
            <w:vAlign w:val="center"/>
          </w:tcPr>
          <w:p w14:paraId="640BB47B">
            <w:pPr>
              <w:pStyle w:val="23"/>
              <w:keepNext/>
              <w:keepLines w:val="0"/>
              <w:pageBreakBefore w:val="0"/>
              <w:kinsoku/>
              <w:wordWrap/>
              <w:overflowPunct/>
              <w:topLinePunct w:val="0"/>
              <w:bidi w:val="0"/>
              <w:adjustRightInd w:val="0"/>
              <w:spacing w:line="360" w:lineRule="auto"/>
              <w:ind w:right="0" w:rightChars="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数量</w:t>
            </w:r>
          </w:p>
        </w:tc>
        <w:tc>
          <w:tcPr>
            <w:tcW w:w="880" w:type="dxa"/>
            <w:tcBorders>
              <w:top w:val="single" w:color="auto" w:sz="12" w:space="0"/>
              <w:bottom w:val="double" w:color="auto" w:sz="6" w:space="0"/>
            </w:tcBorders>
            <w:vAlign w:val="center"/>
          </w:tcPr>
          <w:p w14:paraId="00D33C7F">
            <w:pPr>
              <w:pStyle w:val="23"/>
              <w:keepNext/>
              <w:keepLines w:val="0"/>
              <w:pageBreakBefore w:val="0"/>
              <w:kinsoku/>
              <w:wordWrap/>
              <w:overflowPunct/>
              <w:topLinePunct w:val="0"/>
              <w:bidi w:val="0"/>
              <w:adjustRightInd w:val="0"/>
              <w:spacing w:line="360" w:lineRule="auto"/>
              <w:ind w:right="0" w:rightChars="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产地</w:t>
            </w:r>
          </w:p>
        </w:tc>
        <w:tc>
          <w:tcPr>
            <w:tcW w:w="1020" w:type="dxa"/>
            <w:tcBorders>
              <w:top w:val="single" w:color="auto" w:sz="12" w:space="0"/>
              <w:bottom w:val="double" w:color="auto" w:sz="6" w:space="0"/>
            </w:tcBorders>
            <w:vAlign w:val="center"/>
          </w:tcPr>
          <w:p w14:paraId="140A2B0E">
            <w:pPr>
              <w:pStyle w:val="23"/>
              <w:keepNext/>
              <w:keepLines w:val="0"/>
              <w:pageBreakBefore w:val="0"/>
              <w:kinsoku/>
              <w:wordWrap/>
              <w:overflowPunct/>
              <w:topLinePunct w:val="0"/>
              <w:bidi w:val="0"/>
              <w:adjustRightInd w:val="0"/>
              <w:spacing w:line="360" w:lineRule="auto"/>
              <w:ind w:right="0" w:rightChars="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制造年份</w:t>
            </w:r>
          </w:p>
        </w:tc>
        <w:tc>
          <w:tcPr>
            <w:tcW w:w="1480" w:type="dxa"/>
            <w:tcBorders>
              <w:top w:val="single" w:color="auto" w:sz="12" w:space="0"/>
              <w:bottom w:val="double" w:color="auto" w:sz="6" w:space="0"/>
            </w:tcBorders>
            <w:vAlign w:val="center"/>
          </w:tcPr>
          <w:p w14:paraId="0C4DE5C6">
            <w:pPr>
              <w:pStyle w:val="23"/>
              <w:keepNext/>
              <w:keepLines w:val="0"/>
              <w:pageBreakBefore w:val="0"/>
              <w:kinsoku/>
              <w:wordWrap/>
              <w:overflowPunct/>
              <w:topLinePunct w:val="0"/>
              <w:bidi w:val="0"/>
              <w:adjustRightInd w:val="0"/>
              <w:spacing w:line="360" w:lineRule="auto"/>
              <w:ind w:right="0" w:rightChars="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额定功率(kW)</w:t>
            </w:r>
          </w:p>
        </w:tc>
        <w:tc>
          <w:tcPr>
            <w:tcW w:w="1020" w:type="dxa"/>
            <w:tcBorders>
              <w:top w:val="single" w:color="auto" w:sz="12" w:space="0"/>
              <w:bottom w:val="double" w:color="auto" w:sz="6" w:space="0"/>
            </w:tcBorders>
            <w:vAlign w:val="center"/>
          </w:tcPr>
          <w:p w14:paraId="352030ED">
            <w:pPr>
              <w:pStyle w:val="23"/>
              <w:keepNext/>
              <w:keepLines w:val="0"/>
              <w:pageBreakBefore w:val="0"/>
              <w:kinsoku/>
              <w:wordWrap/>
              <w:overflowPunct/>
              <w:topLinePunct w:val="0"/>
              <w:bidi w:val="0"/>
              <w:adjustRightInd w:val="0"/>
              <w:spacing w:line="360" w:lineRule="auto"/>
              <w:ind w:right="0" w:rightChars="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生产能力</w:t>
            </w:r>
          </w:p>
        </w:tc>
        <w:tc>
          <w:tcPr>
            <w:tcW w:w="921" w:type="dxa"/>
            <w:tcBorders>
              <w:top w:val="single" w:color="auto" w:sz="12" w:space="0"/>
              <w:bottom w:val="double" w:color="auto" w:sz="6" w:space="0"/>
            </w:tcBorders>
            <w:vAlign w:val="center"/>
          </w:tcPr>
          <w:p w14:paraId="018950E8">
            <w:pPr>
              <w:pStyle w:val="23"/>
              <w:keepNext/>
              <w:keepLines w:val="0"/>
              <w:pageBreakBefore w:val="0"/>
              <w:kinsoku/>
              <w:wordWrap/>
              <w:overflowPunct/>
              <w:topLinePunct w:val="0"/>
              <w:bidi w:val="0"/>
              <w:adjustRightInd w:val="0"/>
              <w:spacing w:line="360" w:lineRule="auto"/>
              <w:ind w:right="0" w:rightChars="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备注</w:t>
            </w:r>
          </w:p>
        </w:tc>
      </w:tr>
      <w:tr w14:paraId="5F5B53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14:paraId="2EC2397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Borders>
              <w:top w:val="double" w:color="auto" w:sz="6" w:space="0"/>
              <w:bottom w:val="single" w:color="auto" w:sz="6" w:space="0"/>
            </w:tcBorders>
            <w:vAlign w:val="center"/>
          </w:tcPr>
          <w:p w14:paraId="34FE3C6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0" w:type="dxa"/>
            <w:tcBorders>
              <w:top w:val="double" w:color="auto" w:sz="6" w:space="0"/>
              <w:bottom w:val="single" w:color="auto" w:sz="6" w:space="0"/>
            </w:tcBorders>
            <w:vAlign w:val="center"/>
          </w:tcPr>
          <w:p w14:paraId="6FAE5D7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058" w:type="dxa"/>
            <w:tcBorders>
              <w:top w:val="double" w:color="auto" w:sz="6" w:space="0"/>
              <w:bottom w:val="single" w:color="auto" w:sz="6" w:space="0"/>
            </w:tcBorders>
            <w:vAlign w:val="center"/>
          </w:tcPr>
          <w:p w14:paraId="3AD260B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80" w:type="dxa"/>
            <w:tcBorders>
              <w:top w:val="double" w:color="auto" w:sz="6" w:space="0"/>
              <w:bottom w:val="single" w:color="auto" w:sz="6" w:space="0"/>
            </w:tcBorders>
            <w:vAlign w:val="center"/>
          </w:tcPr>
          <w:p w14:paraId="2AE1F98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020" w:type="dxa"/>
            <w:tcBorders>
              <w:top w:val="double" w:color="auto" w:sz="6" w:space="0"/>
              <w:bottom w:val="single" w:color="auto" w:sz="6" w:space="0"/>
            </w:tcBorders>
            <w:vAlign w:val="center"/>
          </w:tcPr>
          <w:p w14:paraId="6530879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80" w:type="dxa"/>
            <w:tcBorders>
              <w:top w:val="double" w:color="auto" w:sz="6" w:space="0"/>
              <w:bottom w:val="single" w:color="auto" w:sz="6" w:space="0"/>
            </w:tcBorders>
            <w:vAlign w:val="center"/>
          </w:tcPr>
          <w:p w14:paraId="7C819AB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020" w:type="dxa"/>
            <w:tcBorders>
              <w:top w:val="double" w:color="auto" w:sz="6" w:space="0"/>
              <w:bottom w:val="single" w:color="auto" w:sz="6" w:space="0"/>
            </w:tcBorders>
            <w:vAlign w:val="center"/>
          </w:tcPr>
          <w:p w14:paraId="7AAE964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921" w:type="dxa"/>
            <w:tcBorders>
              <w:top w:val="double" w:color="auto" w:sz="6" w:space="0"/>
              <w:bottom w:val="single" w:color="auto" w:sz="6" w:space="0"/>
            </w:tcBorders>
            <w:vAlign w:val="center"/>
          </w:tcPr>
          <w:p w14:paraId="4DE6587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293110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2FC5B39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Borders>
              <w:top w:val="nil"/>
            </w:tcBorders>
            <w:vAlign w:val="center"/>
          </w:tcPr>
          <w:p w14:paraId="0CB2EBF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0" w:type="dxa"/>
            <w:tcBorders>
              <w:top w:val="nil"/>
            </w:tcBorders>
            <w:vAlign w:val="center"/>
          </w:tcPr>
          <w:p w14:paraId="27C8A0F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058" w:type="dxa"/>
            <w:tcBorders>
              <w:top w:val="nil"/>
            </w:tcBorders>
            <w:vAlign w:val="center"/>
          </w:tcPr>
          <w:p w14:paraId="245E1C9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80" w:type="dxa"/>
            <w:tcBorders>
              <w:top w:val="nil"/>
            </w:tcBorders>
            <w:vAlign w:val="center"/>
          </w:tcPr>
          <w:p w14:paraId="4FCC026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020" w:type="dxa"/>
            <w:tcBorders>
              <w:top w:val="nil"/>
            </w:tcBorders>
            <w:vAlign w:val="center"/>
          </w:tcPr>
          <w:p w14:paraId="1BB4944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80" w:type="dxa"/>
            <w:tcBorders>
              <w:top w:val="nil"/>
            </w:tcBorders>
            <w:vAlign w:val="center"/>
          </w:tcPr>
          <w:p w14:paraId="28BDA9A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020" w:type="dxa"/>
            <w:tcBorders>
              <w:top w:val="nil"/>
            </w:tcBorders>
            <w:vAlign w:val="center"/>
          </w:tcPr>
          <w:p w14:paraId="7DB8F1C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921" w:type="dxa"/>
            <w:tcBorders>
              <w:top w:val="nil"/>
            </w:tcBorders>
            <w:vAlign w:val="center"/>
          </w:tcPr>
          <w:p w14:paraId="76A6482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49D82C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9DF3A3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vAlign w:val="center"/>
          </w:tcPr>
          <w:p w14:paraId="70D148C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0" w:type="dxa"/>
            <w:vAlign w:val="center"/>
          </w:tcPr>
          <w:p w14:paraId="2E4C3FE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058" w:type="dxa"/>
            <w:vAlign w:val="center"/>
          </w:tcPr>
          <w:p w14:paraId="434A672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80" w:type="dxa"/>
            <w:vAlign w:val="center"/>
          </w:tcPr>
          <w:p w14:paraId="7DB2C61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020" w:type="dxa"/>
            <w:vAlign w:val="center"/>
          </w:tcPr>
          <w:p w14:paraId="392E012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80" w:type="dxa"/>
            <w:vAlign w:val="center"/>
          </w:tcPr>
          <w:p w14:paraId="652D58B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020" w:type="dxa"/>
            <w:vAlign w:val="center"/>
          </w:tcPr>
          <w:p w14:paraId="6C3C0E6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921" w:type="dxa"/>
            <w:vAlign w:val="center"/>
          </w:tcPr>
          <w:p w14:paraId="792F6A6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017DB2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6021942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vAlign w:val="center"/>
          </w:tcPr>
          <w:p w14:paraId="77F3EE1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0" w:type="dxa"/>
            <w:vAlign w:val="center"/>
          </w:tcPr>
          <w:p w14:paraId="42C36A5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058" w:type="dxa"/>
            <w:vAlign w:val="center"/>
          </w:tcPr>
          <w:p w14:paraId="7DB5EB6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80" w:type="dxa"/>
            <w:vAlign w:val="center"/>
          </w:tcPr>
          <w:p w14:paraId="68912D5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020" w:type="dxa"/>
            <w:vAlign w:val="center"/>
          </w:tcPr>
          <w:p w14:paraId="7AD56EA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80" w:type="dxa"/>
            <w:vAlign w:val="center"/>
          </w:tcPr>
          <w:p w14:paraId="47A38A0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020" w:type="dxa"/>
            <w:vAlign w:val="center"/>
          </w:tcPr>
          <w:p w14:paraId="0B3FE09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921" w:type="dxa"/>
            <w:vAlign w:val="center"/>
          </w:tcPr>
          <w:p w14:paraId="1F7799D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799743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677AA1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vAlign w:val="center"/>
          </w:tcPr>
          <w:p w14:paraId="1A61CB6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0" w:type="dxa"/>
            <w:vAlign w:val="center"/>
          </w:tcPr>
          <w:p w14:paraId="0F21255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058" w:type="dxa"/>
            <w:vAlign w:val="center"/>
          </w:tcPr>
          <w:p w14:paraId="457262B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80" w:type="dxa"/>
            <w:vAlign w:val="center"/>
          </w:tcPr>
          <w:p w14:paraId="7048EA5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020" w:type="dxa"/>
            <w:vAlign w:val="center"/>
          </w:tcPr>
          <w:p w14:paraId="442B673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80" w:type="dxa"/>
            <w:vAlign w:val="center"/>
          </w:tcPr>
          <w:p w14:paraId="4D31D2E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020" w:type="dxa"/>
            <w:vAlign w:val="center"/>
          </w:tcPr>
          <w:p w14:paraId="1810408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921" w:type="dxa"/>
            <w:vAlign w:val="center"/>
          </w:tcPr>
          <w:p w14:paraId="73AD996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12FC93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8624D7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vAlign w:val="center"/>
          </w:tcPr>
          <w:p w14:paraId="6C26EEF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0" w:type="dxa"/>
            <w:vAlign w:val="center"/>
          </w:tcPr>
          <w:p w14:paraId="7008B6B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058" w:type="dxa"/>
            <w:vAlign w:val="center"/>
          </w:tcPr>
          <w:p w14:paraId="00CE819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80" w:type="dxa"/>
            <w:vAlign w:val="center"/>
          </w:tcPr>
          <w:p w14:paraId="6D6E2D4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020" w:type="dxa"/>
            <w:vAlign w:val="center"/>
          </w:tcPr>
          <w:p w14:paraId="330284C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80" w:type="dxa"/>
            <w:vAlign w:val="center"/>
          </w:tcPr>
          <w:p w14:paraId="3BCD8FD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020" w:type="dxa"/>
            <w:vAlign w:val="center"/>
          </w:tcPr>
          <w:p w14:paraId="7EAC79D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921" w:type="dxa"/>
            <w:vAlign w:val="center"/>
          </w:tcPr>
          <w:p w14:paraId="38DC909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608165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62F3CA4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vAlign w:val="center"/>
          </w:tcPr>
          <w:p w14:paraId="4B4568F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0" w:type="dxa"/>
            <w:vAlign w:val="center"/>
          </w:tcPr>
          <w:p w14:paraId="4F61EF8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058" w:type="dxa"/>
            <w:vAlign w:val="center"/>
          </w:tcPr>
          <w:p w14:paraId="46C9FE5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80" w:type="dxa"/>
            <w:vAlign w:val="center"/>
          </w:tcPr>
          <w:p w14:paraId="7CCEFB8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020" w:type="dxa"/>
            <w:vAlign w:val="center"/>
          </w:tcPr>
          <w:p w14:paraId="090FCCC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80" w:type="dxa"/>
            <w:vAlign w:val="center"/>
          </w:tcPr>
          <w:p w14:paraId="4E83906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020" w:type="dxa"/>
            <w:vAlign w:val="center"/>
          </w:tcPr>
          <w:p w14:paraId="156AC49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921" w:type="dxa"/>
            <w:vAlign w:val="center"/>
          </w:tcPr>
          <w:p w14:paraId="411A552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3F382B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39814BC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vAlign w:val="center"/>
          </w:tcPr>
          <w:p w14:paraId="34E22C6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0" w:type="dxa"/>
            <w:vAlign w:val="center"/>
          </w:tcPr>
          <w:p w14:paraId="6F8CBDB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058" w:type="dxa"/>
            <w:vAlign w:val="center"/>
          </w:tcPr>
          <w:p w14:paraId="027BF86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80" w:type="dxa"/>
            <w:vAlign w:val="center"/>
          </w:tcPr>
          <w:p w14:paraId="1DA24EE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020" w:type="dxa"/>
            <w:vAlign w:val="center"/>
          </w:tcPr>
          <w:p w14:paraId="3DC3346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80" w:type="dxa"/>
            <w:vAlign w:val="center"/>
          </w:tcPr>
          <w:p w14:paraId="0E40397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020" w:type="dxa"/>
            <w:vAlign w:val="center"/>
          </w:tcPr>
          <w:p w14:paraId="6102AFC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921" w:type="dxa"/>
            <w:vAlign w:val="center"/>
          </w:tcPr>
          <w:p w14:paraId="15DFBFF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0A2FDE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0F185E3E">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18" w:type="dxa"/>
          </w:tcPr>
          <w:p w14:paraId="3F41003E">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50" w:type="dxa"/>
          </w:tcPr>
          <w:p w14:paraId="06CA7D67">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58" w:type="dxa"/>
          </w:tcPr>
          <w:p w14:paraId="0FD3CB5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80" w:type="dxa"/>
          </w:tcPr>
          <w:p w14:paraId="1A930678">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20" w:type="dxa"/>
          </w:tcPr>
          <w:p w14:paraId="0EA1F364">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80" w:type="dxa"/>
          </w:tcPr>
          <w:p w14:paraId="02F8F1CD">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20" w:type="dxa"/>
          </w:tcPr>
          <w:p w14:paraId="010F8EF6">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921" w:type="dxa"/>
          </w:tcPr>
          <w:p w14:paraId="708D519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r>
      <w:tr w14:paraId="1780A7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26881A7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vAlign w:val="center"/>
          </w:tcPr>
          <w:p w14:paraId="7305592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0" w:type="dxa"/>
            <w:vAlign w:val="center"/>
          </w:tcPr>
          <w:p w14:paraId="6C3DD6A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058" w:type="dxa"/>
            <w:vAlign w:val="center"/>
          </w:tcPr>
          <w:p w14:paraId="456EE55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80" w:type="dxa"/>
            <w:vAlign w:val="center"/>
          </w:tcPr>
          <w:p w14:paraId="758089B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020" w:type="dxa"/>
            <w:vAlign w:val="center"/>
          </w:tcPr>
          <w:p w14:paraId="1B02033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80" w:type="dxa"/>
            <w:vAlign w:val="center"/>
          </w:tcPr>
          <w:p w14:paraId="665589E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020" w:type="dxa"/>
            <w:vAlign w:val="center"/>
          </w:tcPr>
          <w:p w14:paraId="2F1354E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921" w:type="dxa"/>
            <w:vAlign w:val="center"/>
          </w:tcPr>
          <w:p w14:paraId="58A510E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6DA2A7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0CED0B1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18" w:type="dxa"/>
          </w:tcPr>
          <w:p w14:paraId="5D2B9686">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50" w:type="dxa"/>
          </w:tcPr>
          <w:p w14:paraId="2E2320B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58" w:type="dxa"/>
          </w:tcPr>
          <w:p w14:paraId="3F9C970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80" w:type="dxa"/>
          </w:tcPr>
          <w:p w14:paraId="54AEDBD1">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20" w:type="dxa"/>
          </w:tcPr>
          <w:p w14:paraId="75E8D13D">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80" w:type="dxa"/>
          </w:tcPr>
          <w:p w14:paraId="51359CA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20" w:type="dxa"/>
          </w:tcPr>
          <w:p w14:paraId="727382A2">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921" w:type="dxa"/>
          </w:tcPr>
          <w:p w14:paraId="0736C592">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r>
      <w:tr w14:paraId="0F0E4C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4B9DBF8F">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18" w:type="dxa"/>
          </w:tcPr>
          <w:p w14:paraId="0ED91680">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50" w:type="dxa"/>
          </w:tcPr>
          <w:p w14:paraId="45008F13">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58" w:type="dxa"/>
          </w:tcPr>
          <w:p w14:paraId="5228CB49">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80" w:type="dxa"/>
          </w:tcPr>
          <w:p w14:paraId="5E50F26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20" w:type="dxa"/>
          </w:tcPr>
          <w:p w14:paraId="195AEEDF">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80" w:type="dxa"/>
          </w:tcPr>
          <w:p w14:paraId="08948DA8">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20" w:type="dxa"/>
          </w:tcPr>
          <w:p w14:paraId="3653AFE1">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921" w:type="dxa"/>
          </w:tcPr>
          <w:p w14:paraId="32AA624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r>
      <w:tr w14:paraId="2C7BF3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5407700F">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18" w:type="dxa"/>
          </w:tcPr>
          <w:p w14:paraId="44CBDC68">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50" w:type="dxa"/>
          </w:tcPr>
          <w:p w14:paraId="1A130A62">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58" w:type="dxa"/>
          </w:tcPr>
          <w:p w14:paraId="4292F90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80" w:type="dxa"/>
          </w:tcPr>
          <w:p w14:paraId="1074EADF">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20" w:type="dxa"/>
          </w:tcPr>
          <w:p w14:paraId="05527E50">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80" w:type="dxa"/>
          </w:tcPr>
          <w:p w14:paraId="0895421E">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20" w:type="dxa"/>
          </w:tcPr>
          <w:p w14:paraId="4788A367">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921" w:type="dxa"/>
          </w:tcPr>
          <w:p w14:paraId="222D430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r>
      <w:tr w14:paraId="4FE114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4C2071B3">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18" w:type="dxa"/>
          </w:tcPr>
          <w:p w14:paraId="67011C80">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50" w:type="dxa"/>
          </w:tcPr>
          <w:p w14:paraId="053A6176">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58" w:type="dxa"/>
          </w:tcPr>
          <w:p w14:paraId="60E67CFF">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80" w:type="dxa"/>
          </w:tcPr>
          <w:p w14:paraId="6EDB7917">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20" w:type="dxa"/>
          </w:tcPr>
          <w:p w14:paraId="5F25C393">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80" w:type="dxa"/>
          </w:tcPr>
          <w:p w14:paraId="6C77813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20" w:type="dxa"/>
          </w:tcPr>
          <w:p w14:paraId="54907BAE">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921" w:type="dxa"/>
          </w:tcPr>
          <w:p w14:paraId="6462C823">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r>
      <w:tr w14:paraId="5A4F7A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F0EBB6D">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18" w:type="dxa"/>
          </w:tcPr>
          <w:p w14:paraId="6E313016">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50" w:type="dxa"/>
          </w:tcPr>
          <w:p w14:paraId="7A7B2838">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58" w:type="dxa"/>
          </w:tcPr>
          <w:p w14:paraId="157E326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80" w:type="dxa"/>
          </w:tcPr>
          <w:p w14:paraId="00FBF9E4">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20" w:type="dxa"/>
          </w:tcPr>
          <w:p w14:paraId="1D33067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80" w:type="dxa"/>
          </w:tcPr>
          <w:p w14:paraId="2AB28E2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20" w:type="dxa"/>
          </w:tcPr>
          <w:p w14:paraId="6B0B5E9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921" w:type="dxa"/>
          </w:tcPr>
          <w:p w14:paraId="79A3F16D">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r>
      <w:tr w14:paraId="151B3C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1F8DA63">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18" w:type="dxa"/>
          </w:tcPr>
          <w:p w14:paraId="5F60B166">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50" w:type="dxa"/>
          </w:tcPr>
          <w:p w14:paraId="0A992290">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58" w:type="dxa"/>
          </w:tcPr>
          <w:p w14:paraId="2B87964E">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80" w:type="dxa"/>
          </w:tcPr>
          <w:p w14:paraId="44B4CB69">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20" w:type="dxa"/>
          </w:tcPr>
          <w:p w14:paraId="707A5C90">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80" w:type="dxa"/>
          </w:tcPr>
          <w:p w14:paraId="3F9D8288">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20" w:type="dxa"/>
          </w:tcPr>
          <w:p w14:paraId="0DCDCB0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921" w:type="dxa"/>
          </w:tcPr>
          <w:p w14:paraId="7D2D987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r>
      <w:tr w14:paraId="198742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655D073">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18" w:type="dxa"/>
          </w:tcPr>
          <w:p w14:paraId="35DF1C0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50" w:type="dxa"/>
          </w:tcPr>
          <w:p w14:paraId="6F06E98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58" w:type="dxa"/>
          </w:tcPr>
          <w:p w14:paraId="2421A87A">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80" w:type="dxa"/>
          </w:tcPr>
          <w:p w14:paraId="1AE16371">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20" w:type="dxa"/>
          </w:tcPr>
          <w:p w14:paraId="1DF60BC1">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80" w:type="dxa"/>
          </w:tcPr>
          <w:p w14:paraId="134DDD7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20" w:type="dxa"/>
          </w:tcPr>
          <w:p w14:paraId="2BEA0071">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921" w:type="dxa"/>
          </w:tcPr>
          <w:p w14:paraId="184399B0">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r>
      <w:tr w14:paraId="636AA2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09CA4B6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18" w:type="dxa"/>
          </w:tcPr>
          <w:p w14:paraId="33A64939">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50" w:type="dxa"/>
          </w:tcPr>
          <w:p w14:paraId="2A83BD64">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58" w:type="dxa"/>
          </w:tcPr>
          <w:p w14:paraId="44014A29">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80" w:type="dxa"/>
          </w:tcPr>
          <w:p w14:paraId="129BF7F6">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20" w:type="dxa"/>
          </w:tcPr>
          <w:p w14:paraId="242EC851">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80" w:type="dxa"/>
          </w:tcPr>
          <w:p w14:paraId="71C54E1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20" w:type="dxa"/>
          </w:tcPr>
          <w:p w14:paraId="371B670E">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921" w:type="dxa"/>
          </w:tcPr>
          <w:p w14:paraId="11804DE0">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r>
      <w:tr w14:paraId="47FA7B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2CB485E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18" w:type="dxa"/>
          </w:tcPr>
          <w:p w14:paraId="5582CC90">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50" w:type="dxa"/>
          </w:tcPr>
          <w:p w14:paraId="37F069FA">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58" w:type="dxa"/>
          </w:tcPr>
          <w:p w14:paraId="08BB7EF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880" w:type="dxa"/>
          </w:tcPr>
          <w:p w14:paraId="106D7FB3">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20" w:type="dxa"/>
          </w:tcPr>
          <w:p w14:paraId="0A4EE489">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480" w:type="dxa"/>
          </w:tcPr>
          <w:p w14:paraId="46C058C2">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1020" w:type="dxa"/>
          </w:tcPr>
          <w:p w14:paraId="3E4C3E0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c>
          <w:tcPr>
            <w:tcW w:w="921" w:type="dxa"/>
          </w:tcPr>
          <w:p w14:paraId="7C56950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tc>
      </w:tr>
    </w:tbl>
    <w:p w14:paraId="66975651">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p w14:paraId="3582C84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w:t>
      </w:r>
      <w:bookmarkStart w:id="469" w:name="_Toc296346729"/>
      <w:bookmarkStart w:id="470" w:name="_Toc296944567"/>
      <w:bookmarkStart w:id="471" w:name="_Toc296503228"/>
      <w:bookmarkStart w:id="472" w:name="_Toc296347227"/>
      <w:bookmarkStart w:id="473" w:name="_Toc267261699"/>
      <w:bookmarkStart w:id="474" w:name="_Toc296891056"/>
      <w:bookmarkStart w:id="475" w:name="_Toc296891268"/>
      <w:r>
        <w:rPr>
          <w:rFonts w:hint="eastAsia" w:ascii="宋体" w:hAnsi="宋体" w:eastAsia="宋体" w:cs="宋体"/>
          <w:color w:val="auto"/>
          <w:sz w:val="24"/>
          <w:szCs w:val="24"/>
          <w:highlight w:val="none"/>
        </w:rPr>
        <w:t>件6：</w:t>
      </w:r>
    </w:p>
    <w:bookmarkEnd w:id="469"/>
    <w:bookmarkEnd w:id="470"/>
    <w:bookmarkEnd w:id="471"/>
    <w:bookmarkEnd w:id="472"/>
    <w:bookmarkEnd w:id="473"/>
    <w:bookmarkEnd w:id="474"/>
    <w:bookmarkEnd w:id="475"/>
    <w:p w14:paraId="037CF072">
      <w:pPr>
        <w:keepLines w:val="0"/>
        <w:pageBreakBefore w:val="0"/>
        <w:kinsoku/>
        <w:wordWrap/>
        <w:overflowPunct/>
        <w:topLinePunct w:val="0"/>
        <w:bidi w:val="0"/>
        <w:adjustRightInd w:val="0"/>
        <w:spacing w:line="360" w:lineRule="auto"/>
        <w:ind w:left="0" w:leftChars="0" w:right="0" w:rightChars="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承包人主要施工管理人员表</w:t>
      </w:r>
    </w:p>
    <w:tbl>
      <w:tblPr>
        <w:tblStyle w:val="6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02B7FA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4BA2333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名    称</w:t>
            </w:r>
          </w:p>
        </w:tc>
        <w:tc>
          <w:tcPr>
            <w:tcW w:w="1418" w:type="dxa"/>
            <w:tcBorders>
              <w:top w:val="single" w:color="auto" w:sz="12" w:space="0"/>
              <w:bottom w:val="double" w:color="auto" w:sz="6" w:space="0"/>
            </w:tcBorders>
            <w:vAlign w:val="center"/>
          </w:tcPr>
          <w:p w14:paraId="1E61817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姓名</w:t>
            </w:r>
          </w:p>
        </w:tc>
        <w:tc>
          <w:tcPr>
            <w:tcW w:w="1134" w:type="dxa"/>
            <w:tcBorders>
              <w:top w:val="single" w:color="auto" w:sz="12" w:space="0"/>
              <w:bottom w:val="double" w:color="auto" w:sz="6" w:space="0"/>
            </w:tcBorders>
            <w:vAlign w:val="center"/>
          </w:tcPr>
          <w:p w14:paraId="0F24383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职务</w:t>
            </w:r>
          </w:p>
        </w:tc>
        <w:tc>
          <w:tcPr>
            <w:tcW w:w="1134" w:type="dxa"/>
            <w:tcBorders>
              <w:top w:val="single" w:color="auto" w:sz="12" w:space="0"/>
              <w:bottom w:val="double" w:color="auto" w:sz="6" w:space="0"/>
            </w:tcBorders>
            <w:vAlign w:val="center"/>
          </w:tcPr>
          <w:p w14:paraId="7237572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职称</w:t>
            </w:r>
          </w:p>
        </w:tc>
        <w:tc>
          <w:tcPr>
            <w:tcW w:w="4252" w:type="dxa"/>
            <w:tcBorders>
              <w:top w:val="single" w:color="auto" w:sz="12" w:space="0"/>
              <w:bottom w:val="double" w:color="auto" w:sz="6" w:space="0"/>
            </w:tcBorders>
            <w:vAlign w:val="center"/>
          </w:tcPr>
          <w:p w14:paraId="4BE4994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主要资历、经验及承担过的项目</w:t>
            </w:r>
          </w:p>
        </w:tc>
      </w:tr>
      <w:tr w14:paraId="32290F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14:paraId="066C8A4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一、总部人员</w:t>
            </w:r>
          </w:p>
        </w:tc>
      </w:tr>
      <w:tr w14:paraId="6AE786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2A2EEA5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项目主管</w:t>
            </w:r>
          </w:p>
        </w:tc>
        <w:tc>
          <w:tcPr>
            <w:tcW w:w="1418" w:type="dxa"/>
            <w:tcBorders>
              <w:top w:val="nil"/>
            </w:tcBorders>
            <w:vAlign w:val="center"/>
          </w:tcPr>
          <w:p w14:paraId="3459E66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tcBorders>
              <w:top w:val="nil"/>
            </w:tcBorders>
            <w:vAlign w:val="center"/>
          </w:tcPr>
          <w:p w14:paraId="00E420D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tcBorders>
              <w:top w:val="nil"/>
            </w:tcBorders>
            <w:vAlign w:val="center"/>
          </w:tcPr>
          <w:p w14:paraId="2112825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tcBorders>
              <w:top w:val="nil"/>
            </w:tcBorders>
            <w:vAlign w:val="center"/>
          </w:tcPr>
          <w:p w14:paraId="5709AEE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7262BC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vAlign w:val="center"/>
          </w:tcPr>
          <w:p w14:paraId="385F6FE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vAlign w:val="center"/>
          </w:tcPr>
          <w:p w14:paraId="46277B8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500F52A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6CCECC1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0A9ADDE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3E2616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3CF2C8C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其他人员</w:t>
            </w:r>
          </w:p>
        </w:tc>
        <w:tc>
          <w:tcPr>
            <w:tcW w:w="1418" w:type="dxa"/>
            <w:vAlign w:val="center"/>
          </w:tcPr>
          <w:p w14:paraId="1910712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4B0A148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4988D1B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2B691F0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35C308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2DEDB1A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vAlign w:val="center"/>
          </w:tcPr>
          <w:p w14:paraId="7FE5FF0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50B4202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28E73A4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30BCAF5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682923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14:paraId="53FB8BE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二、现场人员</w:t>
            </w:r>
          </w:p>
        </w:tc>
      </w:tr>
      <w:tr w14:paraId="1DBFB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78D0174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项目经理</w:t>
            </w:r>
          </w:p>
        </w:tc>
        <w:tc>
          <w:tcPr>
            <w:tcW w:w="1418" w:type="dxa"/>
            <w:vAlign w:val="center"/>
          </w:tcPr>
          <w:p w14:paraId="04A04FD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495F9F2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68ACB7C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0AC4E3F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162FD4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6235EEB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strike/>
                <w:color w:val="auto"/>
                <w:sz w:val="24"/>
                <w:szCs w:val="24"/>
                <w:highlight w:val="none"/>
                <w:lang w:val="en-US"/>
              </w:rPr>
            </w:pPr>
            <w:r>
              <w:rPr>
                <w:rFonts w:hint="eastAsia" w:ascii="宋体" w:hAnsi="宋体" w:eastAsia="宋体" w:cs="宋体"/>
                <w:color w:val="auto"/>
                <w:sz w:val="24"/>
                <w:szCs w:val="24"/>
                <w:highlight w:val="none"/>
                <w:lang w:val="en-US"/>
              </w:rPr>
              <w:t>技术负责人</w:t>
            </w:r>
          </w:p>
        </w:tc>
        <w:tc>
          <w:tcPr>
            <w:tcW w:w="1418" w:type="dxa"/>
            <w:vAlign w:val="center"/>
          </w:tcPr>
          <w:p w14:paraId="134B1A7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441FB46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7D9A157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415530E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638280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15FEED9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造价管理</w:t>
            </w:r>
          </w:p>
        </w:tc>
        <w:tc>
          <w:tcPr>
            <w:tcW w:w="1418" w:type="dxa"/>
            <w:vAlign w:val="center"/>
          </w:tcPr>
          <w:p w14:paraId="0034BA3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6ABAA2B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65E36BF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6993819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0389B6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37E8733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质量员</w:t>
            </w:r>
          </w:p>
        </w:tc>
        <w:tc>
          <w:tcPr>
            <w:tcW w:w="1418" w:type="dxa"/>
            <w:vAlign w:val="center"/>
          </w:tcPr>
          <w:p w14:paraId="7AA425F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656D39F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3F763A6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6BD96D3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160442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6FA32B4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施工员</w:t>
            </w:r>
          </w:p>
        </w:tc>
        <w:tc>
          <w:tcPr>
            <w:tcW w:w="1418" w:type="dxa"/>
            <w:vAlign w:val="center"/>
          </w:tcPr>
          <w:p w14:paraId="5BB6F5B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43EB199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016FBDA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2B32E5D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45581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64AD4F5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资料员</w:t>
            </w:r>
          </w:p>
        </w:tc>
        <w:tc>
          <w:tcPr>
            <w:tcW w:w="1418" w:type="dxa"/>
            <w:vAlign w:val="center"/>
          </w:tcPr>
          <w:p w14:paraId="27F0613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361B3BE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0CA7454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53DD8E6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582DD2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323315B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材料员</w:t>
            </w:r>
          </w:p>
        </w:tc>
        <w:tc>
          <w:tcPr>
            <w:tcW w:w="1418" w:type="dxa"/>
            <w:vAlign w:val="center"/>
          </w:tcPr>
          <w:p w14:paraId="040EA7D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5F608CD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3A245A7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117404E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2A1E78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3800490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专职安全生产管理人员</w:t>
            </w:r>
          </w:p>
        </w:tc>
        <w:tc>
          <w:tcPr>
            <w:tcW w:w="1418" w:type="dxa"/>
            <w:vAlign w:val="center"/>
          </w:tcPr>
          <w:p w14:paraId="47613ED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506AEBB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5A2FD64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7C8DCF0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469400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7D15E4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vAlign w:val="center"/>
          </w:tcPr>
          <w:p w14:paraId="4ACA01E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56185F9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0AC2C5F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7615AEF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0C2D35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EEF7C2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vAlign w:val="center"/>
          </w:tcPr>
          <w:p w14:paraId="3A74BD0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59BD4F2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308A310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047614A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6C3D50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1D56A20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vAlign w:val="center"/>
          </w:tcPr>
          <w:p w14:paraId="0F621A1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6D969D4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0E118C8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5737525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7CB33D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CC9BE7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vAlign w:val="center"/>
          </w:tcPr>
          <w:p w14:paraId="7F4BA5A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70E89AD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1991551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5C50A09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2F377D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1F513C6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其他人员</w:t>
            </w:r>
          </w:p>
        </w:tc>
        <w:tc>
          <w:tcPr>
            <w:tcW w:w="1418" w:type="dxa"/>
            <w:vAlign w:val="center"/>
          </w:tcPr>
          <w:p w14:paraId="161D726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68F98AB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4BE4976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2F7ED5E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3F2147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6933B8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vAlign w:val="center"/>
          </w:tcPr>
          <w:p w14:paraId="047AC06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1A6B59F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333EBCB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1D09220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4B16B4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51F77B1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Borders>
              <w:bottom w:val="single" w:color="auto" w:sz="12" w:space="0"/>
            </w:tcBorders>
            <w:vAlign w:val="center"/>
          </w:tcPr>
          <w:p w14:paraId="220BED1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tcBorders>
              <w:bottom w:val="single" w:color="auto" w:sz="12" w:space="0"/>
            </w:tcBorders>
            <w:vAlign w:val="center"/>
          </w:tcPr>
          <w:p w14:paraId="26E49A6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tcBorders>
              <w:bottom w:val="single" w:color="auto" w:sz="12" w:space="0"/>
            </w:tcBorders>
            <w:vAlign w:val="center"/>
          </w:tcPr>
          <w:p w14:paraId="50756FF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tcBorders>
              <w:bottom w:val="single" w:color="auto" w:sz="12" w:space="0"/>
            </w:tcBorders>
            <w:vAlign w:val="center"/>
          </w:tcPr>
          <w:p w14:paraId="70D168F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bl>
    <w:p w14:paraId="45F5CE09">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476" w:name="_Toc267261701"/>
      <w:r>
        <w:rPr>
          <w:rFonts w:hint="eastAsia" w:ascii="宋体" w:hAnsi="宋体" w:eastAsia="宋体" w:cs="宋体"/>
          <w:color w:val="auto"/>
          <w:sz w:val="24"/>
          <w:szCs w:val="24"/>
          <w:highlight w:val="none"/>
        </w:rPr>
        <w:t>附件7：</w:t>
      </w:r>
    </w:p>
    <w:p w14:paraId="3E75599C">
      <w:pPr>
        <w:keepLines w:val="0"/>
        <w:pageBreakBefore w:val="0"/>
        <w:kinsoku/>
        <w:wordWrap/>
        <w:overflowPunct/>
        <w:topLinePunct w:val="0"/>
        <w:bidi w:val="0"/>
        <w:adjustRightInd w:val="0"/>
        <w:spacing w:line="360" w:lineRule="auto"/>
        <w:ind w:left="0" w:leftChars="0" w:right="0" w:rightChars="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分包人主要施工管理人员表</w:t>
      </w:r>
    </w:p>
    <w:tbl>
      <w:tblPr>
        <w:tblStyle w:val="6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0C394A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11B7149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名    称</w:t>
            </w:r>
          </w:p>
        </w:tc>
        <w:tc>
          <w:tcPr>
            <w:tcW w:w="1418" w:type="dxa"/>
            <w:tcBorders>
              <w:top w:val="single" w:color="auto" w:sz="12" w:space="0"/>
              <w:bottom w:val="double" w:color="auto" w:sz="6" w:space="0"/>
            </w:tcBorders>
            <w:vAlign w:val="center"/>
          </w:tcPr>
          <w:p w14:paraId="23E2A06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姓名</w:t>
            </w:r>
          </w:p>
        </w:tc>
        <w:tc>
          <w:tcPr>
            <w:tcW w:w="1134" w:type="dxa"/>
            <w:tcBorders>
              <w:top w:val="single" w:color="auto" w:sz="12" w:space="0"/>
              <w:bottom w:val="double" w:color="auto" w:sz="6" w:space="0"/>
            </w:tcBorders>
            <w:vAlign w:val="center"/>
          </w:tcPr>
          <w:p w14:paraId="576E051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职务</w:t>
            </w:r>
          </w:p>
        </w:tc>
        <w:tc>
          <w:tcPr>
            <w:tcW w:w="1134" w:type="dxa"/>
            <w:tcBorders>
              <w:top w:val="single" w:color="auto" w:sz="12" w:space="0"/>
              <w:bottom w:val="double" w:color="auto" w:sz="6" w:space="0"/>
            </w:tcBorders>
            <w:vAlign w:val="center"/>
          </w:tcPr>
          <w:p w14:paraId="00D41F5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职称</w:t>
            </w:r>
          </w:p>
        </w:tc>
        <w:tc>
          <w:tcPr>
            <w:tcW w:w="4252" w:type="dxa"/>
            <w:tcBorders>
              <w:top w:val="single" w:color="auto" w:sz="12" w:space="0"/>
              <w:bottom w:val="double" w:color="auto" w:sz="6" w:space="0"/>
            </w:tcBorders>
            <w:vAlign w:val="center"/>
          </w:tcPr>
          <w:p w14:paraId="0D86116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主要资历、经验及承担过的项目</w:t>
            </w:r>
          </w:p>
        </w:tc>
      </w:tr>
      <w:tr w14:paraId="2FA186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14:paraId="34417DA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一、总部人员</w:t>
            </w:r>
          </w:p>
        </w:tc>
      </w:tr>
      <w:tr w14:paraId="71E0F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1B7D32F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项目主管</w:t>
            </w:r>
          </w:p>
        </w:tc>
        <w:tc>
          <w:tcPr>
            <w:tcW w:w="1418" w:type="dxa"/>
            <w:tcBorders>
              <w:top w:val="nil"/>
            </w:tcBorders>
            <w:vAlign w:val="center"/>
          </w:tcPr>
          <w:p w14:paraId="1EAF42C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tcBorders>
              <w:top w:val="nil"/>
            </w:tcBorders>
            <w:vAlign w:val="center"/>
          </w:tcPr>
          <w:p w14:paraId="0F6A9AC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tcBorders>
              <w:top w:val="nil"/>
            </w:tcBorders>
            <w:vAlign w:val="center"/>
          </w:tcPr>
          <w:p w14:paraId="06C61FF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tcBorders>
              <w:top w:val="nil"/>
            </w:tcBorders>
            <w:vAlign w:val="center"/>
          </w:tcPr>
          <w:p w14:paraId="3CC1833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62AF98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vAlign w:val="center"/>
          </w:tcPr>
          <w:p w14:paraId="04079D3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vAlign w:val="center"/>
          </w:tcPr>
          <w:p w14:paraId="5778DF1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1F91BB8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7DE445C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56E7E2E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2181DC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6D2B17F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其他人员</w:t>
            </w:r>
          </w:p>
        </w:tc>
        <w:tc>
          <w:tcPr>
            <w:tcW w:w="1418" w:type="dxa"/>
            <w:vAlign w:val="center"/>
          </w:tcPr>
          <w:p w14:paraId="11FF7C2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0DE1630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7ABA0E1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6556098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6C60B1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43F5519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vAlign w:val="center"/>
          </w:tcPr>
          <w:p w14:paraId="661C7C1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7BE60E3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7932E48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4ED06CA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7165C7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14:paraId="19FFE0C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二、现场人员</w:t>
            </w:r>
          </w:p>
        </w:tc>
      </w:tr>
      <w:tr w14:paraId="4658E0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44A96CE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项目经理</w:t>
            </w:r>
          </w:p>
        </w:tc>
        <w:tc>
          <w:tcPr>
            <w:tcW w:w="1418" w:type="dxa"/>
            <w:vAlign w:val="center"/>
          </w:tcPr>
          <w:p w14:paraId="4DF93F1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59B7EC8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6EC72E6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56C4886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611A93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1368198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strike/>
                <w:color w:val="auto"/>
                <w:sz w:val="24"/>
                <w:szCs w:val="24"/>
                <w:highlight w:val="none"/>
                <w:lang w:val="en-US"/>
              </w:rPr>
            </w:pPr>
            <w:r>
              <w:rPr>
                <w:rFonts w:hint="eastAsia" w:ascii="宋体" w:hAnsi="宋体" w:eastAsia="宋体" w:cs="宋体"/>
                <w:color w:val="auto"/>
                <w:sz w:val="24"/>
                <w:szCs w:val="24"/>
                <w:highlight w:val="none"/>
                <w:lang w:val="en-US"/>
              </w:rPr>
              <w:t>技术负责人</w:t>
            </w:r>
          </w:p>
        </w:tc>
        <w:tc>
          <w:tcPr>
            <w:tcW w:w="1418" w:type="dxa"/>
            <w:vAlign w:val="center"/>
          </w:tcPr>
          <w:p w14:paraId="2C19F74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11AF9E6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28DCBDE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67A961B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08C90A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04ADCEA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造价管理</w:t>
            </w:r>
          </w:p>
        </w:tc>
        <w:tc>
          <w:tcPr>
            <w:tcW w:w="1418" w:type="dxa"/>
            <w:vAlign w:val="center"/>
          </w:tcPr>
          <w:p w14:paraId="7DFB6B8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0F1859D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7546AF2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14EB02B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6A09FA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29CEA25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质量员</w:t>
            </w:r>
          </w:p>
        </w:tc>
        <w:tc>
          <w:tcPr>
            <w:tcW w:w="1418" w:type="dxa"/>
            <w:vAlign w:val="center"/>
          </w:tcPr>
          <w:p w14:paraId="6E4CE6E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73338BD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1B77B44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33BA47F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616830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45913EA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施工员</w:t>
            </w:r>
          </w:p>
        </w:tc>
        <w:tc>
          <w:tcPr>
            <w:tcW w:w="1418" w:type="dxa"/>
            <w:vAlign w:val="center"/>
          </w:tcPr>
          <w:p w14:paraId="02B7AA1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4C5B929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0332DCB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7A51649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7B2F5A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4052C34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资料员</w:t>
            </w:r>
          </w:p>
        </w:tc>
        <w:tc>
          <w:tcPr>
            <w:tcW w:w="1418" w:type="dxa"/>
            <w:vAlign w:val="center"/>
          </w:tcPr>
          <w:p w14:paraId="2E44B8B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5139810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78C25EC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7B3189C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02740E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7FB5619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材料员</w:t>
            </w:r>
          </w:p>
        </w:tc>
        <w:tc>
          <w:tcPr>
            <w:tcW w:w="1418" w:type="dxa"/>
            <w:vAlign w:val="center"/>
          </w:tcPr>
          <w:p w14:paraId="6C76593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36658FF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75232BB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0DA2F16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3FC984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144B44F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专职安全生产管理人员</w:t>
            </w:r>
          </w:p>
        </w:tc>
        <w:tc>
          <w:tcPr>
            <w:tcW w:w="1418" w:type="dxa"/>
            <w:vAlign w:val="center"/>
          </w:tcPr>
          <w:p w14:paraId="445F3CF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2EE95C2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624ADA9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4AC8D0F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3128C4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BD27F7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vAlign w:val="center"/>
          </w:tcPr>
          <w:p w14:paraId="19EB658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5C18EFD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67F3AD7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0586B95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7A26B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22ACCE3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vAlign w:val="center"/>
          </w:tcPr>
          <w:p w14:paraId="1650CB9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7E00145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6469D81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4DD9834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05C69E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14E3C26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vAlign w:val="center"/>
          </w:tcPr>
          <w:p w14:paraId="01214DC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2329801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271A4A0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4D5D1C5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5F593D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D9AA9E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vAlign w:val="center"/>
          </w:tcPr>
          <w:p w14:paraId="770149B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339EA56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10C8AB0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7BF66CB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29B89B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0313B0A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其他人员</w:t>
            </w:r>
          </w:p>
        </w:tc>
        <w:tc>
          <w:tcPr>
            <w:tcW w:w="1418" w:type="dxa"/>
            <w:vAlign w:val="center"/>
          </w:tcPr>
          <w:p w14:paraId="51FD03D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6C775A5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3F29B67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667DED0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1C5DB4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F755C7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vAlign w:val="center"/>
          </w:tcPr>
          <w:p w14:paraId="20573A7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486EA50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vAlign w:val="center"/>
          </w:tcPr>
          <w:p w14:paraId="185D112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vAlign w:val="center"/>
          </w:tcPr>
          <w:p w14:paraId="2B85101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13A711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1389B24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Borders>
              <w:bottom w:val="single" w:color="auto" w:sz="12" w:space="0"/>
            </w:tcBorders>
            <w:vAlign w:val="center"/>
          </w:tcPr>
          <w:p w14:paraId="3C394A8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tcBorders>
              <w:bottom w:val="single" w:color="auto" w:sz="12" w:space="0"/>
            </w:tcBorders>
            <w:vAlign w:val="center"/>
          </w:tcPr>
          <w:p w14:paraId="339AB6F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134" w:type="dxa"/>
            <w:tcBorders>
              <w:bottom w:val="single" w:color="auto" w:sz="12" w:space="0"/>
            </w:tcBorders>
            <w:vAlign w:val="center"/>
          </w:tcPr>
          <w:p w14:paraId="10B3A3E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4252" w:type="dxa"/>
            <w:tcBorders>
              <w:bottom w:val="single" w:color="auto" w:sz="12" w:space="0"/>
            </w:tcBorders>
            <w:vAlign w:val="center"/>
          </w:tcPr>
          <w:p w14:paraId="312E2FB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bl>
    <w:p w14:paraId="638321A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p w14:paraId="70D6126E">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p w14:paraId="3638635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w:t>
      </w:r>
      <w:bookmarkStart w:id="477" w:name="_Toc296891059"/>
      <w:bookmarkStart w:id="478" w:name="_Toc296944570"/>
      <w:bookmarkStart w:id="479" w:name="_Toc296891271"/>
      <w:bookmarkStart w:id="480" w:name="_Toc296503231"/>
      <w:bookmarkStart w:id="481" w:name="_Toc296347230"/>
      <w:bookmarkStart w:id="482" w:name="_Toc296346732"/>
      <w:r>
        <w:rPr>
          <w:rFonts w:hint="eastAsia" w:ascii="宋体" w:hAnsi="宋体" w:eastAsia="宋体" w:cs="宋体"/>
          <w:color w:val="auto"/>
          <w:sz w:val="24"/>
          <w:szCs w:val="24"/>
          <w:highlight w:val="none"/>
        </w:rPr>
        <w:t>件8：</w:t>
      </w:r>
    </w:p>
    <w:bookmarkEnd w:id="476"/>
    <w:bookmarkEnd w:id="477"/>
    <w:bookmarkEnd w:id="478"/>
    <w:bookmarkEnd w:id="479"/>
    <w:bookmarkEnd w:id="480"/>
    <w:bookmarkEnd w:id="481"/>
    <w:bookmarkEnd w:id="482"/>
    <w:p w14:paraId="7661CAFC">
      <w:pPr>
        <w:keepLines w:val="0"/>
        <w:pageBreakBefore w:val="0"/>
        <w:kinsoku/>
        <w:wordWrap/>
        <w:overflowPunct/>
        <w:topLinePunct w:val="0"/>
        <w:bidi w:val="0"/>
        <w:adjustRightInd w:val="0"/>
        <w:spacing w:line="360" w:lineRule="auto"/>
        <w:ind w:left="0" w:leftChars="0" w:right="0" w:rightChars="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履约担保</w:t>
      </w:r>
    </w:p>
    <w:p w14:paraId="547F353D">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（发包人名称）：</w:t>
      </w:r>
    </w:p>
    <w:p w14:paraId="74559BD0">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p w14:paraId="7765970A">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鉴于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（发包人名称，以下简称“发包人”）与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（承包人名称）（以下称“承包人”）于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（工程名称）施工及有关事项协商一致共同签订《建设工程施工合同》。我方愿意无条件地、不可撤销地就承包人履行与你方签订的合同，向你方提供连带责任担保。 </w:t>
      </w:r>
    </w:p>
    <w:p w14:paraId="74A00E1A">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1.担保金额人民币（大写）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DBD47F2">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2.担保有效期自你方与承包人签订的合同生效之日起至你方签发或应签发工程接收证书之日止。</w:t>
      </w:r>
    </w:p>
    <w:p w14:paraId="5B70E823">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3.在本担保有效期内，因承包人违反合同约定的义务给你方造成经济损失时，我方在收到你方以书面形式提出的在担保金额内的赔偿要求后，在7天内无条件支付。</w:t>
      </w:r>
    </w:p>
    <w:p w14:paraId="1ACE8C9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4.你方和承包人按合同约定变更合同时，我方承担本担保规定的义务不变。</w:t>
      </w:r>
    </w:p>
    <w:p w14:paraId="629E6C9E">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5.因本保函发生的纠纷，可由双方协商解决，协商不成的，任何一方均可向工程所在地人民法院起诉。</w:t>
      </w:r>
    </w:p>
    <w:p w14:paraId="067B444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6.本保函自我方法定代表人（或其授权代理人）签字并加盖公章之日起生效。</w:t>
      </w:r>
    </w:p>
    <w:p w14:paraId="26770450">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p w14:paraId="2BED1B32">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 保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51489C3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3521A8B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603696DF">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p>
    <w:p w14:paraId="73CF7DED">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p>
    <w:p w14:paraId="7D2037B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p>
    <w:p w14:paraId="559926F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u w:val="single"/>
        </w:rPr>
      </w:pPr>
    </w:p>
    <w:p w14:paraId="035514A2">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682DE1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w:t>
      </w:r>
      <w:bookmarkStart w:id="483" w:name="_Toc296346733"/>
      <w:bookmarkStart w:id="484" w:name="_Toc296347231"/>
      <w:bookmarkStart w:id="485" w:name="_Toc296503232"/>
      <w:bookmarkStart w:id="486" w:name="_Toc296944571"/>
      <w:bookmarkStart w:id="487" w:name="_Toc296891060"/>
      <w:bookmarkStart w:id="488" w:name="_Toc296891272"/>
      <w:bookmarkStart w:id="489" w:name="_Toc267261702"/>
      <w:r>
        <w:rPr>
          <w:rFonts w:hint="eastAsia" w:ascii="宋体" w:hAnsi="宋体" w:eastAsia="宋体" w:cs="宋体"/>
          <w:color w:val="auto"/>
          <w:sz w:val="24"/>
          <w:szCs w:val="24"/>
          <w:highlight w:val="none"/>
        </w:rPr>
        <w:t>件9 ：</w:t>
      </w:r>
    </w:p>
    <w:bookmarkEnd w:id="483"/>
    <w:bookmarkEnd w:id="484"/>
    <w:bookmarkEnd w:id="485"/>
    <w:bookmarkEnd w:id="486"/>
    <w:bookmarkEnd w:id="487"/>
    <w:bookmarkEnd w:id="488"/>
    <w:bookmarkEnd w:id="489"/>
    <w:p w14:paraId="0E06FDED">
      <w:pPr>
        <w:keepLines w:val="0"/>
        <w:pageBreakBefore w:val="0"/>
        <w:kinsoku/>
        <w:wordWrap/>
        <w:overflowPunct/>
        <w:topLinePunct w:val="0"/>
        <w:bidi w:val="0"/>
        <w:adjustRightInd w:val="0"/>
        <w:spacing w:line="360" w:lineRule="auto"/>
        <w:ind w:left="0" w:leftChars="0" w:right="0" w:rightChars="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预付款担保</w:t>
      </w:r>
    </w:p>
    <w:p w14:paraId="3DD04B91">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（发包人名称）：</w:t>
      </w:r>
    </w:p>
    <w:p w14:paraId="6F93F998">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p w14:paraId="2885734F">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（承包人名称）（以下称“承包人”）与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（发包人名称）（以下简称“发包人”）于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日签订的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502A3B2E">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1.担保金额人民币（大写）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AE1E62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2.担保有效期自预付款支付给承包人起生效，至你方签发的进度款支付证书说明已完全扣清止。</w:t>
      </w:r>
    </w:p>
    <w:p w14:paraId="7949EE67">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181DCE0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4.你方和承包人按合同约定变更合同时，我方承担本保函规定的义务不变。</w:t>
      </w:r>
    </w:p>
    <w:p w14:paraId="71B5A7F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5.因本保函发生的纠纷，可由双方协商解决，协商不成的，任何一方均可向工程所在地人民法院起诉。</w:t>
      </w:r>
    </w:p>
    <w:p w14:paraId="610AFF26">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6.本保函自我方法定代表人（或其授权代理人）签字并加盖公章之日起生效。</w:t>
      </w:r>
    </w:p>
    <w:p w14:paraId="28AB1DFE">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p w14:paraId="7A2A79A2">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p w14:paraId="7509F0B7">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担保人：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4D9B246A">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2C6B85D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14:paraId="19B7CF47">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14:paraId="3E041CF2">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14:paraId="2EB6067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14:paraId="39FFE108">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FDDAFF3">
      <w:pPr>
        <w:keepLines w:val="0"/>
        <w:pageBreakBefore w:val="0"/>
        <w:kinsoku/>
        <w:wordWrap/>
        <w:overflowPunct/>
        <w:topLinePunct w:val="0"/>
        <w:bidi w:val="0"/>
        <w:adjustRightInd w:val="0"/>
        <w:spacing w:line="360" w:lineRule="auto"/>
        <w:ind w:left="0" w:leftChars="0" w:right="0" w:rightChars="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color w:val="auto"/>
          <w:sz w:val="24"/>
          <w:szCs w:val="24"/>
          <w:highlight w:val="none"/>
        </w:rPr>
        <w:t>附</w:t>
      </w:r>
      <w:bookmarkStart w:id="490" w:name="_Toc296944572"/>
      <w:bookmarkStart w:id="491" w:name="_Toc296347232"/>
      <w:bookmarkStart w:id="492" w:name="_Toc296503233"/>
      <w:bookmarkStart w:id="493" w:name="_Toc296346734"/>
      <w:bookmarkStart w:id="494" w:name="_Toc296891273"/>
      <w:bookmarkStart w:id="495" w:name="_Toc296891061"/>
      <w:r>
        <w:rPr>
          <w:rFonts w:hint="eastAsia" w:ascii="宋体" w:hAnsi="宋体" w:eastAsia="宋体" w:cs="宋体"/>
          <w:color w:val="auto"/>
          <w:sz w:val="24"/>
          <w:szCs w:val="24"/>
          <w:highlight w:val="none"/>
        </w:rPr>
        <w:t xml:space="preserve">件10:  </w:t>
      </w:r>
    </w:p>
    <w:bookmarkEnd w:id="490"/>
    <w:bookmarkEnd w:id="491"/>
    <w:bookmarkEnd w:id="492"/>
    <w:bookmarkEnd w:id="493"/>
    <w:bookmarkEnd w:id="494"/>
    <w:bookmarkEnd w:id="495"/>
    <w:p w14:paraId="0A775A7C">
      <w:pPr>
        <w:keepLines w:val="0"/>
        <w:pageBreakBefore w:val="0"/>
        <w:kinsoku/>
        <w:wordWrap/>
        <w:overflowPunct/>
        <w:topLinePunct w:val="0"/>
        <w:bidi w:val="0"/>
        <w:adjustRightInd w:val="0"/>
        <w:spacing w:line="360" w:lineRule="auto"/>
        <w:ind w:left="0" w:leftChars="0" w:right="0" w:rightChars="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支付担保</w:t>
      </w:r>
    </w:p>
    <w:p w14:paraId="4462EFE6">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（承包人）：</w:t>
      </w:r>
    </w:p>
    <w:p w14:paraId="7710665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p w14:paraId="608E64F2">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鉴于你方作为承包人已经与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（发包人名称）（以下称“发包人”）于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日签订了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（工程名称）《建设工程施工合同》（以下称“主合同”），应发包人的申请，我方愿就发包人履行主合同约定的工程款支付义务以保证的方式向你方提供如下担保：</w:t>
      </w:r>
    </w:p>
    <w:p w14:paraId="6CD49D83">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一、保证的范围及保证金额</w:t>
      </w:r>
    </w:p>
    <w:p w14:paraId="6F530B41">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1.我方的保证范围是主合同约定的工程款。</w:t>
      </w:r>
    </w:p>
    <w:p w14:paraId="02F62EE0">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2.本保函所称主合同约定的工程款是指主合同约定的除工程质量保证金以外的合同价款。</w:t>
      </w:r>
    </w:p>
    <w:p w14:paraId="4A324E9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3.我方保证的金额是主合同约定的工程款的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%，数额最高不超过人民币元（大写：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7613966">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二、保证的方式及保证期间</w:t>
      </w:r>
    </w:p>
    <w:p w14:paraId="11FECF7E">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1.我方保证的方式为：连带责任保证。</w:t>
      </w:r>
    </w:p>
    <w:p w14:paraId="12BD58FD">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2.我方保证的期间为：自本合同生效之日起至主合同约定的工程款支付完毕之日后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w:t>
      </w:r>
    </w:p>
    <w:p w14:paraId="3EE3826A">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3.你方与发包人协议变更工程款支付日期的，经我方书面同意后，保证期间按照变更后的支付日期做相应调整。</w:t>
      </w:r>
    </w:p>
    <w:p w14:paraId="301968E7">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三、承担保证责任的形式</w:t>
      </w:r>
    </w:p>
    <w:p w14:paraId="44C038E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我方承担保证责任的形式是代为支付。发包人未按主合同约定向你方支付工程款的，由我方在保证金额内代为支付。</w:t>
      </w:r>
    </w:p>
    <w:p w14:paraId="4C411B1F">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四、代偿的安排</w:t>
      </w:r>
    </w:p>
    <w:p w14:paraId="21D8C493">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1.你方要求我方承担保证责任的，应向我方发出书面索赔通知及发包人未支付主合同约定工程款的证明材料。索赔通知应写明要求索赔的金额，支付款项应到达的账号。</w:t>
      </w:r>
    </w:p>
    <w:p w14:paraId="0AAC083D">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2.在出现你方与发包人因工程质量发生争议，发包人拒绝向你方支付工程款的情形时，你方要求我方履行保证责任代为支付的，需提供符合相应条件要求的工程质量检测机构出具的质量说明材料。</w:t>
      </w:r>
    </w:p>
    <w:p w14:paraId="7FDDD319">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3.我方收到你方的书面索赔通知及相应的证明材料后７天内无条件支付。</w:t>
      </w:r>
    </w:p>
    <w:p w14:paraId="5D2CAC56">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五、保证责任的解除</w:t>
      </w:r>
    </w:p>
    <w:p w14:paraId="76E6CE60">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1.在本保函承诺的保证期间内，你方未书面向我方主张保证责任的，自保证期间届满次日起，我方保证责任解除。</w:t>
      </w:r>
    </w:p>
    <w:p w14:paraId="70FEEF09">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2.发包人按主合同约定履行了工程款的全部支付义务的，自本保函承诺的保证期间届满次日起，我方保证责任解除。</w:t>
      </w:r>
    </w:p>
    <w:p w14:paraId="72C0CB26">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3.我方按照本保函向你方履行保证责任所支付金额达到本保函保证金额时，自我方向你方支付（支付款项从我方账户划出）之日起，保证责任即解除。</w:t>
      </w:r>
    </w:p>
    <w:p w14:paraId="01B56720">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4.按照法律法规的规定或出现应解除我方保证责任的其他情形的，我方在本保函项下的保证责任亦解除。</w:t>
      </w:r>
    </w:p>
    <w:p w14:paraId="6942975D">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p w14:paraId="79D699AE">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5.我方解除保证责任后，你方应自我方保证责任解除之日起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个工作日内，将本保函原件返还我方。</w:t>
      </w:r>
    </w:p>
    <w:p w14:paraId="7B795C48">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六、免责条款</w:t>
      </w:r>
    </w:p>
    <w:p w14:paraId="4369FE3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1.因你方违约致使发包人不能履行义务的，我方不承担保证责任。</w:t>
      </w:r>
    </w:p>
    <w:p w14:paraId="0679FB5B">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2.依照法律法规的规定或你方与发包人的另行约定，免除发包人部分或全部义务的，我方亦免除其相应的保证责任。</w:t>
      </w:r>
    </w:p>
    <w:p w14:paraId="52C3EA54">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3.你方与发包人协议变更主合同的，如加重发包人责任致使我方保证责任加重的，需征得我方书面同意，否则我方不再承担因此而加重部分的保证责任，但主合同第10条〔变更〕约定的变更不受本款限制。</w:t>
      </w:r>
    </w:p>
    <w:p w14:paraId="62FE989A">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4.因不可抗力造成发包人不能履行义务的，我方不承担保证责任。</w:t>
      </w:r>
    </w:p>
    <w:p w14:paraId="57A229B4">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七、争议解决</w:t>
      </w:r>
    </w:p>
    <w:p w14:paraId="6F0612D6">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因本保函或本保函相关事项发生的纠纷，可由双方协商解决，协商不成的，按下列第</w:t>
      </w:r>
      <w:r>
        <w:rPr>
          <w:rFonts w:hint="eastAsia" w:ascii="宋体" w:hAnsi="宋体" w:eastAsia="宋体" w:cs="宋体"/>
          <w:color w:val="auto"/>
          <w:sz w:val="24"/>
          <w:szCs w:val="24"/>
          <w:highlight w:val="none"/>
          <w:u w:val="single"/>
        </w:rPr>
        <w:t>（2）</w:t>
      </w:r>
      <w:r>
        <w:rPr>
          <w:rFonts w:hint="eastAsia" w:ascii="宋体" w:hAnsi="宋体" w:eastAsia="宋体" w:cs="宋体"/>
          <w:color w:val="auto"/>
          <w:sz w:val="24"/>
          <w:szCs w:val="24"/>
          <w:highlight w:val="none"/>
        </w:rPr>
        <w:t>种方式解决：</w:t>
      </w:r>
    </w:p>
    <w:p w14:paraId="329A30B9">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仲裁委员会申请仲裁；</w:t>
      </w:r>
    </w:p>
    <w:p w14:paraId="2658ECD1">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工程所在地</w:t>
      </w:r>
      <w:r>
        <w:rPr>
          <w:rFonts w:hint="eastAsia" w:ascii="宋体" w:hAnsi="宋体" w:eastAsia="宋体" w:cs="宋体"/>
          <w:color w:val="auto"/>
          <w:sz w:val="24"/>
          <w:szCs w:val="24"/>
          <w:highlight w:val="none"/>
        </w:rPr>
        <w:t>人民法院起诉。</w:t>
      </w:r>
    </w:p>
    <w:p w14:paraId="5811887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八、保函的生效</w:t>
      </w:r>
    </w:p>
    <w:p w14:paraId="3F01E37C">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本保函自我方法定代表人（或其授权代理人）签字并加盖公章之日起生效。</w:t>
      </w:r>
    </w:p>
    <w:p w14:paraId="65BC2AD7">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p w14:paraId="750E5845">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p w14:paraId="0EB584FF">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担保人：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（盖章）</w:t>
      </w:r>
    </w:p>
    <w:p w14:paraId="7D111737">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1323A013">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122BDD1D">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p>
    <w:p w14:paraId="61B26B59">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p>
    <w:p w14:paraId="152706E6">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u w:val="single"/>
        </w:rPr>
      </w:pPr>
    </w:p>
    <w:p w14:paraId="49922C18">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6272B24">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附件11：</w:t>
      </w:r>
    </w:p>
    <w:p w14:paraId="04D2042C">
      <w:pPr>
        <w:keepLines w:val="0"/>
        <w:pageBreakBefore w:val="0"/>
        <w:kinsoku/>
        <w:wordWrap/>
        <w:overflowPunct/>
        <w:topLinePunct w:val="0"/>
        <w:bidi w:val="0"/>
        <w:adjustRightInd w:val="0"/>
        <w:spacing w:line="360" w:lineRule="auto"/>
        <w:ind w:left="0" w:leftChars="0" w:right="0" w:rightChars="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11-1：材料暂估价表</w:t>
      </w:r>
    </w:p>
    <w:tbl>
      <w:tblPr>
        <w:tblStyle w:val="62"/>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0C246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05B860F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序号</w:t>
            </w:r>
          </w:p>
        </w:tc>
        <w:tc>
          <w:tcPr>
            <w:tcW w:w="1984" w:type="dxa"/>
            <w:tcBorders>
              <w:top w:val="single" w:color="auto" w:sz="12" w:space="0"/>
              <w:bottom w:val="double" w:color="auto" w:sz="6" w:space="0"/>
            </w:tcBorders>
          </w:tcPr>
          <w:p w14:paraId="527ABDB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名称</w:t>
            </w:r>
          </w:p>
        </w:tc>
        <w:tc>
          <w:tcPr>
            <w:tcW w:w="851" w:type="dxa"/>
            <w:tcBorders>
              <w:top w:val="single" w:color="auto" w:sz="12" w:space="0"/>
              <w:bottom w:val="double" w:color="auto" w:sz="6" w:space="0"/>
            </w:tcBorders>
          </w:tcPr>
          <w:p w14:paraId="0C7B27C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单位</w:t>
            </w:r>
          </w:p>
        </w:tc>
        <w:tc>
          <w:tcPr>
            <w:tcW w:w="774" w:type="dxa"/>
            <w:tcBorders>
              <w:top w:val="single" w:color="auto" w:sz="12" w:space="0"/>
              <w:bottom w:val="double" w:color="auto" w:sz="6" w:space="0"/>
            </w:tcBorders>
          </w:tcPr>
          <w:p w14:paraId="20C73D1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数量</w:t>
            </w:r>
          </w:p>
        </w:tc>
        <w:tc>
          <w:tcPr>
            <w:tcW w:w="1352" w:type="dxa"/>
            <w:tcBorders>
              <w:top w:val="single" w:color="auto" w:sz="12" w:space="0"/>
              <w:bottom w:val="double" w:color="auto" w:sz="6" w:space="0"/>
            </w:tcBorders>
          </w:tcPr>
          <w:p w14:paraId="3E35E5C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单价（元）</w:t>
            </w:r>
          </w:p>
        </w:tc>
        <w:tc>
          <w:tcPr>
            <w:tcW w:w="1418" w:type="dxa"/>
            <w:tcBorders>
              <w:top w:val="single" w:color="auto" w:sz="12" w:space="0"/>
              <w:bottom w:val="double" w:color="auto" w:sz="6" w:space="0"/>
            </w:tcBorders>
          </w:tcPr>
          <w:p w14:paraId="25D8039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合价（元）</w:t>
            </w:r>
          </w:p>
        </w:tc>
        <w:tc>
          <w:tcPr>
            <w:tcW w:w="1701" w:type="dxa"/>
            <w:tcBorders>
              <w:top w:val="single" w:color="auto" w:sz="12" w:space="0"/>
              <w:bottom w:val="double" w:color="auto" w:sz="6" w:space="0"/>
            </w:tcBorders>
          </w:tcPr>
          <w:p w14:paraId="57FB0C2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备注</w:t>
            </w:r>
          </w:p>
        </w:tc>
      </w:tr>
      <w:tr w14:paraId="2140D4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3F149EB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Borders>
              <w:top w:val="double" w:color="auto" w:sz="6" w:space="0"/>
              <w:bottom w:val="single" w:color="auto" w:sz="6" w:space="0"/>
            </w:tcBorders>
          </w:tcPr>
          <w:p w14:paraId="6FC61F7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Borders>
              <w:top w:val="double" w:color="auto" w:sz="6" w:space="0"/>
              <w:bottom w:val="single" w:color="auto" w:sz="6" w:space="0"/>
            </w:tcBorders>
          </w:tcPr>
          <w:p w14:paraId="2DAC363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Borders>
              <w:top w:val="double" w:color="auto" w:sz="6" w:space="0"/>
              <w:bottom w:val="single" w:color="auto" w:sz="6" w:space="0"/>
            </w:tcBorders>
          </w:tcPr>
          <w:p w14:paraId="235F7D2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Borders>
              <w:top w:val="double" w:color="auto" w:sz="6" w:space="0"/>
              <w:bottom w:val="single" w:color="auto" w:sz="6" w:space="0"/>
            </w:tcBorders>
          </w:tcPr>
          <w:p w14:paraId="75361C5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Borders>
              <w:top w:val="double" w:color="auto" w:sz="6" w:space="0"/>
              <w:bottom w:val="single" w:color="auto" w:sz="6" w:space="0"/>
            </w:tcBorders>
          </w:tcPr>
          <w:p w14:paraId="1C427EC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Borders>
              <w:top w:val="double" w:color="auto" w:sz="6" w:space="0"/>
              <w:bottom w:val="single" w:color="auto" w:sz="6" w:space="0"/>
            </w:tcBorders>
          </w:tcPr>
          <w:p w14:paraId="536922A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24B35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35B09B3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Borders>
              <w:top w:val="nil"/>
            </w:tcBorders>
          </w:tcPr>
          <w:p w14:paraId="5157AC6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Borders>
              <w:top w:val="nil"/>
            </w:tcBorders>
          </w:tcPr>
          <w:p w14:paraId="2460E47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Borders>
              <w:top w:val="nil"/>
            </w:tcBorders>
          </w:tcPr>
          <w:p w14:paraId="4ED3930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Borders>
              <w:top w:val="nil"/>
            </w:tcBorders>
          </w:tcPr>
          <w:p w14:paraId="5CCD3C3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Borders>
              <w:top w:val="nil"/>
            </w:tcBorders>
          </w:tcPr>
          <w:p w14:paraId="5836255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Borders>
              <w:top w:val="nil"/>
            </w:tcBorders>
          </w:tcPr>
          <w:p w14:paraId="51E816D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37BCFF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54EC92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5911BDF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767C17E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2EA544F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57DDE38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005EF2E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4AC850E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206706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12FDC4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36832C3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587D628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786F62F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2353F74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579BCF8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646CAFA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778680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B1044E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259D945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6E330EF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60066E3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34CF9E2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24471BB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038B15E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65A6AE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AACDC3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49E8865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61511E2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61DB09E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3C990C9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72D3F25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285F009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43F729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BAFB9F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1B67077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3ACE426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70F96AA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4C3D745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3F005EF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2F6E701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749788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F97322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18DA65D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75BCDC0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7FBFBD4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73AA4EA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6AC7261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064721B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2E7A54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E6EEEB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3432D0D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42625C5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05B1268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089EC13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1A90C1A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47436E1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0DB08E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226209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6867640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0D35434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43989D0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53A5034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1AA8CD5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3DAAC02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43E958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FC6375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0E440F7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2A77F45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47D5035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30B3FA1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3D151A8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4A86F19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3AC70B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89A934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6DC4794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38951D7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47BCB2A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76B65F9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13230A2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1B49DA1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4E7DE4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6688FB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2AEE31B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67B3D4B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3700D91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419D349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13990CD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6D128BD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4F15A0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6B5F43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3E33710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1ED381F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48365EF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2D65F8D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529FF18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318A366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09751B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4CC562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31C1CF8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1E0FEC1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5C93E79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218EBEF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4D1D99D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6655B2A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2635D0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E26432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59CCCCE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1AA6DD3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2A7CCAC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20A0754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3B83B11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3F72D69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194B26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A0E3A8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252D648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15A59C2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6C68F4B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75D7F14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10C0F53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613E121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61D0CC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C44C35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6418D44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2BE648B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465D339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4CF00F3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6707AD8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695C170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50798F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2B3DC3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69BDE3C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5C2A162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3A3B46C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15C39C8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5A1E19B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1F8CD13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14FD0B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1A000B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212523F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7424762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62CD50F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3C66E39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0DB45A6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6261DD2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69E9C6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39DBB2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579199A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51FA724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5F4F39E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27E92BD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3CA583B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405CE19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292399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D5C9C8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14D6913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3F3C895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13B7728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1084A25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378D67A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02894B4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3DE833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3BEC2C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3807BAA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1C15F68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2613FEF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58C5AE9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7B6365F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1B39EDA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5CA474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0FE006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2EDF3F1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22A2FEA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75FEF5A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275BBC3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0874493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5C1638C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bl>
    <w:p w14:paraId="6EE3DD68">
      <w:pPr>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p>
    <w:p w14:paraId="7E5B1CB7">
      <w:pPr>
        <w:keepLines w:val="0"/>
        <w:pageBreakBefore w:val="0"/>
        <w:kinsoku/>
        <w:wordWrap/>
        <w:overflowPunct/>
        <w:topLinePunct w:val="0"/>
        <w:bidi w:val="0"/>
        <w:adjustRightInd w:val="0"/>
        <w:spacing w:line="360" w:lineRule="auto"/>
        <w:ind w:left="0" w:leftChars="0" w:right="0" w:rightChars="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11-2：工程设备暂估价表</w:t>
      </w:r>
    </w:p>
    <w:tbl>
      <w:tblPr>
        <w:tblStyle w:val="62"/>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606D30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5330CA9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序号</w:t>
            </w:r>
          </w:p>
        </w:tc>
        <w:tc>
          <w:tcPr>
            <w:tcW w:w="1984" w:type="dxa"/>
            <w:tcBorders>
              <w:top w:val="single" w:color="auto" w:sz="12" w:space="0"/>
              <w:bottom w:val="double" w:color="auto" w:sz="6" w:space="0"/>
            </w:tcBorders>
          </w:tcPr>
          <w:p w14:paraId="2BA4B08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名称</w:t>
            </w:r>
          </w:p>
        </w:tc>
        <w:tc>
          <w:tcPr>
            <w:tcW w:w="851" w:type="dxa"/>
            <w:tcBorders>
              <w:top w:val="single" w:color="auto" w:sz="12" w:space="0"/>
              <w:bottom w:val="double" w:color="auto" w:sz="6" w:space="0"/>
            </w:tcBorders>
          </w:tcPr>
          <w:p w14:paraId="3B3DD7A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单位</w:t>
            </w:r>
          </w:p>
        </w:tc>
        <w:tc>
          <w:tcPr>
            <w:tcW w:w="774" w:type="dxa"/>
            <w:tcBorders>
              <w:top w:val="single" w:color="auto" w:sz="12" w:space="0"/>
              <w:bottom w:val="double" w:color="auto" w:sz="6" w:space="0"/>
            </w:tcBorders>
          </w:tcPr>
          <w:p w14:paraId="5ACC08E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数量</w:t>
            </w:r>
          </w:p>
        </w:tc>
        <w:tc>
          <w:tcPr>
            <w:tcW w:w="1352" w:type="dxa"/>
            <w:tcBorders>
              <w:top w:val="single" w:color="auto" w:sz="12" w:space="0"/>
              <w:bottom w:val="double" w:color="auto" w:sz="6" w:space="0"/>
            </w:tcBorders>
          </w:tcPr>
          <w:p w14:paraId="08E3898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单价（元）</w:t>
            </w:r>
          </w:p>
        </w:tc>
        <w:tc>
          <w:tcPr>
            <w:tcW w:w="1418" w:type="dxa"/>
            <w:tcBorders>
              <w:top w:val="single" w:color="auto" w:sz="12" w:space="0"/>
              <w:bottom w:val="double" w:color="auto" w:sz="6" w:space="0"/>
            </w:tcBorders>
          </w:tcPr>
          <w:p w14:paraId="138E9FE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合价（元）</w:t>
            </w:r>
          </w:p>
        </w:tc>
        <w:tc>
          <w:tcPr>
            <w:tcW w:w="1701" w:type="dxa"/>
            <w:tcBorders>
              <w:top w:val="single" w:color="auto" w:sz="12" w:space="0"/>
              <w:bottom w:val="double" w:color="auto" w:sz="6" w:space="0"/>
            </w:tcBorders>
          </w:tcPr>
          <w:p w14:paraId="6E5C2D2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备注</w:t>
            </w:r>
          </w:p>
        </w:tc>
      </w:tr>
      <w:tr w14:paraId="69F048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45DDF37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Borders>
              <w:top w:val="double" w:color="auto" w:sz="6" w:space="0"/>
              <w:bottom w:val="single" w:color="auto" w:sz="6" w:space="0"/>
            </w:tcBorders>
          </w:tcPr>
          <w:p w14:paraId="2740472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Borders>
              <w:top w:val="double" w:color="auto" w:sz="6" w:space="0"/>
              <w:bottom w:val="single" w:color="auto" w:sz="6" w:space="0"/>
            </w:tcBorders>
          </w:tcPr>
          <w:p w14:paraId="649BDC0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Borders>
              <w:top w:val="double" w:color="auto" w:sz="6" w:space="0"/>
              <w:bottom w:val="single" w:color="auto" w:sz="6" w:space="0"/>
            </w:tcBorders>
          </w:tcPr>
          <w:p w14:paraId="643D970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Borders>
              <w:top w:val="double" w:color="auto" w:sz="6" w:space="0"/>
              <w:bottom w:val="single" w:color="auto" w:sz="6" w:space="0"/>
            </w:tcBorders>
          </w:tcPr>
          <w:p w14:paraId="1E0B953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Borders>
              <w:top w:val="double" w:color="auto" w:sz="6" w:space="0"/>
              <w:bottom w:val="single" w:color="auto" w:sz="6" w:space="0"/>
            </w:tcBorders>
          </w:tcPr>
          <w:p w14:paraId="2945EA5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Borders>
              <w:top w:val="double" w:color="auto" w:sz="6" w:space="0"/>
              <w:bottom w:val="single" w:color="auto" w:sz="6" w:space="0"/>
            </w:tcBorders>
          </w:tcPr>
          <w:p w14:paraId="097FD37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754CEC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73539A3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Borders>
              <w:top w:val="nil"/>
            </w:tcBorders>
          </w:tcPr>
          <w:p w14:paraId="41CB3BC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Borders>
              <w:top w:val="nil"/>
            </w:tcBorders>
          </w:tcPr>
          <w:p w14:paraId="3F6CF59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Borders>
              <w:top w:val="nil"/>
            </w:tcBorders>
          </w:tcPr>
          <w:p w14:paraId="6AC5FD0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Borders>
              <w:top w:val="nil"/>
            </w:tcBorders>
          </w:tcPr>
          <w:p w14:paraId="23D840B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Borders>
              <w:top w:val="nil"/>
            </w:tcBorders>
          </w:tcPr>
          <w:p w14:paraId="2B0270E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Borders>
              <w:top w:val="nil"/>
            </w:tcBorders>
          </w:tcPr>
          <w:p w14:paraId="57D9DA7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5241DC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D8161B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40E3D85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2A8BEC0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1AB8003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2C78E48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455BED0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4ACFF05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256252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039550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2BE6809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57EA8E2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6CFDFED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13B24DC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51BAFFB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011E6CC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0BB028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CF36AC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5C2ABB0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7AE2648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3F2BBC3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58F5E92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16365E2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45DD033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261819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5F4C1D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75577D1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27FC82F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13EA169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1AC6759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31CDE2B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166DC5E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5CBECF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054928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27738EC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1B8B355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1C07DF5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4BD62BE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12031A8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1BB7121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33FBE4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BAD85B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4272E5F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5EF9C63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5AB29D4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1D9BC60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49D5513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0841605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0F3437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1A8D1E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2A36506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75271A0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35C63ED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29511AE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50272E6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2C21A4A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43A7FD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8D8C58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3D8A0F6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3D74FC3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7AB5E11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1C7E143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38F4C18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1998603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34B842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F55911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414647C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5AF152C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0CF2F60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0F06520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1A10E40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709A8FE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4F1E88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829838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3F774BA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43DBED8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213C7F6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524ABB9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06C287A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3112738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0DEB28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7C50CE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73B121F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6773859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6488E50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2705ABA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151A718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35719D9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4EA4CD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08C3FC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003428D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36B595D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2AE8226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77A17B1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709AE3D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1759E7A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3E8B86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CAF43A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53F1571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71DD809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7A07AAC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383F4A3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2199391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3B80769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4A870F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8DA286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6EE237A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0B81C07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272F8B4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224EB44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3D7B662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10A9F07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425BA6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2235C3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4E7C9CA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2F04ECB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1E59596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7C7062D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5460542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4AD8848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2710FD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50AFA0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773AC4A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1EAEFEF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6359116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74BA48A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4FCCF1E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414E84D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03A150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129712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282B07E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60C5C10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29A78BE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7DACEE7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1833884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6E27FE0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7DE34C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B128C1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24FB9EB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6563156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27CDD9E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417F8EE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4B3493F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7157434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3A2C84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E1AF13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035AB18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367F195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1DD36AD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5FACF58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3F5F7AA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109BD7E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64D50A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42245F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72F7848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261001B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225FA31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165E780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0CB17AE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60592DA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6A3FFB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46A5F1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297B8DF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79418D6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48DD0B8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4E7CE4C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7A614A3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7B758FF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5747D0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E11FAA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173E2A5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23F37B8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6F725C8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4A2B300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77D2E7A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0DC92F2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0AE0D3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4D48B0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84" w:type="dxa"/>
          </w:tcPr>
          <w:p w14:paraId="37CE4CE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51" w:type="dxa"/>
          </w:tcPr>
          <w:p w14:paraId="74461EF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74" w:type="dxa"/>
          </w:tcPr>
          <w:p w14:paraId="588B458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52" w:type="dxa"/>
          </w:tcPr>
          <w:p w14:paraId="353037E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418" w:type="dxa"/>
          </w:tcPr>
          <w:p w14:paraId="0374295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701" w:type="dxa"/>
          </w:tcPr>
          <w:p w14:paraId="6BD4F54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bl>
    <w:p w14:paraId="0580C5BE">
      <w:pPr>
        <w:keepLines w:val="0"/>
        <w:pageBreakBefore w:val="0"/>
        <w:kinsoku/>
        <w:wordWrap/>
        <w:overflowPunct/>
        <w:topLinePunct w:val="0"/>
        <w:bidi w:val="0"/>
        <w:adjustRightInd w:val="0"/>
        <w:spacing w:line="360" w:lineRule="auto"/>
        <w:ind w:left="0" w:leftChars="0" w:right="0" w:rightChars="0" w:firstLine="0" w:firstLineChars="0"/>
        <w:jc w:val="both"/>
        <w:textAlignment w:val="auto"/>
        <w:rPr>
          <w:rFonts w:hint="eastAsia" w:ascii="宋体" w:hAnsi="宋体" w:eastAsia="宋体" w:cs="宋体"/>
          <w:color w:val="auto"/>
          <w:sz w:val="24"/>
          <w:szCs w:val="24"/>
          <w:highlight w:val="none"/>
        </w:rPr>
      </w:pPr>
    </w:p>
    <w:p w14:paraId="5CF12FB8">
      <w:pPr>
        <w:keepLines w:val="0"/>
        <w:pageBreakBefore w:val="0"/>
        <w:kinsoku/>
        <w:wordWrap/>
        <w:overflowPunct/>
        <w:topLinePunct w:val="0"/>
        <w:bidi w:val="0"/>
        <w:adjustRightInd w:val="0"/>
        <w:spacing w:line="36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11-3：专业工程暂估价表</w:t>
      </w:r>
    </w:p>
    <w:tbl>
      <w:tblPr>
        <w:tblStyle w:val="62"/>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73"/>
        <w:gridCol w:w="1946"/>
        <w:gridCol w:w="834"/>
        <w:gridCol w:w="757"/>
        <w:gridCol w:w="1326"/>
        <w:gridCol w:w="1391"/>
        <w:gridCol w:w="1668"/>
      </w:tblGrid>
      <w:tr w14:paraId="08A78E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00" w:hRule="atLeast"/>
        </w:trPr>
        <w:tc>
          <w:tcPr>
            <w:tcW w:w="973" w:type="dxa"/>
            <w:tcBorders>
              <w:top w:val="single" w:color="auto" w:sz="12" w:space="0"/>
              <w:bottom w:val="double" w:color="auto" w:sz="6" w:space="0"/>
            </w:tcBorders>
          </w:tcPr>
          <w:p w14:paraId="08289C2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序号</w:t>
            </w:r>
          </w:p>
        </w:tc>
        <w:tc>
          <w:tcPr>
            <w:tcW w:w="1946" w:type="dxa"/>
            <w:tcBorders>
              <w:top w:val="single" w:color="auto" w:sz="12" w:space="0"/>
              <w:bottom w:val="double" w:color="auto" w:sz="6" w:space="0"/>
            </w:tcBorders>
          </w:tcPr>
          <w:p w14:paraId="3A71C2C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名称</w:t>
            </w:r>
          </w:p>
        </w:tc>
        <w:tc>
          <w:tcPr>
            <w:tcW w:w="834" w:type="dxa"/>
            <w:tcBorders>
              <w:top w:val="single" w:color="auto" w:sz="12" w:space="0"/>
              <w:bottom w:val="double" w:color="auto" w:sz="6" w:space="0"/>
            </w:tcBorders>
          </w:tcPr>
          <w:p w14:paraId="23A307F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单位</w:t>
            </w:r>
          </w:p>
        </w:tc>
        <w:tc>
          <w:tcPr>
            <w:tcW w:w="757" w:type="dxa"/>
            <w:tcBorders>
              <w:top w:val="single" w:color="auto" w:sz="12" w:space="0"/>
              <w:bottom w:val="double" w:color="auto" w:sz="6" w:space="0"/>
            </w:tcBorders>
          </w:tcPr>
          <w:p w14:paraId="113F4E1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数量</w:t>
            </w:r>
          </w:p>
        </w:tc>
        <w:tc>
          <w:tcPr>
            <w:tcW w:w="1326" w:type="dxa"/>
            <w:tcBorders>
              <w:top w:val="single" w:color="auto" w:sz="12" w:space="0"/>
              <w:bottom w:val="double" w:color="auto" w:sz="6" w:space="0"/>
            </w:tcBorders>
          </w:tcPr>
          <w:p w14:paraId="2F1067F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单价（元）</w:t>
            </w:r>
          </w:p>
        </w:tc>
        <w:tc>
          <w:tcPr>
            <w:tcW w:w="1391" w:type="dxa"/>
            <w:tcBorders>
              <w:top w:val="single" w:color="auto" w:sz="12" w:space="0"/>
              <w:bottom w:val="double" w:color="auto" w:sz="6" w:space="0"/>
            </w:tcBorders>
          </w:tcPr>
          <w:p w14:paraId="352CE7E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合价（元）</w:t>
            </w:r>
          </w:p>
        </w:tc>
        <w:tc>
          <w:tcPr>
            <w:tcW w:w="1668" w:type="dxa"/>
            <w:tcBorders>
              <w:top w:val="single" w:color="auto" w:sz="12" w:space="0"/>
              <w:bottom w:val="double" w:color="auto" w:sz="6" w:space="0"/>
            </w:tcBorders>
          </w:tcPr>
          <w:p w14:paraId="596D9EB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备注</w:t>
            </w:r>
          </w:p>
        </w:tc>
      </w:tr>
      <w:tr w14:paraId="767572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trPr>
        <w:tc>
          <w:tcPr>
            <w:tcW w:w="973" w:type="dxa"/>
            <w:tcBorders>
              <w:top w:val="double" w:color="auto" w:sz="6" w:space="0"/>
              <w:bottom w:val="single" w:color="auto" w:sz="6" w:space="0"/>
            </w:tcBorders>
          </w:tcPr>
          <w:p w14:paraId="5353A05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46" w:type="dxa"/>
            <w:tcBorders>
              <w:top w:val="double" w:color="auto" w:sz="6" w:space="0"/>
              <w:bottom w:val="single" w:color="auto" w:sz="6" w:space="0"/>
            </w:tcBorders>
          </w:tcPr>
          <w:p w14:paraId="54D9D47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34" w:type="dxa"/>
            <w:tcBorders>
              <w:top w:val="double" w:color="auto" w:sz="6" w:space="0"/>
              <w:bottom w:val="single" w:color="auto" w:sz="6" w:space="0"/>
            </w:tcBorders>
          </w:tcPr>
          <w:p w14:paraId="1A3CC49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57" w:type="dxa"/>
            <w:tcBorders>
              <w:top w:val="double" w:color="auto" w:sz="6" w:space="0"/>
              <w:bottom w:val="single" w:color="auto" w:sz="6" w:space="0"/>
            </w:tcBorders>
          </w:tcPr>
          <w:p w14:paraId="27A2061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26" w:type="dxa"/>
            <w:tcBorders>
              <w:top w:val="double" w:color="auto" w:sz="6" w:space="0"/>
              <w:bottom w:val="single" w:color="auto" w:sz="6" w:space="0"/>
            </w:tcBorders>
          </w:tcPr>
          <w:p w14:paraId="1093012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91" w:type="dxa"/>
            <w:tcBorders>
              <w:top w:val="double" w:color="auto" w:sz="6" w:space="0"/>
              <w:bottom w:val="single" w:color="auto" w:sz="6" w:space="0"/>
            </w:tcBorders>
          </w:tcPr>
          <w:p w14:paraId="2D352B3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668" w:type="dxa"/>
            <w:tcBorders>
              <w:top w:val="double" w:color="auto" w:sz="6" w:space="0"/>
              <w:bottom w:val="single" w:color="auto" w:sz="6" w:space="0"/>
            </w:tcBorders>
          </w:tcPr>
          <w:p w14:paraId="0D7E7FB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008057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9" w:hRule="atLeast"/>
        </w:trPr>
        <w:tc>
          <w:tcPr>
            <w:tcW w:w="973" w:type="dxa"/>
            <w:tcBorders>
              <w:top w:val="nil"/>
            </w:tcBorders>
          </w:tcPr>
          <w:p w14:paraId="14ADA3C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46" w:type="dxa"/>
            <w:tcBorders>
              <w:top w:val="nil"/>
            </w:tcBorders>
          </w:tcPr>
          <w:p w14:paraId="0FC0B82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34" w:type="dxa"/>
            <w:tcBorders>
              <w:top w:val="nil"/>
            </w:tcBorders>
          </w:tcPr>
          <w:p w14:paraId="265A55A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57" w:type="dxa"/>
            <w:tcBorders>
              <w:top w:val="nil"/>
            </w:tcBorders>
          </w:tcPr>
          <w:p w14:paraId="2F483B4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26" w:type="dxa"/>
            <w:tcBorders>
              <w:top w:val="nil"/>
            </w:tcBorders>
          </w:tcPr>
          <w:p w14:paraId="3F2BBA7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91" w:type="dxa"/>
            <w:tcBorders>
              <w:top w:val="nil"/>
            </w:tcBorders>
          </w:tcPr>
          <w:p w14:paraId="3D336A0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668" w:type="dxa"/>
            <w:tcBorders>
              <w:top w:val="nil"/>
            </w:tcBorders>
          </w:tcPr>
          <w:p w14:paraId="2AD531E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3412E6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9" w:hRule="atLeast"/>
        </w:trPr>
        <w:tc>
          <w:tcPr>
            <w:tcW w:w="973" w:type="dxa"/>
          </w:tcPr>
          <w:p w14:paraId="5C3C1A4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46" w:type="dxa"/>
          </w:tcPr>
          <w:p w14:paraId="6CE1498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34" w:type="dxa"/>
          </w:tcPr>
          <w:p w14:paraId="16C9753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57" w:type="dxa"/>
          </w:tcPr>
          <w:p w14:paraId="1DACAAE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26" w:type="dxa"/>
          </w:tcPr>
          <w:p w14:paraId="4907AB0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91" w:type="dxa"/>
          </w:tcPr>
          <w:p w14:paraId="3FD9547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668" w:type="dxa"/>
          </w:tcPr>
          <w:p w14:paraId="6F9AD5B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5DB559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9" w:hRule="atLeast"/>
        </w:trPr>
        <w:tc>
          <w:tcPr>
            <w:tcW w:w="973" w:type="dxa"/>
          </w:tcPr>
          <w:p w14:paraId="16C9CAB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46" w:type="dxa"/>
          </w:tcPr>
          <w:p w14:paraId="707ECE1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34" w:type="dxa"/>
          </w:tcPr>
          <w:p w14:paraId="1DBE54F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57" w:type="dxa"/>
          </w:tcPr>
          <w:p w14:paraId="6AB673D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26" w:type="dxa"/>
          </w:tcPr>
          <w:p w14:paraId="23538DF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91" w:type="dxa"/>
          </w:tcPr>
          <w:p w14:paraId="2CB9691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668" w:type="dxa"/>
          </w:tcPr>
          <w:p w14:paraId="6275846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04FE5F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9" w:hRule="atLeast"/>
        </w:trPr>
        <w:tc>
          <w:tcPr>
            <w:tcW w:w="973" w:type="dxa"/>
          </w:tcPr>
          <w:p w14:paraId="69093A8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46" w:type="dxa"/>
          </w:tcPr>
          <w:p w14:paraId="3E8E72C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34" w:type="dxa"/>
          </w:tcPr>
          <w:p w14:paraId="3D4E883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57" w:type="dxa"/>
          </w:tcPr>
          <w:p w14:paraId="3826520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26" w:type="dxa"/>
          </w:tcPr>
          <w:p w14:paraId="0A4561A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91" w:type="dxa"/>
          </w:tcPr>
          <w:p w14:paraId="71FB3A8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668" w:type="dxa"/>
          </w:tcPr>
          <w:p w14:paraId="3DBCEDA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785D5C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9" w:hRule="atLeast"/>
        </w:trPr>
        <w:tc>
          <w:tcPr>
            <w:tcW w:w="973" w:type="dxa"/>
          </w:tcPr>
          <w:p w14:paraId="0A73910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46" w:type="dxa"/>
          </w:tcPr>
          <w:p w14:paraId="6A62BC9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34" w:type="dxa"/>
          </w:tcPr>
          <w:p w14:paraId="456EBAC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57" w:type="dxa"/>
          </w:tcPr>
          <w:p w14:paraId="5B92E8F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26" w:type="dxa"/>
          </w:tcPr>
          <w:p w14:paraId="0F41C4E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91" w:type="dxa"/>
          </w:tcPr>
          <w:p w14:paraId="06CB120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668" w:type="dxa"/>
          </w:tcPr>
          <w:p w14:paraId="6F95A03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2EBBA1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9" w:hRule="atLeast"/>
        </w:trPr>
        <w:tc>
          <w:tcPr>
            <w:tcW w:w="973" w:type="dxa"/>
          </w:tcPr>
          <w:p w14:paraId="7CC08D0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46" w:type="dxa"/>
          </w:tcPr>
          <w:p w14:paraId="6C282AF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34" w:type="dxa"/>
          </w:tcPr>
          <w:p w14:paraId="0BA45B3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57" w:type="dxa"/>
          </w:tcPr>
          <w:p w14:paraId="2B80F84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26" w:type="dxa"/>
          </w:tcPr>
          <w:p w14:paraId="0931882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91" w:type="dxa"/>
          </w:tcPr>
          <w:p w14:paraId="4912705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668" w:type="dxa"/>
          </w:tcPr>
          <w:p w14:paraId="36D59AC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377A42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9" w:hRule="atLeast"/>
        </w:trPr>
        <w:tc>
          <w:tcPr>
            <w:tcW w:w="973" w:type="dxa"/>
          </w:tcPr>
          <w:p w14:paraId="1954FB4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46" w:type="dxa"/>
          </w:tcPr>
          <w:p w14:paraId="16F4F7D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34" w:type="dxa"/>
          </w:tcPr>
          <w:p w14:paraId="3A58385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57" w:type="dxa"/>
          </w:tcPr>
          <w:p w14:paraId="1B5695A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26" w:type="dxa"/>
          </w:tcPr>
          <w:p w14:paraId="4384BFD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91" w:type="dxa"/>
          </w:tcPr>
          <w:p w14:paraId="4F39242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668" w:type="dxa"/>
          </w:tcPr>
          <w:p w14:paraId="73F3419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44D158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9" w:hRule="atLeast"/>
        </w:trPr>
        <w:tc>
          <w:tcPr>
            <w:tcW w:w="973" w:type="dxa"/>
          </w:tcPr>
          <w:p w14:paraId="720131E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46" w:type="dxa"/>
          </w:tcPr>
          <w:p w14:paraId="4308907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34" w:type="dxa"/>
          </w:tcPr>
          <w:p w14:paraId="567F3D2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57" w:type="dxa"/>
          </w:tcPr>
          <w:p w14:paraId="2701D36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26" w:type="dxa"/>
          </w:tcPr>
          <w:p w14:paraId="5EB270D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91" w:type="dxa"/>
          </w:tcPr>
          <w:p w14:paraId="140A336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668" w:type="dxa"/>
          </w:tcPr>
          <w:p w14:paraId="6C204D3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438D4D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9" w:hRule="atLeast"/>
        </w:trPr>
        <w:tc>
          <w:tcPr>
            <w:tcW w:w="973" w:type="dxa"/>
          </w:tcPr>
          <w:p w14:paraId="0C9C7F6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46" w:type="dxa"/>
          </w:tcPr>
          <w:p w14:paraId="04D7F98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34" w:type="dxa"/>
          </w:tcPr>
          <w:p w14:paraId="39E90A4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57" w:type="dxa"/>
          </w:tcPr>
          <w:p w14:paraId="49BC30E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26" w:type="dxa"/>
          </w:tcPr>
          <w:p w14:paraId="366517F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91" w:type="dxa"/>
          </w:tcPr>
          <w:p w14:paraId="52CA32B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668" w:type="dxa"/>
          </w:tcPr>
          <w:p w14:paraId="25EA96E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74DB4C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9" w:hRule="atLeast"/>
        </w:trPr>
        <w:tc>
          <w:tcPr>
            <w:tcW w:w="973" w:type="dxa"/>
          </w:tcPr>
          <w:p w14:paraId="7339551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46" w:type="dxa"/>
          </w:tcPr>
          <w:p w14:paraId="7411A5E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34" w:type="dxa"/>
          </w:tcPr>
          <w:p w14:paraId="2B6ADD1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57" w:type="dxa"/>
          </w:tcPr>
          <w:p w14:paraId="6BDE395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26" w:type="dxa"/>
          </w:tcPr>
          <w:p w14:paraId="4644192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91" w:type="dxa"/>
          </w:tcPr>
          <w:p w14:paraId="12A94E8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668" w:type="dxa"/>
          </w:tcPr>
          <w:p w14:paraId="2F66D5A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0252AF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9" w:hRule="atLeast"/>
        </w:trPr>
        <w:tc>
          <w:tcPr>
            <w:tcW w:w="973" w:type="dxa"/>
          </w:tcPr>
          <w:p w14:paraId="14F68CB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46" w:type="dxa"/>
          </w:tcPr>
          <w:p w14:paraId="0AFCEC9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34" w:type="dxa"/>
          </w:tcPr>
          <w:p w14:paraId="4DD985D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57" w:type="dxa"/>
          </w:tcPr>
          <w:p w14:paraId="00AB319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26" w:type="dxa"/>
          </w:tcPr>
          <w:p w14:paraId="4A32DD9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91" w:type="dxa"/>
          </w:tcPr>
          <w:p w14:paraId="5B33CFC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668" w:type="dxa"/>
          </w:tcPr>
          <w:p w14:paraId="0D4FEC0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7F3040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9" w:hRule="atLeast"/>
        </w:trPr>
        <w:tc>
          <w:tcPr>
            <w:tcW w:w="973" w:type="dxa"/>
          </w:tcPr>
          <w:p w14:paraId="1B48681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46" w:type="dxa"/>
          </w:tcPr>
          <w:p w14:paraId="187CD8D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34" w:type="dxa"/>
          </w:tcPr>
          <w:p w14:paraId="072B5E6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57" w:type="dxa"/>
          </w:tcPr>
          <w:p w14:paraId="59AFB5E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26" w:type="dxa"/>
          </w:tcPr>
          <w:p w14:paraId="4237FEC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91" w:type="dxa"/>
          </w:tcPr>
          <w:p w14:paraId="5F185F0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668" w:type="dxa"/>
          </w:tcPr>
          <w:p w14:paraId="62370AE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608B35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9" w:hRule="atLeast"/>
        </w:trPr>
        <w:tc>
          <w:tcPr>
            <w:tcW w:w="973" w:type="dxa"/>
          </w:tcPr>
          <w:p w14:paraId="66E205B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46" w:type="dxa"/>
          </w:tcPr>
          <w:p w14:paraId="62F0856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34" w:type="dxa"/>
          </w:tcPr>
          <w:p w14:paraId="1FB04B4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57" w:type="dxa"/>
          </w:tcPr>
          <w:p w14:paraId="03B7600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26" w:type="dxa"/>
          </w:tcPr>
          <w:p w14:paraId="2AFDDAB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91" w:type="dxa"/>
          </w:tcPr>
          <w:p w14:paraId="0CAA38F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668" w:type="dxa"/>
          </w:tcPr>
          <w:p w14:paraId="6601006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3A2F21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9" w:hRule="atLeast"/>
        </w:trPr>
        <w:tc>
          <w:tcPr>
            <w:tcW w:w="973" w:type="dxa"/>
          </w:tcPr>
          <w:p w14:paraId="795F340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46" w:type="dxa"/>
          </w:tcPr>
          <w:p w14:paraId="279654D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34" w:type="dxa"/>
          </w:tcPr>
          <w:p w14:paraId="7469085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57" w:type="dxa"/>
          </w:tcPr>
          <w:p w14:paraId="21055D0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26" w:type="dxa"/>
          </w:tcPr>
          <w:p w14:paraId="73C15A3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91" w:type="dxa"/>
          </w:tcPr>
          <w:p w14:paraId="23C1780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668" w:type="dxa"/>
          </w:tcPr>
          <w:p w14:paraId="2F51269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681072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9" w:hRule="atLeast"/>
        </w:trPr>
        <w:tc>
          <w:tcPr>
            <w:tcW w:w="973" w:type="dxa"/>
          </w:tcPr>
          <w:p w14:paraId="768B15A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46" w:type="dxa"/>
          </w:tcPr>
          <w:p w14:paraId="7DA1937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34" w:type="dxa"/>
          </w:tcPr>
          <w:p w14:paraId="0E1E752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57" w:type="dxa"/>
          </w:tcPr>
          <w:p w14:paraId="7FE0AE2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26" w:type="dxa"/>
          </w:tcPr>
          <w:p w14:paraId="02A3511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91" w:type="dxa"/>
          </w:tcPr>
          <w:p w14:paraId="3BB952D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668" w:type="dxa"/>
          </w:tcPr>
          <w:p w14:paraId="43CA3CB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30BA17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9" w:hRule="atLeast"/>
        </w:trPr>
        <w:tc>
          <w:tcPr>
            <w:tcW w:w="973" w:type="dxa"/>
          </w:tcPr>
          <w:p w14:paraId="416E11E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46" w:type="dxa"/>
          </w:tcPr>
          <w:p w14:paraId="65CB9643">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34" w:type="dxa"/>
          </w:tcPr>
          <w:p w14:paraId="4A96A92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57" w:type="dxa"/>
          </w:tcPr>
          <w:p w14:paraId="4D347951">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26" w:type="dxa"/>
          </w:tcPr>
          <w:p w14:paraId="07AB5F1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91" w:type="dxa"/>
          </w:tcPr>
          <w:p w14:paraId="2AC8851C">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668" w:type="dxa"/>
          </w:tcPr>
          <w:p w14:paraId="3B48044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2C8284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9" w:hRule="atLeast"/>
        </w:trPr>
        <w:tc>
          <w:tcPr>
            <w:tcW w:w="973" w:type="dxa"/>
          </w:tcPr>
          <w:p w14:paraId="584F96E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46" w:type="dxa"/>
          </w:tcPr>
          <w:p w14:paraId="2CE5A33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34" w:type="dxa"/>
          </w:tcPr>
          <w:p w14:paraId="6402E1C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57" w:type="dxa"/>
          </w:tcPr>
          <w:p w14:paraId="7BAB5784">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26" w:type="dxa"/>
          </w:tcPr>
          <w:p w14:paraId="7E444CFA">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91" w:type="dxa"/>
          </w:tcPr>
          <w:p w14:paraId="4844001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668" w:type="dxa"/>
          </w:tcPr>
          <w:p w14:paraId="06BDCF8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6AE0F1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9" w:hRule="atLeast"/>
        </w:trPr>
        <w:tc>
          <w:tcPr>
            <w:tcW w:w="973" w:type="dxa"/>
          </w:tcPr>
          <w:p w14:paraId="07C473FD">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46" w:type="dxa"/>
          </w:tcPr>
          <w:p w14:paraId="16C1BD0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34" w:type="dxa"/>
          </w:tcPr>
          <w:p w14:paraId="6084335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57" w:type="dxa"/>
          </w:tcPr>
          <w:p w14:paraId="605B610E">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26" w:type="dxa"/>
          </w:tcPr>
          <w:p w14:paraId="6AFDE6E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91" w:type="dxa"/>
          </w:tcPr>
          <w:p w14:paraId="3692EFDB">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668" w:type="dxa"/>
          </w:tcPr>
          <w:p w14:paraId="61923C6F">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r w14:paraId="3F7D7D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973" w:type="dxa"/>
          </w:tcPr>
          <w:p w14:paraId="17281F99">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946" w:type="dxa"/>
          </w:tcPr>
          <w:p w14:paraId="7C7F43D5">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834" w:type="dxa"/>
          </w:tcPr>
          <w:p w14:paraId="3B145876">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757" w:type="dxa"/>
          </w:tcPr>
          <w:p w14:paraId="52B69A82">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26" w:type="dxa"/>
          </w:tcPr>
          <w:p w14:paraId="6EFBEEA7">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391" w:type="dxa"/>
          </w:tcPr>
          <w:p w14:paraId="6E4ACF80">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c>
          <w:tcPr>
            <w:tcW w:w="1668" w:type="dxa"/>
          </w:tcPr>
          <w:p w14:paraId="0EC7BFA8">
            <w:pPr>
              <w:pStyle w:val="23"/>
              <w:keepNext/>
              <w:keepLines w:val="0"/>
              <w:pageBreakBefore w:val="0"/>
              <w:kinsoku/>
              <w:wordWrap/>
              <w:overflowPunct/>
              <w:topLinePunct w:val="0"/>
              <w:bidi w:val="0"/>
              <w:adjustRightInd w:val="0"/>
              <w:spacing w:line="36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p>
        </w:tc>
      </w:tr>
    </w:tbl>
    <w:p w14:paraId="293437D2">
      <w:pPr>
        <w:adjustRightInd/>
        <w:spacing w:line="300" w:lineRule="auto"/>
        <w:jc w:val="left"/>
        <w:rPr>
          <w:rFonts w:ascii="宋体" w:hAnsi="宋体" w:cs="宋体"/>
          <w:b/>
          <w:color w:val="auto"/>
          <w:sz w:val="28"/>
          <w:szCs w:val="28"/>
          <w:highlight w:val="none"/>
        </w:rPr>
      </w:pPr>
      <w:r>
        <w:rPr>
          <w:rFonts w:hint="eastAsia" w:ascii="宋体" w:hAnsi="宋体"/>
          <w:snapToGrid w:val="0"/>
          <w:color w:val="auto"/>
          <w:kern w:val="0"/>
          <w:szCs w:val="21"/>
          <w:highlight w:val="none"/>
        </w:rPr>
        <w:t xml:space="preserve">     </w:t>
      </w:r>
    </w:p>
    <w:p w14:paraId="5B6A5D7B">
      <w:pPr>
        <w:spacing w:line="360" w:lineRule="auto"/>
        <w:ind w:left="-420" w:leftChars="-200" w:right="-420" w:rightChars="-200" w:firstLine="480" w:firstLineChars="200"/>
        <w:jc w:val="center"/>
        <w:outlineLvl w:val="0"/>
        <w:rPr>
          <w:rFonts w:hint="eastAsia" w:ascii="宋体" w:hAnsi="宋体" w:cs="宋体"/>
          <w:snapToGrid w:val="0"/>
          <w:color w:val="auto"/>
          <w:kern w:val="44"/>
          <w:sz w:val="24"/>
          <w:szCs w:val="20"/>
          <w:highlight w:val="none"/>
        </w:rPr>
        <w:sectPr>
          <w:pgSz w:w="11906" w:h="16838"/>
          <w:pgMar w:top="1440" w:right="1080" w:bottom="1440" w:left="1080" w:header="851" w:footer="992" w:gutter="0"/>
          <w:cols w:space="720" w:num="1"/>
          <w:titlePg/>
          <w:docGrid w:linePitch="312" w:charSpace="0"/>
        </w:sectPr>
      </w:pPr>
    </w:p>
    <w:p w14:paraId="705BA74A">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9"/>
      <w:r>
        <w:rPr>
          <w:rFonts w:hint="eastAsia" w:ascii="宋体" w:hAnsi="宋体" w:cs="宋体"/>
          <w:b/>
          <w:color w:val="auto"/>
          <w:sz w:val="36"/>
          <w:szCs w:val="20"/>
          <w:highlight w:val="none"/>
        </w:rPr>
        <w:t xml:space="preserve"> </w:t>
      </w:r>
      <w:bookmarkEnd w:id="400"/>
      <w:r>
        <w:rPr>
          <w:rFonts w:hint="eastAsia" w:ascii="宋体" w:hAnsi="宋体" w:cs="宋体"/>
          <w:b/>
          <w:color w:val="auto"/>
          <w:sz w:val="36"/>
          <w:szCs w:val="20"/>
          <w:highlight w:val="none"/>
        </w:rPr>
        <w:t>应提交的有关格式范例</w:t>
      </w:r>
    </w:p>
    <w:p w14:paraId="1458F44A">
      <w:pPr>
        <w:spacing w:line="360" w:lineRule="auto"/>
        <w:jc w:val="center"/>
        <w:outlineLvl w:val="0"/>
        <w:rPr>
          <w:rFonts w:ascii="宋体" w:hAnsi="宋体" w:cs="宋体"/>
          <w:b/>
          <w:color w:val="auto"/>
          <w:kern w:val="0"/>
          <w:sz w:val="36"/>
          <w:szCs w:val="36"/>
          <w:highlight w:val="none"/>
        </w:rPr>
      </w:pPr>
    </w:p>
    <w:p w14:paraId="31C18BB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9E7DC0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EA7431">
      <w:pPr>
        <w:spacing w:line="360" w:lineRule="auto"/>
        <w:jc w:val="center"/>
        <w:outlineLvl w:val="0"/>
        <w:rPr>
          <w:rFonts w:ascii="宋体" w:hAnsi="宋体" w:cs="宋体"/>
          <w:b/>
          <w:color w:val="auto"/>
          <w:kern w:val="0"/>
          <w:sz w:val="36"/>
          <w:szCs w:val="36"/>
          <w:highlight w:val="none"/>
        </w:rPr>
      </w:pPr>
    </w:p>
    <w:p w14:paraId="56C55EA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BBDADB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A11D1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94CB9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DC06B98">
      <w:pPr>
        <w:snapToGrid w:val="0"/>
        <w:spacing w:line="360" w:lineRule="auto"/>
        <w:ind w:firstLine="480" w:firstLineChars="200"/>
        <w:rPr>
          <w:rFonts w:ascii="宋体" w:hAnsi="宋体" w:cs="宋体"/>
          <w:color w:val="auto"/>
          <w:sz w:val="24"/>
          <w:highlight w:val="none"/>
        </w:rPr>
      </w:pPr>
    </w:p>
    <w:p w14:paraId="0FC15DAE">
      <w:pPr>
        <w:spacing w:line="360" w:lineRule="auto"/>
        <w:ind w:firstLine="480" w:firstLineChars="200"/>
        <w:rPr>
          <w:rFonts w:ascii="宋体" w:hAnsi="宋体" w:cs="宋体"/>
          <w:color w:val="auto"/>
          <w:sz w:val="24"/>
          <w:highlight w:val="none"/>
        </w:rPr>
      </w:pPr>
    </w:p>
    <w:p w14:paraId="5DAFDF6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340EBA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杭州市长寿桥小学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浙江西建工程管理有限公司</w:t>
      </w:r>
      <w:r>
        <w:rPr>
          <w:rFonts w:hint="eastAsia" w:ascii="宋体" w:hAnsi="宋体" w:cs="宋体"/>
          <w:color w:val="auto"/>
          <w:sz w:val="24"/>
          <w:highlight w:val="none"/>
        </w:rPr>
        <w:t>：</w:t>
      </w:r>
    </w:p>
    <w:p w14:paraId="5A522C3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长寿桥小学维修改造工程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XJZB[2025]044</w:t>
      </w:r>
      <w:r>
        <w:rPr>
          <w:rFonts w:hint="eastAsia" w:ascii="宋体" w:hAnsi="宋体" w:cs="宋体"/>
          <w:color w:val="auto"/>
          <w:sz w:val="24"/>
          <w:highlight w:val="none"/>
        </w:rPr>
        <w:t>】政府采购活动，郑重承诺：</w:t>
      </w:r>
    </w:p>
    <w:p w14:paraId="513DF9F0">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7B7C0C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4E186B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1C9032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B5840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48266F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BA5FFE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FCEFEE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7570A6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40C2CC7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1A5527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E0D30E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2E05F8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4EA98F1">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32BDDF48">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977B67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[以联合体形式参与的，提供联合协议（附件5）；本项目不接受联合体或者供应商不以联合体形式投参与的，则不需要提供]</w:t>
      </w:r>
    </w:p>
    <w:p w14:paraId="2CC2C992">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44F3A54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B6149F8">
      <w:pPr>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14:paraId="0D78B42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813D83B">
      <w:pPr>
        <w:widowControl/>
        <w:spacing w:line="360" w:lineRule="auto"/>
        <w:ind w:firstLine="480"/>
        <w:jc w:val="left"/>
        <w:rPr>
          <w:rFonts w:ascii="宋体" w:hAnsi="宋体" w:cs="宋体"/>
          <w:color w:val="auto"/>
          <w:sz w:val="24"/>
          <w:highlight w:val="none"/>
        </w:rPr>
      </w:pPr>
    </w:p>
    <w:p w14:paraId="2D6181D0">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1BF34BB">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637598A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E663A50">
      <w:pPr>
        <w:widowControl/>
        <w:spacing w:line="360" w:lineRule="auto"/>
        <w:ind w:left="150"/>
        <w:jc w:val="center"/>
        <w:rPr>
          <w:rFonts w:ascii="宋体" w:hAnsi="宋体" w:cs="宋体"/>
          <w:b/>
          <w:color w:val="auto"/>
          <w:kern w:val="0"/>
          <w:sz w:val="32"/>
          <w:szCs w:val="32"/>
          <w:highlight w:val="none"/>
        </w:rPr>
      </w:pPr>
    </w:p>
    <w:p w14:paraId="7B57BB41">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43190D1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（根据竞争性磋商公告本项目的特定资格要求提供相应的材料；未要求的，无需提供）</w:t>
      </w:r>
    </w:p>
    <w:p w14:paraId="1FDBCA7B">
      <w:pPr>
        <w:rPr>
          <w:rFonts w:ascii="宋体" w:hAnsi="宋体" w:cs="宋体"/>
          <w:color w:val="auto"/>
          <w:highlight w:val="none"/>
        </w:rPr>
      </w:pPr>
    </w:p>
    <w:p w14:paraId="4F394FA4">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0D09999F">
      <w:pPr>
        <w:pStyle w:val="3"/>
        <w:rPr>
          <w:rFonts w:ascii="宋体" w:hAnsi="宋体" w:cs="宋体"/>
          <w:b w:val="0"/>
          <w:color w:val="auto"/>
          <w:kern w:val="0"/>
          <w:sz w:val="36"/>
          <w:szCs w:val="36"/>
          <w:highlight w:val="none"/>
        </w:rPr>
      </w:pPr>
    </w:p>
    <w:p w14:paraId="68C92F87">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794992A">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68B7B89">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14:paraId="23DECEF5">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14:paraId="29C1C000">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14:paraId="1234A3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14:paraId="1E6F802F">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r>
        <w:rPr>
          <w:rFonts w:ascii="宋体" w:hAnsi="宋体" w:cs="宋体"/>
          <w:color w:val="auto"/>
          <w:sz w:val="24"/>
          <w:highlight w:val="none"/>
        </w:rPr>
        <w:t>6</w:t>
      </w:r>
      <w:r>
        <w:rPr>
          <w:rFonts w:hint="eastAsia" w:ascii="宋体" w:hAnsi="宋体" w:cs="宋体"/>
          <w:color w:val="auto"/>
          <w:sz w:val="24"/>
          <w:highlight w:val="none"/>
        </w:rPr>
        <w:t>）商务技术偏离表……………………………………………………………………（页码）</w:t>
      </w:r>
    </w:p>
    <w:p w14:paraId="33B0ED3B">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1B7DEEE2">
      <w:pPr>
        <w:snapToGrid w:val="0"/>
        <w:spacing w:line="360" w:lineRule="auto"/>
        <w:jc w:val="center"/>
        <w:rPr>
          <w:rFonts w:ascii="宋体" w:hAnsi="宋体" w:cs="宋体"/>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p>
    <w:p w14:paraId="5F054ABA">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3C3FFC4A">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杭州市长寿桥小学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浙江西建工程管理有限公司</w:t>
      </w:r>
      <w:r>
        <w:rPr>
          <w:rFonts w:hint="eastAsia" w:ascii="宋体" w:hAnsi="宋体" w:cs="宋体"/>
          <w:color w:val="auto"/>
          <w:sz w:val="24"/>
          <w:highlight w:val="none"/>
        </w:rPr>
        <w:t>：</w:t>
      </w:r>
    </w:p>
    <w:p w14:paraId="46434F1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长寿桥小学维修改造工程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XJZB[2025]044</w:t>
      </w:r>
      <w:r>
        <w:rPr>
          <w:rFonts w:hint="eastAsia" w:ascii="宋体" w:hAnsi="宋体" w:cs="宋体"/>
          <w:color w:val="auto"/>
          <w:sz w:val="24"/>
          <w:highlight w:val="none"/>
        </w:rPr>
        <w:t>】采购的有关活动，并对此项目提交响应文件及报价。为此：</w:t>
      </w:r>
    </w:p>
    <w:p w14:paraId="41D5C67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60DD3A9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2AB790B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2FD463E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762179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7A15902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36F889B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662FC9A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40A6CF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239E2C7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70C643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470D3F9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682511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14:paraId="13579F8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5E5BDC29">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540D10A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4B6C266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14:paraId="427EC1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2.3.2已标价工程量清单；</w:t>
      </w:r>
    </w:p>
    <w:p w14:paraId="15F0D24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2.3.3中小企业声明函（如果有）。</w:t>
      </w:r>
    </w:p>
    <w:p w14:paraId="3A96FAF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3、我方承诺除商务技术偏离表列出的偏离外，我方响应采购文件的全部要求。</w:t>
      </w:r>
    </w:p>
    <w:p w14:paraId="29BCAE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0E60864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13694C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06F98F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410B053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03A8B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0777605">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3D1143A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2A7F44">
      <w:pPr>
        <w:snapToGrid w:val="0"/>
        <w:spacing w:line="360" w:lineRule="auto"/>
        <w:ind w:left="420" w:leftChars="200" w:firstLine="4200" w:firstLineChars="1750"/>
        <w:rPr>
          <w:rFonts w:ascii="宋体" w:hAnsi="宋体" w:cs="宋体"/>
          <w:color w:val="auto"/>
          <w:kern w:val="0"/>
          <w:sz w:val="24"/>
          <w:highlight w:val="none"/>
          <w:u w:val="single"/>
        </w:rPr>
      </w:pPr>
    </w:p>
    <w:p w14:paraId="5539D47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6DE9C41">
      <w:pPr>
        <w:snapToGrid w:val="0"/>
        <w:spacing w:line="360" w:lineRule="auto"/>
        <w:jc w:val="center"/>
        <w:rPr>
          <w:rFonts w:ascii="宋体" w:hAnsi="宋体" w:cs="宋体"/>
          <w:b/>
          <w:color w:val="auto"/>
          <w:kern w:val="0"/>
          <w:sz w:val="32"/>
          <w:szCs w:val="32"/>
          <w:highlight w:val="none"/>
        </w:rPr>
      </w:pPr>
    </w:p>
    <w:p w14:paraId="015B242E">
      <w:pPr>
        <w:snapToGrid w:val="0"/>
        <w:spacing w:line="360" w:lineRule="auto"/>
        <w:rPr>
          <w:rFonts w:ascii="宋体" w:hAnsi="宋体" w:cs="宋体"/>
          <w:color w:val="auto"/>
          <w:sz w:val="24"/>
          <w:highlight w:val="none"/>
        </w:rPr>
      </w:pPr>
    </w:p>
    <w:p w14:paraId="6678B889">
      <w:pPr>
        <w:jc w:val="center"/>
        <w:rPr>
          <w:rFonts w:ascii="宋体" w:hAnsi="宋体" w:cs="宋体"/>
          <w:b/>
          <w:color w:val="auto"/>
          <w:kern w:val="0"/>
          <w:sz w:val="32"/>
          <w:szCs w:val="32"/>
          <w:highlight w:val="none"/>
        </w:rPr>
      </w:pPr>
    </w:p>
    <w:p w14:paraId="1741773F">
      <w:pPr>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5C4E5624">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5EB9B81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3F21050">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2D7E346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杭州市长寿桥小学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浙江西建工程管理有限公司</w:t>
      </w:r>
      <w:r>
        <w:rPr>
          <w:rFonts w:hint="eastAsia" w:ascii="宋体" w:hAnsi="宋体" w:cs="宋体"/>
          <w:color w:val="auto"/>
          <w:kern w:val="0"/>
          <w:sz w:val="24"/>
          <w:highlight w:val="none"/>
          <w:lang w:val="zh-CN"/>
        </w:rPr>
        <w:t>：</w:t>
      </w:r>
    </w:p>
    <w:p w14:paraId="22437271">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长寿桥小学维修改造工程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XJZB[2025]044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00C0D55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E72B83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C27BCE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2C4DDF4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F7EC005">
      <w:pPr>
        <w:snapToGrid w:val="0"/>
        <w:spacing w:line="360" w:lineRule="auto"/>
        <w:rPr>
          <w:rFonts w:ascii="宋体" w:hAnsi="宋体" w:cs="宋体"/>
          <w:color w:val="auto"/>
          <w:sz w:val="24"/>
          <w:highlight w:val="none"/>
        </w:rPr>
      </w:pPr>
    </w:p>
    <w:p w14:paraId="1EEA472E">
      <w:pPr>
        <w:snapToGrid w:val="0"/>
        <w:spacing w:line="360" w:lineRule="auto"/>
        <w:rPr>
          <w:rFonts w:ascii="宋体" w:hAnsi="宋体" w:cs="宋体"/>
          <w:color w:val="auto"/>
          <w:sz w:val="24"/>
          <w:highlight w:val="none"/>
        </w:rPr>
      </w:pPr>
    </w:p>
    <w:p w14:paraId="5F9F3D7E">
      <w:pPr>
        <w:snapToGrid w:val="0"/>
        <w:spacing w:line="360" w:lineRule="auto"/>
        <w:rPr>
          <w:rFonts w:ascii="宋体" w:hAnsi="宋体" w:cs="宋体"/>
          <w:color w:val="auto"/>
          <w:sz w:val="24"/>
          <w:highlight w:val="none"/>
        </w:rPr>
      </w:pPr>
    </w:p>
    <w:p w14:paraId="2BCB3AAA">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0D2CFE8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杭州市长寿桥小学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浙江西建工程管理有限公司</w:t>
      </w:r>
      <w:r>
        <w:rPr>
          <w:rFonts w:hint="eastAsia" w:ascii="宋体" w:hAnsi="宋体" w:cs="宋体"/>
          <w:color w:val="auto"/>
          <w:kern w:val="0"/>
          <w:sz w:val="24"/>
          <w:highlight w:val="none"/>
          <w:lang w:val="zh-CN"/>
        </w:rPr>
        <w:t>：</w:t>
      </w:r>
    </w:p>
    <w:p w14:paraId="4ADCB1F4">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长寿桥小学维修改造工程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XJZB[2025]044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524064B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38B842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FA2BA48">
      <w:pPr>
        <w:jc w:val="center"/>
        <w:rPr>
          <w:rFonts w:ascii="宋体" w:hAnsi="宋体" w:cs="宋体"/>
          <w:b/>
          <w:color w:val="auto"/>
          <w:kern w:val="0"/>
          <w:sz w:val="32"/>
          <w:szCs w:val="32"/>
          <w:highlight w:val="none"/>
        </w:rPr>
      </w:pPr>
    </w:p>
    <w:p w14:paraId="4C6A957E">
      <w:pPr>
        <w:jc w:val="center"/>
        <w:rPr>
          <w:rFonts w:ascii="宋体" w:hAnsi="宋体" w:cs="宋体"/>
          <w:b/>
          <w:color w:val="auto"/>
          <w:kern w:val="0"/>
          <w:sz w:val="32"/>
          <w:szCs w:val="32"/>
          <w:highlight w:val="none"/>
        </w:rPr>
      </w:pPr>
    </w:p>
    <w:p w14:paraId="6029EC37">
      <w:pPr>
        <w:jc w:val="center"/>
        <w:rPr>
          <w:rFonts w:ascii="宋体" w:hAnsi="宋体" w:cs="宋体"/>
          <w:b/>
          <w:color w:val="auto"/>
          <w:kern w:val="0"/>
          <w:sz w:val="32"/>
          <w:szCs w:val="32"/>
          <w:highlight w:val="none"/>
        </w:rPr>
      </w:pPr>
    </w:p>
    <w:p w14:paraId="722BA698">
      <w:pPr>
        <w:rPr>
          <w:rFonts w:ascii="宋体" w:hAnsi="宋体" w:cs="宋体"/>
          <w:color w:val="auto"/>
          <w:highlight w:val="none"/>
        </w:rPr>
      </w:pPr>
    </w:p>
    <w:p w14:paraId="173A3BF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7245E6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ADA90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2E2E32D">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D244C3E">
      <w:pPr>
        <w:snapToGrid w:val="0"/>
        <w:jc w:val="center"/>
        <w:rPr>
          <w:rFonts w:hint="eastAsia" w:ascii="宋体" w:hAnsi="宋体" w:cs="宋体"/>
          <w:b/>
          <w:bCs/>
          <w:color w:val="auto"/>
          <w:sz w:val="32"/>
          <w:szCs w:val="32"/>
          <w:highlight w:val="none"/>
          <w:lang w:val="zh-CN"/>
        </w:rPr>
        <w:sectPr>
          <w:pgSz w:w="11906" w:h="16838"/>
          <w:pgMar w:top="1440" w:right="1080" w:bottom="1440" w:left="1080" w:header="851" w:footer="992" w:gutter="0"/>
          <w:cols w:space="720" w:num="1"/>
          <w:titlePg/>
          <w:docGrid w:linePitch="312" w:charSpace="0"/>
        </w:sectPr>
      </w:pPr>
    </w:p>
    <w:p w14:paraId="3C1A58DE">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14:paraId="3562EA5B">
      <w:pPr>
        <w:pStyle w:val="152"/>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AE7A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03E6657">
            <w:pPr>
              <w:pStyle w:val="152"/>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36F7537D">
            <w:pPr>
              <w:pStyle w:val="152"/>
              <w:adjustRightInd w:val="0"/>
              <w:spacing w:line="360" w:lineRule="auto"/>
              <w:rPr>
                <w:rFonts w:hAnsi="宋体" w:cs="宋体"/>
                <w:bCs/>
                <w:color w:val="auto"/>
                <w:sz w:val="24"/>
                <w:highlight w:val="none"/>
              </w:rPr>
            </w:pPr>
          </w:p>
        </w:tc>
      </w:tr>
    </w:tbl>
    <w:p w14:paraId="0654E4C9">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9286BDF">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43C37CD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D415CE4">
      <w:pPr>
        <w:jc w:val="center"/>
        <w:rPr>
          <w:rFonts w:ascii="宋体" w:hAnsi="宋体" w:cs="宋体"/>
          <w:b/>
          <w:color w:val="auto"/>
          <w:kern w:val="0"/>
          <w:sz w:val="32"/>
          <w:szCs w:val="32"/>
          <w:highlight w:val="none"/>
        </w:rPr>
      </w:pPr>
    </w:p>
    <w:p w14:paraId="17282566">
      <w:pPr>
        <w:jc w:val="center"/>
        <w:rPr>
          <w:rFonts w:ascii="宋体" w:hAnsi="宋体" w:cs="宋体"/>
          <w:b/>
          <w:color w:val="auto"/>
          <w:kern w:val="0"/>
          <w:sz w:val="32"/>
          <w:szCs w:val="32"/>
          <w:highlight w:val="none"/>
        </w:rPr>
      </w:pPr>
    </w:p>
    <w:p w14:paraId="6008CB5D">
      <w:pPr>
        <w:jc w:val="center"/>
        <w:rPr>
          <w:rFonts w:ascii="宋体" w:hAnsi="宋体" w:cs="宋体"/>
          <w:b/>
          <w:color w:val="auto"/>
          <w:kern w:val="0"/>
          <w:sz w:val="32"/>
          <w:szCs w:val="32"/>
          <w:highlight w:val="none"/>
        </w:rPr>
      </w:pPr>
    </w:p>
    <w:p w14:paraId="084E60D4">
      <w:pPr>
        <w:jc w:val="center"/>
        <w:rPr>
          <w:rFonts w:ascii="宋体" w:hAnsi="宋体" w:cs="宋体"/>
          <w:b/>
          <w:color w:val="auto"/>
          <w:kern w:val="0"/>
          <w:sz w:val="32"/>
          <w:szCs w:val="32"/>
          <w:highlight w:val="none"/>
        </w:rPr>
      </w:pPr>
    </w:p>
    <w:p w14:paraId="2B4AF94F">
      <w:pPr>
        <w:jc w:val="center"/>
        <w:rPr>
          <w:rFonts w:ascii="宋体" w:hAnsi="宋体" w:cs="宋体"/>
          <w:b/>
          <w:color w:val="auto"/>
          <w:kern w:val="0"/>
          <w:sz w:val="32"/>
          <w:szCs w:val="32"/>
          <w:highlight w:val="none"/>
        </w:rPr>
      </w:pPr>
    </w:p>
    <w:p w14:paraId="6E005EA6">
      <w:pPr>
        <w:jc w:val="center"/>
        <w:rPr>
          <w:rFonts w:ascii="宋体" w:hAnsi="宋体" w:cs="宋体"/>
          <w:b/>
          <w:color w:val="auto"/>
          <w:kern w:val="0"/>
          <w:sz w:val="32"/>
          <w:szCs w:val="32"/>
          <w:highlight w:val="none"/>
        </w:rPr>
      </w:pPr>
    </w:p>
    <w:p w14:paraId="3C4A2680">
      <w:pPr>
        <w:jc w:val="center"/>
        <w:rPr>
          <w:rFonts w:ascii="宋体" w:hAnsi="宋体" w:cs="宋体"/>
          <w:b/>
          <w:color w:val="auto"/>
          <w:kern w:val="0"/>
          <w:sz w:val="32"/>
          <w:szCs w:val="32"/>
          <w:highlight w:val="none"/>
        </w:rPr>
      </w:pPr>
    </w:p>
    <w:p w14:paraId="44922676">
      <w:pPr>
        <w:jc w:val="center"/>
        <w:rPr>
          <w:rFonts w:ascii="宋体" w:hAnsi="宋体" w:cs="宋体"/>
          <w:b/>
          <w:color w:val="auto"/>
          <w:kern w:val="0"/>
          <w:sz w:val="32"/>
          <w:szCs w:val="32"/>
          <w:highlight w:val="none"/>
        </w:rPr>
      </w:pPr>
    </w:p>
    <w:p w14:paraId="4BA5F5FC">
      <w:pPr>
        <w:jc w:val="center"/>
        <w:rPr>
          <w:rFonts w:ascii="宋体" w:hAnsi="宋体" w:cs="宋体"/>
          <w:b/>
          <w:color w:val="auto"/>
          <w:kern w:val="0"/>
          <w:sz w:val="32"/>
          <w:szCs w:val="32"/>
          <w:highlight w:val="none"/>
        </w:rPr>
      </w:pPr>
    </w:p>
    <w:p w14:paraId="1E939000">
      <w:pPr>
        <w:jc w:val="center"/>
        <w:rPr>
          <w:rFonts w:ascii="宋体" w:hAnsi="宋体" w:cs="宋体"/>
          <w:b/>
          <w:color w:val="auto"/>
          <w:kern w:val="0"/>
          <w:sz w:val="32"/>
          <w:szCs w:val="32"/>
          <w:highlight w:val="none"/>
        </w:rPr>
      </w:pPr>
    </w:p>
    <w:p w14:paraId="14787F7F">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271F3625">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2EEEC04B">
      <w:pPr>
        <w:widowControl/>
        <w:spacing w:line="360" w:lineRule="auto"/>
        <w:ind w:firstLine="120" w:firstLineChars="50"/>
        <w:jc w:val="left"/>
        <w:rPr>
          <w:rFonts w:ascii="宋体" w:hAnsi="宋体" w:cs="宋体"/>
          <w:color w:val="auto"/>
          <w:sz w:val="24"/>
          <w:highlight w:val="none"/>
        </w:rPr>
      </w:pPr>
      <w:bookmarkStart w:id="496"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496"/>
    <w:p w14:paraId="36AA74DC">
      <w:pPr>
        <w:snapToGrid w:val="0"/>
        <w:spacing w:line="360" w:lineRule="auto"/>
        <w:rPr>
          <w:rFonts w:ascii="宋体" w:hAnsi="宋体" w:cs="宋体"/>
          <w:color w:val="auto"/>
          <w:kern w:val="0"/>
          <w:sz w:val="24"/>
          <w:highlight w:val="none"/>
        </w:rPr>
      </w:pPr>
    </w:p>
    <w:p w14:paraId="4ECA7106">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21460BEA">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D459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21BD5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327EEA7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CC91FB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AB3A4D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0FA1BDF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099F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2D465D">
            <w:pP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535B2CCA">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45EDADB0">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6C605269">
            <w:pPr>
              <w:rPr>
                <w:rFonts w:ascii="宋体" w:hAnsi="宋体" w:cs="宋体"/>
                <w:color w:val="auto"/>
                <w:sz w:val="24"/>
                <w:highlight w:val="none"/>
              </w:rPr>
            </w:pPr>
            <w:r>
              <w:rPr>
                <w:rFonts w:hint="eastAsia" w:ascii="宋体" w:hAnsi="宋体" w:cs="宋体"/>
                <w:color w:val="auto"/>
                <w:sz w:val="24"/>
                <w:highlight w:val="none"/>
              </w:rPr>
              <w:t>见响应文件</w:t>
            </w:r>
          </w:p>
          <w:p w14:paraId="1CCEA0D7">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71B8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9CFAE46">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6E9BCBE3">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F713BC9">
            <w:pPr>
              <w:rPr>
                <w:rFonts w:ascii="宋体" w:hAnsi="宋体" w:cs="宋体"/>
                <w:color w:val="auto"/>
                <w:sz w:val="24"/>
                <w:highlight w:val="none"/>
              </w:rPr>
            </w:pPr>
            <w:r>
              <w:rPr>
                <w:rFonts w:hint="eastAsia" w:ascii="宋体" w:hAnsi="宋体" w:cs="宋体"/>
                <w:color w:val="auto"/>
                <w:sz w:val="24"/>
                <w:highlight w:val="none"/>
              </w:rPr>
              <w:t>节能产品认证证书（</w:t>
            </w:r>
            <w:r>
              <w:rPr>
                <w:rFonts w:hint="eastAsia" w:ascii="宋体" w:hAnsi="宋体" w:cs="宋体"/>
                <w:color w:val="auto"/>
                <w:sz w:val="24"/>
                <w:highlight w:val="none"/>
                <w:lang w:val="en-US" w:eastAsia="zh-CN"/>
              </w:rPr>
              <w:t>若</w:t>
            </w:r>
            <w:r>
              <w:rPr>
                <w:rFonts w:hint="eastAsia" w:ascii="宋体" w:hAnsi="宋体" w:cs="宋体"/>
                <w:color w:val="auto"/>
                <w:sz w:val="24"/>
                <w:highlight w:val="none"/>
              </w:rPr>
              <w:t>本项目拟采购的产品不属于政府强制采购的节能产品品目清单范围的，无需提供）</w:t>
            </w:r>
          </w:p>
        </w:tc>
        <w:tc>
          <w:tcPr>
            <w:tcW w:w="1418" w:type="dxa"/>
            <w:vAlign w:val="center"/>
          </w:tcPr>
          <w:p w14:paraId="7804C7F3">
            <w:pPr>
              <w:rPr>
                <w:rFonts w:ascii="宋体" w:hAnsi="宋体" w:cs="宋体"/>
                <w:color w:val="auto"/>
                <w:sz w:val="24"/>
                <w:highlight w:val="none"/>
              </w:rPr>
            </w:pPr>
            <w:r>
              <w:rPr>
                <w:rFonts w:hint="eastAsia" w:ascii="宋体" w:hAnsi="宋体" w:cs="宋体"/>
                <w:color w:val="auto"/>
                <w:sz w:val="24"/>
                <w:highlight w:val="none"/>
              </w:rPr>
              <w:t>见响应文件</w:t>
            </w:r>
          </w:p>
          <w:p w14:paraId="0A3A236E">
            <w:pPr>
              <w:pStyle w:val="3"/>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28965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9A0383">
            <w:pP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662F6D0C">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14:paraId="310BD46D">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0EF95B62">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9CB6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675FE8">
            <w:pPr>
              <w:rPr>
                <w:rFonts w:ascii="宋体" w:hAnsi="宋体" w:cs="宋体"/>
                <w:color w:val="auto"/>
                <w:sz w:val="24"/>
                <w:highlight w:val="none"/>
              </w:rPr>
            </w:pPr>
            <w:r>
              <w:rPr>
                <w:rFonts w:hint="eastAsia" w:ascii="宋体" w:hAnsi="宋体" w:cs="宋体"/>
                <w:color w:val="auto"/>
                <w:sz w:val="24"/>
                <w:highlight w:val="none"/>
              </w:rPr>
              <w:t>4</w:t>
            </w:r>
          </w:p>
        </w:tc>
        <w:tc>
          <w:tcPr>
            <w:tcW w:w="4991" w:type="dxa"/>
            <w:vAlign w:val="center"/>
          </w:tcPr>
          <w:p w14:paraId="1463D385">
            <w:pPr>
              <w:spacing w:line="360" w:lineRule="auto"/>
              <w:rPr>
                <w:rFonts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2551" w:type="dxa"/>
            <w:vAlign w:val="center"/>
          </w:tcPr>
          <w:p w14:paraId="2256A4AC">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48238384">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2FF8924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BDDE38B">
      <w:pPr>
        <w:jc w:val="center"/>
        <w:rPr>
          <w:rFonts w:ascii="宋体" w:hAnsi="宋体" w:cs="宋体"/>
          <w:b/>
          <w:color w:val="auto"/>
          <w:kern w:val="0"/>
          <w:sz w:val="32"/>
          <w:szCs w:val="32"/>
          <w:highlight w:val="none"/>
        </w:rPr>
      </w:pPr>
    </w:p>
    <w:p w14:paraId="50503A6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F6B9AC1">
      <w:pPr>
        <w:jc w:val="center"/>
        <w:rPr>
          <w:rFonts w:ascii="宋体" w:hAnsi="宋体" w:cs="宋体"/>
          <w:b/>
          <w:color w:val="auto"/>
          <w:kern w:val="0"/>
          <w:sz w:val="32"/>
          <w:szCs w:val="32"/>
          <w:highlight w:val="none"/>
        </w:rPr>
      </w:pPr>
    </w:p>
    <w:p w14:paraId="63BAC7DD">
      <w:pPr>
        <w:jc w:val="center"/>
        <w:rPr>
          <w:rFonts w:ascii="宋体" w:hAnsi="宋体" w:cs="宋体"/>
          <w:b/>
          <w:color w:val="auto"/>
          <w:kern w:val="0"/>
          <w:sz w:val="32"/>
          <w:szCs w:val="32"/>
          <w:highlight w:val="none"/>
        </w:rPr>
      </w:pPr>
    </w:p>
    <w:p w14:paraId="2EBAECC3">
      <w:pPr>
        <w:jc w:val="center"/>
        <w:rPr>
          <w:rFonts w:ascii="宋体" w:hAnsi="宋体" w:cs="宋体"/>
          <w:b/>
          <w:color w:val="auto"/>
          <w:kern w:val="0"/>
          <w:sz w:val="32"/>
          <w:szCs w:val="32"/>
          <w:highlight w:val="none"/>
        </w:rPr>
      </w:pPr>
    </w:p>
    <w:p w14:paraId="185FF95A">
      <w:pPr>
        <w:jc w:val="center"/>
        <w:rPr>
          <w:rFonts w:ascii="宋体" w:hAnsi="宋体" w:cs="宋体"/>
          <w:b/>
          <w:color w:val="auto"/>
          <w:kern w:val="0"/>
          <w:sz w:val="32"/>
          <w:szCs w:val="32"/>
          <w:highlight w:val="none"/>
        </w:rPr>
      </w:pPr>
    </w:p>
    <w:p w14:paraId="2F19773C">
      <w:pPr>
        <w:jc w:val="center"/>
        <w:rPr>
          <w:rFonts w:ascii="宋体" w:hAnsi="宋体" w:cs="宋体"/>
          <w:b/>
          <w:color w:val="auto"/>
          <w:kern w:val="0"/>
          <w:sz w:val="32"/>
          <w:szCs w:val="32"/>
          <w:highlight w:val="none"/>
        </w:rPr>
      </w:pPr>
    </w:p>
    <w:p w14:paraId="0DBE2E1E">
      <w:pPr>
        <w:jc w:val="center"/>
        <w:rPr>
          <w:rFonts w:ascii="宋体" w:hAnsi="宋体" w:cs="宋体"/>
          <w:b/>
          <w:color w:val="auto"/>
          <w:kern w:val="0"/>
          <w:sz w:val="32"/>
          <w:szCs w:val="32"/>
          <w:highlight w:val="none"/>
        </w:rPr>
      </w:pPr>
    </w:p>
    <w:p w14:paraId="5AB94460">
      <w:pPr>
        <w:jc w:val="center"/>
        <w:rPr>
          <w:rFonts w:ascii="宋体" w:hAnsi="宋体" w:cs="宋体"/>
          <w:b/>
          <w:color w:val="auto"/>
          <w:kern w:val="0"/>
          <w:sz w:val="32"/>
          <w:szCs w:val="32"/>
          <w:highlight w:val="none"/>
        </w:rPr>
      </w:pPr>
    </w:p>
    <w:p w14:paraId="4A7E7091">
      <w:pPr>
        <w:jc w:val="center"/>
        <w:rPr>
          <w:rFonts w:ascii="宋体" w:hAnsi="宋体" w:cs="宋体"/>
          <w:b/>
          <w:color w:val="auto"/>
          <w:kern w:val="0"/>
          <w:sz w:val="32"/>
          <w:szCs w:val="32"/>
          <w:highlight w:val="none"/>
        </w:rPr>
      </w:pPr>
    </w:p>
    <w:p w14:paraId="247485C4">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64385CF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p w14:paraId="784E4909">
      <w:pPr>
        <w:jc w:val="center"/>
        <w:rPr>
          <w:rFonts w:ascii="宋体" w:hAnsi="宋体" w:cs="宋体"/>
          <w:b/>
          <w:color w:val="auto"/>
          <w:kern w:val="0"/>
          <w:sz w:val="32"/>
          <w:szCs w:val="32"/>
          <w:highlight w:val="none"/>
        </w:rPr>
      </w:pPr>
    </w:p>
    <w:p w14:paraId="5823EDB1">
      <w:pPr>
        <w:jc w:val="center"/>
        <w:rPr>
          <w:rFonts w:ascii="宋体" w:hAnsi="宋体" w:cs="宋体"/>
          <w:b/>
          <w:color w:val="auto"/>
          <w:kern w:val="0"/>
          <w:sz w:val="32"/>
          <w:szCs w:val="32"/>
          <w:highlight w:val="none"/>
        </w:rPr>
      </w:pPr>
    </w:p>
    <w:p w14:paraId="398C6887">
      <w:pPr>
        <w:jc w:val="center"/>
        <w:rPr>
          <w:rFonts w:ascii="宋体" w:hAnsi="宋体" w:cs="宋体"/>
          <w:b/>
          <w:color w:val="auto"/>
          <w:kern w:val="0"/>
          <w:sz w:val="32"/>
          <w:szCs w:val="32"/>
          <w:highlight w:val="none"/>
        </w:rPr>
      </w:pPr>
    </w:p>
    <w:p w14:paraId="4E8DD96C">
      <w:pPr>
        <w:jc w:val="center"/>
        <w:rPr>
          <w:rFonts w:ascii="宋体" w:hAnsi="宋体" w:cs="宋体"/>
          <w:b/>
          <w:color w:val="auto"/>
          <w:kern w:val="0"/>
          <w:sz w:val="32"/>
          <w:szCs w:val="32"/>
          <w:highlight w:val="none"/>
        </w:rPr>
      </w:pPr>
    </w:p>
    <w:p w14:paraId="0EF209C0">
      <w:pPr>
        <w:jc w:val="center"/>
        <w:rPr>
          <w:rFonts w:ascii="宋体" w:hAnsi="宋体" w:cs="宋体"/>
          <w:b/>
          <w:color w:val="auto"/>
          <w:kern w:val="0"/>
          <w:sz w:val="32"/>
          <w:szCs w:val="32"/>
          <w:highlight w:val="none"/>
        </w:rPr>
      </w:pPr>
    </w:p>
    <w:p w14:paraId="347787F7">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BAD8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0A3EFC">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F6EB18E">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09A7B291">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307956C3">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F43D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4F32937C">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1692139">
            <w:pPr>
              <w:jc w:val="center"/>
              <w:rPr>
                <w:rFonts w:ascii="宋体" w:hAnsi="宋体" w:cs="宋体"/>
                <w:b/>
                <w:color w:val="auto"/>
                <w:kern w:val="0"/>
                <w:sz w:val="32"/>
                <w:szCs w:val="32"/>
                <w:highlight w:val="none"/>
              </w:rPr>
            </w:pPr>
          </w:p>
        </w:tc>
        <w:tc>
          <w:tcPr>
            <w:tcW w:w="3546" w:type="dxa"/>
          </w:tcPr>
          <w:p w14:paraId="0447B951">
            <w:pPr>
              <w:jc w:val="center"/>
              <w:rPr>
                <w:rFonts w:ascii="宋体" w:hAnsi="宋体" w:cs="宋体"/>
                <w:b/>
                <w:color w:val="auto"/>
                <w:kern w:val="0"/>
                <w:sz w:val="32"/>
                <w:szCs w:val="32"/>
                <w:highlight w:val="none"/>
              </w:rPr>
            </w:pPr>
          </w:p>
        </w:tc>
        <w:tc>
          <w:tcPr>
            <w:tcW w:w="1276" w:type="dxa"/>
          </w:tcPr>
          <w:p w14:paraId="37A589F9">
            <w:pPr>
              <w:jc w:val="center"/>
              <w:rPr>
                <w:rFonts w:ascii="宋体" w:hAnsi="宋体" w:cs="宋体"/>
                <w:b/>
                <w:color w:val="auto"/>
                <w:kern w:val="0"/>
                <w:sz w:val="32"/>
                <w:szCs w:val="32"/>
                <w:highlight w:val="none"/>
              </w:rPr>
            </w:pPr>
          </w:p>
        </w:tc>
      </w:tr>
      <w:tr w14:paraId="79434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E7E471">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423D09B3">
            <w:pPr>
              <w:jc w:val="center"/>
              <w:rPr>
                <w:rFonts w:ascii="宋体" w:hAnsi="宋体" w:cs="宋体"/>
                <w:b/>
                <w:color w:val="auto"/>
                <w:kern w:val="0"/>
                <w:sz w:val="32"/>
                <w:szCs w:val="32"/>
                <w:highlight w:val="none"/>
              </w:rPr>
            </w:pPr>
          </w:p>
        </w:tc>
        <w:tc>
          <w:tcPr>
            <w:tcW w:w="3546" w:type="dxa"/>
          </w:tcPr>
          <w:p w14:paraId="1E367F17">
            <w:pPr>
              <w:jc w:val="center"/>
              <w:rPr>
                <w:rFonts w:ascii="宋体" w:hAnsi="宋体" w:cs="宋体"/>
                <w:b/>
                <w:color w:val="auto"/>
                <w:kern w:val="0"/>
                <w:sz w:val="32"/>
                <w:szCs w:val="32"/>
                <w:highlight w:val="none"/>
              </w:rPr>
            </w:pPr>
          </w:p>
        </w:tc>
        <w:tc>
          <w:tcPr>
            <w:tcW w:w="1276" w:type="dxa"/>
          </w:tcPr>
          <w:p w14:paraId="13D333A2">
            <w:pPr>
              <w:jc w:val="center"/>
              <w:rPr>
                <w:rFonts w:ascii="宋体" w:hAnsi="宋体" w:cs="宋体"/>
                <w:b/>
                <w:color w:val="auto"/>
                <w:kern w:val="0"/>
                <w:sz w:val="32"/>
                <w:szCs w:val="32"/>
                <w:highlight w:val="none"/>
              </w:rPr>
            </w:pPr>
          </w:p>
        </w:tc>
      </w:tr>
      <w:tr w14:paraId="5FDDB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1804AB">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8F5D03D">
            <w:pPr>
              <w:jc w:val="center"/>
              <w:rPr>
                <w:rFonts w:ascii="宋体" w:hAnsi="宋体" w:cs="宋体"/>
                <w:b/>
                <w:color w:val="auto"/>
                <w:kern w:val="0"/>
                <w:sz w:val="32"/>
                <w:szCs w:val="32"/>
                <w:highlight w:val="none"/>
              </w:rPr>
            </w:pPr>
          </w:p>
        </w:tc>
        <w:tc>
          <w:tcPr>
            <w:tcW w:w="3546" w:type="dxa"/>
          </w:tcPr>
          <w:p w14:paraId="1C907F65">
            <w:pPr>
              <w:jc w:val="center"/>
              <w:rPr>
                <w:rFonts w:ascii="宋体" w:hAnsi="宋体" w:cs="宋体"/>
                <w:b/>
                <w:color w:val="auto"/>
                <w:kern w:val="0"/>
                <w:sz w:val="32"/>
                <w:szCs w:val="32"/>
                <w:highlight w:val="none"/>
              </w:rPr>
            </w:pPr>
          </w:p>
        </w:tc>
        <w:tc>
          <w:tcPr>
            <w:tcW w:w="1276" w:type="dxa"/>
          </w:tcPr>
          <w:p w14:paraId="51F2E9D0">
            <w:pPr>
              <w:jc w:val="center"/>
              <w:rPr>
                <w:rFonts w:ascii="宋体" w:hAnsi="宋体" w:cs="宋体"/>
                <w:b/>
                <w:color w:val="auto"/>
                <w:kern w:val="0"/>
                <w:sz w:val="32"/>
                <w:szCs w:val="32"/>
                <w:highlight w:val="none"/>
              </w:rPr>
            </w:pPr>
          </w:p>
        </w:tc>
      </w:tr>
    </w:tbl>
    <w:p w14:paraId="65A48C6D">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04E29D36">
      <w:pPr>
        <w:jc w:val="center"/>
        <w:rPr>
          <w:rFonts w:ascii="宋体" w:hAnsi="宋体" w:cs="宋体"/>
          <w:b/>
          <w:color w:val="auto"/>
          <w:kern w:val="0"/>
          <w:sz w:val="32"/>
          <w:szCs w:val="32"/>
          <w:highlight w:val="none"/>
        </w:rPr>
      </w:pPr>
    </w:p>
    <w:p w14:paraId="39AAD9D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085B46F">
      <w:pPr>
        <w:ind w:firstLine="1911" w:firstLineChars="595"/>
        <w:rPr>
          <w:rFonts w:ascii="宋体" w:hAnsi="宋体" w:cs="宋体"/>
          <w:b/>
          <w:bCs/>
          <w:color w:val="auto"/>
          <w:sz w:val="32"/>
          <w:szCs w:val="32"/>
          <w:highlight w:val="none"/>
        </w:rPr>
        <w:sectPr>
          <w:footerReference r:id="rId17" w:type="first"/>
          <w:footerReference r:id="rId16" w:type="default"/>
          <w:pgSz w:w="11906" w:h="16838"/>
          <w:pgMar w:top="1440" w:right="1080" w:bottom="1440" w:left="1080" w:header="851" w:footer="992" w:gutter="0"/>
          <w:cols w:space="720" w:num="1"/>
          <w:titlePg/>
          <w:docGrid w:linePitch="312" w:charSpace="0"/>
        </w:sectPr>
      </w:pPr>
    </w:p>
    <w:p w14:paraId="0C228D89">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778F9D3">
      <w:pPr>
        <w:snapToGrid w:val="0"/>
        <w:spacing w:line="360" w:lineRule="auto"/>
        <w:rPr>
          <w:rFonts w:ascii="宋体" w:hAnsi="宋体" w:cs="宋体"/>
          <w:color w:val="auto"/>
          <w:sz w:val="24"/>
          <w:highlight w:val="none"/>
        </w:rPr>
      </w:pPr>
    </w:p>
    <w:p w14:paraId="6E14101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杭州市长寿桥小学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浙江西建工程管理有限公司</w:t>
      </w:r>
      <w:r>
        <w:rPr>
          <w:rFonts w:hint="eastAsia" w:ascii="宋体" w:hAnsi="宋体" w:cs="宋体"/>
          <w:color w:val="auto"/>
          <w:kern w:val="0"/>
          <w:sz w:val="24"/>
          <w:highlight w:val="none"/>
          <w:lang w:val="zh-CN"/>
        </w:rPr>
        <w:t>：</w:t>
      </w:r>
    </w:p>
    <w:p w14:paraId="0D0F5C6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8B0E2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DB78B1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550516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7CBA52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B177B1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76109BE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08C628E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678AAA1B">
      <w:pPr>
        <w:autoSpaceDE w:val="0"/>
        <w:autoSpaceDN w:val="0"/>
        <w:spacing w:line="360" w:lineRule="auto"/>
        <w:ind w:left="2"/>
        <w:jc w:val="left"/>
        <w:rPr>
          <w:rFonts w:ascii="宋体" w:hAnsi="宋体" w:cs="宋体"/>
          <w:color w:val="auto"/>
          <w:kern w:val="0"/>
          <w:sz w:val="24"/>
          <w:highlight w:val="none"/>
          <w:lang w:val="zh-CN"/>
        </w:rPr>
      </w:pPr>
    </w:p>
    <w:p w14:paraId="6E825DFA">
      <w:pPr>
        <w:autoSpaceDE w:val="0"/>
        <w:autoSpaceDN w:val="0"/>
        <w:spacing w:line="360" w:lineRule="auto"/>
        <w:ind w:left="2"/>
        <w:jc w:val="left"/>
        <w:rPr>
          <w:rFonts w:ascii="宋体" w:hAnsi="宋体" w:cs="宋体"/>
          <w:color w:val="auto"/>
          <w:kern w:val="0"/>
          <w:sz w:val="24"/>
          <w:highlight w:val="none"/>
          <w:lang w:val="zh-CN"/>
        </w:rPr>
      </w:pPr>
    </w:p>
    <w:p w14:paraId="721BD6F9">
      <w:pPr>
        <w:autoSpaceDE w:val="0"/>
        <w:autoSpaceDN w:val="0"/>
        <w:spacing w:line="360" w:lineRule="auto"/>
        <w:ind w:left="2"/>
        <w:jc w:val="left"/>
        <w:rPr>
          <w:rFonts w:ascii="宋体" w:hAnsi="宋体" w:cs="宋体"/>
          <w:color w:val="auto"/>
          <w:kern w:val="0"/>
          <w:sz w:val="24"/>
          <w:highlight w:val="none"/>
          <w:lang w:val="zh-CN"/>
        </w:rPr>
      </w:pPr>
    </w:p>
    <w:p w14:paraId="2BBBFDA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59C6F6F">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39CEE69">
      <w:pPr>
        <w:spacing w:line="360" w:lineRule="auto"/>
        <w:jc w:val="center"/>
        <w:rPr>
          <w:rFonts w:ascii="宋体" w:hAnsi="宋体" w:cs="宋体"/>
          <w:b/>
          <w:bCs/>
          <w:color w:val="auto"/>
          <w:sz w:val="24"/>
          <w:highlight w:val="none"/>
        </w:rPr>
      </w:pPr>
    </w:p>
    <w:p w14:paraId="1AA1ED8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9C2C3C4">
      <w:pPr>
        <w:spacing w:line="360" w:lineRule="auto"/>
        <w:jc w:val="center"/>
        <w:rPr>
          <w:rFonts w:ascii="宋体" w:hAnsi="宋体" w:cs="宋体"/>
          <w:b/>
          <w:bCs/>
          <w:color w:val="auto"/>
          <w:sz w:val="24"/>
          <w:highlight w:val="none"/>
        </w:rPr>
        <w:sectPr>
          <w:pgSz w:w="11906" w:h="16838"/>
          <w:pgMar w:top="1440" w:right="1080" w:bottom="1440" w:left="1080" w:header="851" w:footer="992" w:gutter="0"/>
          <w:cols w:space="720" w:num="1"/>
          <w:titlePg/>
          <w:docGrid w:linePitch="312" w:charSpace="0"/>
        </w:sectPr>
      </w:pPr>
    </w:p>
    <w:p w14:paraId="75E0E41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F10FAE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2E7DE5F">
      <w:pPr>
        <w:spacing w:line="360" w:lineRule="auto"/>
        <w:jc w:val="center"/>
        <w:outlineLvl w:val="0"/>
        <w:rPr>
          <w:rFonts w:ascii="宋体" w:hAnsi="宋体" w:cs="宋体"/>
          <w:b/>
          <w:color w:val="auto"/>
          <w:kern w:val="0"/>
          <w:sz w:val="36"/>
          <w:szCs w:val="36"/>
          <w:highlight w:val="none"/>
        </w:rPr>
      </w:pPr>
    </w:p>
    <w:p w14:paraId="17094FD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（1）报价单…………………………………………………………………………（页码）</w:t>
      </w:r>
    </w:p>
    <w:p w14:paraId="1009DCC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（2）已标价工程量清单……………………………………………………………（页码）</w:t>
      </w:r>
    </w:p>
    <w:p w14:paraId="50489B1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（3）中小企业声明函………………………………………………………………（页码）</w:t>
      </w:r>
    </w:p>
    <w:p w14:paraId="2463314D">
      <w:pPr>
        <w:snapToGrid w:val="0"/>
        <w:spacing w:line="360" w:lineRule="auto"/>
        <w:ind w:right="480"/>
        <w:jc w:val="center"/>
        <w:rPr>
          <w:rFonts w:ascii="宋体" w:hAnsi="宋体" w:cs="宋体"/>
          <w:b/>
          <w:color w:val="auto"/>
          <w:kern w:val="0"/>
          <w:sz w:val="32"/>
          <w:szCs w:val="32"/>
          <w:highlight w:val="none"/>
        </w:rPr>
      </w:pPr>
    </w:p>
    <w:p w14:paraId="6CFCC9B3">
      <w:pPr>
        <w:snapToGrid w:val="0"/>
        <w:spacing w:line="360" w:lineRule="auto"/>
        <w:ind w:right="480"/>
        <w:jc w:val="center"/>
        <w:rPr>
          <w:rFonts w:ascii="宋体" w:hAnsi="宋体" w:cs="宋体"/>
          <w:b/>
          <w:color w:val="auto"/>
          <w:kern w:val="0"/>
          <w:sz w:val="32"/>
          <w:szCs w:val="32"/>
          <w:highlight w:val="none"/>
        </w:rPr>
      </w:pPr>
    </w:p>
    <w:p w14:paraId="0C66035C">
      <w:pPr>
        <w:snapToGrid w:val="0"/>
        <w:spacing w:line="360" w:lineRule="auto"/>
        <w:ind w:right="480"/>
        <w:jc w:val="center"/>
        <w:rPr>
          <w:rFonts w:ascii="宋体" w:hAnsi="宋体" w:cs="宋体"/>
          <w:b/>
          <w:color w:val="auto"/>
          <w:kern w:val="0"/>
          <w:sz w:val="32"/>
          <w:szCs w:val="32"/>
          <w:highlight w:val="none"/>
        </w:rPr>
      </w:pPr>
    </w:p>
    <w:p w14:paraId="3D47B809">
      <w:pPr>
        <w:snapToGrid w:val="0"/>
        <w:spacing w:line="360" w:lineRule="auto"/>
        <w:ind w:right="480"/>
        <w:jc w:val="center"/>
        <w:rPr>
          <w:rFonts w:ascii="宋体" w:hAnsi="宋体" w:cs="宋体"/>
          <w:b/>
          <w:color w:val="auto"/>
          <w:kern w:val="0"/>
          <w:sz w:val="32"/>
          <w:szCs w:val="32"/>
          <w:highlight w:val="none"/>
        </w:rPr>
      </w:pPr>
    </w:p>
    <w:p w14:paraId="06DB0A23">
      <w:pPr>
        <w:snapToGrid w:val="0"/>
        <w:spacing w:line="360" w:lineRule="auto"/>
        <w:ind w:right="480"/>
        <w:jc w:val="center"/>
        <w:rPr>
          <w:rFonts w:ascii="宋体" w:hAnsi="宋体" w:cs="宋体"/>
          <w:b/>
          <w:color w:val="auto"/>
          <w:kern w:val="0"/>
          <w:sz w:val="32"/>
          <w:szCs w:val="32"/>
          <w:highlight w:val="none"/>
        </w:rPr>
      </w:pPr>
    </w:p>
    <w:p w14:paraId="5350EE65">
      <w:pPr>
        <w:snapToGrid w:val="0"/>
        <w:spacing w:line="360" w:lineRule="auto"/>
        <w:ind w:right="480"/>
        <w:jc w:val="center"/>
        <w:rPr>
          <w:rFonts w:ascii="宋体" w:hAnsi="宋体" w:cs="宋体"/>
          <w:b/>
          <w:color w:val="auto"/>
          <w:kern w:val="0"/>
          <w:sz w:val="32"/>
          <w:szCs w:val="32"/>
          <w:highlight w:val="none"/>
        </w:rPr>
      </w:pPr>
    </w:p>
    <w:p w14:paraId="7F2A9AC5">
      <w:pPr>
        <w:snapToGrid w:val="0"/>
        <w:spacing w:line="360" w:lineRule="auto"/>
        <w:ind w:right="480"/>
        <w:jc w:val="center"/>
        <w:rPr>
          <w:rFonts w:ascii="宋体" w:hAnsi="宋体" w:cs="宋体"/>
          <w:b/>
          <w:color w:val="auto"/>
          <w:kern w:val="0"/>
          <w:sz w:val="32"/>
          <w:szCs w:val="32"/>
          <w:highlight w:val="none"/>
        </w:rPr>
      </w:pPr>
    </w:p>
    <w:p w14:paraId="57820050">
      <w:pPr>
        <w:snapToGrid w:val="0"/>
        <w:spacing w:line="360" w:lineRule="auto"/>
        <w:ind w:right="480"/>
        <w:jc w:val="center"/>
        <w:rPr>
          <w:rFonts w:ascii="宋体" w:hAnsi="宋体" w:cs="宋体"/>
          <w:b/>
          <w:color w:val="auto"/>
          <w:kern w:val="0"/>
          <w:sz w:val="32"/>
          <w:szCs w:val="32"/>
          <w:highlight w:val="none"/>
        </w:rPr>
      </w:pPr>
    </w:p>
    <w:p w14:paraId="173424A2">
      <w:pPr>
        <w:snapToGrid w:val="0"/>
        <w:spacing w:line="360" w:lineRule="auto"/>
        <w:ind w:right="480"/>
        <w:jc w:val="center"/>
        <w:rPr>
          <w:rFonts w:ascii="宋体" w:hAnsi="宋体" w:cs="宋体"/>
          <w:b/>
          <w:color w:val="auto"/>
          <w:kern w:val="0"/>
          <w:sz w:val="32"/>
          <w:szCs w:val="32"/>
          <w:highlight w:val="none"/>
        </w:rPr>
      </w:pPr>
    </w:p>
    <w:p w14:paraId="57106AAA">
      <w:pPr>
        <w:snapToGrid w:val="0"/>
        <w:spacing w:line="360" w:lineRule="auto"/>
        <w:ind w:right="480"/>
        <w:jc w:val="center"/>
        <w:rPr>
          <w:rFonts w:ascii="宋体" w:hAnsi="宋体" w:cs="宋体"/>
          <w:b/>
          <w:color w:val="auto"/>
          <w:kern w:val="0"/>
          <w:sz w:val="32"/>
          <w:szCs w:val="32"/>
          <w:highlight w:val="none"/>
        </w:rPr>
      </w:pPr>
    </w:p>
    <w:p w14:paraId="464A244F">
      <w:pPr>
        <w:snapToGrid w:val="0"/>
        <w:spacing w:line="360" w:lineRule="auto"/>
        <w:ind w:right="480"/>
        <w:jc w:val="center"/>
        <w:rPr>
          <w:rFonts w:ascii="宋体" w:hAnsi="宋体" w:cs="宋体"/>
          <w:b/>
          <w:color w:val="auto"/>
          <w:kern w:val="0"/>
          <w:sz w:val="32"/>
          <w:szCs w:val="32"/>
          <w:highlight w:val="none"/>
        </w:rPr>
      </w:pPr>
    </w:p>
    <w:p w14:paraId="5DBE98B4">
      <w:pPr>
        <w:snapToGrid w:val="0"/>
        <w:spacing w:line="360" w:lineRule="auto"/>
        <w:ind w:right="480"/>
        <w:jc w:val="center"/>
        <w:rPr>
          <w:rFonts w:ascii="宋体" w:hAnsi="宋体" w:cs="宋体"/>
          <w:b/>
          <w:color w:val="auto"/>
          <w:kern w:val="0"/>
          <w:sz w:val="32"/>
          <w:szCs w:val="32"/>
          <w:highlight w:val="none"/>
        </w:rPr>
      </w:pPr>
    </w:p>
    <w:p w14:paraId="41BEFDD8">
      <w:pPr>
        <w:snapToGrid w:val="0"/>
        <w:spacing w:line="360" w:lineRule="auto"/>
        <w:ind w:right="480"/>
        <w:jc w:val="center"/>
        <w:rPr>
          <w:rFonts w:ascii="宋体" w:hAnsi="宋体" w:cs="宋体"/>
          <w:b/>
          <w:color w:val="auto"/>
          <w:kern w:val="0"/>
          <w:sz w:val="32"/>
          <w:szCs w:val="32"/>
          <w:highlight w:val="none"/>
        </w:rPr>
      </w:pPr>
    </w:p>
    <w:p w14:paraId="469EE35E">
      <w:pPr>
        <w:snapToGrid w:val="0"/>
        <w:spacing w:line="360" w:lineRule="auto"/>
        <w:ind w:right="480"/>
        <w:jc w:val="center"/>
        <w:rPr>
          <w:rFonts w:ascii="宋体" w:hAnsi="宋体" w:cs="宋体"/>
          <w:b/>
          <w:color w:val="auto"/>
          <w:kern w:val="0"/>
          <w:sz w:val="32"/>
          <w:szCs w:val="32"/>
          <w:highlight w:val="none"/>
        </w:rPr>
      </w:pPr>
    </w:p>
    <w:p w14:paraId="28256CC2">
      <w:pPr>
        <w:snapToGrid w:val="0"/>
        <w:spacing w:line="360" w:lineRule="auto"/>
        <w:ind w:right="480"/>
        <w:jc w:val="center"/>
        <w:rPr>
          <w:rFonts w:ascii="宋体" w:hAnsi="宋体" w:cs="宋体"/>
          <w:b/>
          <w:color w:val="auto"/>
          <w:kern w:val="0"/>
          <w:sz w:val="32"/>
          <w:szCs w:val="32"/>
          <w:highlight w:val="none"/>
        </w:rPr>
      </w:pPr>
    </w:p>
    <w:p w14:paraId="2B4B9274">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20" w:type="first"/>
          <w:headerReference r:id="rId18" w:type="default"/>
          <w:footerReference r:id="rId19" w:type="default"/>
          <w:pgSz w:w="11906" w:h="16838"/>
          <w:pgMar w:top="1440" w:right="1080" w:bottom="1440" w:left="1080" w:header="851" w:footer="992" w:gutter="0"/>
          <w:cols w:space="720" w:num="1"/>
          <w:titlePg/>
          <w:docGrid w:linePitch="312" w:charSpace="0"/>
        </w:sectPr>
      </w:pPr>
    </w:p>
    <w:p w14:paraId="43A56441">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768BE4D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杭州市长寿桥小学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浙江西建工程管理有限公司</w:t>
      </w:r>
      <w:r>
        <w:rPr>
          <w:rFonts w:hint="eastAsia" w:ascii="宋体" w:hAnsi="宋体" w:cs="宋体"/>
          <w:color w:val="auto"/>
          <w:kern w:val="0"/>
          <w:sz w:val="24"/>
          <w:highlight w:val="none"/>
          <w:lang w:val="zh-CN"/>
        </w:rPr>
        <w:t>：</w:t>
      </w:r>
    </w:p>
    <w:p w14:paraId="1D396984">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lang w:eastAsia="zh-CN"/>
        </w:rPr>
        <w:t>长寿桥小学维修改造工程</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XJZB[2025]044</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64C71914">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1F906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6E3761A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843" w:type="dxa"/>
          </w:tcPr>
          <w:p w14:paraId="6E0F0E21">
            <w:pPr>
              <w:spacing w:line="360" w:lineRule="auto"/>
              <w:jc w:val="center"/>
              <w:rPr>
                <w:rFonts w:ascii="宋体" w:hAnsi="宋体" w:cs="宋体"/>
                <w:b/>
                <w:color w:val="auto"/>
                <w:sz w:val="24"/>
                <w:highlight w:val="none"/>
              </w:rPr>
            </w:pPr>
          </w:p>
          <w:p w14:paraId="719974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施工范围</w:t>
            </w:r>
          </w:p>
        </w:tc>
        <w:tc>
          <w:tcPr>
            <w:tcW w:w="3118" w:type="dxa"/>
            <w:vAlign w:val="center"/>
          </w:tcPr>
          <w:p w14:paraId="3B06893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施工工期</w:t>
            </w:r>
          </w:p>
        </w:tc>
        <w:tc>
          <w:tcPr>
            <w:tcW w:w="2552" w:type="dxa"/>
            <w:vAlign w:val="center"/>
          </w:tcPr>
          <w:p w14:paraId="21E98E7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项目经理</w:t>
            </w:r>
          </w:p>
        </w:tc>
        <w:tc>
          <w:tcPr>
            <w:tcW w:w="1984" w:type="dxa"/>
            <w:vAlign w:val="center"/>
          </w:tcPr>
          <w:p w14:paraId="68021E3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执业证书信息</w:t>
            </w:r>
          </w:p>
        </w:tc>
        <w:tc>
          <w:tcPr>
            <w:tcW w:w="3119" w:type="dxa"/>
            <w:vAlign w:val="center"/>
          </w:tcPr>
          <w:p w14:paraId="795BFE38">
            <w:pPr>
              <w:spacing w:line="360" w:lineRule="auto"/>
              <w:jc w:val="center"/>
              <w:rPr>
                <w:rFonts w:ascii="宋体" w:hAnsi="宋体" w:cs="宋体"/>
                <w:b/>
                <w:color w:val="auto"/>
                <w:sz w:val="24"/>
                <w:highlight w:val="none"/>
              </w:rPr>
            </w:pPr>
          </w:p>
          <w:p w14:paraId="69980E3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6CE1F87">
            <w:pPr>
              <w:spacing w:line="360" w:lineRule="auto"/>
              <w:jc w:val="center"/>
              <w:rPr>
                <w:rFonts w:ascii="宋体" w:hAnsi="宋体" w:cs="宋体"/>
                <w:b/>
                <w:color w:val="auto"/>
                <w:sz w:val="24"/>
                <w:highlight w:val="none"/>
              </w:rPr>
            </w:pPr>
          </w:p>
        </w:tc>
      </w:tr>
      <w:tr w14:paraId="79640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2A03E71F">
            <w:pPr>
              <w:snapToGrid w:val="0"/>
              <w:spacing w:line="360" w:lineRule="auto"/>
              <w:jc w:val="center"/>
              <w:rPr>
                <w:rFonts w:ascii="宋体" w:hAnsi="宋体" w:cs="宋体"/>
                <w:color w:val="auto"/>
                <w:sz w:val="24"/>
                <w:highlight w:val="none"/>
              </w:rPr>
            </w:pPr>
          </w:p>
        </w:tc>
        <w:tc>
          <w:tcPr>
            <w:tcW w:w="1843" w:type="dxa"/>
            <w:vAlign w:val="center"/>
          </w:tcPr>
          <w:p w14:paraId="21108000">
            <w:pPr>
              <w:snapToGrid w:val="0"/>
              <w:spacing w:line="360" w:lineRule="auto"/>
              <w:jc w:val="center"/>
              <w:rPr>
                <w:rFonts w:ascii="宋体" w:hAnsi="宋体" w:cs="宋体"/>
                <w:color w:val="auto"/>
                <w:sz w:val="24"/>
                <w:highlight w:val="none"/>
              </w:rPr>
            </w:pPr>
          </w:p>
        </w:tc>
        <w:tc>
          <w:tcPr>
            <w:tcW w:w="3118" w:type="dxa"/>
            <w:vAlign w:val="center"/>
          </w:tcPr>
          <w:p w14:paraId="3E74103A">
            <w:pPr>
              <w:snapToGrid w:val="0"/>
              <w:spacing w:line="360" w:lineRule="auto"/>
              <w:jc w:val="center"/>
              <w:rPr>
                <w:rFonts w:ascii="宋体" w:hAnsi="宋体" w:cs="宋体"/>
                <w:color w:val="auto"/>
                <w:sz w:val="24"/>
                <w:highlight w:val="none"/>
              </w:rPr>
            </w:pPr>
          </w:p>
        </w:tc>
        <w:tc>
          <w:tcPr>
            <w:tcW w:w="2552" w:type="dxa"/>
            <w:vAlign w:val="center"/>
          </w:tcPr>
          <w:p w14:paraId="461375F4">
            <w:pPr>
              <w:spacing w:line="360" w:lineRule="auto"/>
              <w:jc w:val="center"/>
              <w:rPr>
                <w:rFonts w:ascii="宋体" w:hAnsi="宋体" w:cs="宋体"/>
                <w:color w:val="auto"/>
                <w:sz w:val="24"/>
                <w:highlight w:val="none"/>
              </w:rPr>
            </w:pPr>
          </w:p>
        </w:tc>
        <w:tc>
          <w:tcPr>
            <w:tcW w:w="1984" w:type="dxa"/>
            <w:vAlign w:val="center"/>
          </w:tcPr>
          <w:p w14:paraId="0021614E">
            <w:pPr>
              <w:spacing w:line="360" w:lineRule="auto"/>
              <w:jc w:val="center"/>
              <w:rPr>
                <w:rFonts w:ascii="宋体" w:hAnsi="宋体" w:cs="宋体"/>
                <w:color w:val="auto"/>
                <w:sz w:val="24"/>
                <w:highlight w:val="none"/>
              </w:rPr>
            </w:pPr>
          </w:p>
        </w:tc>
        <w:tc>
          <w:tcPr>
            <w:tcW w:w="3119" w:type="dxa"/>
            <w:vAlign w:val="center"/>
          </w:tcPr>
          <w:p w14:paraId="375573BE">
            <w:pPr>
              <w:spacing w:line="360" w:lineRule="auto"/>
              <w:jc w:val="center"/>
              <w:rPr>
                <w:rFonts w:ascii="宋体" w:hAnsi="宋体" w:cs="宋体"/>
                <w:color w:val="auto"/>
                <w:sz w:val="24"/>
                <w:highlight w:val="none"/>
              </w:rPr>
            </w:pPr>
          </w:p>
        </w:tc>
      </w:tr>
      <w:tr w14:paraId="50304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02A84F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7655" w:type="dxa"/>
            <w:gridSpan w:val="3"/>
            <w:vAlign w:val="center"/>
          </w:tcPr>
          <w:p w14:paraId="23DFC344">
            <w:pPr>
              <w:spacing w:line="360" w:lineRule="auto"/>
              <w:jc w:val="center"/>
              <w:rPr>
                <w:rFonts w:ascii="宋体" w:hAnsi="宋体" w:cs="宋体"/>
                <w:color w:val="auto"/>
                <w:sz w:val="24"/>
                <w:highlight w:val="none"/>
              </w:rPr>
            </w:pPr>
          </w:p>
        </w:tc>
      </w:tr>
      <w:tr w14:paraId="571ED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01D878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7655" w:type="dxa"/>
            <w:gridSpan w:val="3"/>
            <w:vAlign w:val="center"/>
          </w:tcPr>
          <w:p w14:paraId="7A6A2FF5">
            <w:pPr>
              <w:spacing w:line="360" w:lineRule="auto"/>
              <w:jc w:val="center"/>
              <w:rPr>
                <w:rFonts w:ascii="宋体" w:hAnsi="宋体" w:cs="宋体"/>
                <w:color w:val="auto"/>
                <w:sz w:val="24"/>
                <w:highlight w:val="none"/>
              </w:rPr>
            </w:pPr>
          </w:p>
        </w:tc>
      </w:tr>
    </w:tbl>
    <w:p w14:paraId="0269D220">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63DDD1D">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40BFF73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14:paraId="35FAF572">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5DFCD7CB">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1C4DD7E3">
      <w:pPr>
        <w:spacing w:line="360" w:lineRule="auto"/>
        <w:ind w:firstLine="482" w:firstLineChars="200"/>
        <w:rPr>
          <w:rFonts w:ascii="宋体" w:hAnsi="宋体" w:cs="宋体"/>
          <w:b/>
          <w:color w:val="auto"/>
          <w:kern w:val="0"/>
          <w:sz w:val="24"/>
          <w:highlight w:val="none"/>
        </w:rPr>
      </w:pPr>
    </w:p>
    <w:p w14:paraId="43485746">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9715AE1">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14:paraId="63D87C6C">
      <w:pPr>
        <w:pStyle w:val="696"/>
        <w:keepNext w:val="0"/>
        <w:pageBreakBefore w:val="0"/>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二、已标价工程量清单</w:t>
      </w:r>
    </w:p>
    <w:p w14:paraId="221D3449">
      <w:pPr>
        <w:ind w:right="420"/>
        <w:rPr>
          <w:rFonts w:ascii="宋体" w:hAnsi="宋体" w:cs="宋体"/>
          <w:color w:val="auto"/>
          <w:sz w:val="24"/>
          <w:highlight w:val="none"/>
        </w:rPr>
      </w:pPr>
      <w:r>
        <w:rPr>
          <w:rFonts w:hint="eastAsia" w:ascii="宋体" w:hAnsi="宋体" w:cs="宋体"/>
          <w:color w:val="auto"/>
          <w:sz w:val="24"/>
          <w:highlight w:val="none"/>
        </w:rPr>
        <w:t xml:space="preserve">注：按采购文件工程量清单编制 </w:t>
      </w:r>
    </w:p>
    <w:p w14:paraId="5D37EEBE">
      <w:pPr>
        <w:pStyle w:val="61"/>
        <w:ind w:firstLine="480"/>
        <w:rPr>
          <w:rFonts w:cs="宋体"/>
          <w:color w:val="auto"/>
          <w:sz w:val="24"/>
          <w:highlight w:val="none"/>
        </w:rPr>
      </w:pPr>
    </w:p>
    <w:p w14:paraId="08A225EF">
      <w:pPr>
        <w:pStyle w:val="61"/>
        <w:ind w:firstLine="480"/>
        <w:rPr>
          <w:rFonts w:cs="宋体"/>
          <w:color w:val="auto"/>
          <w:sz w:val="24"/>
          <w:highlight w:val="none"/>
        </w:rPr>
        <w:sectPr>
          <w:footerReference r:id="rId24" w:type="first"/>
          <w:headerReference r:id="rId21" w:type="default"/>
          <w:footerReference r:id="rId22" w:type="default"/>
          <w:footerReference r:id="rId23" w:type="even"/>
          <w:pgSz w:w="11906" w:h="16838"/>
          <w:pgMar w:top="1440" w:right="1080" w:bottom="1440" w:left="1080" w:header="851" w:footer="992" w:gutter="0"/>
          <w:cols w:space="720" w:num="1"/>
          <w:titlePg/>
          <w:docGrid w:linePitch="312" w:charSpace="0"/>
        </w:sectPr>
      </w:pPr>
    </w:p>
    <w:p w14:paraId="28DB1890">
      <w:pPr>
        <w:pStyle w:val="696"/>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w:t>
      </w:r>
      <w:bookmarkStart w:id="497" w:name="_Hlk101259491"/>
      <w:r>
        <w:rPr>
          <w:rFonts w:hint="eastAsia" w:ascii="宋体" w:hAnsi="宋体" w:eastAsia="宋体" w:cs="宋体"/>
          <w:color w:val="auto"/>
          <w:sz w:val="32"/>
          <w:szCs w:val="32"/>
          <w:highlight w:val="none"/>
        </w:rPr>
        <w:t>（如果有）</w:t>
      </w:r>
      <w:bookmarkEnd w:id="497"/>
    </w:p>
    <w:p w14:paraId="0A8397A9">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3CCD270A">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98" w:name="_Toc465665161"/>
      <w:r>
        <w:rPr>
          <w:rFonts w:hint="eastAsia" w:ascii="宋体" w:hAnsi="宋体" w:cs="宋体"/>
          <w:color w:val="auto"/>
          <w:highlight w:val="none"/>
        </w:rPr>
        <w:t>附件</w:t>
      </w:r>
      <w:bookmarkEnd w:id="498"/>
    </w:p>
    <w:p w14:paraId="63BA4B89">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0F738F49">
      <w:pPr>
        <w:spacing w:line="360" w:lineRule="auto"/>
        <w:jc w:val="center"/>
        <w:rPr>
          <w:rFonts w:ascii="宋体" w:hAnsi="宋体" w:cs="宋体"/>
          <w:b/>
          <w:color w:val="auto"/>
          <w:spacing w:val="6"/>
          <w:sz w:val="32"/>
          <w:szCs w:val="32"/>
          <w:highlight w:val="none"/>
        </w:rPr>
      </w:pPr>
      <w:bookmarkStart w:id="499" w:name="OLE_LINK13"/>
      <w:bookmarkStart w:id="500" w:name="OLE_LINK14"/>
      <w:r>
        <w:rPr>
          <w:rFonts w:hint="eastAsia" w:ascii="宋体" w:hAnsi="宋体" w:cs="宋体"/>
          <w:b/>
          <w:color w:val="auto"/>
          <w:spacing w:val="6"/>
          <w:sz w:val="32"/>
          <w:szCs w:val="32"/>
          <w:highlight w:val="none"/>
        </w:rPr>
        <w:t>残疾人福利性单位声明函</w:t>
      </w:r>
    </w:p>
    <w:bookmarkEnd w:id="499"/>
    <w:bookmarkEnd w:id="500"/>
    <w:p w14:paraId="216FAA4B">
      <w:pPr>
        <w:spacing w:line="360" w:lineRule="auto"/>
        <w:rPr>
          <w:rFonts w:ascii="宋体" w:hAnsi="宋体" w:cs="宋体"/>
          <w:b/>
          <w:color w:val="auto"/>
          <w:spacing w:val="6"/>
          <w:sz w:val="30"/>
          <w:szCs w:val="30"/>
          <w:highlight w:val="none"/>
        </w:rPr>
      </w:pPr>
    </w:p>
    <w:p w14:paraId="69A660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5D40D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833D652">
      <w:pPr>
        <w:spacing w:line="360" w:lineRule="auto"/>
        <w:ind w:firstLine="480" w:firstLineChars="200"/>
        <w:rPr>
          <w:rFonts w:ascii="宋体" w:hAnsi="宋体" w:cs="宋体"/>
          <w:color w:val="auto"/>
          <w:sz w:val="24"/>
          <w:highlight w:val="none"/>
        </w:rPr>
      </w:pPr>
    </w:p>
    <w:p w14:paraId="7732AEF8">
      <w:pPr>
        <w:spacing w:line="360" w:lineRule="auto"/>
        <w:ind w:firstLine="480" w:firstLineChars="200"/>
        <w:rPr>
          <w:rFonts w:ascii="宋体" w:hAnsi="宋体" w:cs="宋体"/>
          <w:color w:val="auto"/>
          <w:sz w:val="24"/>
          <w:highlight w:val="none"/>
        </w:rPr>
      </w:pPr>
    </w:p>
    <w:p w14:paraId="0B5BC80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0A0BDB6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3E35143F">
      <w:pPr>
        <w:spacing w:line="360" w:lineRule="auto"/>
        <w:ind w:firstLine="480" w:firstLineChars="200"/>
        <w:rPr>
          <w:rFonts w:ascii="宋体" w:hAnsi="宋体" w:cs="宋体"/>
          <w:color w:val="auto"/>
          <w:sz w:val="24"/>
          <w:highlight w:val="none"/>
        </w:rPr>
      </w:pPr>
    </w:p>
    <w:p w14:paraId="1D40E3C4">
      <w:pPr>
        <w:spacing w:line="360" w:lineRule="auto"/>
        <w:ind w:firstLine="420" w:firstLineChars="200"/>
        <w:rPr>
          <w:rFonts w:ascii="宋体" w:hAnsi="宋体" w:cs="宋体"/>
          <w:color w:val="auto"/>
          <w:highlight w:val="none"/>
        </w:rPr>
      </w:pPr>
    </w:p>
    <w:p w14:paraId="139FFE5F">
      <w:pPr>
        <w:spacing w:line="360" w:lineRule="auto"/>
        <w:ind w:firstLine="420" w:firstLineChars="200"/>
        <w:rPr>
          <w:rFonts w:ascii="宋体" w:hAnsi="宋体" w:cs="宋体"/>
          <w:color w:val="auto"/>
          <w:highlight w:val="none"/>
        </w:rPr>
      </w:pPr>
    </w:p>
    <w:p w14:paraId="2B652622">
      <w:pPr>
        <w:spacing w:line="360" w:lineRule="auto"/>
        <w:ind w:firstLine="420" w:firstLineChars="200"/>
        <w:rPr>
          <w:rFonts w:ascii="宋体" w:hAnsi="宋体" w:cs="宋体"/>
          <w:color w:val="auto"/>
          <w:highlight w:val="none"/>
        </w:rPr>
      </w:pPr>
    </w:p>
    <w:p w14:paraId="4A37FBE3">
      <w:pPr>
        <w:spacing w:line="360" w:lineRule="auto"/>
        <w:ind w:firstLine="420" w:firstLineChars="200"/>
        <w:rPr>
          <w:rFonts w:ascii="宋体" w:hAnsi="宋体" w:cs="宋体"/>
          <w:color w:val="auto"/>
          <w:highlight w:val="none"/>
        </w:rPr>
      </w:pPr>
    </w:p>
    <w:p w14:paraId="0C9011A3">
      <w:pPr>
        <w:spacing w:line="360" w:lineRule="auto"/>
        <w:rPr>
          <w:rFonts w:ascii="宋体" w:hAnsi="宋体" w:cs="宋体"/>
          <w:b/>
          <w:color w:val="auto"/>
          <w:sz w:val="24"/>
          <w:highlight w:val="none"/>
        </w:rPr>
      </w:pPr>
    </w:p>
    <w:p w14:paraId="6EDC3531">
      <w:pPr>
        <w:spacing w:line="360" w:lineRule="auto"/>
        <w:rPr>
          <w:rFonts w:ascii="宋体" w:hAnsi="宋体" w:cs="宋体"/>
          <w:b/>
          <w:color w:val="auto"/>
          <w:sz w:val="24"/>
          <w:highlight w:val="none"/>
        </w:rPr>
      </w:pPr>
    </w:p>
    <w:p w14:paraId="5D08CCD6">
      <w:pPr>
        <w:spacing w:line="360" w:lineRule="auto"/>
        <w:rPr>
          <w:rFonts w:ascii="宋体" w:hAnsi="宋体" w:cs="宋体"/>
          <w:b/>
          <w:color w:val="auto"/>
          <w:sz w:val="24"/>
          <w:highlight w:val="none"/>
        </w:rPr>
      </w:pPr>
    </w:p>
    <w:p w14:paraId="495ACB90">
      <w:pPr>
        <w:spacing w:line="360" w:lineRule="auto"/>
        <w:rPr>
          <w:rFonts w:ascii="宋体" w:hAnsi="宋体" w:cs="宋体"/>
          <w:b/>
          <w:color w:val="auto"/>
          <w:sz w:val="24"/>
          <w:highlight w:val="none"/>
        </w:rPr>
      </w:pPr>
    </w:p>
    <w:p w14:paraId="25B0EB18">
      <w:pPr>
        <w:spacing w:line="360" w:lineRule="auto"/>
        <w:rPr>
          <w:rFonts w:ascii="宋体" w:hAnsi="宋体" w:cs="宋体"/>
          <w:b/>
          <w:color w:val="auto"/>
          <w:sz w:val="24"/>
          <w:highlight w:val="none"/>
        </w:rPr>
      </w:pPr>
    </w:p>
    <w:p w14:paraId="4722C845">
      <w:pPr>
        <w:spacing w:line="360" w:lineRule="auto"/>
        <w:rPr>
          <w:rFonts w:ascii="宋体" w:hAnsi="宋体" w:cs="宋体"/>
          <w:b/>
          <w:color w:val="auto"/>
          <w:sz w:val="24"/>
          <w:highlight w:val="none"/>
        </w:rPr>
      </w:pPr>
    </w:p>
    <w:p w14:paraId="773AEC0B">
      <w:pPr>
        <w:spacing w:line="360" w:lineRule="auto"/>
        <w:rPr>
          <w:rFonts w:ascii="宋体" w:hAnsi="宋体" w:cs="宋体"/>
          <w:b/>
          <w:color w:val="auto"/>
          <w:sz w:val="24"/>
          <w:highlight w:val="none"/>
        </w:rPr>
      </w:pPr>
    </w:p>
    <w:p w14:paraId="7513287D">
      <w:pPr>
        <w:spacing w:line="360" w:lineRule="auto"/>
        <w:rPr>
          <w:rFonts w:ascii="宋体" w:hAnsi="宋体" w:cs="宋体"/>
          <w:b/>
          <w:color w:val="auto"/>
          <w:sz w:val="24"/>
          <w:highlight w:val="none"/>
        </w:rPr>
      </w:pPr>
    </w:p>
    <w:p w14:paraId="2FE11E6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ABA10A9">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44CD4AB">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3A1CC78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EFD37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3D68BD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BA75B1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5A7C34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C59136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C1BF81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021AE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820411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9B21C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E16949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5860C84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67AB2C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C9BC70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EA0BE69">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5646F15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E0A443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8B95E9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2D3A236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78E7FA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A222BF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E78FD2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1085F3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C5FF0C4">
      <w:pPr>
        <w:spacing w:line="360" w:lineRule="auto"/>
        <w:jc w:val="center"/>
        <w:rPr>
          <w:rFonts w:ascii="宋体" w:hAnsi="宋体" w:cs="宋体"/>
          <w:b/>
          <w:bCs/>
          <w:color w:val="auto"/>
          <w:sz w:val="24"/>
          <w:highlight w:val="none"/>
        </w:rPr>
      </w:pPr>
    </w:p>
    <w:p w14:paraId="560EDAB2">
      <w:pPr>
        <w:spacing w:line="360" w:lineRule="auto"/>
        <w:rPr>
          <w:rFonts w:ascii="宋体" w:hAnsi="宋体" w:cs="宋体"/>
          <w:b/>
          <w:color w:val="auto"/>
          <w:sz w:val="24"/>
          <w:highlight w:val="none"/>
        </w:rPr>
      </w:pPr>
    </w:p>
    <w:p w14:paraId="743D95F5">
      <w:pPr>
        <w:spacing w:line="360" w:lineRule="auto"/>
        <w:rPr>
          <w:rFonts w:ascii="宋体" w:hAnsi="宋体" w:cs="宋体"/>
          <w:b/>
          <w:color w:val="auto"/>
          <w:sz w:val="24"/>
          <w:highlight w:val="none"/>
        </w:rPr>
      </w:pPr>
    </w:p>
    <w:p w14:paraId="528A2D06">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CDBF83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B0DE6E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B37367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D71EFC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687336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C2F510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890C9DC">
      <w:pPr>
        <w:widowControl/>
        <w:spacing w:line="360" w:lineRule="auto"/>
        <w:ind w:firstLine="600" w:firstLineChars="200"/>
        <w:jc w:val="left"/>
        <w:rPr>
          <w:rFonts w:ascii="宋体" w:hAnsi="宋体" w:cs="宋体"/>
          <w:color w:val="auto"/>
          <w:sz w:val="30"/>
          <w:szCs w:val="30"/>
          <w:highlight w:val="none"/>
        </w:rPr>
      </w:pPr>
    </w:p>
    <w:p w14:paraId="3A8AE68A">
      <w:pPr>
        <w:spacing w:line="360" w:lineRule="auto"/>
        <w:jc w:val="center"/>
        <w:rPr>
          <w:rFonts w:ascii="宋体" w:hAnsi="宋体" w:cs="宋体"/>
          <w:b/>
          <w:color w:val="auto"/>
          <w:spacing w:val="6"/>
          <w:sz w:val="32"/>
          <w:szCs w:val="32"/>
          <w:highlight w:val="none"/>
        </w:rPr>
      </w:pPr>
    </w:p>
    <w:p w14:paraId="51D25F8F">
      <w:pPr>
        <w:spacing w:line="360" w:lineRule="auto"/>
        <w:jc w:val="center"/>
        <w:rPr>
          <w:rFonts w:ascii="宋体" w:hAnsi="宋体" w:cs="宋体"/>
          <w:b/>
          <w:color w:val="auto"/>
          <w:spacing w:val="6"/>
          <w:sz w:val="32"/>
          <w:szCs w:val="32"/>
          <w:highlight w:val="none"/>
        </w:rPr>
      </w:pPr>
    </w:p>
    <w:p w14:paraId="5E33CC5E">
      <w:pPr>
        <w:spacing w:line="360" w:lineRule="auto"/>
        <w:jc w:val="center"/>
        <w:rPr>
          <w:rFonts w:ascii="宋体" w:hAnsi="宋体" w:cs="宋体"/>
          <w:b/>
          <w:color w:val="auto"/>
          <w:spacing w:val="6"/>
          <w:sz w:val="32"/>
          <w:szCs w:val="32"/>
          <w:highlight w:val="none"/>
        </w:rPr>
      </w:pPr>
    </w:p>
    <w:p w14:paraId="6A6EEBDC">
      <w:pPr>
        <w:spacing w:line="360" w:lineRule="auto"/>
        <w:jc w:val="center"/>
        <w:rPr>
          <w:rFonts w:ascii="宋体" w:hAnsi="宋体" w:cs="宋体"/>
          <w:b/>
          <w:color w:val="auto"/>
          <w:spacing w:val="6"/>
          <w:sz w:val="32"/>
          <w:szCs w:val="32"/>
          <w:highlight w:val="none"/>
        </w:rPr>
      </w:pPr>
    </w:p>
    <w:p w14:paraId="300CF666">
      <w:pPr>
        <w:spacing w:line="360" w:lineRule="auto"/>
        <w:jc w:val="center"/>
        <w:rPr>
          <w:rFonts w:ascii="宋体" w:hAnsi="宋体" w:cs="宋体"/>
          <w:b/>
          <w:color w:val="auto"/>
          <w:spacing w:val="6"/>
          <w:sz w:val="32"/>
          <w:szCs w:val="32"/>
          <w:highlight w:val="none"/>
        </w:rPr>
      </w:pPr>
    </w:p>
    <w:p w14:paraId="5FB0B9C4">
      <w:pPr>
        <w:spacing w:line="360" w:lineRule="auto"/>
        <w:jc w:val="center"/>
        <w:rPr>
          <w:rFonts w:ascii="宋体" w:hAnsi="宋体" w:cs="宋体"/>
          <w:b/>
          <w:color w:val="auto"/>
          <w:spacing w:val="6"/>
          <w:sz w:val="32"/>
          <w:szCs w:val="32"/>
          <w:highlight w:val="none"/>
        </w:rPr>
      </w:pPr>
    </w:p>
    <w:p w14:paraId="405583D5">
      <w:pPr>
        <w:spacing w:line="360" w:lineRule="auto"/>
        <w:jc w:val="center"/>
        <w:rPr>
          <w:rFonts w:ascii="宋体" w:hAnsi="宋体" w:cs="宋体"/>
          <w:b/>
          <w:color w:val="auto"/>
          <w:spacing w:val="6"/>
          <w:sz w:val="32"/>
          <w:szCs w:val="32"/>
          <w:highlight w:val="none"/>
        </w:rPr>
      </w:pPr>
    </w:p>
    <w:p w14:paraId="31D0EEBF">
      <w:pPr>
        <w:spacing w:line="360" w:lineRule="auto"/>
        <w:jc w:val="center"/>
        <w:rPr>
          <w:rFonts w:ascii="宋体" w:hAnsi="宋体" w:cs="宋体"/>
          <w:b/>
          <w:color w:val="auto"/>
          <w:spacing w:val="6"/>
          <w:sz w:val="32"/>
          <w:szCs w:val="32"/>
          <w:highlight w:val="none"/>
        </w:rPr>
      </w:pPr>
    </w:p>
    <w:p w14:paraId="61E509D2">
      <w:pPr>
        <w:spacing w:line="360" w:lineRule="auto"/>
        <w:jc w:val="center"/>
        <w:rPr>
          <w:rFonts w:ascii="宋体" w:hAnsi="宋体" w:cs="宋体"/>
          <w:b/>
          <w:color w:val="auto"/>
          <w:spacing w:val="6"/>
          <w:sz w:val="32"/>
          <w:szCs w:val="32"/>
          <w:highlight w:val="none"/>
        </w:rPr>
      </w:pPr>
    </w:p>
    <w:p w14:paraId="3E639BBD">
      <w:pPr>
        <w:spacing w:line="360" w:lineRule="auto"/>
        <w:jc w:val="center"/>
        <w:rPr>
          <w:rFonts w:ascii="宋体" w:hAnsi="宋体" w:cs="宋体"/>
          <w:b/>
          <w:color w:val="auto"/>
          <w:spacing w:val="6"/>
          <w:sz w:val="32"/>
          <w:szCs w:val="32"/>
          <w:highlight w:val="none"/>
        </w:rPr>
      </w:pPr>
    </w:p>
    <w:p w14:paraId="548E96CC">
      <w:pPr>
        <w:spacing w:line="360" w:lineRule="auto"/>
        <w:jc w:val="center"/>
        <w:rPr>
          <w:rFonts w:ascii="宋体" w:hAnsi="宋体" w:cs="宋体"/>
          <w:b/>
          <w:color w:val="auto"/>
          <w:spacing w:val="6"/>
          <w:sz w:val="32"/>
          <w:szCs w:val="32"/>
          <w:highlight w:val="none"/>
        </w:rPr>
      </w:pPr>
    </w:p>
    <w:p w14:paraId="692C3AE6">
      <w:pPr>
        <w:spacing w:line="360" w:lineRule="auto"/>
        <w:jc w:val="center"/>
        <w:rPr>
          <w:rFonts w:ascii="宋体" w:hAnsi="宋体" w:cs="宋体"/>
          <w:b/>
          <w:color w:val="auto"/>
          <w:spacing w:val="6"/>
          <w:sz w:val="32"/>
          <w:szCs w:val="32"/>
          <w:highlight w:val="none"/>
        </w:rPr>
      </w:pPr>
    </w:p>
    <w:p w14:paraId="32617BD9">
      <w:pPr>
        <w:spacing w:line="360" w:lineRule="auto"/>
        <w:jc w:val="left"/>
        <w:rPr>
          <w:rFonts w:ascii="宋体" w:hAnsi="宋体" w:cs="宋体"/>
          <w:b/>
          <w:color w:val="auto"/>
          <w:spacing w:val="6"/>
          <w:sz w:val="32"/>
          <w:szCs w:val="32"/>
          <w:highlight w:val="none"/>
        </w:rPr>
      </w:pPr>
    </w:p>
    <w:p w14:paraId="5AA100B0">
      <w:pPr>
        <w:spacing w:line="360" w:lineRule="auto"/>
        <w:jc w:val="left"/>
        <w:rPr>
          <w:rFonts w:ascii="宋体" w:hAnsi="宋体" w:cs="宋体"/>
          <w:b/>
          <w:color w:val="auto"/>
          <w:spacing w:val="6"/>
          <w:sz w:val="32"/>
          <w:szCs w:val="32"/>
          <w:highlight w:val="none"/>
        </w:rPr>
      </w:pPr>
    </w:p>
    <w:p w14:paraId="231D248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2595392">
      <w:pPr>
        <w:spacing w:line="360" w:lineRule="auto"/>
        <w:jc w:val="center"/>
        <w:rPr>
          <w:rFonts w:ascii="宋体" w:hAnsi="宋体" w:cs="宋体"/>
          <w:b/>
          <w:color w:val="auto"/>
          <w:sz w:val="24"/>
          <w:highlight w:val="none"/>
        </w:rPr>
      </w:pPr>
    </w:p>
    <w:p w14:paraId="410496E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2688105">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32A24AB0">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448110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5468DEE">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5EB73ED">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D14DDF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2B26A46">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411E46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072CEC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CDF99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931410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F1FDD84">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A2A34B6">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69257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4E4175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3761D0A">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D35848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13F1EC0F">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40A03EA">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36E165E">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734CD7C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38908B6">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7B57FD4">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2F887699">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E3D0A7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C61B865">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446AC13">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BAC224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4EFB0593">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9DA4BD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279D67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A5FE67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13DA95D">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0C2D7EB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B1ED533">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F339CD5">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C196463">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1BDE1BD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BD6E12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EAC17FE">
      <w:pPr>
        <w:spacing w:line="360" w:lineRule="auto"/>
        <w:rPr>
          <w:rFonts w:ascii="宋体" w:hAnsi="宋体" w:cs="宋体"/>
          <w:b/>
          <w:color w:val="auto"/>
          <w:sz w:val="24"/>
          <w:highlight w:val="none"/>
        </w:rPr>
      </w:pPr>
    </w:p>
    <w:p w14:paraId="15AA6199">
      <w:pPr>
        <w:spacing w:line="360" w:lineRule="auto"/>
        <w:rPr>
          <w:rFonts w:ascii="宋体" w:hAnsi="宋体" w:cs="宋体"/>
          <w:b/>
          <w:color w:val="auto"/>
          <w:sz w:val="24"/>
          <w:highlight w:val="none"/>
        </w:rPr>
      </w:pPr>
    </w:p>
    <w:p w14:paraId="3F230748">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AF81D08">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024A3D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3F21A7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66F189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362463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62142A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57E167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B897FC0">
      <w:pPr>
        <w:spacing w:line="360" w:lineRule="auto"/>
        <w:rPr>
          <w:rFonts w:ascii="宋体" w:hAnsi="宋体" w:cs="宋体"/>
          <w:b/>
          <w:color w:val="auto"/>
          <w:sz w:val="24"/>
          <w:highlight w:val="none"/>
        </w:rPr>
      </w:pPr>
    </w:p>
    <w:p w14:paraId="1544B5BF">
      <w:pPr>
        <w:autoSpaceDE w:val="0"/>
        <w:autoSpaceDN w:val="0"/>
        <w:jc w:val="center"/>
        <w:rPr>
          <w:rFonts w:ascii="宋体" w:hAnsi="宋体" w:cs="宋体"/>
          <w:b/>
          <w:color w:val="auto"/>
          <w:spacing w:val="6"/>
          <w:sz w:val="32"/>
          <w:szCs w:val="32"/>
          <w:highlight w:val="none"/>
        </w:rPr>
      </w:pPr>
    </w:p>
    <w:p w14:paraId="4B9A595A">
      <w:pPr>
        <w:autoSpaceDE w:val="0"/>
        <w:autoSpaceDN w:val="0"/>
        <w:jc w:val="center"/>
        <w:rPr>
          <w:rFonts w:hint="eastAsia"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2DA0832F">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0FBDFB24">
      <w:pPr>
        <w:spacing w:line="360" w:lineRule="auto"/>
        <w:rPr>
          <w:rFonts w:ascii="宋体" w:hAnsi="宋体" w:cs="宋体"/>
          <w:color w:val="auto"/>
          <w:sz w:val="24"/>
          <w:highlight w:val="none"/>
          <w:u w:val="single"/>
        </w:rPr>
      </w:pPr>
    </w:p>
    <w:p w14:paraId="6ACA6E2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u w:val="single"/>
          <w:lang w:eastAsia="zh-CN"/>
        </w:rPr>
        <w:t>杭州市长寿桥小学</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浙江西建工程管理有限公司</w:t>
      </w:r>
    </w:p>
    <w:p w14:paraId="7B0F722B">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长寿桥小学维修改造工程</w:t>
      </w:r>
      <w:r>
        <w:rPr>
          <w:rFonts w:hint="eastAsia" w:ascii="宋体" w:hAnsi="宋体" w:cs="宋体"/>
          <w:color w:val="auto"/>
          <w:sz w:val="24"/>
          <w:highlight w:val="none"/>
        </w:rPr>
        <w:t>项目【项目编号：</w:t>
      </w:r>
      <w:r>
        <w:rPr>
          <w:rFonts w:hint="eastAsia" w:ascii="宋体" w:hAnsi="宋体" w:cs="宋体"/>
          <w:color w:val="auto"/>
          <w:sz w:val="24"/>
          <w:highlight w:val="none"/>
          <w:lang w:eastAsia="zh-CN"/>
        </w:rPr>
        <w:t>XJZB[2025]044</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68F74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6085C4E">
      <w:pPr>
        <w:spacing w:line="360" w:lineRule="auto"/>
        <w:ind w:firstLine="494"/>
        <w:rPr>
          <w:rFonts w:ascii="宋体" w:hAnsi="宋体" w:cs="宋体"/>
          <w:color w:val="auto"/>
          <w:sz w:val="24"/>
          <w:highlight w:val="none"/>
        </w:rPr>
      </w:pPr>
    </w:p>
    <w:p w14:paraId="3B77993B">
      <w:pPr>
        <w:spacing w:line="360" w:lineRule="auto"/>
        <w:ind w:firstLine="494"/>
        <w:rPr>
          <w:rFonts w:ascii="宋体" w:hAnsi="宋体" w:cs="宋体"/>
          <w:color w:val="auto"/>
          <w:sz w:val="24"/>
          <w:highlight w:val="none"/>
        </w:rPr>
      </w:pPr>
    </w:p>
    <w:p w14:paraId="5126B38C">
      <w:pPr>
        <w:spacing w:line="360" w:lineRule="auto"/>
        <w:ind w:firstLine="494"/>
        <w:rPr>
          <w:rFonts w:ascii="宋体" w:hAnsi="宋体" w:cs="宋体"/>
          <w:color w:val="auto"/>
          <w:sz w:val="24"/>
          <w:highlight w:val="none"/>
        </w:rPr>
      </w:pPr>
    </w:p>
    <w:p w14:paraId="3E7FA230">
      <w:pPr>
        <w:spacing w:line="360" w:lineRule="auto"/>
        <w:ind w:firstLine="494"/>
        <w:rPr>
          <w:rFonts w:ascii="宋体" w:hAnsi="宋体" w:cs="宋体"/>
          <w:color w:val="auto"/>
          <w:sz w:val="24"/>
          <w:highlight w:val="none"/>
        </w:rPr>
      </w:pPr>
    </w:p>
    <w:p w14:paraId="12489DDB">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14:paraId="52FC6B6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A98ABEA">
      <w:pPr>
        <w:rPr>
          <w:rFonts w:ascii="宋体" w:hAnsi="宋体" w:cs="宋体"/>
          <w:color w:val="auto"/>
          <w:sz w:val="24"/>
          <w:highlight w:val="none"/>
        </w:rPr>
      </w:pPr>
      <w:r>
        <w:rPr>
          <w:rFonts w:hint="eastAsia" w:ascii="宋体" w:hAnsi="宋体" w:cs="宋体"/>
          <w:b/>
          <w:bCs/>
          <w:color w:val="auto"/>
          <w:sz w:val="24"/>
          <w:highlight w:val="none"/>
        </w:rPr>
        <w:t>附：</w:t>
      </w:r>
    </w:p>
    <w:p w14:paraId="70E1FBD6">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w:t>供应商</w:t>
      </w:r>
      <w:r>
        <w:rPr>
          <w:rFonts w:hint="eastAsia" w:ascii="宋体" w:hAnsi="宋体" w:cs="宋体"/>
          <w:color w:val="auto"/>
          <w:sz w:val="24"/>
          <w:highlight w:val="none"/>
        </w:rPr>
        <w:t>法定名称章（印模）                供应商“XX专用章”（印模）</w:t>
      </w:r>
    </w:p>
    <w:p w14:paraId="1FFED75C">
      <w:pPr>
        <w:autoSpaceDE w:val="0"/>
        <w:autoSpaceDN w:val="0"/>
        <w:jc w:val="center"/>
        <w:rPr>
          <w:rFonts w:ascii="宋体" w:hAnsi="宋体" w:cs="宋体"/>
          <w:b/>
          <w:color w:val="auto"/>
          <w:spacing w:val="6"/>
          <w:sz w:val="32"/>
          <w:szCs w:val="32"/>
          <w:highlight w:val="none"/>
        </w:rPr>
      </w:pPr>
    </w:p>
    <w:p w14:paraId="2FB0CDE8">
      <w:pPr>
        <w:autoSpaceDE w:val="0"/>
        <w:autoSpaceDN w:val="0"/>
        <w:jc w:val="center"/>
        <w:rPr>
          <w:rFonts w:ascii="宋体" w:hAnsi="宋体" w:cs="宋体"/>
          <w:b/>
          <w:color w:val="auto"/>
          <w:spacing w:val="6"/>
          <w:sz w:val="32"/>
          <w:szCs w:val="32"/>
          <w:highlight w:val="none"/>
        </w:rPr>
      </w:pPr>
    </w:p>
    <w:p w14:paraId="74CBF15B">
      <w:pPr>
        <w:autoSpaceDE w:val="0"/>
        <w:autoSpaceDN w:val="0"/>
        <w:jc w:val="center"/>
        <w:rPr>
          <w:rFonts w:ascii="宋体" w:hAnsi="宋体" w:cs="宋体"/>
          <w:b/>
          <w:color w:val="auto"/>
          <w:spacing w:val="6"/>
          <w:sz w:val="32"/>
          <w:szCs w:val="32"/>
          <w:highlight w:val="none"/>
        </w:rPr>
      </w:pPr>
    </w:p>
    <w:p w14:paraId="18503425">
      <w:pPr>
        <w:autoSpaceDE w:val="0"/>
        <w:autoSpaceDN w:val="0"/>
        <w:jc w:val="center"/>
        <w:rPr>
          <w:rFonts w:ascii="宋体" w:hAnsi="宋体" w:cs="宋体"/>
          <w:b/>
          <w:color w:val="auto"/>
          <w:spacing w:val="6"/>
          <w:sz w:val="32"/>
          <w:szCs w:val="32"/>
          <w:highlight w:val="none"/>
        </w:rPr>
      </w:pPr>
    </w:p>
    <w:p w14:paraId="3D26B103">
      <w:pPr>
        <w:autoSpaceDE w:val="0"/>
        <w:autoSpaceDN w:val="0"/>
        <w:jc w:val="center"/>
        <w:rPr>
          <w:rFonts w:ascii="宋体" w:hAnsi="宋体" w:cs="宋体"/>
          <w:b/>
          <w:color w:val="auto"/>
          <w:spacing w:val="6"/>
          <w:sz w:val="32"/>
          <w:szCs w:val="32"/>
          <w:highlight w:val="none"/>
        </w:rPr>
      </w:pPr>
    </w:p>
    <w:p w14:paraId="3E425B8A">
      <w:pPr>
        <w:autoSpaceDE w:val="0"/>
        <w:autoSpaceDN w:val="0"/>
        <w:jc w:val="center"/>
        <w:rPr>
          <w:rFonts w:ascii="宋体" w:hAnsi="宋体" w:cs="宋体"/>
          <w:b/>
          <w:color w:val="auto"/>
          <w:spacing w:val="6"/>
          <w:sz w:val="32"/>
          <w:szCs w:val="32"/>
          <w:highlight w:val="none"/>
        </w:rPr>
      </w:pPr>
    </w:p>
    <w:p w14:paraId="23B42C3A">
      <w:pPr>
        <w:autoSpaceDE w:val="0"/>
        <w:autoSpaceDN w:val="0"/>
        <w:jc w:val="center"/>
        <w:rPr>
          <w:rFonts w:ascii="宋体" w:hAnsi="宋体" w:cs="宋体"/>
          <w:b/>
          <w:color w:val="auto"/>
          <w:spacing w:val="6"/>
          <w:sz w:val="32"/>
          <w:szCs w:val="32"/>
          <w:highlight w:val="none"/>
        </w:rPr>
      </w:pPr>
    </w:p>
    <w:p w14:paraId="02FDDBB1">
      <w:pPr>
        <w:autoSpaceDE w:val="0"/>
        <w:autoSpaceDN w:val="0"/>
        <w:jc w:val="center"/>
        <w:rPr>
          <w:rFonts w:ascii="宋体" w:hAnsi="宋体" w:cs="宋体"/>
          <w:b/>
          <w:color w:val="auto"/>
          <w:spacing w:val="6"/>
          <w:sz w:val="32"/>
          <w:szCs w:val="32"/>
          <w:highlight w:val="none"/>
        </w:rPr>
      </w:pPr>
    </w:p>
    <w:p w14:paraId="39B5FF95">
      <w:pPr>
        <w:autoSpaceDE w:val="0"/>
        <w:autoSpaceDN w:val="0"/>
        <w:jc w:val="center"/>
        <w:rPr>
          <w:rFonts w:ascii="宋体" w:hAnsi="宋体" w:cs="宋体"/>
          <w:b/>
          <w:color w:val="auto"/>
          <w:spacing w:val="6"/>
          <w:sz w:val="32"/>
          <w:szCs w:val="32"/>
          <w:highlight w:val="none"/>
        </w:rPr>
      </w:pPr>
    </w:p>
    <w:p w14:paraId="556CA058">
      <w:pPr>
        <w:autoSpaceDE w:val="0"/>
        <w:autoSpaceDN w:val="0"/>
        <w:jc w:val="center"/>
        <w:rPr>
          <w:rFonts w:ascii="宋体" w:hAnsi="宋体" w:cs="宋体"/>
          <w:b/>
          <w:color w:val="auto"/>
          <w:spacing w:val="6"/>
          <w:sz w:val="32"/>
          <w:szCs w:val="32"/>
          <w:highlight w:val="none"/>
        </w:rPr>
      </w:pPr>
    </w:p>
    <w:p w14:paraId="7FBDEA11">
      <w:pPr>
        <w:autoSpaceDE w:val="0"/>
        <w:autoSpaceDN w:val="0"/>
        <w:jc w:val="center"/>
        <w:rPr>
          <w:rFonts w:ascii="宋体" w:hAnsi="宋体" w:cs="宋体"/>
          <w:b/>
          <w:color w:val="auto"/>
          <w:spacing w:val="6"/>
          <w:sz w:val="32"/>
          <w:szCs w:val="32"/>
          <w:highlight w:val="none"/>
        </w:rPr>
      </w:pPr>
    </w:p>
    <w:p w14:paraId="3236507D">
      <w:pPr>
        <w:autoSpaceDE w:val="0"/>
        <w:autoSpaceDN w:val="0"/>
        <w:jc w:val="center"/>
        <w:rPr>
          <w:rFonts w:ascii="宋体" w:hAnsi="宋体" w:cs="宋体"/>
          <w:b/>
          <w:color w:val="auto"/>
          <w:spacing w:val="6"/>
          <w:sz w:val="32"/>
          <w:szCs w:val="32"/>
          <w:highlight w:val="none"/>
        </w:rPr>
      </w:pPr>
    </w:p>
    <w:p w14:paraId="24004B72">
      <w:pPr>
        <w:autoSpaceDE w:val="0"/>
        <w:autoSpaceDN w:val="0"/>
        <w:jc w:val="center"/>
        <w:rPr>
          <w:rFonts w:ascii="宋体" w:hAnsi="宋体" w:cs="宋体"/>
          <w:b/>
          <w:color w:val="auto"/>
          <w:spacing w:val="6"/>
          <w:sz w:val="32"/>
          <w:szCs w:val="32"/>
          <w:highlight w:val="none"/>
        </w:rPr>
      </w:pPr>
    </w:p>
    <w:p w14:paraId="237B4443">
      <w:pPr>
        <w:autoSpaceDE w:val="0"/>
        <w:autoSpaceDN w:val="0"/>
        <w:jc w:val="center"/>
        <w:rPr>
          <w:rFonts w:ascii="宋体" w:hAnsi="宋体" w:cs="宋体"/>
          <w:b/>
          <w:color w:val="auto"/>
          <w:spacing w:val="6"/>
          <w:sz w:val="32"/>
          <w:szCs w:val="32"/>
          <w:highlight w:val="none"/>
        </w:rPr>
      </w:pPr>
    </w:p>
    <w:p w14:paraId="0232368B">
      <w:pPr>
        <w:autoSpaceDE w:val="0"/>
        <w:autoSpaceDN w:val="0"/>
        <w:jc w:val="center"/>
        <w:rPr>
          <w:rFonts w:ascii="宋体" w:hAnsi="宋体" w:cs="宋体"/>
          <w:b/>
          <w:color w:val="auto"/>
          <w:spacing w:val="6"/>
          <w:sz w:val="32"/>
          <w:szCs w:val="32"/>
          <w:highlight w:val="none"/>
        </w:rPr>
      </w:pPr>
    </w:p>
    <w:p w14:paraId="3CFB91E8">
      <w:pPr>
        <w:autoSpaceDE w:val="0"/>
        <w:autoSpaceDN w:val="0"/>
        <w:jc w:val="center"/>
        <w:rPr>
          <w:rFonts w:ascii="宋体" w:hAnsi="宋体" w:cs="宋体"/>
          <w:b/>
          <w:color w:val="auto"/>
          <w:spacing w:val="6"/>
          <w:sz w:val="32"/>
          <w:szCs w:val="32"/>
          <w:highlight w:val="none"/>
        </w:rPr>
      </w:pPr>
    </w:p>
    <w:p w14:paraId="4452C47C">
      <w:pPr>
        <w:autoSpaceDE w:val="0"/>
        <w:autoSpaceDN w:val="0"/>
        <w:jc w:val="center"/>
        <w:rPr>
          <w:rFonts w:ascii="宋体" w:hAnsi="宋体" w:cs="宋体"/>
          <w:b/>
          <w:color w:val="auto"/>
          <w:spacing w:val="6"/>
          <w:sz w:val="32"/>
          <w:szCs w:val="32"/>
          <w:highlight w:val="none"/>
        </w:rPr>
      </w:pPr>
    </w:p>
    <w:p w14:paraId="57EFFA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32A7044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14:paraId="71B0A5E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长寿桥小学维修改造工程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XJZB[2025]044</w:t>
      </w:r>
      <w:r>
        <w:rPr>
          <w:rFonts w:hint="eastAsia" w:ascii="宋体" w:hAnsi="宋体" w:cs="宋体"/>
          <w:color w:val="auto"/>
          <w:sz w:val="24"/>
          <w:highlight w:val="none"/>
        </w:rPr>
        <w:t>】</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14:paraId="716AF8A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0C57FF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14:paraId="6A890F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中，分工如下：</w:t>
      </w:r>
    </w:p>
    <w:p w14:paraId="30580D4D">
      <w:pPr>
        <w:snapToGrid w:val="0"/>
        <w:spacing w:line="360" w:lineRule="auto"/>
        <w:ind w:firstLine="576"/>
        <w:rPr>
          <w:rFonts w:ascii="宋体" w:hAnsi="宋体" w:cs="宋体"/>
          <w:color w:val="auto"/>
          <w:kern w:val="0"/>
          <w:sz w:val="24"/>
          <w:highlight w:val="none"/>
          <w:lang w:val="zh-CN"/>
        </w:rPr>
      </w:pPr>
      <w:bookmarkStart w:id="501"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4E5D06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39278A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01"/>
    <w:p w14:paraId="1C7BF75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68A04A1">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cs="宋体"/>
          <w:b/>
          <w:color w:val="auto"/>
          <w:kern w:val="0"/>
          <w:sz w:val="24"/>
          <w:highlight w:val="none"/>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6AF74E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101F329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14:paraId="2B72AF9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14:paraId="6B4CB9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EEAC7C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6CE699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2B33A59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CD7487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774EC2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45FCF45">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3C9BA477">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7D28F9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633F85C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长寿桥小学维修改造工程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XJZB[2025]044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8DC33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22DDA6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5DF360D5">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FE3180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A63DA7C">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492A3C1">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0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02"/>
    </w:p>
    <w:p w14:paraId="71B91A9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4A0564C">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6963EE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09AF66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5D7BA6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175D760">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56EE269">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7C7E15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0D15A9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A0CA2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CA9EA3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53576D3E">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2E2CE9A3">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8AE8199">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AC7FA8F">
      <w:pPr>
        <w:autoSpaceDE w:val="0"/>
        <w:autoSpaceDN w:val="0"/>
        <w:jc w:val="center"/>
        <w:rPr>
          <w:rFonts w:ascii="宋体" w:hAnsi="宋体" w:cs="宋体"/>
          <w:b/>
          <w:color w:val="auto"/>
          <w:spacing w:val="6"/>
          <w:sz w:val="32"/>
          <w:szCs w:val="32"/>
          <w:highlight w:val="none"/>
        </w:rPr>
      </w:pPr>
    </w:p>
    <w:p w14:paraId="4EDD6B2F">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1AEEEFC5">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4F818EB7">
      <w:pPr>
        <w:spacing w:line="360" w:lineRule="auto"/>
        <w:jc w:val="center"/>
        <w:rPr>
          <w:rFonts w:ascii="宋体" w:hAnsi="宋体" w:cs="宋体"/>
          <w:color w:val="auto"/>
          <w:sz w:val="24"/>
          <w:highlight w:val="none"/>
          <w:u w:val="single"/>
        </w:rPr>
      </w:pPr>
    </w:p>
    <w:p w14:paraId="48E9EE5C">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160067EF">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杭州市长寿桥小学</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长寿桥小学维修改造工程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A845BD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56B4DB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38A90C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4C4DDBF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D25CCB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B11E262">
      <w:pPr>
        <w:spacing w:line="360" w:lineRule="auto"/>
        <w:ind w:firstLine="480" w:firstLineChars="200"/>
        <w:rPr>
          <w:rFonts w:ascii="宋体" w:hAnsi="宋体" w:cs="宋体"/>
          <w:color w:val="auto"/>
          <w:sz w:val="24"/>
          <w:highlight w:val="none"/>
        </w:rPr>
      </w:pPr>
    </w:p>
    <w:p w14:paraId="10D9F90D">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6EBFF72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1CD672">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2F5ED7AC">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7C07EF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630B4021">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52728445">
      <w:pPr>
        <w:spacing w:line="360" w:lineRule="auto"/>
        <w:jc w:val="center"/>
        <w:rPr>
          <w:rFonts w:ascii="宋体" w:hAnsi="宋体" w:cs="宋体"/>
          <w:b/>
          <w:color w:val="auto"/>
          <w:sz w:val="32"/>
          <w:szCs w:val="32"/>
          <w:highlight w:val="none"/>
        </w:rPr>
      </w:pPr>
    </w:p>
    <w:p w14:paraId="592B558F">
      <w:pPr>
        <w:spacing w:line="360" w:lineRule="auto"/>
        <w:jc w:val="center"/>
        <w:rPr>
          <w:rFonts w:ascii="宋体" w:hAnsi="宋体" w:cs="宋体"/>
          <w:b/>
          <w:color w:val="auto"/>
          <w:sz w:val="32"/>
          <w:szCs w:val="32"/>
          <w:highlight w:val="none"/>
        </w:rPr>
      </w:pPr>
    </w:p>
    <w:p w14:paraId="10D3B205">
      <w:pPr>
        <w:spacing w:line="360" w:lineRule="auto"/>
        <w:jc w:val="center"/>
        <w:rPr>
          <w:rFonts w:ascii="宋体" w:hAnsi="宋体" w:cs="宋体"/>
          <w:b/>
          <w:color w:val="auto"/>
          <w:sz w:val="32"/>
          <w:szCs w:val="32"/>
          <w:highlight w:val="none"/>
        </w:rPr>
      </w:pPr>
    </w:p>
    <w:p w14:paraId="688F517C">
      <w:pPr>
        <w:spacing w:line="360" w:lineRule="auto"/>
        <w:jc w:val="center"/>
        <w:rPr>
          <w:rFonts w:ascii="宋体" w:hAnsi="宋体" w:cs="宋体"/>
          <w:b/>
          <w:color w:val="auto"/>
          <w:sz w:val="32"/>
          <w:szCs w:val="32"/>
          <w:highlight w:val="none"/>
        </w:rPr>
      </w:pPr>
    </w:p>
    <w:p w14:paraId="57F14252">
      <w:pPr>
        <w:spacing w:line="360" w:lineRule="auto"/>
        <w:jc w:val="center"/>
        <w:rPr>
          <w:rFonts w:ascii="宋体" w:hAnsi="宋体" w:cs="宋体"/>
          <w:b/>
          <w:color w:val="auto"/>
          <w:sz w:val="32"/>
          <w:szCs w:val="32"/>
          <w:highlight w:val="none"/>
        </w:rPr>
      </w:pPr>
    </w:p>
    <w:p w14:paraId="582CEFC0">
      <w:pPr>
        <w:spacing w:line="360" w:lineRule="auto"/>
        <w:jc w:val="center"/>
        <w:rPr>
          <w:rFonts w:ascii="宋体" w:hAnsi="宋体" w:cs="宋体"/>
          <w:b/>
          <w:color w:val="auto"/>
          <w:sz w:val="32"/>
          <w:szCs w:val="32"/>
          <w:highlight w:val="none"/>
        </w:rPr>
      </w:pPr>
    </w:p>
    <w:p w14:paraId="71BA819C">
      <w:pPr>
        <w:spacing w:line="360" w:lineRule="auto"/>
        <w:jc w:val="center"/>
        <w:rPr>
          <w:rFonts w:ascii="宋体" w:hAnsi="宋体" w:cs="宋体"/>
          <w:b/>
          <w:color w:val="auto"/>
          <w:sz w:val="32"/>
          <w:szCs w:val="32"/>
          <w:highlight w:val="none"/>
        </w:rPr>
      </w:pPr>
    </w:p>
    <w:p w14:paraId="2A778733">
      <w:pPr>
        <w:spacing w:line="360" w:lineRule="auto"/>
        <w:jc w:val="center"/>
        <w:rPr>
          <w:rFonts w:ascii="宋体" w:hAnsi="宋体" w:cs="宋体"/>
          <w:b/>
          <w:color w:val="auto"/>
          <w:sz w:val="32"/>
          <w:szCs w:val="32"/>
          <w:highlight w:val="none"/>
        </w:rPr>
      </w:pPr>
    </w:p>
    <w:p w14:paraId="22568B99">
      <w:pPr>
        <w:spacing w:line="360" w:lineRule="auto"/>
        <w:jc w:val="center"/>
        <w:rPr>
          <w:rFonts w:ascii="宋体" w:hAnsi="宋体" w:cs="宋体"/>
          <w:b/>
          <w:color w:val="auto"/>
          <w:sz w:val="32"/>
          <w:szCs w:val="32"/>
          <w:highlight w:val="none"/>
        </w:rPr>
      </w:pPr>
    </w:p>
    <w:p w14:paraId="4705E8EA">
      <w:pPr>
        <w:spacing w:line="360" w:lineRule="auto"/>
        <w:jc w:val="center"/>
        <w:rPr>
          <w:rFonts w:ascii="宋体" w:hAnsi="宋体" w:cs="宋体"/>
          <w:b/>
          <w:color w:val="auto"/>
          <w:sz w:val="32"/>
          <w:szCs w:val="32"/>
          <w:highlight w:val="none"/>
        </w:rPr>
      </w:pPr>
    </w:p>
    <w:p w14:paraId="49BACA48">
      <w:pPr>
        <w:spacing w:line="360" w:lineRule="auto"/>
        <w:jc w:val="center"/>
        <w:rPr>
          <w:rFonts w:ascii="宋体" w:hAnsi="宋体" w:cs="宋体"/>
          <w:b/>
          <w:color w:val="auto"/>
          <w:sz w:val="32"/>
          <w:szCs w:val="32"/>
          <w:highlight w:val="none"/>
        </w:rPr>
      </w:pPr>
    </w:p>
    <w:p w14:paraId="02DA6A11">
      <w:pPr>
        <w:spacing w:line="360" w:lineRule="auto"/>
        <w:jc w:val="center"/>
        <w:rPr>
          <w:rFonts w:ascii="宋体" w:hAnsi="宋体" w:cs="宋体"/>
          <w:b/>
          <w:color w:val="auto"/>
          <w:sz w:val="32"/>
          <w:szCs w:val="32"/>
          <w:highlight w:val="none"/>
        </w:rPr>
      </w:pPr>
    </w:p>
    <w:p w14:paraId="3B909595">
      <w:pPr>
        <w:spacing w:line="360" w:lineRule="auto"/>
        <w:jc w:val="center"/>
        <w:rPr>
          <w:rFonts w:ascii="宋体" w:hAnsi="宋体" w:cs="宋体"/>
          <w:b/>
          <w:color w:val="auto"/>
          <w:sz w:val="32"/>
          <w:szCs w:val="32"/>
          <w:highlight w:val="none"/>
        </w:rPr>
      </w:pPr>
    </w:p>
    <w:p w14:paraId="2529487F">
      <w:pPr>
        <w:spacing w:line="360" w:lineRule="auto"/>
        <w:jc w:val="center"/>
        <w:rPr>
          <w:rFonts w:ascii="宋体" w:hAnsi="宋体" w:cs="宋体"/>
          <w:b/>
          <w:color w:val="auto"/>
          <w:sz w:val="32"/>
          <w:szCs w:val="32"/>
          <w:highlight w:val="none"/>
        </w:rPr>
      </w:pPr>
    </w:p>
    <w:p w14:paraId="00C5BE69">
      <w:pPr>
        <w:spacing w:line="360" w:lineRule="auto"/>
        <w:jc w:val="center"/>
        <w:rPr>
          <w:rFonts w:ascii="宋体" w:hAnsi="宋体" w:cs="宋体"/>
          <w:b/>
          <w:color w:val="auto"/>
          <w:sz w:val="32"/>
          <w:szCs w:val="32"/>
          <w:highlight w:val="none"/>
        </w:rPr>
      </w:pPr>
    </w:p>
    <w:p w14:paraId="019D81C8">
      <w:pPr>
        <w:spacing w:line="360" w:lineRule="auto"/>
        <w:jc w:val="center"/>
        <w:rPr>
          <w:rFonts w:ascii="宋体" w:hAnsi="宋体" w:cs="宋体"/>
          <w:b/>
          <w:color w:val="auto"/>
          <w:sz w:val="32"/>
          <w:szCs w:val="32"/>
          <w:highlight w:val="none"/>
        </w:rPr>
      </w:pPr>
    </w:p>
    <w:p w14:paraId="0AABA4CD">
      <w:pPr>
        <w:spacing w:line="360" w:lineRule="auto"/>
        <w:jc w:val="center"/>
        <w:rPr>
          <w:rFonts w:ascii="宋体" w:hAnsi="宋体" w:cs="宋体"/>
          <w:b/>
          <w:color w:val="auto"/>
          <w:sz w:val="32"/>
          <w:szCs w:val="32"/>
          <w:highlight w:val="none"/>
        </w:rPr>
      </w:pPr>
    </w:p>
    <w:p w14:paraId="334F7E1A">
      <w:pPr>
        <w:spacing w:line="360" w:lineRule="auto"/>
        <w:rPr>
          <w:rFonts w:ascii="宋体" w:hAnsi="宋体" w:cs="宋体"/>
          <w:bCs/>
          <w:color w:val="auto"/>
          <w:sz w:val="24"/>
          <w:highlight w:val="none"/>
        </w:rPr>
        <w:sectPr>
          <w:pgSz w:w="11906" w:h="16838"/>
          <w:pgMar w:top="1440" w:right="1080" w:bottom="1440" w:left="1080" w:header="851" w:footer="992" w:gutter="0"/>
          <w:cols w:space="720" w:num="1"/>
          <w:titlePg/>
          <w:docGrid w:linePitch="312" w:charSpace="0"/>
        </w:sectPr>
      </w:pPr>
    </w:p>
    <w:p w14:paraId="48CF4FF8">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14:paraId="09092F12">
      <w:pPr>
        <w:spacing w:line="360" w:lineRule="auto"/>
        <w:rPr>
          <w:rFonts w:ascii="宋体" w:hAnsi="宋体" w:cs="宋体"/>
          <w:b/>
          <w:color w:val="auto"/>
          <w:spacing w:val="6"/>
          <w:sz w:val="32"/>
          <w:szCs w:val="32"/>
          <w:highlight w:val="none"/>
        </w:rPr>
      </w:pPr>
    </w:p>
    <w:p w14:paraId="72D3BE44">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14:paraId="6B9CB7FB">
      <w:pPr>
        <w:pStyle w:val="26"/>
        <w:rPr>
          <w:color w:val="auto"/>
          <w:highlight w:val="none"/>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10002FF" w:usb1="4000FCFF" w:usb2="00000009" w:usb3="00000000" w:csb0="600001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Adobe 仿宋 Std R"/>
    <w:panose1 w:val="00000000000000000000"/>
    <w:charset w:val="00"/>
    <w:family w:val="roman"/>
    <w:pitch w:val="default"/>
    <w:sig w:usb0="00000000" w:usb1="00000000" w:usb2="00000000" w:usb3="00000000" w:csb0="00040001" w:csb1="00000000"/>
  </w:font>
  <w:font w:name="Adobe 仿宋 Std R">
    <w:panose1 w:val="02020400000000000000"/>
    <w:charset w:val="86"/>
    <w:family w:val="auto"/>
    <w:pitch w:val="default"/>
    <w:sig w:usb0="00000001" w:usb1="0A0F1810" w:usb2="00000016" w:usb3="00000000" w:csb0="00060007"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Adobe 仿宋 Std R"/>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Adobe 仿宋 Std R"/>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0F2B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3FF2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255A3B72">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7713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1C62B006">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A187D">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2FDF0">
    <w:pPr>
      <w:pStyle w:val="41"/>
      <w:framePr w:wrap="around" w:vAnchor="text" w:hAnchor="margin" w:xAlign="right" w:y="1"/>
      <w:rPr>
        <w:rStyle w:val="72"/>
      </w:rPr>
    </w:pPr>
    <w:r>
      <w:fldChar w:fldCharType="begin"/>
    </w:r>
    <w:r>
      <w:rPr>
        <w:rStyle w:val="72"/>
      </w:rPr>
      <w:instrText xml:space="preserve">PAGE  </w:instrText>
    </w:r>
    <w:r>
      <w:fldChar w:fldCharType="end"/>
    </w:r>
  </w:p>
  <w:p w14:paraId="081C962B">
    <w:pPr>
      <w:pStyle w:val="4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7FEB8">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503" w:name="_Toc91899912"/>
    <w:bookmarkStart w:id="504" w:name="_Toc131845147"/>
    <w:bookmarkStart w:id="505" w:name="_Toc164085800"/>
    <w:bookmarkStart w:id="506" w:name="_Toc36110187"/>
    <w:r>
      <w:rPr>
        <w:rFonts w:hint="eastAsia" w:ascii="仿宋_GB2312" w:eastAsia="仿宋_GB2312"/>
        <w:kern w:val="0"/>
        <w:szCs w:val="21"/>
      </w:rPr>
      <w:t xml:space="preserve"> 页</w:t>
    </w:r>
    <w:bookmarkEnd w:id="503"/>
    <w:bookmarkEnd w:id="504"/>
    <w:bookmarkEnd w:id="505"/>
    <w:bookmarkEnd w:id="50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FE8F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2859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F70DE13">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2EBE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36FD38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D8CB4">
    <w:pPr>
      <w:pStyle w:val="41"/>
      <w:framePr w:wrap="around" w:vAnchor="text" w:hAnchor="page" w:x="5731" w:y="34"/>
      <w:rPr>
        <w:rStyle w:val="72"/>
      </w:rPr>
    </w:pPr>
    <w:r>
      <w:fldChar w:fldCharType="begin"/>
    </w:r>
    <w:r>
      <w:rPr>
        <w:rStyle w:val="72"/>
      </w:rPr>
      <w:instrText xml:space="preserve">PAGE  </w:instrText>
    </w:r>
    <w:r>
      <w:fldChar w:fldCharType="separate"/>
    </w:r>
    <w:r>
      <w:t>71</w:t>
    </w:r>
    <w:r>
      <w:fldChar w:fldCharType="end"/>
    </w:r>
  </w:p>
  <w:p w14:paraId="598377C0">
    <w:pPr>
      <w:pStyle w:val="4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EAAA4">
    <w:pPr>
      <w:pStyle w:val="41"/>
      <w:framePr w:wrap="around" w:vAnchor="text" w:hAnchor="margin" w:xAlign="right" w:y="1"/>
      <w:rPr>
        <w:rStyle w:val="72"/>
      </w:rPr>
    </w:pPr>
    <w:r>
      <w:fldChar w:fldCharType="begin"/>
    </w:r>
    <w:r>
      <w:rPr>
        <w:rStyle w:val="72"/>
      </w:rPr>
      <w:instrText xml:space="preserve">PAGE  </w:instrText>
    </w:r>
    <w:r>
      <w:fldChar w:fldCharType="separate"/>
    </w:r>
    <w:r>
      <w:fldChar w:fldCharType="end"/>
    </w:r>
  </w:p>
  <w:p w14:paraId="0D1EE7DA">
    <w:pPr>
      <w:pStyle w:val="4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BD133">
    <w:pPr>
      <w:pStyle w:val="41"/>
      <w:jc w:val="center"/>
      <w:rPr>
        <w:rStyle w:val="72"/>
      </w:rPr>
    </w:pPr>
    <w:r>
      <w:fldChar w:fldCharType="begin"/>
    </w:r>
    <w:r>
      <w:rPr>
        <w:rStyle w:val="72"/>
      </w:rPr>
      <w:instrText xml:space="preserve"> PAGE  \* MERGEFORMAT </w:instrText>
    </w:r>
    <w:r>
      <w:fldChar w:fldCharType="separate"/>
    </w:r>
    <w:r>
      <w:rPr>
        <w:rStyle w:val="72"/>
      </w:rPr>
      <w:t>47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C8C4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7013B94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832A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69B9FB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A91CB">
    <w:pPr>
      <w:pStyle w:val="42"/>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6F039">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5216E">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96883">
    <w:pPr>
      <w:pStyle w:val="4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BCDC2">
    <w:pPr>
      <w:pStyle w:val="4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4691A">
    <w:pPr>
      <w:pStyle w:val="42"/>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8C6E0">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EA3FF">
    <w:pPr>
      <w:pStyle w:val="42"/>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65AF03"/>
    <w:multiLevelType w:val="singleLevel"/>
    <w:tmpl w:val="2665AF03"/>
    <w:lvl w:ilvl="0" w:tentative="0">
      <w:start w:val="2"/>
      <w:numFmt w:val="chineseCounting"/>
      <w:suff w:val="space"/>
      <w:lvlText w:val="第%1部分"/>
      <w:lvlJc w:val="left"/>
      <w:rPr>
        <w:rFonts w:hint="eastAsia"/>
      </w:rPr>
    </w:lvl>
  </w:abstractNum>
  <w:abstractNum w:abstractNumId="1">
    <w:nsid w:val="47E73E12"/>
    <w:multiLevelType w:val="multilevel"/>
    <w:tmpl w:val="47E73E12"/>
    <w:lvl w:ilvl="0" w:tentative="0">
      <w:start w:val="3"/>
      <w:numFmt w:val="chineseCounting"/>
      <w:suff w:val="nothing"/>
      <w:lvlText w:val="%1、"/>
      <w:lvlJc w:val="left"/>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0"/>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MjY2YjMwZmM1N2E2MmQ1YjhjYTg2MjU2MWRiMzEifQ=="/>
    <w:docVar w:name="KSO_WPS_MARK_KEY" w:val="0e78ac58-ac65-4593-b9e5-bf53444aa308"/>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C2C57"/>
    <w:rsid w:val="025F0711"/>
    <w:rsid w:val="026B2E25"/>
    <w:rsid w:val="02824D4D"/>
    <w:rsid w:val="02B50726"/>
    <w:rsid w:val="02DA1F3A"/>
    <w:rsid w:val="02DC4B10"/>
    <w:rsid w:val="02DD76CE"/>
    <w:rsid w:val="02F36323"/>
    <w:rsid w:val="02F5619C"/>
    <w:rsid w:val="02F76F90"/>
    <w:rsid w:val="0326446A"/>
    <w:rsid w:val="032D5555"/>
    <w:rsid w:val="034D6BB0"/>
    <w:rsid w:val="035241C7"/>
    <w:rsid w:val="036634D2"/>
    <w:rsid w:val="03CA0201"/>
    <w:rsid w:val="03DD35E4"/>
    <w:rsid w:val="03F040A4"/>
    <w:rsid w:val="04076900"/>
    <w:rsid w:val="041A5A3B"/>
    <w:rsid w:val="042311BA"/>
    <w:rsid w:val="042B157A"/>
    <w:rsid w:val="044E498E"/>
    <w:rsid w:val="048F763B"/>
    <w:rsid w:val="049F330E"/>
    <w:rsid w:val="04AA775C"/>
    <w:rsid w:val="04AF1889"/>
    <w:rsid w:val="04C64E6C"/>
    <w:rsid w:val="04F66F48"/>
    <w:rsid w:val="04F80D9E"/>
    <w:rsid w:val="05241B93"/>
    <w:rsid w:val="05251E14"/>
    <w:rsid w:val="05362854"/>
    <w:rsid w:val="053C6EDC"/>
    <w:rsid w:val="05545FD4"/>
    <w:rsid w:val="05A16594"/>
    <w:rsid w:val="05A7762D"/>
    <w:rsid w:val="060C68AF"/>
    <w:rsid w:val="060E5941"/>
    <w:rsid w:val="06110FAF"/>
    <w:rsid w:val="061E21DC"/>
    <w:rsid w:val="06493CA7"/>
    <w:rsid w:val="065A6178"/>
    <w:rsid w:val="066F1CF3"/>
    <w:rsid w:val="06765EB3"/>
    <w:rsid w:val="06930BB8"/>
    <w:rsid w:val="06A905C3"/>
    <w:rsid w:val="07245D42"/>
    <w:rsid w:val="07264C62"/>
    <w:rsid w:val="077010BF"/>
    <w:rsid w:val="0779354C"/>
    <w:rsid w:val="07A019A5"/>
    <w:rsid w:val="07A46B95"/>
    <w:rsid w:val="08061376"/>
    <w:rsid w:val="08452D77"/>
    <w:rsid w:val="086401F8"/>
    <w:rsid w:val="08661343"/>
    <w:rsid w:val="08751CAA"/>
    <w:rsid w:val="087E4C40"/>
    <w:rsid w:val="08923AEE"/>
    <w:rsid w:val="08A871D0"/>
    <w:rsid w:val="08B1198F"/>
    <w:rsid w:val="08D66AD6"/>
    <w:rsid w:val="08DA33A3"/>
    <w:rsid w:val="08E80F13"/>
    <w:rsid w:val="09335624"/>
    <w:rsid w:val="0944690F"/>
    <w:rsid w:val="09535675"/>
    <w:rsid w:val="095F057D"/>
    <w:rsid w:val="09642282"/>
    <w:rsid w:val="096609CC"/>
    <w:rsid w:val="09733572"/>
    <w:rsid w:val="09772C16"/>
    <w:rsid w:val="098353B5"/>
    <w:rsid w:val="099E1F14"/>
    <w:rsid w:val="09A92330"/>
    <w:rsid w:val="09B06B87"/>
    <w:rsid w:val="09B63701"/>
    <w:rsid w:val="09C13146"/>
    <w:rsid w:val="09E04166"/>
    <w:rsid w:val="0A1C0718"/>
    <w:rsid w:val="0A2543E3"/>
    <w:rsid w:val="0A3E7710"/>
    <w:rsid w:val="0A5B7E63"/>
    <w:rsid w:val="0A703465"/>
    <w:rsid w:val="0AA374A5"/>
    <w:rsid w:val="0AAB7649"/>
    <w:rsid w:val="0ABC5606"/>
    <w:rsid w:val="0B30404E"/>
    <w:rsid w:val="0B4C6C14"/>
    <w:rsid w:val="0B547599"/>
    <w:rsid w:val="0B631A88"/>
    <w:rsid w:val="0B683D45"/>
    <w:rsid w:val="0B7F3F11"/>
    <w:rsid w:val="0B884417"/>
    <w:rsid w:val="0BD47E6F"/>
    <w:rsid w:val="0BF6188C"/>
    <w:rsid w:val="0BF73C91"/>
    <w:rsid w:val="0C170175"/>
    <w:rsid w:val="0C571A41"/>
    <w:rsid w:val="0C5C1171"/>
    <w:rsid w:val="0C5E1CBC"/>
    <w:rsid w:val="0C615B50"/>
    <w:rsid w:val="0C776A4C"/>
    <w:rsid w:val="0C8445DA"/>
    <w:rsid w:val="0C87121B"/>
    <w:rsid w:val="0CAC00F9"/>
    <w:rsid w:val="0CAD06C0"/>
    <w:rsid w:val="0CC007F7"/>
    <w:rsid w:val="0CC617AC"/>
    <w:rsid w:val="0CDB2461"/>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197DBB"/>
    <w:rsid w:val="0E30138C"/>
    <w:rsid w:val="0E35096D"/>
    <w:rsid w:val="0E3746E5"/>
    <w:rsid w:val="0E5604B2"/>
    <w:rsid w:val="0E6D5D79"/>
    <w:rsid w:val="0E9D0089"/>
    <w:rsid w:val="0EB803EE"/>
    <w:rsid w:val="0ECA37AB"/>
    <w:rsid w:val="0EF94D4B"/>
    <w:rsid w:val="0F4958DC"/>
    <w:rsid w:val="0F4A5C7C"/>
    <w:rsid w:val="0F515DF7"/>
    <w:rsid w:val="0F596BA8"/>
    <w:rsid w:val="0F6248D2"/>
    <w:rsid w:val="0F693536"/>
    <w:rsid w:val="0F7B0511"/>
    <w:rsid w:val="0F7B76D9"/>
    <w:rsid w:val="0F816ACD"/>
    <w:rsid w:val="0F8D434C"/>
    <w:rsid w:val="0F9832DB"/>
    <w:rsid w:val="0F9A13CF"/>
    <w:rsid w:val="0FBF3FD2"/>
    <w:rsid w:val="0FBF7FF3"/>
    <w:rsid w:val="10572E1C"/>
    <w:rsid w:val="10646583"/>
    <w:rsid w:val="107D4B15"/>
    <w:rsid w:val="108A3C80"/>
    <w:rsid w:val="10C26171"/>
    <w:rsid w:val="10ED552F"/>
    <w:rsid w:val="10F33360"/>
    <w:rsid w:val="10FC16EA"/>
    <w:rsid w:val="110A7E8F"/>
    <w:rsid w:val="110C00AB"/>
    <w:rsid w:val="110F1D40"/>
    <w:rsid w:val="11266F33"/>
    <w:rsid w:val="114809B7"/>
    <w:rsid w:val="118963A1"/>
    <w:rsid w:val="11A6405B"/>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3480E"/>
    <w:rsid w:val="13BF3CE4"/>
    <w:rsid w:val="141008D8"/>
    <w:rsid w:val="14125FE6"/>
    <w:rsid w:val="146D271E"/>
    <w:rsid w:val="14982588"/>
    <w:rsid w:val="149A5AD9"/>
    <w:rsid w:val="14A7619D"/>
    <w:rsid w:val="14FB41D7"/>
    <w:rsid w:val="150536C3"/>
    <w:rsid w:val="150C1963"/>
    <w:rsid w:val="151447A0"/>
    <w:rsid w:val="152B4878"/>
    <w:rsid w:val="154A6454"/>
    <w:rsid w:val="15762120"/>
    <w:rsid w:val="157F645A"/>
    <w:rsid w:val="159A5853"/>
    <w:rsid w:val="15F61D5B"/>
    <w:rsid w:val="166B17BA"/>
    <w:rsid w:val="16A8729C"/>
    <w:rsid w:val="16B33777"/>
    <w:rsid w:val="16BC70A7"/>
    <w:rsid w:val="16C6339E"/>
    <w:rsid w:val="172F2D79"/>
    <w:rsid w:val="17557BEF"/>
    <w:rsid w:val="1772678E"/>
    <w:rsid w:val="17AF79E2"/>
    <w:rsid w:val="17D349C1"/>
    <w:rsid w:val="181B0BD3"/>
    <w:rsid w:val="182C4B8E"/>
    <w:rsid w:val="1830729E"/>
    <w:rsid w:val="1870062C"/>
    <w:rsid w:val="18817102"/>
    <w:rsid w:val="18830A15"/>
    <w:rsid w:val="188350F6"/>
    <w:rsid w:val="18852B28"/>
    <w:rsid w:val="188B5321"/>
    <w:rsid w:val="18A62B93"/>
    <w:rsid w:val="18F03E0E"/>
    <w:rsid w:val="197F6E60"/>
    <w:rsid w:val="19932372"/>
    <w:rsid w:val="19A20DD5"/>
    <w:rsid w:val="19AE03F1"/>
    <w:rsid w:val="19ED16E8"/>
    <w:rsid w:val="19F31E08"/>
    <w:rsid w:val="1A071A03"/>
    <w:rsid w:val="1A085187"/>
    <w:rsid w:val="1A1D6E85"/>
    <w:rsid w:val="1A1F16AE"/>
    <w:rsid w:val="1A3B5C77"/>
    <w:rsid w:val="1A8C7B66"/>
    <w:rsid w:val="1A984BAD"/>
    <w:rsid w:val="1AB8220E"/>
    <w:rsid w:val="1AE4166C"/>
    <w:rsid w:val="1AF06CFB"/>
    <w:rsid w:val="1AF11B8D"/>
    <w:rsid w:val="1B11359C"/>
    <w:rsid w:val="1B114CEE"/>
    <w:rsid w:val="1B1C692B"/>
    <w:rsid w:val="1B2A271F"/>
    <w:rsid w:val="1B530544"/>
    <w:rsid w:val="1B713184"/>
    <w:rsid w:val="1B8B42C2"/>
    <w:rsid w:val="1BA209CF"/>
    <w:rsid w:val="1BB4777D"/>
    <w:rsid w:val="1BB90DC0"/>
    <w:rsid w:val="1BD75AB8"/>
    <w:rsid w:val="1C0459C2"/>
    <w:rsid w:val="1C1B3B4A"/>
    <w:rsid w:val="1C490109"/>
    <w:rsid w:val="1C605BA0"/>
    <w:rsid w:val="1C7725CD"/>
    <w:rsid w:val="1C88086E"/>
    <w:rsid w:val="1CC730D8"/>
    <w:rsid w:val="1CC7757C"/>
    <w:rsid w:val="1D266CE1"/>
    <w:rsid w:val="1D3963AF"/>
    <w:rsid w:val="1D3D0FE5"/>
    <w:rsid w:val="1D465D4E"/>
    <w:rsid w:val="1D5E488F"/>
    <w:rsid w:val="1D6A673C"/>
    <w:rsid w:val="1D76400B"/>
    <w:rsid w:val="1D9247AE"/>
    <w:rsid w:val="1D9C27B6"/>
    <w:rsid w:val="1DB567EC"/>
    <w:rsid w:val="1DF51A98"/>
    <w:rsid w:val="1DF93765"/>
    <w:rsid w:val="1E2A6014"/>
    <w:rsid w:val="1E3D060F"/>
    <w:rsid w:val="1E3F7D2E"/>
    <w:rsid w:val="1E4134E4"/>
    <w:rsid w:val="1E5062B3"/>
    <w:rsid w:val="1E523514"/>
    <w:rsid w:val="1E5B7F7C"/>
    <w:rsid w:val="1E714A66"/>
    <w:rsid w:val="1E802593"/>
    <w:rsid w:val="1E8B6156"/>
    <w:rsid w:val="1EA57449"/>
    <w:rsid w:val="1EA703CC"/>
    <w:rsid w:val="1EB7330C"/>
    <w:rsid w:val="1EEC59B5"/>
    <w:rsid w:val="1F0A0FF3"/>
    <w:rsid w:val="1F5771FF"/>
    <w:rsid w:val="1F904124"/>
    <w:rsid w:val="1FE868A9"/>
    <w:rsid w:val="20034907"/>
    <w:rsid w:val="20054643"/>
    <w:rsid w:val="20173E4B"/>
    <w:rsid w:val="204E48BC"/>
    <w:rsid w:val="208921B3"/>
    <w:rsid w:val="20973DEB"/>
    <w:rsid w:val="209F0482"/>
    <w:rsid w:val="20B26522"/>
    <w:rsid w:val="20B44310"/>
    <w:rsid w:val="211116EB"/>
    <w:rsid w:val="2127683B"/>
    <w:rsid w:val="216133FC"/>
    <w:rsid w:val="21D56769"/>
    <w:rsid w:val="21E52EF3"/>
    <w:rsid w:val="21FB5D7B"/>
    <w:rsid w:val="22015E94"/>
    <w:rsid w:val="220B1C3D"/>
    <w:rsid w:val="221D1D20"/>
    <w:rsid w:val="222F3BF9"/>
    <w:rsid w:val="22334A87"/>
    <w:rsid w:val="22BE6801"/>
    <w:rsid w:val="233500BF"/>
    <w:rsid w:val="23377FF7"/>
    <w:rsid w:val="236B425F"/>
    <w:rsid w:val="23836192"/>
    <w:rsid w:val="23901F29"/>
    <w:rsid w:val="239C0061"/>
    <w:rsid w:val="23B908A4"/>
    <w:rsid w:val="23E95BEF"/>
    <w:rsid w:val="23FD0064"/>
    <w:rsid w:val="245375B0"/>
    <w:rsid w:val="24642C0A"/>
    <w:rsid w:val="24A52D69"/>
    <w:rsid w:val="24B22173"/>
    <w:rsid w:val="24B33BF4"/>
    <w:rsid w:val="24B95AD9"/>
    <w:rsid w:val="24BE24DA"/>
    <w:rsid w:val="24C32F10"/>
    <w:rsid w:val="24CF5825"/>
    <w:rsid w:val="24D40A88"/>
    <w:rsid w:val="24D64473"/>
    <w:rsid w:val="24D663E6"/>
    <w:rsid w:val="24D77F2B"/>
    <w:rsid w:val="258B00E2"/>
    <w:rsid w:val="25A917A6"/>
    <w:rsid w:val="25BE27CC"/>
    <w:rsid w:val="25F74A5C"/>
    <w:rsid w:val="26123616"/>
    <w:rsid w:val="2628662C"/>
    <w:rsid w:val="262D45DE"/>
    <w:rsid w:val="26871DC8"/>
    <w:rsid w:val="26A53EF9"/>
    <w:rsid w:val="26A94201"/>
    <w:rsid w:val="26AC274F"/>
    <w:rsid w:val="26E74AA2"/>
    <w:rsid w:val="27044A29"/>
    <w:rsid w:val="271D34C8"/>
    <w:rsid w:val="276142BF"/>
    <w:rsid w:val="27783712"/>
    <w:rsid w:val="27907362"/>
    <w:rsid w:val="27C22E19"/>
    <w:rsid w:val="27F82CDF"/>
    <w:rsid w:val="280276BA"/>
    <w:rsid w:val="28333E1D"/>
    <w:rsid w:val="28454BD6"/>
    <w:rsid w:val="28455253"/>
    <w:rsid w:val="28551971"/>
    <w:rsid w:val="285B1C53"/>
    <w:rsid w:val="287265EE"/>
    <w:rsid w:val="289F7086"/>
    <w:rsid w:val="28A349F9"/>
    <w:rsid w:val="28C32028"/>
    <w:rsid w:val="28C3509B"/>
    <w:rsid w:val="28CC490F"/>
    <w:rsid w:val="28DE40AA"/>
    <w:rsid w:val="29283150"/>
    <w:rsid w:val="29345E77"/>
    <w:rsid w:val="294C65AD"/>
    <w:rsid w:val="297939AC"/>
    <w:rsid w:val="29806583"/>
    <w:rsid w:val="298962E5"/>
    <w:rsid w:val="298B3C4C"/>
    <w:rsid w:val="29AC1FD3"/>
    <w:rsid w:val="29F26D24"/>
    <w:rsid w:val="2A15033F"/>
    <w:rsid w:val="2A1662C1"/>
    <w:rsid w:val="2A1C7367"/>
    <w:rsid w:val="2A2815FA"/>
    <w:rsid w:val="2A440AD9"/>
    <w:rsid w:val="2A6D6092"/>
    <w:rsid w:val="2A6E594A"/>
    <w:rsid w:val="2A7D76B4"/>
    <w:rsid w:val="2B437463"/>
    <w:rsid w:val="2B7807EE"/>
    <w:rsid w:val="2BA50BF7"/>
    <w:rsid w:val="2BBF00EC"/>
    <w:rsid w:val="2BC37CFD"/>
    <w:rsid w:val="2BD5237F"/>
    <w:rsid w:val="2BE536CE"/>
    <w:rsid w:val="2BE758D9"/>
    <w:rsid w:val="2C09049E"/>
    <w:rsid w:val="2C0A653C"/>
    <w:rsid w:val="2C191F85"/>
    <w:rsid w:val="2C6646BB"/>
    <w:rsid w:val="2C9A54CF"/>
    <w:rsid w:val="2CAF32F8"/>
    <w:rsid w:val="2CE43832"/>
    <w:rsid w:val="2CE82D6F"/>
    <w:rsid w:val="2D343236"/>
    <w:rsid w:val="2D5B1D46"/>
    <w:rsid w:val="2DD15014"/>
    <w:rsid w:val="2DF72DE4"/>
    <w:rsid w:val="2E0220AF"/>
    <w:rsid w:val="2E30169A"/>
    <w:rsid w:val="2E4B082A"/>
    <w:rsid w:val="2E5D4E86"/>
    <w:rsid w:val="2E5D790B"/>
    <w:rsid w:val="2E9A3C18"/>
    <w:rsid w:val="2EBB0FEE"/>
    <w:rsid w:val="2EC63002"/>
    <w:rsid w:val="2EC90F31"/>
    <w:rsid w:val="2F0A6B38"/>
    <w:rsid w:val="2F1D72A2"/>
    <w:rsid w:val="2F946CCB"/>
    <w:rsid w:val="2FD25781"/>
    <w:rsid w:val="2FDC745C"/>
    <w:rsid w:val="2FFD7934"/>
    <w:rsid w:val="30354AD0"/>
    <w:rsid w:val="30733ACD"/>
    <w:rsid w:val="308C3862"/>
    <w:rsid w:val="309379D8"/>
    <w:rsid w:val="30A270F7"/>
    <w:rsid w:val="30A9101A"/>
    <w:rsid w:val="30DF1478"/>
    <w:rsid w:val="30EC586F"/>
    <w:rsid w:val="319C6071"/>
    <w:rsid w:val="31A11ECE"/>
    <w:rsid w:val="31AC537E"/>
    <w:rsid w:val="31E3679B"/>
    <w:rsid w:val="31E732FD"/>
    <w:rsid w:val="32517576"/>
    <w:rsid w:val="32BE5C2C"/>
    <w:rsid w:val="32D63C1D"/>
    <w:rsid w:val="32FB6478"/>
    <w:rsid w:val="332410BB"/>
    <w:rsid w:val="33263B3F"/>
    <w:rsid w:val="336963EB"/>
    <w:rsid w:val="33816EEB"/>
    <w:rsid w:val="33AD497E"/>
    <w:rsid w:val="33EB55CD"/>
    <w:rsid w:val="33EC4C02"/>
    <w:rsid w:val="340D2360"/>
    <w:rsid w:val="3410665D"/>
    <w:rsid w:val="34211214"/>
    <w:rsid w:val="342E63AB"/>
    <w:rsid w:val="3482405C"/>
    <w:rsid w:val="348E2A01"/>
    <w:rsid w:val="34945CCB"/>
    <w:rsid w:val="34950E68"/>
    <w:rsid w:val="34986E94"/>
    <w:rsid w:val="34AF62C9"/>
    <w:rsid w:val="34CB4388"/>
    <w:rsid w:val="34F52A80"/>
    <w:rsid w:val="34FA6E12"/>
    <w:rsid w:val="354D7158"/>
    <w:rsid w:val="358D5588"/>
    <w:rsid w:val="363A3B40"/>
    <w:rsid w:val="365302AE"/>
    <w:rsid w:val="36607A0A"/>
    <w:rsid w:val="366E227C"/>
    <w:rsid w:val="366F2E0D"/>
    <w:rsid w:val="367B6A5C"/>
    <w:rsid w:val="369B7657"/>
    <w:rsid w:val="36A74ADA"/>
    <w:rsid w:val="36AD60D5"/>
    <w:rsid w:val="36B224F9"/>
    <w:rsid w:val="36EC0CC9"/>
    <w:rsid w:val="373F410B"/>
    <w:rsid w:val="378E4AC6"/>
    <w:rsid w:val="37EE7094"/>
    <w:rsid w:val="38296C89"/>
    <w:rsid w:val="382D2531"/>
    <w:rsid w:val="383002EB"/>
    <w:rsid w:val="38586797"/>
    <w:rsid w:val="38BC0149"/>
    <w:rsid w:val="38D87D1C"/>
    <w:rsid w:val="38FA052E"/>
    <w:rsid w:val="39636459"/>
    <w:rsid w:val="396B7F6C"/>
    <w:rsid w:val="399066FA"/>
    <w:rsid w:val="39A46823"/>
    <w:rsid w:val="39B417A9"/>
    <w:rsid w:val="39C54782"/>
    <w:rsid w:val="39D215E2"/>
    <w:rsid w:val="39D76BF8"/>
    <w:rsid w:val="39FC5695"/>
    <w:rsid w:val="3A006D8E"/>
    <w:rsid w:val="3A204F94"/>
    <w:rsid w:val="3A3556CD"/>
    <w:rsid w:val="3A3651E5"/>
    <w:rsid w:val="3A744481"/>
    <w:rsid w:val="3A8C7BEF"/>
    <w:rsid w:val="3A906246"/>
    <w:rsid w:val="3AFE01B5"/>
    <w:rsid w:val="3B2349B7"/>
    <w:rsid w:val="3B616CFF"/>
    <w:rsid w:val="3B6259F6"/>
    <w:rsid w:val="3B976654"/>
    <w:rsid w:val="3BA033DD"/>
    <w:rsid w:val="3BC01EFC"/>
    <w:rsid w:val="3BCA786A"/>
    <w:rsid w:val="3BD31E2F"/>
    <w:rsid w:val="3BF15831"/>
    <w:rsid w:val="3C033CD5"/>
    <w:rsid w:val="3C105946"/>
    <w:rsid w:val="3C471448"/>
    <w:rsid w:val="3C5F759A"/>
    <w:rsid w:val="3C6C525A"/>
    <w:rsid w:val="3C761C64"/>
    <w:rsid w:val="3CCE23CB"/>
    <w:rsid w:val="3CD17D17"/>
    <w:rsid w:val="3D115F7D"/>
    <w:rsid w:val="3D3C7F39"/>
    <w:rsid w:val="3D440F09"/>
    <w:rsid w:val="3D4504A0"/>
    <w:rsid w:val="3D8734BB"/>
    <w:rsid w:val="3D932E36"/>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352FB"/>
    <w:rsid w:val="3EAF4836"/>
    <w:rsid w:val="3EC33DFA"/>
    <w:rsid w:val="3F060E16"/>
    <w:rsid w:val="3F1D1096"/>
    <w:rsid w:val="3F2B4FEC"/>
    <w:rsid w:val="3F2F0234"/>
    <w:rsid w:val="3F446ADE"/>
    <w:rsid w:val="3F634A8A"/>
    <w:rsid w:val="3F6363FE"/>
    <w:rsid w:val="3F756B8F"/>
    <w:rsid w:val="3F95482B"/>
    <w:rsid w:val="4019356B"/>
    <w:rsid w:val="403F3B8A"/>
    <w:rsid w:val="40592157"/>
    <w:rsid w:val="406E1CAE"/>
    <w:rsid w:val="40A0133A"/>
    <w:rsid w:val="40C31A53"/>
    <w:rsid w:val="40FF545D"/>
    <w:rsid w:val="410067C8"/>
    <w:rsid w:val="416176D3"/>
    <w:rsid w:val="418F0D2A"/>
    <w:rsid w:val="41D01505"/>
    <w:rsid w:val="42474939"/>
    <w:rsid w:val="424C3C57"/>
    <w:rsid w:val="42613FF3"/>
    <w:rsid w:val="42660D96"/>
    <w:rsid w:val="427A2817"/>
    <w:rsid w:val="428667D2"/>
    <w:rsid w:val="42CD1CE0"/>
    <w:rsid w:val="42E1381E"/>
    <w:rsid w:val="42ED6459"/>
    <w:rsid w:val="42FE58DD"/>
    <w:rsid w:val="43174B3D"/>
    <w:rsid w:val="434B790E"/>
    <w:rsid w:val="4360274F"/>
    <w:rsid w:val="4391606A"/>
    <w:rsid w:val="43977AB6"/>
    <w:rsid w:val="43A3342B"/>
    <w:rsid w:val="43C77C27"/>
    <w:rsid w:val="43DE09EE"/>
    <w:rsid w:val="44002FAD"/>
    <w:rsid w:val="441C37AA"/>
    <w:rsid w:val="448434D9"/>
    <w:rsid w:val="449101DD"/>
    <w:rsid w:val="44DE1391"/>
    <w:rsid w:val="451B225C"/>
    <w:rsid w:val="452410C9"/>
    <w:rsid w:val="45317DFB"/>
    <w:rsid w:val="456D3CE4"/>
    <w:rsid w:val="4579042C"/>
    <w:rsid w:val="457F0571"/>
    <w:rsid w:val="457F2918"/>
    <w:rsid w:val="45851176"/>
    <w:rsid w:val="45905EAD"/>
    <w:rsid w:val="45C55BC2"/>
    <w:rsid w:val="45C63B94"/>
    <w:rsid w:val="460674A4"/>
    <w:rsid w:val="460E7DA5"/>
    <w:rsid w:val="46422483"/>
    <w:rsid w:val="4659254A"/>
    <w:rsid w:val="465B0637"/>
    <w:rsid w:val="465E3F0D"/>
    <w:rsid w:val="466A16E6"/>
    <w:rsid w:val="46893F2B"/>
    <w:rsid w:val="46C444E6"/>
    <w:rsid w:val="46C4686E"/>
    <w:rsid w:val="470D3C59"/>
    <w:rsid w:val="47151F77"/>
    <w:rsid w:val="474358CD"/>
    <w:rsid w:val="477B778F"/>
    <w:rsid w:val="478203EC"/>
    <w:rsid w:val="47B025FA"/>
    <w:rsid w:val="4809698F"/>
    <w:rsid w:val="4811697D"/>
    <w:rsid w:val="487A3E25"/>
    <w:rsid w:val="488B5503"/>
    <w:rsid w:val="48914416"/>
    <w:rsid w:val="48937E21"/>
    <w:rsid w:val="489A0361"/>
    <w:rsid w:val="48A8102D"/>
    <w:rsid w:val="48B94FF3"/>
    <w:rsid w:val="48D673DB"/>
    <w:rsid w:val="48E37AAB"/>
    <w:rsid w:val="48FD4B4C"/>
    <w:rsid w:val="490A68E0"/>
    <w:rsid w:val="491055FE"/>
    <w:rsid w:val="495F5B3E"/>
    <w:rsid w:val="496F77D7"/>
    <w:rsid w:val="497654FD"/>
    <w:rsid w:val="49B64211"/>
    <w:rsid w:val="49D41AAC"/>
    <w:rsid w:val="49F6167F"/>
    <w:rsid w:val="4A064FA0"/>
    <w:rsid w:val="4A0F5F3A"/>
    <w:rsid w:val="4A16615C"/>
    <w:rsid w:val="4A4424D7"/>
    <w:rsid w:val="4AB82D0F"/>
    <w:rsid w:val="4ABE526B"/>
    <w:rsid w:val="4ACC5BD9"/>
    <w:rsid w:val="4AEB7664"/>
    <w:rsid w:val="4AFD7C19"/>
    <w:rsid w:val="4B0567D1"/>
    <w:rsid w:val="4B2257F9"/>
    <w:rsid w:val="4B236AAE"/>
    <w:rsid w:val="4B2F799D"/>
    <w:rsid w:val="4B707271"/>
    <w:rsid w:val="4B9739F7"/>
    <w:rsid w:val="4BC9738F"/>
    <w:rsid w:val="4BEE2503"/>
    <w:rsid w:val="4BF727EA"/>
    <w:rsid w:val="4C245A30"/>
    <w:rsid w:val="4C3752D5"/>
    <w:rsid w:val="4CB6685F"/>
    <w:rsid w:val="4CC367FE"/>
    <w:rsid w:val="4CCE5C39"/>
    <w:rsid w:val="4D077F3C"/>
    <w:rsid w:val="4D123355"/>
    <w:rsid w:val="4D2A3B31"/>
    <w:rsid w:val="4D312C52"/>
    <w:rsid w:val="4D655B8B"/>
    <w:rsid w:val="4D905305"/>
    <w:rsid w:val="4D964A72"/>
    <w:rsid w:val="4D9C1254"/>
    <w:rsid w:val="4D9E5B15"/>
    <w:rsid w:val="4DA846DC"/>
    <w:rsid w:val="4DE42C5B"/>
    <w:rsid w:val="4E793892"/>
    <w:rsid w:val="4E800872"/>
    <w:rsid w:val="4EC569ED"/>
    <w:rsid w:val="4ED50EA1"/>
    <w:rsid w:val="4EEC050C"/>
    <w:rsid w:val="4F104EC3"/>
    <w:rsid w:val="4F47354A"/>
    <w:rsid w:val="4F911C54"/>
    <w:rsid w:val="4F912F4E"/>
    <w:rsid w:val="4FE625E0"/>
    <w:rsid w:val="5021480F"/>
    <w:rsid w:val="505C301C"/>
    <w:rsid w:val="50692385"/>
    <w:rsid w:val="50962ECB"/>
    <w:rsid w:val="50A42E38"/>
    <w:rsid w:val="50A4577F"/>
    <w:rsid w:val="50B73D1F"/>
    <w:rsid w:val="50BD5BC9"/>
    <w:rsid w:val="50C11EEE"/>
    <w:rsid w:val="50E97CFC"/>
    <w:rsid w:val="50FA4028"/>
    <w:rsid w:val="51045D31"/>
    <w:rsid w:val="510D65B7"/>
    <w:rsid w:val="511157AB"/>
    <w:rsid w:val="511C7366"/>
    <w:rsid w:val="5142540C"/>
    <w:rsid w:val="516F72BF"/>
    <w:rsid w:val="518832C8"/>
    <w:rsid w:val="519D3C50"/>
    <w:rsid w:val="51A0432A"/>
    <w:rsid w:val="51A05302"/>
    <w:rsid w:val="51A86090"/>
    <w:rsid w:val="51B7396D"/>
    <w:rsid w:val="522E4CC3"/>
    <w:rsid w:val="5244713B"/>
    <w:rsid w:val="52615633"/>
    <w:rsid w:val="526F4DE4"/>
    <w:rsid w:val="5281728A"/>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D4828"/>
    <w:rsid w:val="556233CC"/>
    <w:rsid w:val="557A4C8B"/>
    <w:rsid w:val="558931E1"/>
    <w:rsid w:val="55923347"/>
    <w:rsid w:val="55925180"/>
    <w:rsid w:val="55983B1B"/>
    <w:rsid w:val="55A8376B"/>
    <w:rsid w:val="55CD6A42"/>
    <w:rsid w:val="55DC29B6"/>
    <w:rsid w:val="55DD4241"/>
    <w:rsid w:val="563A7E9B"/>
    <w:rsid w:val="566B6D1E"/>
    <w:rsid w:val="569A6B8C"/>
    <w:rsid w:val="56DE116E"/>
    <w:rsid w:val="57032A2C"/>
    <w:rsid w:val="570F5219"/>
    <w:rsid w:val="572E78E5"/>
    <w:rsid w:val="575D12B5"/>
    <w:rsid w:val="57610A87"/>
    <w:rsid w:val="577B1140"/>
    <w:rsid w:val="577B7F21"/>
    <w:rsid w:val="577F181B"/>
    <w:rsid w:val="57921984"/>
    <w:rsid w:val="579737F0"/>
    <w:rsid w:val="57A203EE"/>
    <w:rsid w:val="57AB7B30"/>
    <w:rsid w:val="57AF5251"/>
    <w:rsid w:val="57B26373"/>
    <w:rsid w:val="57B63F04"/>
    <w:rsid w:val="57CD20C2"/>
    <w:rsid w:val="57D675AB"/>
    <w:rsid w:val="57D95FDD"/>
    <w:rsid w:val="57DE0CFA"/>
    <w:rsid w:val="5814296E"/>
    <w:rsid w:val="58917D2F"/>
    <w:rsid w:val="5894085C"/>
    <w:rsid w:val="58AE4F0C"/>
    <w:rsid w:val="58B85899"/>
    <w:rsid w:val="58E363A9"/>
    <w:rsid w:val="590B5B1F"/>
    <w:rsid w:val="591E264C"/>
    <w:rsid w:val="595E1678"/>
    <w:rsid w:val="596D5BD4"/>
    <w:rsid w:val="597E3DD8"/>
    <w:rsid w:val="59F80043"/>
    <w:rsid w:val="5A09252F"/>
    <w:rsid w:val="5A0B2778"/>
    <w:rsid w:val="5A2A7C7B"/>
    <w:rsid w:val="5A3E2560"/>
    <w:rsid w:val="5A5D3B6E"/>
    <w:rsid w:val="5A5E0FDC"/>
    <w:rsid w:val="5A637A76"/>
    <w:rsid w:val="5A6D33BA"/>
    <w:rsid w:val="5A792B1F"/>
    <w:rsid w:val="5A874767"/>
    <w:rsid w:val="5AA85BE2"/>
    <w:rsid w:val="5AAD6F28"/>
    <w:rsid w:val="5ABE2749"/>
    <w:rsid w:val="5AC02939"/>
    <w:rsid w:val="5AD63A24"/>
    <w:rsid w:val="5AE51A4D"/>
    <w:rsid w:val="5AEC590E"/>
    <w:rsid w:val="5B2E1A1D"/>
    <w:rsid w:val="5B843A1C"/>
    <w:rsid w:val="5B873E3F"/>
    <w:rsid w:val="5B8816A9"/>
    <w:rsid w:val="5BAB5397"/>
    <w:rsid w:val="5C02690E"/>
    <w:rsid w:val="5C196DA7"/>
    <w:rsid w:val="5C2A048C"/>
    <w:rsid w:val="5C4D2220"/>
    <w:rsid w:val="5C734107"/>
    <w:rsid w:val="5C80234E"/>
    <w:rsid w:val="5C89392A"/>
    <w:rsid w:val="5C8A680C"/>
    <w:rsid w:val="5C9941BF"/>
    <w:rsid w:val="5CA73DB1"/>
    <w:rsid w:val="5CC73208"/>
    <w:rsid w:val="5CF911F4"/>
    <w:rsid w:val="5D0C4701"/>
    <w:rsid w:val="5D0F0395"/>
    <w:rsid w:val="5D221076"/>
    <w:rsid w:val="5D2673CB"/>
    <w:rsid w:val="5D3970FE"/>
    <w:rsid w:val="5D397964"/>
    <w:rsid w:val="5D5A391C"/>
    <w:rsid w:val="5D5F10C0"/>
    <w:rsid w:val="5D790E2F"/>
    <w:rsid w:val="5D891B7B"/>
    <w:rsid w:val="5DAD38EE"/>
    <w:rsid w:val="5E006862"/>
    <w:rsid w:val="5E0207B9"/>
    <w:rsid w:val="5E167440"/>
    <w:rsid w:val="5E1834A1"/>
    <w:rsid w:val="5E261785"/>
    <w:rsid w:val="5E4A7017"/>
    <w:rsid w:val="5E552BBA"/>
    <w:rsid w:val="5E611C10"/>
    <w:rsid w:val="5E7A0F3F"/>
    <w:rsid w:val="5E8F2D4E"/>
    <w:rsid w:val="5EFC7377"/>
    <w:rsid w:val="5F06174D"/>
    <w:rsid w:val="5F3A3602"/>
    <w:rsid w:val="5F45733B"/>
    <w:rsid w:val="5F48187B"/>
    <w:rsid w:val="5F6277C6"/>
    <w:rsid w:val="5F6D0B1D"/>
    <w:rsid w:val="5F8D0B82"/>
    <w:rsid w:val="5FAE5456"/>
    <w:rsid w:val="5FCB425A"/>
    <w:rsid w:val="5FCC5339"/>
    <w:rsid w:val="5FE34A5B"/>
    <w:rsid w:val="5FFE1E36"/>
    <w:rsid w:val="60181850"/>
    <w:rsid w:val="60232584"/>
    <w:rsid w:val="607330CE"/>
    <w:rsid w:val="60825176"/>
    <w:rsid w:val="609F2AC4"/>
    <w:rsid w:val="60FA2EE8"/>
    <w:rsid w:val="61054A27"/>
    <w:rsid w:val="610A52BC"/>
    <w:rsid w:val="610D059B"/>
    <w:rsid w:val="611D2366"/>
    <w:rsid w:val="611D6D37"/>
    <w:rsid w:val="611F660B"/>
    <w:rsid w:val="61224C04"/>
    <w:rsid w:val="61421856"/>
    <w:rsid w:val="615227C4"/>
    <w:rsid w:val="61654E3F"/>
    <w:rsid w:val="61665FE8"/>
    <w:rsid w:val="6182292A"/>
    <w:rsid w:val="619F7F92"/>
    <w:rsid w:val="61F94C26"/>
    <w:rsid w:val="62000E56"/>
    <w:rsid w:val="622163B3"/>
    <w:rsid w:val="624F3E49"/>
    <w:rsid w:val="62632286"/>
    <w:rsid w:val="627E55B4"/>
    <w:rsid w:val="62885958"/>
    <w:rsid w:val="62F40B65"/>
    <w:rsid w:val="62FC2CFE"/>
    <w:rsid w:val="63024505"/>
    <w:rsid w:val="631D4DCC"/>
    <w:rsid w:val="63545442"/>
    <w:rsid w:val="635600A5"/>
    <w:rsid w:val="635B1DB5"/>
    <w:rsid w:val="63711FED"/>
    <w:rsid w:val="63880DDC"/>
    <w:rsid w:val="638D750D"/>
    <w:rsid w:val="63AC6CC0"/>
    <w:rsid w:val="63F23480"/>
    <w:rsid w:val="64055776"/>
    <w:rsid w:val="640970FF"/>
    <w:rsid w:val="64184044"/>
    <w:rsid w:val="641F5B67"/>
    <w:rsid w:val="64234664"/>
    <w:rsid w:val="64240056"/>
    <w:rsid w:val="643E143A"/>
    <w:rsid w:val="64491666"/>
    <w:rsid w:val="648B6EEF"/>
    <w:rsid w:val="64C158BF"/>
    <w:rsid w:val="64CE2EAA"/>
    <w:rsid w:val="653C3090"/>
    <w:rsid w:val="65854376"/>
    <w:rsid w:val="658767BE"/>
    <w:rsid w:val="65892531"/>
    <w:rsid w:val="65D774B5"/>
    <w:rsid w:val="66195831"/>
    <w:rsid w:val="662E75B1"/>
    <w:rsid w:val="66342C2E"/>
    <w:rsid w:val="663E784C"/>
    <w:rsid w:val="668B6A45"/>
    <w:rsid w:val="67112C4A"/>
    <w:rsid w:val="67283D40"/>
    <w:rsid w:val="672F3F24"/>
    <w:rsid w:val="673E055F"/>
    <w:rsid w:val="67551CE3"/>
    <w:rsid w:val="676E5BF7"/>
    <w:rsid w:val="67A22552"/>
    <w:rsid w:val="67B22DCC"/>
    <w:rsid w:val="67BE71AA"/>
    <w:rsid w:val="67CF7323"/>
    <w:rsid w:val="67D90273"/>
    <w:rsid w:val="67DE5875"/>
    <w:rsid w:val="67E55852"/>
    <w:rsid w:val="67EB1AB4"/>
    <w:rsid w:val="67FA1285"/>
    <w:rsid w:val="67FF2CF3"/>
    <w:rsid w:val="68551F4F"/>
    <w:rsid w:val="687C10C9"/>
    <w:rsid w:val="68840C16"/>
    <w:rsid w:val="68876EFB"/>
    <w:rsid w:val="68884654"/>
    <w:rsid w:val="689F444F"/>
    <w:rsid w:val="68B96DBB"/>
    <w:rsid w:val="68CA2805"/>
    <w:rsid w:val="68E937A3"/>
    <w:rsid w:val="68FB149A"/>
    <w:rsid w:val="693E15D3"/>
    <w:rsid w:val="69627681"/>
    <w:rsid w:val="6977531D"/>
    <w:rsid w:val="698A0514"/>
    <w:rsid w:val="699E4A1E"/>
    <w:rsid w:val="69CC2BFF"/>
    <w:rsid w:val="69E71C90"/>
    <w:rsid w:val="69FD55B8"/>
    <w:rsid w:val="6A0B1C62"/>
    <w:rsid w:val="6A2406C8"/>
    <w:rsid w:val="6A9A1ADF"/>
    <w:rsid w:val="6ADE0BD1"/>
    <w:rsid w:val="6AE81378"/>
    <w:rsid w:val="6AE96859"/>
    <w:rsid w:val="6B147746"/>
    <w:rsid w:val="6B24787C"/>
    <w:rsid w:val="6B573233"/>
    <w:rsid w:val="6B5B6274"/>
    <w:rsid w:val="6B637A3C"/>
    <w:rsid w:val="6B935D53"/>
    <w:rsid w:val="6BE9281C"/>
    <w:rsid w:val="6C1316F7"/>
    <w:rsid w:val="6C196F71"/>
    <w:rsid w:val="6C226FCB"/>
    <w:rsid w:val="6C31226F"/>
    <w:rsid w:val="6C4E16D3"/>
    <w:rsid w:val="6C517EC7"/>
    <w:rsid w:val="6C552F0B"/>
    <w:rsid w:val="6C8C67B7"/>
    <w:rsid w:val="6C9D744C"/>
    <w:rsid w:val="6D167928"/>
    <w:rsid w:val="6D26299B"/>
    <w:rsid w:val="6D4772EC"/>
    <w:rsid w:val="6D587AA6"/>
    <w:rsid w:val="6D9078AF"/>
    <w:rsid w:val="6D920165"/>
    <w:rsid w:val="6DAA3FEF"/>
    <w:rsid w:val="6DC0172B"/>
    <w:rsid w:val="6DCB690C"/>
    <w:rsid w:val="6DD41A5B"/>
    <w:rsid w:val="6DDB1B0C"/>
    <w:rsid w:val="6DED00D0"/>
    <w:rsid w:val="6DF43C2E"/>
    <w:rsid w:val="6DF51CA3"/>
    <w:rsid w:val="6E8335BD"/>
    <w:rsid w:val="6E8E12EF"/>
    <w:rsid w:val="6E972936"/>
    <w:rsid w:val="6EB77565"/>
    <w:rsid w:val="6ED446C5"/>
    <w:rsid w:val="6F2A7D94"/>
    <w:rsid w:val="6F8331F1"/>
    <w:rsid w:val="6FAE1A09"/>
    <w:rsid w:val="6FD75BF8"/>
    <w:rsid w:val="70293003"/>
    <w:rsid w:val="704240C4"/>
    <w:rsid w:val="707723D0"/>
    <w:rsid w:val="707B3132"/>
    <w:rsid w:val="70F5661B"/>
    <w:rsid w:val="71360107"/>
    <w:rsid w:val="713B688E"/>
    <w:rsid w:val="7148279F"/>
    <w:rsid w:val="71D43752"/>
    <w:rsid w:val="71F1796A"/>
    <w:rsid w:val="71FB63D5"/>
    <w:rsid w:val="72154626"/>
    <w:rsid w:val="72262B5D"/>
    <w:rsid w:val="72283FF7"/>
    <w:rsid w:val="722E7212"/>
    <w:rsid w:val="723A0474"/>
    <w:rsid w:val="725923E4"/>
    <w:rsid w:val="7265409A"/>
    <w:rsid w:val="72864BF7"/>
    <w:rsid w:val="728C3273"/>
    <w:rsid w:val="729023FC"/>
    <w:rsid w:val="73C0646E"/>
    <w:rsid w:val="742222F5"/>
    <w:rsid w:val="74476126"/>
    <w:rsid w:val="74706664"/>
    <w:rsid w:val="747F3682"/>
    <w:rsid w:val="749C4185"/>
    <w:rsid w:val="74DC6E97"/>
    <w:rsid w:val="74E219D2"/>
    <w:rsid w:val="75067759"/>
    <w:rsid w:val="752E6DCD"/>
    <w:rsid w:val="7551380D"/>
    <w:rsid w:val="755D394A"/>
    <w:rsid w:val="755E78D7"/>
    <w:rsid w:val="75600BE5"/>
    <w:rsid w:val="7564475C"/>
    <w:rsid w:val="7583797F"/>
    <w:rsid w:val="75AB479D"/>
    <w:rsid w:val="75D20F1D"/>
    <w:rsid w:val="75DA2C18"/>
    <w:rsid w:val="75F54412"/>
    <w:rsid w:val="761D08E0"/>
    <w:rsid w:val="765D347C"/>
    <w:rsid w:val="76826699"/>
    <w:rsid w:val="76C87133"/>
    <w:rsid w:val="76CD08D5"/>
    <w:rsid w:val="76CE66B2"/>
    <w:rsid w:val="76DB4B92"/>
    <w:rsid w:val="77052AA4"/>
    <w:rsid w:val="77136511"/>
    <w:rsid w:val="77340A39"/>
    <w:rsid w:val="77351FD0"/>
    <w:rsid w:val="77472422"/>
    <w:rsid w:val="777F31F2"/>
    <w:rsid w:val="77D1700D"/>
    <w:rsid w:val="77EC04CC"/>
    <w:rsid w:val="781F4F2E"/>
    <w:rsid w:val="78775729"/>
    <w:rsid w:val="78A42DB0"/>
    <w:rsid w:val="78A656AB"/>
    <w:rsid w:val="78B2245C"/>
    <w:rsid w:val="78E172CC"/>
    <w:rsid w:val="78EA1D1F"/>
    <w:rsid w:val="79036DC3"/>
    <w:rsid w:val="7904172F"/>
    <w:rsid w:val="790F7E27"/>
    <w:rsid w:val="792A231A"/>
    <w:rsid w:val="79316829"/>
    <w:rsid w:val="797E66A9"/>
    <w:rsid w:val="79813AD6"/>
    <w:rsid w:val="798518A4"/>
    <w:rsid w:val="799314ED"/>
    <w:rsid w:val="79A97383"/>
    <w:rsid w:val="79E27E8B"/>
    <w:rsid w:val="79F850CE"/>
    <w:rsid w:val="79FD443C"/>
    <w:rsid w:val="7A1D1975"/>
    <w:rsid w:val="7A1E16FE"/>
    <w:rsid w:val="7A3E5150"/>
    <w:rsid w:val="7A4670D6"/>
    <w:rsid w:val="7A5213A8"/>
    <w:rsid w:val="7A534B63"/>
    <w:rsid w:val="7A615382"/>
    <w:rsid w:val="7A67303B"/>
    <w:rsid w:val="7A831561"/>
    <w:rsid w:val="7AAB1D04"/>
    <w:rsid w:val="7ABA4368"/>
    <w:rsid w:val="7AD05746"/>
    <w:rsid w:val="7B226FCC"/>
    <w:rsid w:val="7B257FFD"/>
    <w:rsid w:val="7B343476"/>
    <w:rsid w:val="7B5A2978"/>
    <w:rsid w:val="7B5A7E4C"/>
    <w:rsid w:val="7B667AF9"/>
    <w:rsid w:val="7B7468F8"/>
    <w:rsid w:val="7B7A6E08"/>
    <w:rsid w:val="7BEE0103"/>
    <w:rsid w:val="7C0A0FE4"/>
    <w:rsid w:val="7C254906"/>
    <w:rsid w:val="7C4F3DF1"/>
    <w:rsid w:val="7C590818"/>
    <w:rsid w:val="7C7C10F6"/>
    <w:rsid w:val="7C853BEA"/>
    <w:rsid w:val="7C881368"/>
    <w:rsid w:val="7CBE690B"/>
    <w:rsid w:val="7CD564F7"/>
    <w:rsid w:val="7CE27788"/>
    <w:rsid w:val="7CFFCA8A"/>
    <w:rsid w:val="7D0C32F1"/>
    <w:rsid w:val="7D0F408D"/>
    <w:rsid w:val="7D320C39"/>
    <w:rsid w:val="7D491C6C"/>
    <w:rsid w:val="7D5429C0"/>
    <w:rsid w:val="7D6E6D43"/>
    <w:rsid w:val="7DB57A34"/>
    <w:rsid w:val="7DDD71DA"/>
    <w:rsid w:val="7DE60973"/>
    <w:rsid w:val="7DEF0916"/>
    <w:rsid w:val="7E1C7D03"/>
    <w:rsid w:val="7E1E5218"/>
    <w:rsid w:val="7E6C679B"/>
    <w:rsid w:val="7E9A4E1F"/>
    <w:rsid w:val="7EA7723A"/>
    <w:rsid w:val="7EF56FBB"/>
    <w:rsid w:val="7F0768EB"/>
    <w:rsid w:val="7F143BEC"/>
    <w:rsid w:val="7F362021"/>
    <w:rsid w:val="7F715AF2"/>
    <w:rsid w:val="7F7B47F9"/>
    <w:rsid w:val="7F886E69"/>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5"/>
    <w:qFormat/>
    <w:uiPriority w:val="0"/>
    <w:pPr>
      <w:shd w:val="clear" w:color="auto" w:fill="000080"/>
    </w:pPr>
  </w:style>
  <w:style w:type="paragraph" w:styleId="19">
    <w:name w:val="annotation text"/>
    <w:basedOn w:val="1"/>
    <w:link w:val="347"/>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3"/>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4"/>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8"/>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8"/>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4"/>
    <w:qFormat/>
    <w:uiPriority w:val="0"/>
    <w:pPr>
      <w:ind w:left="100" w:leftChars="2500"/>
    </w:pPr>
    <w:rPr>
      <w:rFonts w:ascii="宋体"/>
      <w:sz w:val="24"/>
      <w:szCs w:val="21"/>
      <w:lang w:val="zh-CN"/>
    </w:rPr>
  </w:style>
  <w:style w:type="paragraph" w:styleId="38">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9">
    <w:name w:val="endnote text"/>
    <w:basedOn w:val="1"/>
    <w:link w:val="935"/>
    <w:qFormat/>
    <w:uiPriority w:val="0"/>
    <w:rPr>
      <w:lang w:val="zh-CN"/>
    </w:rPr>
  </w:style>
  <w:style w:type="paragraph" w:styleId="40">
    <w:name w:val="Balloon Text"/>
    <w:basedOn w:val="1"/>
    <w:link w:val="191"/>
    <w:qFormat/>
    <w:uiPriority w:val="0"/>
    <w:rPr>
      <w:sz w:val="18"/>
      <w:szCs w:val="18"/>
    </w:rPr>
  </w:style>
  <w:style w:type="paragraph" w:styleId="41">
    <w:name w:val="footer"/>
    <w:basedOn w:val="1"/>
    <w:link w:val="386"/>
    <w:qFormat/>
    <w:uiPriority w:val="99"/>
    <w:pPr>
      <w:tabs>
        <w:tab w:val="center" w:pos="4153"/>
        <w:tab w:val="right" w:pos="8306"/>
      </w:tabs>
      <w:snapToGrid w:val="0"/>
      <w:jc w:val="left"/>
    </w:pPr>
    <w:rPr>
      <w:sz w:val="18"/>
      <w:szCs w:val="18"/>
    </w:rPr>
  </w:style>
  <w:style w:type="paragraph" w:styleId="42">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3"/>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8"/>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5"/>
    <w:qFormat/>
    <w:uiPriority w:val="0"/>
    <w:pPr>
      <w:spacing w:after="120" w:line="480" w:lineRule="auto"/>
    </w:pPr>
  </w:style>
  <w:style w:type="paragraph" w:styleId="57">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9"/>
    <w:qFormat/>
    <w:uiPriority w:val="0"/>
    <w:rPr>
      <w:b/>
      <w:bCs/>
    </w:rPr>
  </w:style>
  <w:style w:type="paragraph" w:styleId="61">
    <w:name w:val="Body Text First Indent 2"/>
    <w:basedOn w:val="26"/>
    <w:link w:val="124"/>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TML Definition"/>
    <w:basedOn w:val="69"/>
    <w:qFormat/>
    <w:uiPriority w:val="0"/>
    <w:rPr>
      <w:i/>
      <w:iCs/>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Keyboard"/>
    <w:basedOn w:val="69"/>
    <w:qFormat/>
    <w:uiPriority w:val="0"/>
    <w:rPr>
      <w:rFonts w:hint="default" w:ascii="Consolas" w:hAnsi="Consolas" w:eastAsia="Consolas" w:cs="Consolas"/>
      <w:color w:val="FFFFFF"/>
      <w:sz w:val="21"/>
      <w:szCs w:val="21"/>
      <w:shd w:val="clear" w:fill="333333"/>
    </w:rPr>
  </w:style>
  <w:style w:type="character" w:styleId="81">
    <w:name w:val="HTML Sample"/>
    <w:basedOn w:val="69"/>
    <w:qFormat/>
    <w:uiPriority w:val="0"/>
    <w:rPr>
      <w:rFonts w:hint="default" w:ascii="Consolas" w:hAnsi="Consolas" w:eastAsia="Consolas" w:cs="Consolas"/>
      <w:sz w:val="21"/>
      <w:szCs w:val="21"/>
    </w:r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paragraph" w:styleId="84">
    <w:name w:val="List Paragraph"/>
    <w:basedOn w:val="1"/>
    <w:qFormat/>
    <w:uiPriority w:val="0"/>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0"/>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61"/>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69"/>
    <w:qFormat/>
    <w:uiPriority w:val="0"/>
    <w:rPr>
      <w:rFonts w:ascii="Arial" w:hAnsi="Arial" w:eastAsia="黑体" w:cs="Arial"/>
      <w:snapToGrid w:val="0"/>
      <w:kern w:val="0"/>
      <w:szCs w:val="21"/>
    </w:rPr>
  </w:style>
  <w:style w:type="character" w:customStyle="1" w:styleId="128">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48"/>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8"/>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3"/>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7"/>
    <w:qFormat/>
    <w:uiPriority w:val="0"/>
    <w:rPr>
      <w:rFonts w:ascii="宋体"/>
      <w:kern w:val="2"/>
      <w:sz w:val="24"/>
      <w:szCs w:val="21"/>
      <w:lang w:val="zh-CN"/>
    </w:rPr>
  </w:style>
  <w:style w:type="character" w:customStyle="1" w:styleId="185">
    <w:name w:val="标题 9 Char"/>
    <w:link w:val="11"/>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40"/>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5"/>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18"/>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69"/>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1"/>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6"/>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6"/>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1">
    <w:name w:val="列出段落1"/>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6"/>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2"/>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59"/>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7"/>
    <w:qFormat/>
    <w:uiPriority w:val="0"/>
    <w:rPr>
      <w:rFonts w:ascii="黑体" w:hAnsi="Courier New" w:eastAsia="黑体"/>
    </w:rPr>
  </w:style>
  <w:style w:type="character" w:customStyle="1" w:styleId="305">
    <w:name w:val="正文文本 2 Char1"/>
    <w:link w:val="56"/>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6"/>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9"/>
    <w:qFormat/>
    <w:uiPriority w:val="0"/>
    <w:rPr>
      <w:b/>
      <w:bCs/>
      <w:kern w:val="2"/>
      <w:sz w:val="24"/>
      <w:szCs w:val="24"/>
    </w:rPr>
  </w:style>
  <w:style w:type="character" w:customStyle="1" w:styleId="311">
    <w:name w:val="正文文本缩进 2 Char"/>
    <w:link w:val="38"/>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1"/>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24"/>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6"/>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1"/>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19"/>
    <w:qFormat/>
    <w:uiPriority w:val="99"/>
    <w:rPr>
      <w:kern w:val="2"/>
      <w:sz w:val="21"/>
      <w:szCs w:val="24"/>
    </w:rPr>
  </w:style>
  <w:style w:type="character" w:customStyle="1" w:styleId="348">
    <w:name w:val="签名 Char"/>
    <w:link w:val="43"/>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0"/>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3"/>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1"/>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2"/>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69"/>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5"/>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4">
    <w:name w:val="gray6"/>
    <w:basedOn w:val="69"/>
    <w:qFormat/>
    <w:uiPriority w:val="0"/>
    <w:rPr>
      <w:rFonts w:ascii="Arial" w:hAnsi="Arial" w:eastAsia="黑体" w:cs="Arial"/>
      <w:snapToGrid w:val="0"/>
      <w:kern w:val="0"/>
      <w:szCs w:val="21"/>
    </w:rPr>
  </w:style>
  <w:style w:type="character" w:customStyle="1" w:styleId="435">
    <w:name w:val="hui"/>
    <w:basedOn w:val="69"/>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无间隔2"/>
    <w:basedOn w:val="1"/>
    <w:link w:val="936"/>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3"/>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4"/>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7"/>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8"/>
    <w:next w:val="238"/>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8"/>
    <w:next w:val="238"/>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6"/>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2"/>
    <w:qFormat/>
    <w:uiPriority w:val="0"/>
    <w:pPr>
      <w:tabs>
        <w:tab w:val="left" w:pos="840"/>
      </w:tabs>
      <w:adjustRightInd/>
      <w:ind w:left="840" w:hanging="420"/>
    </w:pPr>
  </w:style>
  <w:style w:type="paragraph" w:customStyle="1" w:styleId="62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8"/>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3">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8"/>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1"/>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7"/>
    <w:next w:val="1"/>
    <w:qFormat/>
    <w:uiPriority w:val="0"/>
    <w:pPr>
      <w:tabs>
        <w:tab w:val="left" w:pos="1080"/>
      </w:tabs>
      <w:ind w:left="1080" w:hanging="1080"/>
    </w:pPr>
  </w:style>
  <w:style w:type="paragraph" w:customStyle="1" w:styleId="900">
    <w:name w:val="数字标题1"/>
    <w:basedOn w:val="2"/>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6"/>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39"/>
    <w:qFormat/>
    <w:uiPriority w:val="0"/>
    <w:rPr>
      <w:kern w:val="2"/>
      <w:sz w:val="21"/>
      <w:szCs w:val="24"/>
      <w:lang w:val="zh-CN"/>
    </w:rPr>
  </w:style>
  <w:style w:type="character" w:customStyle="1" w:styleId="936">
    <w:name w:val="无间隔 字符"/>
    <w:link w:val="486"/>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1"/>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69"/>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8">
    <w:name w:val="p16"/>
    <w:basedOn w:val="1"/>
    <w:qFormat/>
    <w:uiPriority w:val="0"/>
    <w:pPr>
      <w:widowControl/>
      <w:spacing w:before="100" w:after="100"/>
      <w:jc w:val="left"/>
    </w:pPr>
    <w:rPr>
      <w:rFonts w:ascii="宋体" w:hAnsi="宋体" w:cs="宋体"/>
      <w:color w:val="000000"/>
      <w:kern w:val="0"/>
      <w:sz w:val="24"/>
    </w:rPr>
  </w:style>
  <w:style w:type="paragraph" w:customStyle="1" w:styleId="969">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70">
    <w:name w:val="color-red"/>
    <w:basedOn w:val="69"/>
    <w:qFormat/>
    <w:uiPriority w:val="0"/>
    <w:rPr>
      <w:color w:val="FF6E40"/>
      <w:sz w:val="19"/>
      <w:szCs w:val="19"/>
      <w:bdr w:val="single" w:color="FF6E40" w:sz="6" w:space="0"/>
      <w:shd w:val="clear" w:fill="FFFFFF"/>
    </w:rPr>
  </w:style>
  <w:style w:type="character" w:customStyle="1" w:styleId="971">
    <w:name w:val="tit"/>
    <w:basedOn w:val="69"/>
    <w:qFormat/>
    <w:uiPriority w:val="0"/>
    <w:rPr>
      <w:color w:val="FFFFFF"/>
    </w:rPr>
  </w:style>
  <w:style w:type="character" w:customStyle="1" w:styleId="972">
    <w:name w:val="color-green"/>
    <w:basedOn w:val="69"/>
    <w:qFormat/>
    <w:uiPriority w:val="0"/>
    <w:rPr>
      <w:color w:val="02B202"/>
      <w:sz w:val="19"/>
      <w:szCs w:val="19"/>
      <w:bdr w:val="single" w:color="02B202" w:sz="6" w:space="0"/>
      <w:shd w:val="clear" w:fill="FFFFFF"/>
    </w:rPr>
  </w:style>
  <w:style w:type="character" w:customStyle="1" w:styleId="973">
    <w:name w:val="first-child"/>
    <w:basedOn w:val="69"/>
    <w:qFormat/>
    <w:uiPriority w:val="0"/>
  </w:style>
  <w:style w:type="character" w:customStyle="1" w:styleId="974">
    <w:name w:val="color-blue"/>
    <w:basedOn w:val="69"/>
    <w:qFormat/>
    <w:uiPriority w:val="0"/>
    <w:rPr>
      <w:color w:val="2272DE"/>
      <w:sz w:val="19"/>
      <w:szCs w:val="19"/>
      <w:bdr w:val="single" w:color="2272DE" w:sz="6" w:space="0"/>
      <w:shd w:val="clear" w:fill="FFFFFF"/>
    </w:rPr>
  </w:style>
  <w:style w:type="character" w:customStyle="1" w:styleId="975">
    <w:name w:val="btn_xlxz"/>
    <w:basedOn w:val="69"/>
    <w:qFormat/>
    <w:uiPriority w:val="0"/>
  </w:style>
  <w:style w:type="character" w:customStyle="1" w:styleId="976">
    <w:name w:val="btn_xlxz1"/>
    <w:basedOn w:val="69"/>
    <w:qFormat/>
    <w:uiPriority w:val="0"/>
  </w:style>
  <w:style w:type="paragraph" w:customStyle="1" w:styleId="977">
    <w:name w:val="_Style 973"/>
    <w:basedOn w:val="1"/>
    <w:next w:val="1"/>
    <w:qFormat/>
    <w:uiPriority w:val="0"/>
    <w:pPr>
      <w:pBdr>
        <w:bottom w:val="single" w:color="auto" w:sz="6" w:space="1"/>
      </w:pBdr>
      <w:jc w:val="center"/>
    </w:pPr>
    <w:rPr>
      <w:rFonts w:ascii="Arial" w:eastAsia="宋体"/>
      <w:vanish/>
      <w:sz w:val="16"/>
    </w:rPr>
  </w:style>
  <w:style w:type="paragraph" w:customStyle="1" w:styleId="978">
    <w:name w:val="_Style 974"/>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113</Pages>
  <Words>24876</Words>
  <Characters>26400</Characters>
  <Lines>405</Lines>
  <Paragraphs>114</Paragraphs>
  <TotalTime>7</TotalTime>
  <ScaleCrop>false</ScaleCrop>
  <LinksUpToDate>false</LinksUpToDate>
  <CharactersWithSpaces>27282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2022-05-07T15:35:00Z</dcterms:created>
  <dc:creator>玥</dc:creator>
  <cp:lastModifiedBy>WPS_1481965622</cp:lastModifiedBy>
  <cp:lastPrinted>2021-12-27T19:06:00Z</cp:lastPrinted>
  <dcterms:modified xsi:type="dcterms:W3CDTF">2025-07-01T01:05:12Z</dcterms:modified>
  <dc:title>杭州市市民卡扩大发卡工程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9BADF9E3DE294069B84E6D5D0260EC02_13</vt:lpwstr>
  </property>
  <property fmtid="{D5CDD505-2E9C-101B-9397-08002B2CF9AE}" pid="5" name="commondata">
    <vt:lpwstr>eyJoZGlkIjoiNGNlMmFkMDQ1NDY0ZmRiM2Q0NjY4NTFjN2IwMTllYjMifQ==</vt:lpwstr>
  </property>
  <property fmtid="{D5CDD505-2E9C-101B-9397-08002B2CF9AE}" pid="6" name="KSOTemplateDocerSaveRecord">
    <vt:lpwstr>eyJoZGlkIjoiZDE3Y2U3OGUyOTQyOWJkODgzOGViODQzYzhkYTY4ODQiLCJ1c2VySWQiOiIyNTcwODU0MjUifQ==</vt:lpwstr>
  </property>
</Properties>
</file>