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eastAsia="宋体"/>
          <w:color w:val="auto"/>
          <w:sz w:val="20"/>
          <w:szCs w:val="22"/>
          <w:highlight w:val="none"/>
          <w:lang w:eastAsia="zh-CN"/>
        </w:rPr>
      </w:pPr>
      <w:r>
        <w:rPr>
          <w:rFonts w:hint="eastAsia" w:ascii="仿宋_GB2312" w:hAnsi="仿宋_GB2312" w:eastAsia="仿宋_GB2312" w:cs="仿宋_GB2312"/>
          <w:b/>
          <w:color w:val="auto"/>
          <w:spacing w:val="-12"/>
          <w:sz w:val="44"/>
          <w:szCs w:val="44"/>
          <w:highlight w:val="none"/>
          <w:lang w:val="en-US" w:eastAsia="zh-CN"/>
        </w:rPr>
        <w:t>2024年绍兴福彩“福彩悦万家·一起快乐8”活动服务项目</w:t>
      </w:r>
    </w:p>
    <w:p>
      <w:pP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b/>
          <w:color w:val="auto"/>
          <w:sz w:val="72"/>
          <w:szCs w:val="72"/>
          <w:highlight w:val="none"/>
        </w:rPr>
      </w:pP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color w:val="auto"/>
          <w:sz w:val="44"/>
          <w:highlight w:val="none"/>
        </w:rPr>
      </w:pPr>
    </w:p>
    <w:p>
      <w:pPr>
        <w:jc w:val="center"/>
        <w:rPr>
          <w:rFonts w:hint="default"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HX2024-</w:t>
      </w:r>
      <w:r>
        <w:rPr>
          <w:rFonts w:hint="eastAsia" w:ascii="仿宋_GB2312" w:hAnsi="仿宋_GB2312" w:eastAsia="仿宋_GB2312" w:cs="仿宋_GB2312"/>
          <w:b/>
          <w:color w:val="auto"/>
          <w:sz w:val="28"/>
          <w:szCs w:val="28"/>
          <w:highlight w:val="none"/>
          <w:lang w:val="en-US" w:eastAsia="zh-CN"/>
        </w:rPr>
        <w:t>04</w:t>
      </w:r>
      <w:r>
        <w:rPr>
          <w:rFonts w:hint="eastAsia" w:ascii="仿宋_GB2312" w:hAnsi="仿宋_GB2312" w:eastAsia="仿宋_GB2312" w:cs="仿宋_GB2312"/>
          <w:b/>
          <w:color w:val="auto"/>
          <w:sz w:val="28"/>
          <w:szCs w:val="28"/>
          <w:highlight w:val="none"/>
          <w:lang w:eastAsia="zh-CN"/>
        </w:rPr>
        <w:t>-</w:t>
      </w:r>
      <w:r>
        <w:rPr>
          <w:rFonts w:hint="eastAsia" w:ascii="仿宋_GB2312" w:hAnsi="仿宋_GB2312" w:eastAsia="仿宋_GB2312" w:cs="仿宋_GB2312"/>
          <w:b/>
          <w:color w:val="auto"/>
          <w:sz w:val="28"/>
          <w:szCs w:val="28"/>
          <w:highlight w:val="none"/>
          <w:lang w:val="en-US" w:eastAsia="zh-CN"/>
        </w:rPr>
        <w:t>01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绍兴市福利彩票发行中心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886458813"/>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浙江华夏工程管理有限公司</w:t>
            </w:r>
          </w:p>
        </w:tc>
      </w:tr>
      <w:tr>
        <w:tblPrEx>
          <w:tblCellMar>
            <w:top w:w="0" w:type="dxa"/>
            <w:left w:w="108" w:type="dxa"/>
            <w:bottom w:w="0" w:type="dxa"/>
            <w:right w:w="108" w:type="dxa"/>
          </w:tblCellMar>
        </w:tblPrEx>
        <w:trPr>
          <w:trHeight w:val="490" w:hRule="atLeast"/>
          <w:jc w:val="center"/>
        </w:trPr>
        <w:tc>
          <w:tcPr>
            <w:tcW w:w="2356" w:type="dxa"/>
            <w:vAlign w:val="center"/>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二○二四年</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val="en-US" w:eastAsia="zh-CN"/>
                    </w:rPr>
                    <w:t>2024年绍兴福彩“福彩悦万家·一起快乐8”活动服务项目</w:t>
                  </w:r>
                  <w:r>
                    <w:rPr>
                      <w:rFonts w:hint="eastAsia" w:ascii="仿宋_GB2312" w:hAnsi="新宋体" w:eastAsia="仿宋_GB2312"/>
                      <w:color w:val="auto"/>
                      <w:szCs w:val="24"/>
                      <w:highlight w:val="none"/>
                    </w:rPr>
                    <w:t>招标项目的潜在投标人应在政采云平台（https://www.zcygov.cn/）获取（下载）招标文件，并</w:t>
                  </w:r>
                  <w:r>
                    <w:rPr>
                      <w:rFonts w:hint="eastAsia" w:ascii="仿宋_GB2312" w:hAnsi="新宋体" w:eastAsia="仿宋_GB2312"/>
                      <w:color w:val="auto"/>
                      <w:szCs w:val="24"/>
                      <w:highlight w:val="none"/>
                    </w:rPr>
                    <w:t>于2024年</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16</w:t>
                  </w:r>
                  <w:r>
                    <w:rPr>
                      <w:rFonts w:hint="eastAsia" w:ascii="仿宋_GB2312" w:hAnsi="新宋体" w:eastAsia="仿宋_GB2312"/>
                      <w:color w:val="auto"/>
                      <w:szCs w:val="24"/>
                      <w:highlight w:val="none"/>
                    </w:rPr>
                    <w:t>日9 点00 分00秒</w:t>
                  </w:r>
                  <w:r>
                    <w:rPr>
                      <w:rFonts w:hint="eastAsia" w:ascii="仿宋_GB2312" w:hAnsi="新宋体" w:eastAsia="仿宋_GB2312"/>
                      <w:color w:val="auto"/>
                      <w:szCs w:val="24"/>
                      <w:highlight w:val="none"/>
                    </w:rPr>
                    <w:t>（北京时间）前递交（上传）投标文件。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HX2024-04-01</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b w:val="0"/>
                <w:bCs/>
                <w:color w:val="auto"/>
                <w:szCs w:val="24"/>
                <w:highlight w:val="none"/>
                <w:lang w:val="en-US" w:eastAsia="zh-CN"/>
              </w:rPr>
              <w:t>2024年绍兴福彩“福彩悦万家·一起快乐8”活动服务项目</w:t>
            </w:r>
          </w:p>
          <w:p>
            <w:pPr>
              <w:pStyle w:val="97"/>
              <w:spacing w:afterLines="0"/>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bCs/>
                <w:color w:val="auto"/>
                <w:szCs w:val="24"/>
                <w:highlight w:val="none"/>
                <w:lang w:val="en-US" w:eastAsia="zh-CN"/>
              </w:rPr>
              <w:t>200000</w:t>
            </w:r>
          </w:p>
          <w:p>
            <w:pPr>
              <w:pStyle w:val="97"/>
              <w:spacing w:afterLines="0" w:line="440" w:lineRule="exact"/>
              <w:ind w:firstLine="482"/>
              <w:rPr>
                <w:rFonts w:ascii="仿宋_GB2312" w:hAnsi="新宋体" w:eastAsia="仿宋_GB2312"/>
                <w:bCs/>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lang w:val="en-US" w:eastAsia="zh-CN"/>
              </w:rPr>
              <w:t>200000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right="-508" w:rightChars="-242"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val="en-US" w:eastAsia="zh-CN"/>
              </w:rPr>
              <w:t>2024年绍兴福彩“福彩悦万家·一起快乐8”活动服务项目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bCs/>
                <w:color w:val="auto"/>
                <w:szCs w:val="24"/>
                <w:highlight w:val="none"/>
                <w:lang w:val="en-US" w:eastAsia="zh-CN"/>
              </w:rPr>
              <w:t>200000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hint="eastAsia" w:ascii="MS Mincho" w:hAnsi="MS Mincho" w:eastAsia="MS Mincho" w:cs="MS Mincho"/>
                    <w:color w:val="auto"/>
                    <w:szCs w:val="24"/>
                    <w:highlight w:val="none"/>
                  </w:rPr>
                  <w:t>☐</w:t>
                </w:r>
              </w:sdtContent>
            </w:sdt>
            <w:r>
              <w:rPr>
                <w:rFonts w:hint="eastAsia" w:ascii="仿宋_GB2312" w:hAnsi="新宋体" w:eastAsia="仿宋_GB2312"/>
                <w:color w:val="auto"/>
                <w:szCs w:val="24"/>
                <w:highlight w:val="none"/>
              </w:rPr>
              <w:t>是，</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仿宋_GB2312" w:hAnsi="仿宋" w:eastAsia="仿宋_GB2312" w:cs="Arial"/>
                    <w:color w:val="auto"/>
                    <w:highlight w:val="none"/>
                  </w:rPr>
                  <w:sym w:font="Wingdings" w:char="00A8"/>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月</w:t>
            </w:r>
            <w:r>
              <w:rPr>
                <w:rFonts w:hint="eastAsia" w:ascii="仿宋_GB2312" w:hAnsi="新宋体" w:eastAsia="仿宋_GB2312"/>
                <w:color w:val="auto"/>
                <w:szCs w:val="24"/>
                <w:highlight w:val="none"/>
                <w:u w:val="single"/>
                <w:lang w:val="en-US" w:eastAsia="zh-CN"/>
              </w:rPr>
              <w:t>16</w:t>
            </w:r>
            <w:r>
              <w:rPr>
                <w:rFonts w:hint="eastAsia" w:ascii="仿宋_GB2312" w:hAnsi="新宋体" w:eastAsia="仿宋_GB2312"/>
                <w:color w:val="auto"/>
                <w:szCs w:val="24"/>
                <w:highlight w:val="none"/>
                <w:u w:val="single"/>
              </w:rPr>
              <w:t>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月</w:t>
            </w:r>
            <w:r>
              <w:rPr>
                <w:rFonts w:hint="eastAsia" w:ascii="仿宋_GB2312" w:hAnsi="新宋体" w:eastAsia="仿宋_GB2312"/>
                <w:color w:val="auto"/>
                <w:szCs w:val="24"/>
                <w:highlight w:val="none"/>
                <w:u w:val="single"/>
                <w:lang w:val="en-US" w:eastAsia="zh-CN"/>
              </w:rPr>
              <w:t>16</w:t>
            </w:r>
            <w:r>
              <w:rPr>
                <w:rFonts w:hint="eastAsia" w:ascii="仿宋_GB2312" w:hAnsi="新宋体" w:eastAsia="仿宋_GB2312"/>
                <w:color w:val="auto"/>
                <w:szCs w:val="24"/>
                <w:highlight w:val="none"/>
                <w:u w:val="single"/>
              </w:rPr>
              <w:t>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月</w:t>
            </w:r>
            <w:r>
              <w:rPr>
                <w:rFonts w:hint="eastAsia" w:ascii="仿宋_GB2312" w:hAnsi="新宋体" w:eastAsia="仿宋_GB2312"/>
                <w:color w:val="auto"/>
                <w:szCs w:val="24"/>
                <w:highlight w:val="none"/>
                <w:u w:val="single"/>
                <w:lang w:val="en-US" w:eastAsia="zh-CN"/>
              </w:rPr>
              <w:t>16</w:t>
            </w:r>
            <w:r>
              <w:rPr>
                <w:rFonts w:hint="eastAsia" w:ascii="仿宋_GB2312" w:hAnsi="新宋体" w:eastAsia="仿宋_GB2312"/>
                <w:color w:val="auto"/>
                <w:szCs w:val="24"/>
                <w:highlight w:val="none"/>
                <w:u w:val="single"/>
              </w:rPr>
              <w:t>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名称：绍兴市福利彩票发行中心</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地址：绍兴市鼎盛时代12楼</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 xml:space="preserve">传真：/  </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 xml:space="preserve">项目联系人（询问）：韩工    </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项目联系方式（询问）：0575-88627690</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 xml:space="preserve">质疑联系人：诸主任     </w:t>
            </w:r>
          </w:p>
          <w:p>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lang w:val="en-US" w:eastAsia="zh-CN"/>
              </w:rPr>
              <w:t xml:space="preserve">质疑联系方式：0575- 85125588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val="en-US" w:eastAsia="zh-CN"/>
              </w:rPr>
              <w:t>浙江华夏工程管理有限公司</w:t>
            </w:r>
            <w:r>
              <w:rPr>
                <w:rFonts w:ascii="仿宋_GB2312" w:hAnsi="新宋体" w:eastAsia="仿宋_GB2312"/>
                <w:color w:val="auto"/>
                <w:szCs w:val="24"/>
                <w:highlight w:val="none"/>
              </w:rPr>
              <w:t>       </w:t>
            </w:r>
          </w:p>
          <w:p>
            <w:pPr>
              <w:pStyle w:val="97"/>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地址：绍兴市越城区</w:t>
            </w:r>
            <w:r>
              <w:rPr>
                <w:rFonts w:hint="eastAsia" w:ascii="仿宋_GB2312" w:hAnsi="新宋体" w:eastAsia="仿宋_GB2312"/>
                <w:color w:val="auto"/>
                <w:szCs w:val="24"/>
                <w:highlight w:val="none"/>
                <w:lang w:val="en-US" w:eastAsia="zh-CN"/>
              </w:rPr>
              <w:t>迪荡街道迅腾大厦1404室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val="en-US" w:eastAsia="zh-CN"/>
              </w:rPr>
              <w:t>张峰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13625856780</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val="en-US" w:eastAsia="zh-CN"/>
              </w:rPr>
              <w:t>俞洪波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18106849337</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10"/>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租赁和商务服务业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扰乱公共资源交易市场秩序行为：</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 xml:space="preserve"> 投标人需支付以下费用，并在投标报价中自行考虑：</w:t>
            </w:r>
          </w:p>
          <w:p>
            <w:pPr>
              <w:spacing w:line="440" w:lineRule="exact"/>
              <w:jc w:val="left"/>
              <w:rPr>
                <w:rFonts w:hint="eastAsia" w:ascii="仿宋_GB2312" w:hAnsi="宋体" w:eastAsia="仿宋_GB2312" w:cs="Times New Roman"/>
                <w:b/>
                <w:color w:val="auto"/>
                <w:sz w:val="24"/>
                <w:highlight w:val="none"/>
                <w:lang w:val="en-US" w:eastAsia="zh-CN"/>
              </w:rPr>
            </w:pPr>
            <w:r>
              <w:rPr>
                <w:rFonts w:hint="eastAsia" w:ascii="仿宋_GB2312" w:hAnsi="宋体" w:eastAsia="仿宋_GB2312"/>
                <w:b/>
                <w:color w:val="auto"/>
                <w:sz w:val="24"/>
                <w:highlight w:val="none"/>
              </w:rPr>
              <w:t>（一）本项目招标代理服务费按</w:t>
            </w:r>
            <w:r>
              <w:rPr>
                <w:rFonts w:hint="eastAsia" w:ascii="仿宋_GB2312" w:hAnsi="宋体" w:eastAsia="仿宋_GB2312"/>
                <w:b/>
                <w:color w:val="auto"/>
                <w:sz w:val="24"/>
                <w:highlight w:val="none"/>
                <w:lang w:val="en-US" w:eastAsia="zh-CN"/>
              </w:rPr>
              <w:t>3</w:t>
            </w:r>
            <w:r>
              <w:rPr>
                <w:rFonts w:hint="eastAsia" w:ascii="仿宋_GB2312" w:hAnsi="宋体" w:eastAsia="仿宋_GB2312"/>
                <w:b/>
                <w:color w:val="auto"/>
                <w:sz w:val="24"/>
                <w:highlight w:val="none"/>
              </w:rPr>
              <w:t>000元收取</w:t>
            </w:r>
            <w:r>
              <w:rPr>
                <w:rFonts w:hint="eastAsia" w:ascii="仿宋_GB2312" w:hAnsi="宋体" w:eastAsia="仿宋_GB2312"/>
                <w:b/>
                <w:color w:val="auto"/>
                <w:sz w:val="24"/>
                <w:highlight w:val="none"/>
                <w:lang w:eastAsia="zh-CN"/>
              </w:rPr>
              <w:t>。</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fldChar w:fldCharType="begin"/>
            </w:r>
            <w:r>
              <w:rPr>
                <w:rFonts w:hint="eastAsia" w:ascii="仿宋_GB2312" w:hAnsi="宋体" w:eastAsia="仿宋_GB2312"/>
                <w:b/>
                <w:color w:val="auto"/>
                <w:sz w:val="24"/>
                <w:highlight w:val="none"/>
              </w:rPr>
              <w:instrText xml:space="preserve"> = 2 \* GB3 </w:instrText>
            </w:r>
            <w:r>
              <w:rPr>
                <w:rFonts w:hint="eastAsia" w:ascii="仿宋_GB2312" w:hAnsi="宋体" w:eastAsia="仿宋_GB2312"/>
                <w:b/>
                <w:color w:val="auto"/>
                <w:sz w:val="24"/>
                <w:highlight w:val="none"/>
              </w:rPr>
              <w:fldChar w:fldCharType="separate"/>
            </w:r>
            <w:r>
              <w:rPr>
                <w:rFonts w:hint="eastAsia" w:ascii="仿宋_GB2312" w:hAnsi="宋体" w:eastAsia="仿宋_GB2312"/>
                <w:b/>
                <w:color w:val="auto"/>
                <w:sz w:val="24"/>
                <w:highlight w:val="none"/>
              </w:rPr>
              <w:t>②</w:t>
            </w:r>
            <w:r>
              <w:rPr>
                <w:rFonts w:hint="eastAsia" w:ascii="仿宋_GB2312" w:hAnsi="宋体" w:eastAsia="仿宋_GB2312"/>
                <w:b/>
                <w:color w:val="auto"/>
                <w:sz w:val="24"/>
                <w:highlight w:val="none"/>
              </w:rPr>
              <w:fldChar w:fldCharType="end"/>
            </w:r>
            <w:r>
              <w:rPr>
                <w:rFonts w:hint="eastAsia" w:ascii="仿宋_GB2312" w:hAnsi="宋体" w:eastAsia="仿宋_GB2312"/>
                <w:b/>
                <w:color w:val="auto"/>
                <w:sz w:val="24"/>
                <w:highlight w:val="none"/>
              </w:rPr>
              <w:t>中标服务费的交纳方式：</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用银行支票、汇票、电汇、现金等付款方式直接交纳代理服务费。</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公司名称：浙江华夏工程管理有限公司绍兴分公司</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账号: 1211018109200094088</w:t>
            </w:r>
          </w:p>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开户银行: 工商银行城东新区支行</w:t>
            </w:r>
          </w:p>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fldChar w:fldCharType="begin"/>
            </w:r>
            <w:r>
              <w:rPr>
                <w:rFonts w:hint="eastAsia" w:ascii="仿宋_GB2312" w:hAnsi="宋体" w:eastAsia="仿宋_GB2312"/>
                <w:b/>
                <w:color w:val="auto"/>
                <w:sz w:val="24"/>
                <w:highlight w:val="none"/>
              </w:rPr>
              <w:instrText xml:space="preserve"> = 3 \* GB3 </w:instrText>
            </w:r>
            <w:r>
              <w:rPr>
                <w:rFonts w:hint="eastAsia" w:ascii="仿宋_GB2312" w:hAnsi="宋体" w:eastAsia="仿宋_GB2312"/>
                <w:b/>
                <w:color w:val="auto"/>
                <w:sz w:val="24"/>
                <w:highlight w:val="none"/>
              </w:rPr>
              <w:fldChar w:fldCharType="separate"/>
            </w:r>
            <w:r>
              <w:rPr>
                <w:rFonts w:hint="eastAsia" w:ascii="仿宋_GB2312" w:hAnsi="宋体" w:eastAsia="仿宋_GB2312"/>
                <w:b/>
                <w:color w:val="auto"/>
                <w:sz w:val="24"/>
                <w:highlight w:val="none"/>
              </w:rPr>
              <w:t>③</w:t>
            </w:r>
            <w:r>
              <w:rPr>
                <w:rFonts w:hint="eastAsia" w:ascii="仿宋_GB2312" w:hAnsi="宋体" w:eastAsia="仿宋_GB2312"/>
                <w:b/>
                <w:color w:val="auto"/>
                <w:sz w:val="24"/>
                <w:highlight w:val="none"/>
              </w:rPr>
              <w:fldChar w:fldCharType="end"/>
            </w:r>
            <w:r>
              <w:rPr>
                <w:rFonts w:hint="eastAsia" w:ascii="仿宋_GB2312" w:hAnsi="宋体" w:eastAsia="仿宋_GB2312"/>
                <w:b/>
                <w:color w:val="auto"/>
                <w:sz w:val="24"/>
                <w:highlight w:val="none"/>
              </w:rPr>
              <w:t xml:space="preserve"> 采购代理服务费的交纳时间：领取中标通知书前交纳。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2.2.17</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2.2.18投标人需要说明的其他文件和说明（格式自拟）。</w:t>
      </w:r>
    </w:p>
    <w:p>
      <w:pPr>
        <w:snapToGrid w:val="0"/>
        <w:spacing w:line="440" w:lineRule="exact"/>
        <w:ind w:firstLine="482" w:firstLineChars="200"/>
        <w:rPr>
          <w:rFonts w:hint="eastAsia"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2.3.3 残疾人福利性单位声明函（如果有）。</w:t>
      </w:r>
    </w:p>
    <w:p>
      <w:pPr>
        <w:pStyle w:val="61"/>
        <w:snapToGrid w:val="0"/>
        <w:spacing w:line="44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sz w:val="24"/>
          <w:highlight w:val="none"/>
        </w:rPr>
        <w:t>3.投标报价</w:t>
      </w:r>
    </w:p>
    <w:p>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3.1供应商应按招标文件中《开标一览表》等附表要求填写。</w:t>
      </w:r>
    </w:p>
    <w:p>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3.2投标人的报价应包括完成本项目所需的相关服务包括人员工资、奖金、福利、加班费、培训费、 餐费</w:t>
      </w:r>
      <w:r>
        <w:rPr>
          <w:rFonts w:hint="eastAsia" w:ascii="仿宋_GB2312" w:hAnsi="仿宋" w:eastAsia="仿宋_GB2312" w:cs="仿宋"/>
          <w:color w:val="auto"/>
          <w:sz w:val="24"/>
          <w:highlight w:val="none"/>
          <w:lang w:eastAsia="zh-CN"/>
        </w:rPr>
        <w:t>、</w:t>
      </w:r>
      <w:r>
        <w:rPr>
          <w:rFonts w:hint="eastAsia" w:ascii="仿宋_GB2312" w:hAnsi="仿宋" w:eastAsia="仿宋_GB2312" w:cs="仿宋"/>
          <w:b/>
          <w:bCs/>
          <w:color w:val="auto"/>
          <w:sz w:val="24"/>
          <w:highlight w:val="none"/>
          <w:lang w:val="en-US" w:eastAsia="zh-CN"/>
        </w:rPr>
        <w:t>活动场地使用费</w:t>
      </w:r>
      <w:r>
        <w:rPr>
          <w:rFonts w:hint="eastAsia" w:ascii="仿宋_GB2312" w:hAnsi="仿宋" w:eastAsia="仿宋_GB2312" w:cs="仿宋"/>
          <w:color w:val="auto"/>
          <w:sz w:val="24"/>
          <w:highlight w:val="none"/>
        </w:rPr>
        <w:t>等一切费用的总报价。</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61"/>
        <w:snapToGrid w:val="0"/>
        <w:spacing w:line="440" w:lineRule="exact"/>
        <w:ind w:left="0" w:leftChars="0" w:firstLine="0" w:firstLineChars="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4.</w:t>
      </w:r>
      <w:r>
        <w:rPr>
          <w:rFonts w:hint="eastAsia" w:ascii="仿宋_GB2312" w:hAnsi="仿宋" w:eastAsia="仿宋_GB2312" w:cs="仿宋"/>
          <w:b/>
          <w:bCs/>
          <w:color w:val="auto"/>
          <w:sz w:val="24"/>
          <w:highlight w:val="none"/>
          <w:lang w:val="zh-CN"/>
        </w:rPr>
        <w:t xml:space="preserve"> </w:t>
      </w:r>
      <w:r>
        <w:rPr>
          <w:rFonts w:hint="eastAsia" w:ascii="仿宋_GB2312" w:hAnsi="仿宋" w:eastAsia="仿宋_GB2312" w:cs="仿宋"/>
          <w:b/>
          <w:bCs/>
          <w:color w:val="auto"/>
          <w:sz w:val="24"/>
          <w:highlight w:val="none"/>
        </w:rPr>
        <w:t>投标文件的编制和签署</w:t>
      </w:r>
    </w:p>
    <w:p>
      <w:pPr>
        <w:pStyle w:val="61"/>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6.2投标文件合格投递后，自投标截止日期起，在投标有效期内有效。</w:t>
      </w:r>
    </w:p>
    <w:p>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288" w:lineRule="auto"/>
        <w:ind w:firstLine="482" w:firstLineChars="200"/>
        <w:rPr>
          <w:rFonts w:ascii="仿宋_GB2312" w:hAnsi="仿宋_GB2312" w:eastAsia="仿宋_GB2312" w:cs="仿宋_GB2312"/>
          <w:b/>
          <w:color w:val="auto"/>
          <w:kern w:val="0"/>
          <w:sz w:val="24"/>
          <w:highlight w:val="none"/>
        </w:rPr>
      </w:pPr>
      <w:bookmarkStart w:id="4" w:name="_Toc151354173"/>
      <w:bookmarkStart w:id="5" w:name="_Toc80157775"/>
      <w:bookmarkStart w:id="6" w:name="_Toc84325981"/>
      <w:bookmarkStart w:id="7" w:name="_Toc81372787"/>
      <w:bookmarkStart w:id="8" w:name="_Toc81372964"/>
    </w:p>
    <w:p>
      <w:pPr>
        <w:tabs>
          <w:tab w:val="left" w:pos="3780"/>
        </w:tabs>
        <w:adjustRightInd w:val="0"/>
        <w:snapToGrid w:val="0"/>
        <w:spacing w:line="440" w:lineRule="exact"/>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bdr w:val="single" w:color="auto" w:sz="4" w:space="0"/>
        </w:rPr>
        <w:t>01标</w:t>
      </w:r>
      <w:bookmarkStart w:id="9" w:name="_Toc32678"/>
      <w:bookmarkStart w:id="10" w:name="_Toc7206"/>
      <w:r>
        <w:rPr>
          <w:rFonts w:hint="eastAsia" w:ascii="仿宋_GB2312" w:hAnsi="仿宋_GB2312" w:eastAsia="仿宋_GB2312" w:cs="仿宋_GB2312"/>
          <w:b/>
          <w:bCs/>
          <w:color w:val="auto"/>
          <w:sz w:val="24"/>
          <w:highlight w:val="none"/>
          <w:lang w:val="en-US" w:eastAsia="zh-CN"/>
        </w:rPr>
        <w:t>2024年绍兴福彩“福彩悦万家·一起快乐8”活动服务项目</w:t>
      </w:r>
    </w:p>
    <w:bookmarkEnd w:id="4"/>
    <w:bookmarkEnd w:id="9"/>
    <w:bookmarkEnd w:id="10"/>
    <w:p>
      <w:pPr>
        <w:spacing w:line="50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一、项目概况</w:t>
      </w:r>
    </w:p>
    <w:p>
      <w:pPr>
        <w:spacing w:line="50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今年是中华人民共和国成立75周年，是实现“十四五”规划目标任务的冲刺之年，也是浙江高质量发展建设共同富裕示范区的关键一年。为进一步提升浙江福彩及其“快乐8”彩种的公益影响力和群众参与度，更好地履行福利彩票所承担的社会责任，不忘向善而行的公益慈善初心，践行“扶老、助残、救孤、济困”的发行宗旨，促进福彩更加健康地发展，现拟在绍兴开展绍兴福彩“福彩悦</w:t>
      </w:r>
      <w:r>
        <w:rPr>
          <w:rFonts w:hint="eastAsia" w:ascii="仿宋_GB2312" w:hAnsi="仿宋_GB2312" w:eastAsia="仿宋_GB2312" w:cs="仿宋_GB2312"/>
          <w:color w:val="auto"/>
          <w:sz w:val="24"/>
          <w:highlight w:val="none"/>
          <w:lang w:val="en-US" w:eastAsia="zh-CN"/>
        </w:rPr>
        <w:t>万</w:t>
      </w:r>
      <w:r>
        <w:rPr>
          <w:rFonts w:hint="eastAsia" w:ascii="仿宋_GB2312" w:hAnsi="仿宋_GB2312" w:eastAsia="仿宋_GB2312" w:cs="仿宋_GB2312"/>
          <w:color w:val="auto"/>
          <w:sz w:val="24"/>
          <w:highlight w:val="none"/>
          <w:lang w:eastAsia="zh-CN"/>
        </w:rPr>
        <w:t>家·一起快乐8”系列品牌活动，并针对此次活动开展招标工作。</w:t>
      </w:r>
    </w:p>
    <w:p>
      <w:pPr>
        <w:spacing w:line="500" w:lineRule="exact"/>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二、项目内容及要求</w:t>
      </w:r>
    </w:p>
    <w:p>
      <w:pPr>
        <w:spacing w:line="500" w:lineRule="exact"/>
        <w:ind w:firstLine="482" w:firstLineChars="200"/>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1.组织线下活动</w:t>
      </w:r>
    </w:p>
    <w:p>
      <w:pPr>
        <w:spacing w:line="500" w:lineRule="exact"/>
        <w:ind w:firstLine="480" w:firstLineChars="200"/>
        <w:rPr>
          <w:rFonts w:hint="default"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在绍兴万达广场(绍兴市柯桥区钱陶公路799号)户外广场开展“福彩悦万家·一起快乐8”系列活动，需在现场进行针对“快乐8”品牌宣传的主题布展搭建和主题摊位展示，并举办三场活动。要求其中一场活动中包含汉服巡游人员不少于10人，一场演艺节目中包含定制魔术环节。投标人需提供具体营销策划方案和执行方案，并配套相应的服务，包含但不限于现场布展方案、文艺表演及舞台搭建(含灯光、舞美等)方案、互动游戏及互动礼品、主持人和演艺人员等等。</w:t>
      </w:r>
    </w:p>
    <w:p>
      <w:pPr>
        <w:spacing w:line="500" w:lineRule="exact"/>
        <w:ind w:firstLine="482" w:firstLineChars="200"/>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2.宣传</w:t>
      </w:r>
    </w:p>
    <w:p>
      <w:pPr>
        <w:spacing w:line="500" w:lineRule="exact"/>
        <w:ind w:firstLine="480" w:firstLineChars="200"/>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根据活动方案，设计制作具有针对性的H5 1个，短视频1个，系列创意海报1张，活动宣传软文2篇，针对较大型活动的图片直播不少于2场，视频拍摄不少于2场，活动结束后，做好总结性宣传报道，短视频不少于1个、图文不少于1篇，在省市及主流媒体宣发。</w:t>
      </w:r>
    </w:p>
    <w:p>
      <w:pPr>
        <w:spacing w:line="500" w:lineRule="exact"/>
        <w:ind w:firstLine="482" w:firstLineChars="200"/>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三、服务期限</w:t>
      </w:r>
    </w:p>
    <w:p>
      <w:pPr>
        <w:spacing w:line="500" w:lineRule="exact"/>
        <w:ind w:firstLine="480" w:firstLineChars="200"/>
        <w:rPr>
          <w:rFonts w:hint="default"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合同签订后一个月内完成。</w:t>
      </w:r>
    </w:p>
    <w:p>
      <w:pPr>
        <w:spacing w:line="50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四</w:t>
      </w:r>
      <w:r>
        <w:rPr>
          <w:rFonts w:hint="eastAsia" w:ascii="仿宋_GB2312" w:hAnsi="仿宋_GB2312" w:eastAsia="仿宋_GB2312" w:cs="仿宋_GB2312"/>
          <w:b/>
          <w:bCs/>
          <w:color w:val="auto"/>
          <w:sz w:val="24"/>
          <w:highlight w:val="none"/>
        </w:rPr>
        <w:t>、付款方式</w:t>
      </w:r>
    </w:p>
    <w:p>
      <w:pPr>
        <w:spacing w:line="5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500" w:lineRule="exact"/>
        <w:ind w:firstLine="480" w:firstLineChars="200"/>
        <w:rPr>
          <w:rFonts w:ascii="仿宋_GB2312" w:hAnsi="仿宋_GB2312" w:eastAsia="仿宋_GB2312" w:cs="仿宋_GB2312"/>
          <w:color w:val="auto"/>
          <w:sz w:val="24"/>
          <w:highlight w:val="none"/>
        </w:rPr>
      </w:pPr>
    </w:p>
    <w:p>
      <w:pPr>
        <w:snapToGrid w:val="0"/>
        <w:spacing w:line="400" w:lineRule="exact"/>
        <w:ind w:firstLine="720" w:firstLineChars="300"/>
        <w:jc w:val="left"/>
        <w:rPr>
          <w:rFonts w:ascii="仿宋_GB2312" w:hAnsi="仿宋_GB2312" w:eastAsia="仿宋_GB2312" w:cs="仿宋_GB2312"/>
          <w:color w:val="auto"/>
          <w:sz w:val="24"/>
          <w:highlight w:val="none"/>
        </w:rPr>
      </w:pPr>
    </w:p>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pacing w:before="120" w:line="22" w:lineRule="atLeast"/>
        <w:rPr>
          <w:rFonts w:hAnsi="仿宋" w:cs="仿宋"/>
          <w:color w:val="auto"/>
          <w:szCs w:val="24"/>
          <w:highlight w:val="none"/>
        </w:rPr>
      </w:pPr>
    </w:p>
    <w:p>
      <w:pPr>
        <w:pStyle w:val="310"/>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22967"/>
      <w:bookmarkStart w:id="12" w:name="_Toc20421"/>
      <w:bookmarkStart w:id="13" w:name="_Toc28855"/>
      <w:bookmarkStart w:id="14" w:name="_Toc15367"/>
      <w:bookmarkStart w:id="15" w:name="_Toc19273"/>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22185"/>
      <w:bookmarkStart w:id="17" w:name="_Toc2918"/>
      <w:bookmarkStart w:id="18" w:name="_Toc6773"/>
      <w:bookmarkStart w:id="19" w:name="_Toc18585"/>
      <w:bookmarkStart w:id="20" w:name="_Toc6311"/>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2"/>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21124"/>
      <w:bookmarkStart w:id="22" w:name="_Toc1386"/>
      <w:bookmarkStart w:id="23" w:name="_Toc13918"/>
      <w:bookmarkStart w:id="24" w:name="_Toc5635"/>
      <w:bookmarkStart w:id="25" w:name="_Toc4929"/>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26916"/>
      <w:bookmarkStart w:id="27" w:name="_Toc14993"/>
      <w:bookmarkStart w:id="28" w:name="_Toc30158"/>
      <w:bookmarkStart w:id="29" w:name="_Toc30506"/>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2"/>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0340"/>
      <w:bookmarkStart w:id="32" w:name="_Toc1814"/>
      <w:bookmarkStart w:id="33" w:name="_Toc22618"/>
      <w:bookmarkStart w:id="34" w:name="_Toc3625"/>
      <w:bookmarkStart w:id="35" w:name="_Toc11108"/>
      <w:bookmarkStart w:id="36" w:name="_Toc4760"/>
      <w:bookmarkStart w:id="37" w:name="_Toc8772"/>
      <w:bookmarkStart w:id="38" w:name="_Toc31421"/>
      <w:r>
        <w:rPr>
          <w:rFonts w:hint="eastAsia" w:ascii="仿宋_GB2312" w:hAnsi="仿宋" w:eastAsia="仿宋_GB2312" w:cs="仿宋"/>
          <w:b/>
          <w:color w:val="auto"/>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3079"/>
      <w:bookmarkStart w:id="40" w:name="_Toc2375"/>
      <w:bookmarkStart w:id="41" w:name="_Toc8586"/>
      <w:bookmarkStart w:id="42" w:name="_Toc5698"/>
      <w:bookmarkStart w:id="43" w:name="_Toc24662"/>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26807"/>
      <w:bookmarkStart w:id="45" w:name="_Toc18683"/>
      <w:bookmarkStart w:id="46" w:name="_Toc30329"/>
      <w:bookmarkStart w:id="47" w:name="_Toc32454"/>
      <w:bookmarkStart w:id="48" w:name="_Toc949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16021"/>
      <w:bookmarkStart w:id="50" w:name="_Toc28375"/>
      <w:bookmarkStart w:id="51" w:name="_Toc15583"/>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2" w:name="_Toc11173"/>
      <w:bookmarkStart w:id="53" w:name="_Toc7245"/>
      <w:bookmarkStart w:id="54" w:name="_Toc15322"/>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31297"/>
      <w:bookmarkStart w:id="56" w:name="_Toc5228"/>
      <w:bookmarkStart w:id="57" w:name="_Toc14021"/>
      <w:bookmarkStart w:id="58" w:name="_Toc19680"/>
      <w:bookmarkStart w:id="59" w:name="_Toc25079"/>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3769"/>
      <w:bookmarkStart w:id="61" w:name="_Toc16752"/>
      <w:bookmarkStart w:id="62" w:name="_Toc19539"/>
      <w:bookmarkStart w:id="63" w:name="_Toc31402"/>
      <w:bookmarkStart w:id="64" w:name="_Toc2328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12412"/>
      <w:bookmarkStart w:id="66" w:name="_Toc4133"/>
      <w:bookmarkStart w:id="67" w:name="_Toc9161"/>
      <w:bookmarkStart w:id="68" w:name="_Toc13673"/>
      <w:bookmarkStart w:id="69" w:name="_Toc27945"/>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31233"/>
      <w:bookmarkStart w:id="71" w:name="_Toc26555"/>
      <w:bookmarkStart w:id="72" w:name="_Toc15447"/>
      <w:bookmarkStart w:id="73" w:name="_Toc32670"/>
      <w:bookmarkStart w:id="74" w:name="_Toc22011"/>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16163"/>
      <w:bookmarkStart w:id="76" w:name="_Toc13154"/>
      <w:bookmarkStart w:id="77" w:name="_Toc30507"/>
      <w:bookmarkStart w:id="78" w:name="_Toc18990"/>
      <w:bookmarkStart w:id="79" w:name="_Toc13467"/>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3368"/>
      <w:bookmarkStart w:id="84" w:name="_Toc26689"/>
      <w:bookmarkStart w:id="85" w:name="_Toc42"/>
      <w:bookmarkStart w:id="86" w:name="_Toc21830"/>
      <w:bookmarkStart w:id="87" w:name="_Toc10663"/>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25571"/>
      <w:bookmarkStart w:id="89" w:name="_Toc26633"/>
      <w:bookmarkStart w:id="90" w:name="_Toc32494"/>
      <w:bookmarkStart w:id="91" w:name="_Toc4720"/>
      <w:bookmarkStart w:id="92" w:name="_Toc143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14115"/>
      <w:bookmarkStart w:id="94" w:name="_Toc23854"/>
      <w:bookmarkStart w:id="95" w:name="_Toc25783"/>
      <w:bookmarkStart w:id="96" w:name="_Toc24465"/>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25525"/>
      <w:bookmarkStart w:id="99" w:name="_Toc7315"/>
      <w:bookmarkStart w:id="100" w:name="_Toc26883"/>
      <w:bookmarkStart w:id="101" w:name="_Toc14814"/>
      <w:bookmarkStart w:id="102" w:name="_Toc3010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1123"/>
      <w:bookmarkStart w:id="104" w:name="_Toc2016"/>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4525"/>
      <w:bookmarkStart w:id="107" w:name="_Toc17363"/>
      <w:bookmarkStart w:id="108" w:name="_Toc1969"/>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31892"/>
      <w:bookmarkStart w:id="110" w:name="_Toc2308"/>
      <w:bookmarkStart w:id="111" w:name="_Toc25198"/>
      <w:bookmarkStart w:id="112" w:name="_Toc12666"/>
      <w:bookmarkStart w:id="113" w:name="_Toc980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20808"/>
      <w:bookmarkStart w:id="117" w:name="_Toc28906"/>
      <w:bookmarkStart w:id="118" w:name="_Toc5063"/>
      <w:bookmarkStart w:id="119" w:name="_Toc27644"/>
      <w:bookmarkStart w:id="120" w:name="_Toc12254"/>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4355"/>
      <w:bookmarkStart w:id="122" w:name="_Toc18540"/>
      <w:bookmarkStart w:id="123" w:name="_Toc30599"/>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487900373"/>
      <w:bookmarkStart w:id="125" w:name="_Toc259093692"/>
      <w:bookmarkStart w:id="126" w:name="_Toc10330"/>
      <w:bookmarkStart w:id="127" w:name="_Toc18567"/>
      <w:bookmarkStart w:id="128" w:name="_Toc279701263"/>
      <w:bookmarkStart w:id="129" w:name="_Toc127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pPr>
              <w:spacing w:line="360" w:lineRule="auto"/>
              <w:rPr>
                <w:rFonts w:ascii="仿宋_GB2312" w:hAnsi="仿宋" w:eastAsia="仿宋_GB2312" w:cs="仿宋"/>
                <w:color w:val="auto"/>
                <w:sz w:val="24"/>
                <w:highlight w:val="none"/>
              </w:rPr>
            </w:pPr>
          </w:p>
        </w:tc>
      </w:tr>
    </w:tbl>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rPr>
          <w:color w:val="auto"/>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3"/>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65"/>
        <w:gridCol w:w="6420"/>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77" w:type="dxa"/>
            <w:shd w:val="clear" w:color="auto" w:fill="8DB3E2" w:themeFill="text2" w:themeFillTint="66"/>
            <w:vAlign w:val="center"/>
          </w:tcPr>
          <w:p>
            <w:pPr>
              <w:widowControl/>
              <w:spacing w:line="3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序号</w:t>
            </w:r>
          </w:p>
        </w:tc>
        <w:tc>
          <w:tcPr>
            <w:tcW w:w="1365" w:type="dxa"/>
            <w:shd w:val="clear" w:color="auto" w:fill="8DB3E2" w:themeFill="text2" w:themeFillTint="66"/>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420" w:type="dxa"/>
            <w:shd w:val="clear" w:color="auto" w:fill="8DB3E2" w:themeFill="text2" w:themeFillTint="66"/>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w:t>
            </w:r>
          </w:p>
        </w:tc>
        <w:tc>
          <w:tcPr>
            <w:tcW w:w="896" w:type="dxa"/>
            <w:shd w:val="clear" w:color="auto" w:fill="8DB3E2" w:themeFill="text2" w:themeFillTint="66"/>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365" w:type="dxa"/>
            <w:vAlign w:val="center"/>
          </w:tcPr>
          <w:p>
            <w:pPr>
              <w:widowControl/>
              <w:spacing w:line="3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类似业绩</w:t>
            </w:r>
          </w:p>
        </w:tc>
        <w:tc>
          <w:tcPr>
            <w:tcW w:w="6420" w:type="dxa"/>
            <w:vAlign w:val="center"/>
          </w:tcPr>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投标人自2021年1月1日以来，</w:t>
            </w:r>
            <w:r>
              <w:rPr>
                <w:rFonts w:hint="eastAsia" w:ascii="仿宋" w:hAnsi="仿宋" w:eastAsia="仿宋" w:cs="仿宋"/>
                <w:color w:val="auto"/>
                <w:sz w:val="24"/>
                <w:szCs w:val="24"/>
                <w:highlight w:val="none"/>
                <w:lang w:val="en-US" w:eastAsia="zh-CN"/>
              </w:rPr>
              <w:t>完成过</w:t>
            </w:r>
            <w:r>
              <w:rPr>
                <w:rFonts w:hint="eastAsia" w:ascii="仿宋" w:hAnsi="仿宋" w:eastAsia="仿宋" w:cs="仿宋"/>
                <w:color w:val="auto"/>
                <w:sz w:val="24"/>
                <w:szCs w:val="24"/>
                <w:highlight w:val="none"/>
              </w:rPr>
              <w:t>同类项目业绩经验，每提供一项业绩得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注：投标文件中提供合同复印件加盖单位公章，未提供不得分。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pPr>
              <w:widowControl/>
              <w:spacing w:line="3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65" w:type="dxa"/>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服务方案</w:t>
            </w:r>
          </w:p>
        </w:tc>
        <w:tc>
          <w:tcPr>
            <w:tcW w:w="6420" w:type="dxa"/>
            <w:vAlign w:val="center"/>
          </w:tcPr>
          <w:p>
            <w:pPr>
              <w:widowControl/>
              <w:spacing w:line="340" w:lineRule="exact"/>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投标人针对本项目的整体服务方案，以及项目重难点分析和相应解决方案：</w:t>
            </w:r>
          </w:p>
          <w:p>
            <w:pPr>
              <w:widowControl/>
              <w:spacing w:line="34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方案内容详实，逻辑缜密，具有针对性，可实施性强，且对本项目提出的工作重难点分析合理，解决方案有针对性的得</w:t>
            </w:r>
            <w:r>
              <w:rPr>
                <w:rFonts w:hint="eastAsia" w:ascii="仿宋" w:hAnsi="仿宋" w:eastAsia="仿宋" w:cs="仿宋"/>
                <w:color w:val="auto"/>
                <w:sz w:val="24"/>
                <w:szCs w:val="24"/>
                <w:highlight w:val="none"/>
                <w:lang w:val="en-US" w:eastAsia="zh-CN"/>
              </w:rPr>
              <w:t>9.1-14</w:t>
            </w:r>
            <w:r>
              <w:rPr>
                <w:rFonts w:hint="eastAsia" w:ascii="仿宋" w:hAnsi="仿宋" w:eastAsia="仿宋" w:cs="仿宋"/>
                <w:color w:val="auto"/>
                <w:sz w:val="24"/>
                <w:szCs w:val="24"/>
                <w:highlight w:val="none"/>
              </w:rPr>
              <w:t>分；</w:t>
            </w:r>
          </w:p>
          <w:p>
            <w:pPr>
              <w:widowControl/>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方案内容较详实，基本能符合采购需要，针对性，可实施性一般，且对本项目提出的工作重难点分析较为到位，解决方案针对性一般的得</w:t>
            </w:r>
            <w:r>
              <w:rPr>
                <w:rFonts w:hint="eastAsia" w:ascii="仿宋" w:hAnsi="仿宋" w:eastAsia="仿宋" w:cs="仿宋"/>
                <w:color w:val="auto"/>
                <w:sz w:val="24"/>
                <w:szCs w:val="24"/>
                <w:highlight w:val="none"/>
                <w:lang w:val="en-US" w:eastAsia="zh-CN"/>
              </w:rPr>
              <w:t>4.1-9</w:t>
            </w:r>
            <w:r>
              <w:rPr>
                <w:rFonts w:hint="eastAsia" w:ascii="仿宋" w:hAnsi="仿宋" w:eastAsia="仿宋" w:cs="仿宋"/>
                <w:color w:val="auto"/>
                <w:sz w:val="24"/>
                <w:szCs w:val="24"/>
                <w:highlight w:val="none"/>
              </w:rPr>
              <w:t>分；</w:t>
            </w:r>
          </w:p>
          <w:p>
            <w:pPr>
              <w:widowControl/>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方案内容详实度较差，逻辑和针对性较差，可实施性存在缺陷，或对本项目提出的工作重难点分析存在缺陷，解决方案较差的得</w:t>
            </w:r>
            <w:r>
              <w:rPr>
                <w:rFonts w:hint="eastAsia" w:ascii="仿宋" w:hAnsi="仿宋" w:eastAsia="仿宋" w:cs="仿宋"/>
                <w:color w:val="auto"/>
                <w:sz w:val="24"/>
                <w:szCs w:val="24"/>
                <w:highlight w:val="none"/>
                <w:lang w:val="en-US" w:eastAsia="zh-CN"/>
              </w:rPr>
              <w:t>0.1-4</w:t>
            </w:r>
            <w:r>
              <w:rPr>
                <w:rFonts w:hint="eastAsia" w:ascii="仿宋" w:hAnsi="仿宋" w:eastAsia="仿宋" w:cs="仿宋"/>
                <w:color w:val="auto"/>
                <w:sz w:val="24"/>
                <w:szCs w:val="24"/>
                <w:highlight w:val="none"/>
              </w:rPr>
              <w:t>分；</w:t>
            </w:r>
          </w:p>
          <w:p>
            <w:pPr>
              <w:widowControl/>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未提供相关描述不得分。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65" w:type="dxa"/>
            <w:vAlign w:val="center"/>
          </w:tcPr>
          <w:p>
            <w:pPr>
              <w:widowControl/>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设计方案</w:t>
            </w:r>
          </w:p>
        </w:tc>
        <w:tc>
          <w:tcPr>
            <w:tcW w:w="6420" w:type="dxa"/>
            <w:vAlign w:val="center"/>
          </w:tcPr>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投标人针对“福彩悦</w:t>
            </w:r>
            <w:r>
              <w:rPr>
                <w:rFonts w:hint="eastAsia" w:ascii="仿宋_GB2312" w:hAnsi="仿宋_GB2312" w:eastAsia="仿宋_GB2312" w:cs="仿宋_GB2312"/>
                <w:b w:val="0"/>
                <w:bCs w:val="0"/>
                <w:color w:val="auto"/>
                <w:sz w:val="24"/>
                <w:highlight w:val="none"/>
                <w:lang w:val="en-US" w:eastAsia="zh-CN"/>
              </w:rPr>
              <w:t>万家</w:t>
            </w:r>
            <w:r>
              <w:rPr>
                <w:rFonts w:hint="eastAsia" w:ascii="仿宋" w:hAnsi="仿宋" w:eastAsia="仿宋" w:cs="仿宋"/>
                <w:b/>
                <w:bCs/>
                <w:color w:val="auto"/>
                <w:sz w:val="24"/>
                <w:szCs w:val="24"/>
                <w:highlight w:val="none"/>
              </w:rPr>
              <w:t>·一起快乐8”整体活动的初步设计方案包括主题LOGO、创意海报、H5等宣传物料及现场美陈方案、主题摊位方案和舞台搭建方案：</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1.设计内容主题突出明确，具有创意性、与活动内容匹配，具有针对性，完全满足需求且实施风险保障充足的得</w:t>
            </w:r>
            <w:r>
              <w:rPr>
                <w:rFonts w:hint="eastAsia" w:ascii="仿宋" w:hAnsi="仿宋" w:eastAsia="仿宋" w:cs="仿宋"/>
                <w:color w:val="auto"/>
                <w:sz w:val="24"/>
                <w:szCs w:val="24"/>
                <w:highlight w:val="none"/>
                <w:lang w:val="en-US" w:eastAsia="zh-CN"/>
              </w:rPr>
              <w:t>10.1-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2.设计内容主题明确，创意性一般、与活动内容较匹配，针对性一般，基本满足需求且实施风险保障措施一般的得</w:t>
            </w:r>
            <w:r>
              <w:rPr>
                <w:rFonts w:hint="eastAsia" w:ascii="仿宋" w:hAnsi="仿宋" w:eastAsia="仿宋" w:cs="仿宋"/>
                <w:color w:val="auto"/>
                <w:sz w:val="24"/>
                <w:szCs w:val="24"/>
                <w:highlight w:val="none"/>
                <w:lang w:val="en-US" w:eastAsia="zh-CN"/>
              </w:rPr>
              <w:t>4.1-10</w:t>
            </w:r>
            <w:bookmarkStart w:id="137" w:name="_GoBack"/>
            <w:bookmarkEnd w:id="137"/>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3.设计内容主题存在欠缺，创意性不足、与活动内容部分匹配，针对不足，部分满足需求且实施风险保障措施可行较差或适用性较差的得</w:t>
            </w:r>
            <w:r>
              <w:rPr>
                <w:rFonts w:hint="eastAsia" w:ascii="仿宋" w:hAnsi="仿宋" w:eastAsia="仿宋" w:cs="仿宋"/>
                <w:color w:val="auto"/>
                <w:sz w:val="24"/>
                <w:szCs w:val="24"/>
                <w:highlight w:val="none"/>
                <w:lang w:val="en-US" w:eastAsia="zh-CN"/>
              </w:rPr>
              <w:t>0.1-4</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4.未提供相关内容或不满足采购需求要求的不得分。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365" w:type="dxa"/>
            <w:vAlign w:val="center"/>
          </w:tcPr>
          <w:p>
            <w:pPr>
              <w:widowControl/>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演艺方案</w:t>
            </w:r>
          </w:p>
        </w:tc>
        <w:tc>
          <w:tcPr>
            <w:tcW w:w="6420" w:type="dxa"/>
            <w:vAlign w:val="center"/>
          </w:tcPr>
          <w:p>
            <w:pPr>
              <w:widowControl/>
              <w:spacing w:line="3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投标人针对“福彩悦</w:t>
            </w:r>
            <w:r>
              <w:rPr>
                <w:rFonts w:hint="eastAsia" w:ascii="仿宋_GB2312" w:hAnsi="仿宋_GB2312" w:eastAsia="仿宋_GB2312" w:cs="仿宋_GB2312"/>
                <w:b w:val="0"/>
                <w:bCs w:val="0"/>
                <w:color w:val="auto"/>
                <w:sz w:val="24"/>
                <w:highlight w:val="none"/>
                <w:lang w:val="en-US" w:eastAsia="zh-CN"/>
              </w:rPr>
              <w:t>万</w:t>
            </w:r>
            <w:r>
              <w:rPr>
                <w:rFonts w:hint="eastAsia" w:ascii="仿宋" w:hAnsi="仿宋" w:eastAsia="仿宋" w:cs="仿宋"/>
                <w:b/>
                <w:bCs/>
                <w:color w:val="auto"/>
                <w:sz w:val="24"/>
                <w:szCs w:val="24"/>
                <w:highlight w:val="none"/>
              </w:rPr>
              <w:t>家·一起快乐8”活动中演艺人员、演艺节目及互动游戏能安排实施方案：</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1.主持人、演艺人员演艺经历非常丰富、演艺节目丰富，互动游戏趣味性较强的得</w:t>
            </w:r>
            <w:r>
              <w:rPr>
                <w:rFonts w:hint="eastAsia" w:ascii="仿宋" w:hAnsi="仿宋" w:eastAsia="仿宋" w:cs="仿宋"/>
                <w:color w:val="auto"/>
                <w:sz w:val="24"/>
                <w:szCs w:val="24"/>
                <w:highlight w:val="none"/>
                <w:lang w:val="en-US" w:eastAsia="zh-CN"/>
              </w:rPr>
              <w:t>7.1-10</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2.主持人、演艺人员演艺经历一般、演艺节目丰富度一般，互动游戏趣味性一般的得</w:t>
            </w:r>
            <w:r>
              <w:rPr>
                <w:rFonts w:hint="eastAsia" w:ascii="仿宋" w:hAnsi="仿宋" w:eastAsia="仿宋" w:cs="仿宋"/>
                <w:color w:val="auto"/>
                <w:sz w:val="24"/>
                <w:szCs w:val="24"/>
                <w:highlight w:val="none"/>
                <w:lang w:val="en-US" w:eastAsia="zh-CN"/>
              </w:rPr>
              <w:t>3.1-7</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3.主持人、演艺人员演艺经历较少、演艺节目丰富度较差，互动游戏趣味型较差的得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w:t>
            </w:r>
          </w:p>
          <w:p>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4.未提供主持人、演艺节目或互动游戏不得分。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65" w:type="dxa"/>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rPr>
              <w:t>应急预案</w:t>
            </w:r>
          </w:p>
        </w:tc>
        <w:tc>
          <w:tcPr>
            <w:tcW w:w="6420" w:type="dxa"/>
            <w:vAlign w:val="center"/>
          </w:tcPr>
          <w:p>
            <w:pPr>
              <w:pStyle w:val="23"/>
              <w:spacing w:line="34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rPr>
              <w:t>投标人遇突发事件时应急响应时效及对突发事件的应急预案</w:t>
            </w:r>
            <w:r>
              <w:rPr>
                <w:rFonts w:hint="eastAsia" w:ascii="仿宋" w:hAnsi="仿宋" w:eastAsia="仿宋" w:cs="仿宋"/>
                <w:b/>
                <w:bCs/>
                <w:color w:val="auto"/>
                <w:sz w:val="24"/>
                <w:szCs w:val="24"/>
                <w:highlight w:val="none"/>
                <w:lang w:val="en-US" w:eastAsia="zh-CN"/>
              </w:rPr>
              <w:t>：</w:t>
            </w:r>
          </w:p>
          <w:p>
            <w:pPr>
              <w:pStyle w:val="23"/>
              <w:spacing w:line="3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1.应急响应时效在半小时以内且突发事件的应急预案完善，实施风险保障措施充足的得</w:t>
            </w:r>
            <w:r>
              <w:rPr>
                <w:rFonts w:hint="eastAsia" w:ascii="仿宋" w:hAnsi="仿宋" w:eastAsia="仿宋" w:cs="仿宋"/>
                <w:color w:val="auto"/>
                <w:sz w:val="24"/>
                <w:szCs w:val="24"/>
                <w:highlight w:val="none"/>
                <w:lang w:val="en-US" w:eastAsia="zh-CN"/>
              </w:rPr>
              <w:t>:7.1-10</w:t>
            </w:r>
            <w:r>
              <w:rPr>
                <w:rFonts w:hint="eastAsia" w:ascii="仿宋" w:hAnsi="仿宋" w:eastAsia="仿宋" w:cs="仿宋"/>
                <w:color w:val="auto"/>
                <w:sz w:val="24"/>
                <w:szCs w:val="24"/>
                <w:highlight w:val="none"/>
                <w:lang w:val="en-US"/>
              </w:rPr>
              <w:t>分；</w:t>
            </w:r>
          </w:p>
          <w:p>
            <w:pPr>
              <w:pStyle w:val="23"/>
              <w:spacing w:line="3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2.应急响应时效在1小时以内且突发事件的应急预案、实施风险保障措施一般，基本满足采购需求的得</w:t>
            </w:r>
            <w:r>
              <w:rPr>
                <w:rFonts w:hint="eastAsia" w:ascii="仿宋" w:hAnsi="仿宋" w:eastAsia="仿宋" w:cs="仿宋"/>
                <w:color w:val="auto"/>
                <w:sz w:val="24"/>
                <w:szCs w:val="24"/>
                <w:highlight w:val="none"/>
                <w:lang w:val="en-US" w:eastAsia="zh-CN"/>
              </w:rPr>
              <w:t>3.1-7</w:t>
            </w:r>
            <w:r>
              <w:rPr>
                <w:rFonts w:hint="eastAsia" w:ascii="仿宋" w:hAnsi="仿宋" w:eastAsia="仿宋" w:cs="仿宋"/>
                <w:color w:val="auto"/>
                <w:sz w:val="24"/>
                <w:szCs w:val="24"/>
                <w:highlight w:val="none"/>
                <w:lang w:val="en-US"/>
              </w:rPr>
              <w:t>分；</w:t>
            </w:r>
          </w:p>
          <w:p>
            <w:pPr>
              <w:pStyle w:val="23"/>
              <w:spacing w:line="3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3.应急响应时效在2小时以内且突发事件的应急预案、实施风险保障措施略有欠缺或不到位的得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lang w:val="en-US"/>
              </w:rPr>
              <w:t>分；</w:t>
            </w:r>
          </w:p>
          <w:p>
            <w:pPr>
              <w:pStyle w:val="23"/>
              <w:spacing w:line="3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4.未提供相关内容或不满足采购需求要求的不得分。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365" w:type="dxa"/>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服务团队</w:t>
            </w:r>
          </w:p>
        </w:tc>
        <w:tc>
          <w:tcPr>
            <w:tcW w:w="6420" w:type="dxa"/>
            <w:vAlign w:val="center"/>
          </w:tcPr>
          <w:p>
            <w:pPr>
              <w:widowControl/>
              <w:spacing w:line="340" w:lineRule="exact"/>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拟投入本项目的项目团队的类似项目经验，资源调配能力、项目协调能力和执行能力等。</w:t>
            </w:r>
          </w:p>
          <w:p>
            <w:pPr>
              <w:widowControl/>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1.项目团队具有充足的类似项目经验、对项目的资源调配、项目协调等能力强、执行能力强的得</w:t>
            </w:r>
            <w:r>
              <w:rPr>
                <w:rFonts w:hint="eastAsia" w:ascii="仿宋" w:hAnsi="仿宋" w:eastAsia="仿宋" w:cs="仿宋"/>
                <w:color w:val="auto"/>
                <w:sz w:val="24"/>
                <w:szCs w:val="24"/>
                <w:highlight w:val="none"/>
                <w:lang w:val="en-US" w:eastAsia="zh-CN"/>
              </w:rPr>
              <w:t>7.1-10</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2.项目团队具有较少的类似项目经验、对项目的资源调配、项目协调等能力一般、执行能力一般的得</w:t>
            </w:r>
            <w:r>
              <w:rPr>
                <w:rFonts w:hint="eastAsia" w:ascii="仿宋" w:hAnsi="仿宋" w:eastAsia="仿宋" w:cs="仿宋"/>
                <w:color w:val="auto"/>
                <w:sz w:val="24"/>
                <w:szCs w:val="24"/>
                <w:highlight w:val="none"/>
                <w:lang w:val="en-US" w:eastAsia="zh-CN"/>
              </w:rPr>
              <w:t>3.1-7</w:t>
            </w:r>
            <w:r>
              <w:rPr>
                <w:rFonts w:hint="eastAsia" w:ascii="仿宋" w:hAnsi="仿宋" w:eastAsia="仿宋" w:cs="仿宋"/>
                <w:color w:val="auto"/>
                <w:sz w:val="24"/>
                <w:szCs w:val="24"/>
                <w:highlight w:val="none"/>
              </w:rPr>
              <w:t>分。</w:t>
            </w:r>
          </w:p>
          <w:p>
            <w:pPr>
              <w:widowControl/>
              <w:spacing w:line="3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3.项目团队未有类似项目经验、对项目的资源调配、项目协调等能力差的得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4.未提供不得分。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365" w:type="dxa"/>
            <w:vAlign w:val="center"/>
          </w:tcPr>
          <w:p>
            <w:pPr>
              <w:widowControl/>
              <w:spacing w:line="3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售后方案</w:t>
            </w:r>
          </w:p>
        </w:tc>
        <w:tc>
          <w:tcPr>
            <w:tcW w:w="6420" w:type="dxa"/>
            <w:vAlign w:val="center"/>
          </w:tcPr>
          <w:p>
            <w:pPr>
              <w:widowControl/>
              <w:spacing w:line="340" w:lineRule="exact"/>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投标人提供的售后服务计划及方案，包括不仅限于活动现场清理、人员清退、设备安全撤离等。</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.售后内容方案完整、活动清场安排合理的得</w:t>
            </w:r>
            <w:r>
              <w:rPr>
                <w:rFonts w:hint="eastAsia" w:ascii="仿宋" w:hAnsi="仿宋" w:eastAsia="仿宋" w:cs="仿宋"/>
                <w:color w:val="auto"/>
                <w:sz w:val="24"/>
                <w:szCs w:val="24"/>
                <w:highlight w:val="none"/>
                <w:lang w:val="en-US" w:eastAsia="zh-CN"/>
              </w:rPr>
              <w:t>4.1-5</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.售后方案内容基本满足需求的得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.售后服务描述简单的得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.未提供相关内容或不满足采购需求要求的不得分。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7"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365"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其他方案</w:t>
            </w:r>
          </w:p>
        </w:tc>
        <w:tc>
          <w:tcPr>
            <w:tcW w:w="6420" w:type="dxa"/>
            <w:vAlign w:val="center"/>
          </w:tcPr>
          <w:p>
            <w:pPr>
              <w:widowControl/>
              <w:spacing w:line="340" w:lineRule="exact"/>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投标人可提供与项目相关的创意、设计制作内容：</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.其他服务内容具有创意性、设计制作符合采购人适用需求的得</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.其他服务内容基本满足采购人需求的得</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.其他服务内容较差的得</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分。</w:t>
            </w:r>
          </w:p>
          <w:p>
            <w:pPr>
              <w:widowControl/>
              <w:spacing w:line="340" w:lineRule="exact"/>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.未提供相关内容或不满足采购需求要求的不得分。</w:t>
            </w:r>
          </w:p>
        </w:tc>
        <w:tc>
          <w:tcPr>
            <w:tcW w:w="896" w:type="dxa"/>
            <w:vAlign w:val="center"/>
          </w:tcPr>
          <w:p>
            <w:pPr>
              <w:widowControl/>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color w:val="auto"/>
          <w:sz w:val="36"/>
          <w:szCs w:val="20"/>
          <w:highlight w:val="none"/>
          <w:lang w:val="en-US"/>
        </w:rPr>
      </w:pPr>
      <w:r>
        <w:rPr>
          <w:rFonts w:hint="eastAsia" w:ascii="仿宋_GB2312" w:hAnsi="宋体" w:eastAsia="仿宋_GB2312"/>
          <w:bCs/>
          <w:iCs/>
          <w:color w:val="auto"/>
          <w:sz w:val="24"/>
          <w:highlight w:val="none"/>
        </w:rPr>
        <w:t>即：投标报价得分=(评标基准价／投标报价)×</w:t>
      </w:r>
      <w:bookmarkEnd w:id="5"/>
      <w:bookmarkEnd w:id="6"/>
      <w:bookmarkEnd w:id="7"/>
      <w:bookmarkEnd w:id="8"/>
      <w:r>
        <w:rPr>
          <w:rFonts w:hint="eastAsia" w:ascii="仿宋_GB2312" w:hAnsi="宋体" w:eastAsia="仿宋_GB2312"/>
          <w:bCs/>
          <w:iCs/>
          <w:color w:val="auto"/>
          <w:sz w:val="24"/>
          <w:highlight w:val="none"/>
          <w:lang w:val="en-US" w:eastAsia="zh-CN"/>
        </w:rPr>
        <w:t>30</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en-US" w:eastAsia="zh-CN"/>
        </w:rPr>
        <w:t>绍兴市福利彩票发行中心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浙江华夏工程管理有限公司</w:t>
      </w:r>
      <w:r>
        <w:rPr>
          <w:rFonts w:hint="eastAsia" w:ascii="仿宋_GB2312" w:hAnsi="仿宋" w:eastAsia="仿宋_GB2312" w:cs="仿宋"/>
          <w:color w:val="auto"/>
          <w:sz w:val="24"/>
          <w:highlight w:val="none"/>
        </w:rPr>
        <w:t>：</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val="en-US" w:eastAsia="zh-CN"/>
        </w:rPr>
        <w:t>2024年绍兴福彩“福彩悦</w:t>
      </w:r>
      <w:r>
        <w:rPr>
          <w:rFonts w:hint="eastAsia" w:ascii="仿宋_GB2312" w:hAnsi="仿宋_GB2312" w:eastAsia="仿宋_GB2312" w:cs="仿宋_GB2312"/>
          <w:b w:val="0"/>
          <w:bCs w:val="0"/>
          <w:color w:val="auto"/>
          <w:sz w:val="24"/>
          <w:highlight w:val="none"/>
          <w:lang w:val="en-US" w:eastAsia="zh-CN"/>
        </w:rPr>
        <w:t>万</w:t>
      </w:r>
      <w:r>
        <w:rPr>
          <w:rFonts w:hint="eastAsia" w:ascii="仿宋_GB2312" w:hAnsi="仿宋" w:eastAsia="仿宋_GB2312" w:cs="仿宋"/>
          <w:color w:val="auto"/>
          <w:sz w:val="24"/>
          <w:highlight w:val="none"/>
          <w:lang w:val="en-US" w:eastAsia="zh-CN"/>
        </w:rPr>
        <w:t>家·一起快乐8”活动服务项目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HX2024-04-01</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hint="default" w:ascii="仿宋_GB2312" w:hAnsi="仿宋" w:eastAsia="仿宋_GB2312" w:cs="仿宋"/>
          <w:color w:val="auto"/>
          <w:szCs w:val="24"/>
          <w:highlight w:val="none"/>
          <w:lang w:val="en-US"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val="en-US" w:eastAsia="zh-CN"/>
        </w:rPr>
        <w:t>绍兴市福利彩票发行中心</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val="en-US" w:eastAsia="zh-CN"/>
        </w:rPr>
        <w:t>浙江华夏工程管理有限公司</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val="en-US" w:eastAsia="zh-CN"/>
        </w:rPr>
        <w:t>绍兴市福利彩票发行中心</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浙江华夏工程管理有限公司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val="en-US" w:eastAsia="zh-CN"/>
        </w:rPr>
        <w:t>2024年绍兴福彩“福彩悦</w:t>
      </w:r>
      <w:r>
        <w:rPr>
          <w:rFonts w:hint="eastAsia" w:ascii="仿宋_GB2312" w:hAnsi="仿宋_GB2312" w:eastAsia="仿宋_GB2312" w:cs="仿宋_GB2312"/>
          <w:b w:val="0"/>
          <w:bCs w:val="0"/>
          <w:color w:val="auto"/>
          <w:sz w:val="24"/>
          <w:highlight w:val="none"/>
          <w:lang w:val="en-US" w:eastAsia="zh-CN"/>
        </w:rPr>
        <w:t>万</w:t>
      </w:r>
      <w:r>
        <w:rPr>
          <w:rFonts w:hint="eastAsia" w:ascii="仿宋_GB2312" w:hAnsi="仿宋" w:eastAsia="仿宋_GB2312" w:cs="仿宋"/>
          <w:color w:val="auto"/>
          <w:sz w:val="24"/>
          <w:highlight w:val="none"/>
          <w:u w:val="single"/>
          <w:lang w:val="en-US" w:eastAsia="zh-CN"/>
        </w:rPr>
        <w:t>家·一起快乐8”活动服务项目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HX2024-04-01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绍兴市福利彩票发行中心</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浙江华夏工程管理有限公司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val="en-US" w:eastAsia="zh-CN"/>
        </w:rPr>
        <w:t>2024年绍兴福彩“福彩悦</w:t>
      </w:r>
      <w:r>
        <w:rPr>
          <w:rFonts w:hint="eastAsia" w:ascii="仿宋_GB2312" w:hAnsi="仿宋_GB2312" w:eastAsia="仿宋_GB2312" w:cs="仿宋_GB2312"/>
          <w:b w:val="0"/>
          <w:bCs w:val="0"/>
          <w:color w:val="auto"/>
          <w:sz w:val="24"/>
          <w:highlight w:val="none"/>
          <w:u w:val="single"/>
          <w:lang w:val="en-US" w:eastAsia="zh-CN"/>
        </w:rPr>
        <w:t>万</w:t>
      </w:r>
      <w:r>
        <w:rPr>
          <w:rFonts w:hint="eastAsia" w:ascii="仿宋_GB2312" w:hAnsi="仿宋" w:eastAsia="仿宋_GB2312" w:cs="仿宋"/>
          <w:color w:val="auto"/>
          <w:sz w:val="24"/>
          <w:highlight w:val="none"/>
          <w:u w:val="single"/>
          <w:lang w:val="en-US" w:eastAsia="zh-CN"/>
        </w:rPr>
        <w:t>家·一起快乐8”活动服务项目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HX2024-04-01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val="en-US" w:eastAsia="zh-CN"/>
        </w:rPr>
        <w:t>绍兴市福利彩票发行中心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none"/>
          <w:lang w:val="en-US" w:eastAsia="zh-CN"/>
        </w:rPr>
        <w:t>浙江华夏工程管理有限公司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1.95pt;width:440.7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rPr>
          <w:rFonts w:ascii="仿宋_GB2312" w:eastAsia="仿宋_GB2312"/>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val="en-US" w:eastAsia="zh-CN"/>
        </w:rPr>
        <w:t>绍兴市福利彩票发行中心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浙江华夏工程管理有限公司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kern w:val="0"/>
          <w:sz w:val="24"/>
          <w:highlight w:val="none"/>
          <w:lang w:val="en-US" w:eastAsia="zh-CN"/>
        </w:rPr>
        <w:t>2024年绍兴福彩“福彩悦</w:t>
      </w:r>
      <w:r>
        <w:rPr>
          <w:rFonts w:hint="eastAsia" w:ascii="仿宋_GB2312" w:hAnsi="仿宋_GB2312" w:eastAsia="仿宋_GB2312" w:cs="仿宋_GB2312"/>
          <w:b w:val="0"/>
          <w:bCs w:val="0"/>
          <w:color w:val="auto"/>
          <w:sz w:val="24"/>
          <w:highlight w:val="none"/>
          <w:lang w:val="en-US" w:eastAsia="zh-CN"/>
        </w:rPr>
        <w:t>万</w:t>
      </w:r>
      <w:r>
        <w:rPr>
          <w:rFonts w:hint="eastAsia" w:ascii="仿宋_GB2312" w:hAnsi="仿宋" w:eastAsia="仿宋_GB2312" w:cs="仿宋"/>
          <w:color w:val="auto"/>
          <w:kern w:val="0"/>
          <w:sz w:val="24"/>
          <w:highlight w:val="none"/>
          <w:lang w:val="en-US" w:eastAsia="zh-CN"/>
        </w:rPr>
        <w:t>家·一起快乐8”活动服务项目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HX2024-04-01</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141"/>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141"/>
        <w:rPr>
          <w:rFonts w:ascii="仿宋_GB2312" w:eastAsia="仿宋_GB2312"/>
          <w:color w:val="auto"/>
          <w:highlight w:val="none"/>
        </w:rPr>
      </w:pPr>
    </w:p>
    <w:p>
      <w:pPr>
        <w:pStyle w:val="141"/>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141"/>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141"/>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141"/>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MGMxMmY3MGYyNGMyN2Y0ZmUyZDNhNTczNmIyMjk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76349"/>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67B96"/>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393F"/>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50F1"/>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4E7C"/>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DD59FB"/>
    <w:rsid w:val="01F64144"/>
    <w:rsid w:val="026F730A"/>
    <w:rsid w:val="02ED18A8"/>
    <w:rsid w:val="03A92378"/>
    <w:rsid w:val="051060E7"/>
    <w:rsid w:val="055406CA"/>
    <w:rsid w:val="06347AD6"/>
    <w:rsid w:val="09A6269E"/>
    <w:rsid w:val="0A482098"/>
    <w:rsid w:val="0BB66081"/>
    <w:rsid w:val="0C2B57F6"/>
    <w:rsid w:val="0CCC0614"/>
    <w:rsid w:val="0E7476E7"/>
    <w:rsid w:val="0EBB4589"/>
    <w:rsid w:val="0EC73CBB"/>
    <w:rsid w:val="0EE3661B"/>
    <w:rsid w:val="0FBC7598"/>
    <w:rsid w:val="0FFE7537"/>
    <w:rsid w:val="10E13271"/>
    <w:rsid w:val="12673BDD"/>
    <w:rsid w:val="129858A3"/>
    <w:rsid w:val="12A86819"/>
    <w:rsid w:val="12E77EAF"/>
    <w:rsid w:val="132A7240"/>
    <w:rsid w:val="13AD33B6"/>
    <w:rsid w:val="13CB1FFC"/>
    <w:rsid w:val="14FB4CF0"/>
    <w:rsid w:val="156A779B"/>
    <w:rsid w:val="159708AD"/>
    <w:rsid w:val="16097B00"/>
    <w:rsid w:val="16610A3D"/>
    <w:rsid w:val="16FD2A66"/>
    <w:rsid w:val="171A4BA4"/>
    <w:rsid w:val="17740758"/>
    <w:rsid w:val="18367504"/>
    <w:rsid w:val="18511BCA"/>
    <w:rsid w:val="19A84266"/>
    <w:rsid w:val="1A3507AD"/>
    <w:rsid w:val="1A9A4575"/>
    <w:rsid w:val="1B5F479E"/>
    <w:rsid w:val="1C1B6A4E"/>
    <w:rsid w:val="1C630679"/>
    <w:rsid w:val="1C963481"/>
    <w:rsid w:val="1D2E539D"/>
    <w:rsid w:val="1D870BA9"/>
    <w:rsid w:val="1D9A657D"/>
    <w:rsid w:val="1E7A5314"/>
    <w:rsid w:val="1F447822"/>
    <w:rsid w:val="1F783D50"/>
    <w:rsid w:val="20343288"/>
    <w:rsid w:val="20DC375B"/>
    <w:rsid w:val="20E96F35"/>
    <w:rsid w:val="216A11D9"/>
    <w:rsid w:val="237F5946"/>
    <w:rsid w:val="23AD2E0D"/>
    <w:rsid w:val="23C36A3B"/>
    <w:rsid w:val="24160A64"/>
    <w:rsid w:val="24BE55D5"/>
    <w:rsid w:val="250A361A"/>
    <w:rsid w:val="26D3121C"/>
    <w:rsid w:val="27CF28C5"/>
    <w:rsid w:val="281403AA"/>
    <w:rsid w:val="281E3BF2"/>
    <w:rsid w:val="28AF15F0"/>
    <w:rsid w:val="28C05D8B"/>
    <w:rsid w:val="29BF2311"/>
    <w:rsid w:val="2B0648B2"/>
    <w:rsid w:val="2B710F04"/>
    <w:rsid w:val="2B7A20E1"/>
    <w:rsid w:val="2BCE6AC7"/>
    <w:rsid w:val="2D391008"/>
    <w:rsid w:val="2D3C2DC7"/>
    <w:rsid w:val="2D4D3C47"/>
    <w:rsid w:val="2EB17CF3"/>
    <w:rsid w:val="2EBC13E0"/>
    <w:rsid w:val="2F6C573A"/>
    <w:rsid w:val="2FAB7262"/>
    <w:rsid w:val="30FC723E"/>
    <w:rsid w:val="31E1616B"/>
    <w:rsid w:val="326775CE"/>
    <w:rsid w:val="326E6E94"/>
    <w:rsid w:val="331F385F"/>
    <w:rsid w:val="34242317"/>
    <w:rsid w:val="34C71A6F"/>
    <w:rsid w:val="351078BA"/>
    <w:rsid w:val="35A42DDB"/>
    <w:rsid w:val="37F12C1A"/>
    <w:rsid w:val="38176E9C"/>
    <w:rsid w:val="3864127A"/>
    <w:rsid w:val="38E10FE0"/>
    <w:rsid w:val="38EF6DE0"/>
    <w:rsid w:val="396B6014"/>
    <w:rsid w:val="39A8144C"/>
    <w:rsid w:val="3BEF62E9"/>
    <w:rsid w:val="3C592EDE"/>
    <w:rsid w:val="3E0F3843"/>
    <w:rsid w:val="3E1744A2"/>
    <w:rsid w:val="3FD63469"/>
    <w:rsid w:val="418F295E"/>
    <w:rsid w:val="41BB0BAE"/>
    <w:rsid w:val="43931164"/>
    <w:rsid w:val="43F23A54"/>
    <w:rsid w:val="44353810"/>
    <w:rsid w:val="44BE3836"/>
    <w:rsid w:val="456B1BC9"/>
    <w:rsid w:val="459375CB"/>
    <w:rsid w:val="48237E23"/>
    <w:rsid w:val="48F30A4A"/>
    <w:rsid w:val="4C011499"/>
    <w:rsid w:val="4D3A1468"/>
    <w:rsid w:val="4ED701A0"/>
    <w:rsid w:val="507206F5"/>
    <w:rsid w:val="50BC0786"/>
    <w:rsid w:val="512C581F"/>
    <w:rsid w:val="52324A13"/>
    <w:rsid w:val="52452EAA"/>
    <w:rsid w:val="53631DF7"/>
    <w:rsid w:val="538D2B0D"/>
    <w:rsid w:val="54671DEF"/>
    <w:rsid w:val="546E1CF8"/>
    <w:rsid w:val="55A13923"/>
    <w:rsid w:val="55A60A6E"/>
    <w:rsid w:val="568A1872"/>
    <w:rsid w:val="56E46059"/>
    <w:rsid w:val="570F2EAD"/>
    <w:rsid w:val="577F7DC9"/>
    <w:rsid w:val="581B26E1"/>
    <w:rsid w:val="58443516"/>
    <w:rsid w:val="58B36258"/>
    <w:rsid w:val="58EA122E"/>
    <w:rsid w:val="597561BA"/>
    <w:rsid w:val="59836DD3"/>
    <w:rsid w:val="598C7161"/>
    <w:rsid w:val="59A47C2D"/>
    <w:rsid w:val="5B784BE0"/>
    <w:rsid w:val="5C3D458D"/>
    <w:rsid w:val="5C7F34EE"/>
    <w:rsid w:val="5E001FA1"/>
    <w:rsid w:val="5F597854"/>
    <w:rsid w:val="60126884"/>
    <w:rsid w:val="620D7D01"/>
    <w:rsid w:val="62EA356D"/>
    <w:rsid w:val="63196CDE"/>
    <w:rsid w:val="632353B0"/>
    <w:rsid w:val="63E16B9C"/>
    <w:rsid w:val="65B25CA0"/>
    <w:rsid w:val="65EC58B4"/>
    <w:rsid w:val="65EE2DCE"/>
    <w:rsid w:val="666B5E4F"/>
    <w:rsid w:val="668075A8"/>
    <w:rsid w:val="68637E6E"/>
    <w:rsid w:val="69A56BA1"/>
    <w:rsid w:val="69AF6F45"/>
    <w:rsid w:val="69B965BF"/>
    <w:rsid w:val="6A286801"/>
    <w:rsid w:val="6AE6492D"/>
    <w:rsid w:val="6B1C1E0E"/>
    <w:rsid w:val="6B6D5621"/>
    <w:rsid w:val="714B6FA9"/>
    <w:rsid w:val="719A0F60"/>
    <w:rsid w:val="72503647"/>
    <w:rsid w:val="726910B7"/>
    <w:rsid w:val="72E87C49"/>
    <w:rsid w:val="73A12EB9"/>
    <w:rsid w:val="745E7A91"/>
    <w:rsid w:val="75273C7A"/>
    <w:rsid w:val="75E3156C"/>
    <w:rsid w:val="763A3561"/>
    <w:rsid w:val="766F48A1"/>
    <w:rsid w:val="780103C1"/>
    <w:rsid w:val="7B4103A5"/>
    <w:rsid w:val="7B541D2B"/>
    <w:rsid w:val="7BC039EC"/>
    <w:rsid w:val="7C23788B"/>
    <w:rsid w:val="7C702437"/>
    <w:rsid w:val="7D9C0AE9"/>
    <w:rsid w:val="7DCA64C0"/>
    <w:rsid w:val="7DFBB8BB"/>
    <w:rsid w:val="7FBC5C1E"/>
    <w:rsid w:val="7FD90EA6"/>
    <w:rsid w:val="7FE02FB2"/>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unhideWhenUsed/>
    <w:qFormat/>
    <w:uiPriority w:val="1"/>
  </w:style>
  <w:style w:type="table" w:default="1" w:styleId="63">
    <w:name w:val="Normal Table"/>
    <w:autoRedefine/>
    <w:unhideWhenUsed/>
    <w:qFormat/>
    <w:uiPriority w:val="99"/>
    <w:tblPr>
      <w:tblCellMar>
        <w:top w:w="0" w:type="dxa"/>
        <w:left w:w="108" w:type="dxa"/>
        <w:bottom w:w="0" w:type="dxa"/>
        <w:right w:w="108" w:type="dxa"/>
      </w:tblCellMar>
    </w:tblPr>
  </w:style>
  <w:style w:type="paragraph" w:styleId="5">
    <w:name w:val="Normal Indent"/>
    <w:basedOn w:val="1"/>
    <w:next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8"/>
    <w:autoRedefine/>
    <w:qFormat/>
    <w:uiPriority w:val="0"/>
    <w:pPr>
      <w:shd w:val="clear" w:color="auto" w:fill="000080"/>
    </w:pPr>
  </w:style>
  <w:style w:type="paragraph" w:styleId="19">
    <w:name w:val="annotation text"/>
    <w:basedOn w:val="1"/>
    <w:link w:val="99"/>
    <w:autoRedefine/>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link w:val="93"/>
    <w:autoRedefine/>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next w:val="5"/>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7"/>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8"/>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autoRedefine/>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autoRedefine/>
    <w:qFormat/>
    <w:uiPriority w:val="0"/>
    <w:pPr>
      <w:widowControl/>
      <w:spacing w:afterLines="50"/>
    </w:pPr>
    <w:rPr>
      <w:b/>
      <w:bCs/>
      <w:kern w:val="0"/>
      <w:sz w:val="24"/>
      <w:szCs w:val="20"/>
    </w:rPr>
  </w:style>
  <w:style w:type="paragraph" w:styleId="61">
    <w:name w:val="Body Text First Indent"/>
    <w:basedOn w:val="23"/>
    <w:next w:val="1"/>
    <w:link w:val="231"/>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2"/>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0"/>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0"/>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0"/>
    <w:rPr>
      <w:sz w:val="21"/>
      <w:szCs w:val="21"/>
    </w:rPr>
  </w:style>
  <w:style w:type="character" w:customStyle="1" w:styleId="80">
    <w:name w:val="标题 1 Char"/>
    <w:link w:val="2"/>
    <w:autoRedefine/>
    <w:qFormat/>
    <w:uiPriority w:val="0"/>
    <w:rPr>
      <w:rFonts w:eastAsia="仿宋_GB2312"/>
      <w:b/>
      <w:kern w:val="44"/>
      <w:sz w:val="44"/>
      <w:lang w:val="en-US" w:eastAsia="zh-CN" w:bidi="ar-SA"/>
    </w:rPr>
  </w:style>
  <w:style w:type="character" w:customStyle="1" w:styleId="81">
    <w:name w:val="正文缩进 Char"/>
    <w:link w:val="5"/>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Char"/>
    <w:link w:val="3"/>
    <w:autoRedefine/>
    <w:qFormat/>
    <w:uiPriority w:val="0"/>
    <w:rPr>
      <w:rFonts w:ascii="Arial" w:hAnsi="Arial" w:eastAsia="黑体"/>
      <w:b/>
      <w:kern w:val="2"/>
      <w:sz w:val="32"/>
      <w:lang w:val="en-US" w:eastAsia="zh-CN" w:bidi="ar-SA"/>
    </w:rPr>
  </w:style>
  <w:style w:type="character" w:customStyle="1" w:styleId="84">
    <w:name w:val="标题 3 Char"/>
    <w:link w:val="4"/>
    <w:autoRedefine/>
    <w:qFormat/>
    <w:uiPriority w:val="0"/>
    <w:rPr>
      <w:rFonts w:eastAsia="仿宋_GB2312"/>
      <w:b/>
      <w:kern w:val="2"/>
      <w:sz w:val="32"/>
      <w:lang w:val="en-US" w:eastAsia="zh-CN" w:bidi="ar-SA"/>
    </w:rPr>
  </w:style>
  <w:style w:type="character" w:customStyle="1" w:styleId="85">
    <w:name w:val="标题 4 Char1"/>
    <w:link w:val="6"/>
    <w:autoRedefine/>
    <w:qFormat/>
    <w:uiPriority w:val="0"/>
    <w:rPr>
      <w:rFonts w:ascii="Arial" w:hAnsi="Arial" w:eastAsia="黑体"/>
      <w:b/>
      <w:kern w:val="2"/>
      <w:sz w:val="28"/>
      <w:lang w:val="en-US" w:eastAsia="zh-CN" w:bidi="ar-SA"/>
    </w:rPr>
  </w:style>
  <w:style w:type="character" w:customStyle="1" w:styleId="86">
    <w:name w:val="标题 5 Char1"/>
    <w:link w:val="7"/>
    <w:autoRedefine/>
    <w:qFormat/>
    <w:uiPriority w:val="0"/>
    <w:rPr>
      <w:rFonts w:eastAsia="宋体"/>
      <w:sz w:val="24"/>
      <w:lang w:val="en-US" w:eastAsia="zh-CN" w:bidi="ar-SA"/>
    </w:rPr>
  </w:style>
  <w:style w:type="character" w:customStyle="1" w:styleId="87">
    <w:name w:val="标题 6 Char1"/>
    <w:link w:val="8"/>
    <w:autoRedefine/>
    <w:qFormat/>
    <w:uiPriority w:val="0"/>
    <w:rPr>
      <w:rFonts w:ascii="宋体" w:hAnsi="Arial" w:eastAsia="宋体"/>
      <w:sz w:val="24"/>
      <w:lang w:val="en-US" w:eastAsia="zh-CN" w:bidi="ar-SA"/>
    </w:rPr>
  </w:style>
  <w:style w:type="character" w:customStyle="1" w:styleId="88">
    <w:name w:val="标题 7 Char1"/>
    <w:link w:val="9"/>
    <w:autoRedefine/>
    <w:qFormat/>
    <w:uiPriority w:val="0"/>
    <w:rPr>
      <w:rFonts w:ascii="宋体" w:hAnsi="Arial" w:eastAsia="宋体"/>
      <w:b/>
      <w:sz w:val="24"/>
      <w:lang w:val="en-US" w:eastAsia="zh-CN" w:bidi="ar-SA"/>
    </w:rPr>
  </w:style>
  <w:style w:type="character" w:customStyle="1" w:styleId="89">
    <w:name w:val="标题 8 Char1"/>
    <w:link w:val="10"/>
    <w:autoRedefine/>
    <w:qFormat/>
    <w:uiPriority w:val="0"/>
    <w:rPr>
      <w:rFonts w:ascii="Arial" w:hAnsi="Arial" w:eastAsia="黑体"/>
      <w:sz w:val="24"/>
      <w:lang w:val="en-US" w:eastAsia="zh-CN" w:bidi="ar-SA"/>
    </w:rPr>
  </w:style>
  <w:style w:type="character" w:customStyle="1" w:styleId="90">
    <w:name w:val="标题 9 Char1"/>
    <w:link w:val="11"/>
    <w:autoRedefine/>
    <w:qFormat/>
    <w:uiPriority w:val="0"/>
    <w:rPr>
      <w:rFonts w:ascii="Arial" w:hAnsi="Arial" w:eastAsia="黑体"/>
      <w:sz w:val="24"/>
      <w:lang w:val="en-US" w:eastAsia="zh-CN" w:bidi="ar-SA"/>
    </w:rPr>
  </w:style>
  <w:style w:type="character" w:customStyle="1" w:styleId="91">
    <w:name w:val="纯文本 Char"/>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Char"/>
    <w:link w:val="24"/>
    <w:autoRedefine/>
    <w:qFormat/>
    <w:uiPriority w:val="0"/>
    <w:rPr>
      <w:rFonts w:eastAsia="宋体"/>
      <w:kern w:val="2"/>
      <w:sz w:val="21"/>
      <w:szCs w:val="24"/>
      <w:lang w:val="en-US" w:eastAsia="zh-CN" w:bidi="ar-SA"/>
    </w:rPr>
  </w:style>
  <w:style w:type="character" w:customStyle="1" w:styleId="94">
    <w:name w:val="日期 Char2"/>
    <w:link w:val="35"/>
    <w:autoRedefine/>
    <w:qFormat/>
    <w:uiPriority w:val="0"/>
    <w:rPr>
      <w:rFonts w:ascii="楷体_GB2312" w:eastAsia="楷体_GB2312"/>
      <w:b/>
      <w:kern w:val="2"/>
      <w:sz w:val="28"/>
      <w:lang w:val="en-US" w:eastAsia="zh-CN" w:bidi="ar-SA"/>
    </w:rPr>
  </w:style>
  <w:style w:type="character" w:customStyle="1" w:styleId="95">
    <w:name w:val="页眉 Char1"/>
    <w:link w:val="40"/>
    <w:autoRedefine/>
    <w:qFormat/>
    <w:uiPriority w:val="0"/>
    <w:rPr>
      <w:rFonts w:eastAsia="宋体"/>
      <w:kern w:val="2"/>
      <w:sz w:val="18"/>
      <w:szCs w:val="18"/>
      <w:lang w:val="en-US" w:eastAsia="zh-CN" w:bidi="ar-SA"/>
    </w:rPr>
  </w:style>
  <w:style w:type="character" w:customStyle="1" w:styleId="96">
    <w:name w:val="页脚 Char"/>
    <w:link w:val="39"/>
    <w:autoRedefine/>
    <w:qFormat/>
    <w:locked/>
    <w:uiPriority w:val="99"/>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Char1"/>
    <w:link w:val="19"/>
    <w:autoRedefine/>
    <w:qFormat/>
    <w:uiPriority w:val="0"/>
    <w:rPr>
      <w:rFonts w:eastAsia="宋体"/>
      <w:kern w:val="2"/>
      <w:sz w:val="21"/>
      <w:szCs w:val="24"/>
      <w:lang w:val="en-US" w:eastAsia="zh-CN" w:bidi="ar-SA"/>
    </w:rPr>
  </w:style>
  <w:style w:type="character" w:customStyle="1" w:styleId="100">
    <w:name w:val="正文文本 2 Char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autoRedefine/>
    <w:qFormat/>
    <w:locked/>
    <w:uiPriority w:val="0"/>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Char1"/>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next w:val="141"/>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18"/>
    <w:autoRedefine/>
    <w:qFormat/>
    <w:uiPriority w:val="0"/>
    <w:rPr>
      <w:rFonts w:ascii="Tahoma" w:hAnsi="Tahoma"/>
      <w:sz w:val="24"/>
    </w:rPr>
  </w:style>
  <w:style w:type="paragraph" w:customStyle="1" w:styleId="168">
    <w:name w:val="Char Char Char"/>
    <w:basedOn w:val="18"/>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0"/>
    <w:autoRedefine/>
    <w:qFormat/>
    <w:uiPriority w:val="0"/>
  </w:style>
  <w:style w:type="paragraph" w:customStyle="1" w:styleId="180">
    <w:name w:val="样式 正文缩进 + 首行缩进:  2 字符"/>
    <w:basedOn w:val="5"/>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0"/>
    <w:autoRedefine/>
    <w:qFormat/>
    <w:uiPriority w:val="0"/>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0"/>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99"/>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autoRedefine/>
    <w:qFormat/>
    <w:uiPriority w:val="0"/>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0"/>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3"/>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autoRedefine/>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autoRedefine/>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DAS正文"/>
    <w:basedOn w:val="1"/>
    <w:qFormat/>
    <w:uiPriority w:val="0"/>
    <w:pPr>
      <w:spacing w:line="360" w:lineRule="auto"/>
      <w:ind w:right="181" w:firstLine="480" w:firstLineChars="200"/>
    </w:pPr>
    <w:rPr>
      <w:rFonts w:ascii="Verdana" w:hAnsi="Verdana"/>
      <w:sz w:val="24"/>
    </w:rPr>
  </w:style>
  <w:style w:type="paragraph" w:customStyle="1" w:styleId="1043">
    <w:name w:val="No Spacing"/>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8883</Words>
  <Characters>50635</Characters>
  <Lines>421</Lines>
  <Paragraphs>118</Paragraphs>
  <TotalTime>27</TotalTime>
  <ScaleCrop>false</ScaleCrop>
  <LinksUpToDate>false</LinksUpToDate>
  <CharactersWithSpaces>59400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cp:lastModifiedBy>
  <cp:lastPrinted>2023-12-20T02:12:00Z</cp:lastPrinted>
  <dcterms:modified xsi:type="dcterms:W3CDTF">2024-04-25T09:02:49Z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C4FD6BF05DE44094B908C7FA3E03D6D5_13</vt:lpwstr>
  </property>
</Properties>
</file>