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bCs w:val="0"/>
          <w:color w:val="auto"/>
          <w:spacing w:val="-23"/>
          <w:sz w:val="28"/>
          <w:szCs w:val="28"/>
          <w:highlight w:val="none"/>
          <w:lang w:eastAsia="zh-CN"/>
        </w:rPr>
      </w:pPr>
    </w:p>
    <w:p>
      <w:pPr>
        <w:pStyle w:val="2"/>
        <w:rPr>
          <w:rFonts w:hint="eastAsia"/>
          <w:lang w:eastAsia="zh-CN"/>
        </w:rPr>
      </w:pPr>
    </w:p>
    <w:p>
      <w:pPr>
        <w:adjustRightInd/>
        <w:spacing w:line="360" w:lineRule="auto"/>
        <w:jc w:val="center"/>
        <w:rPr>
          <w:rFonts w:ascii="仿宋" w:hAnsi="仿宋" w:eastAsia="仿宋" w:cs="仿宋"/>
          <w:b/>
          <w:bCs/>
          <w:color w:val="auto"/>
          <w:sz w:val="72"/>
          <w:szCs w:val="72"/>
          <w:highlight w:val="none"/>
          <w:shd w:val="clear" w:color="auto" w:fill="auto"/>
        </w:rPr>
      </w:pPr>
      <w:r>
        <w:rPr>
          <w:rFonts w:hint="eastAsia" w:ascii="仿宋" w:hAnsi="仿宋" w:eastAsia="仿宋" w:cs="仿宋"/>
          <w:color w:val="auto"/>
          <w:w w:val="90"/>
          <w:sz w:val="52"/>
          <w:szCs w:val="52"/>
          <w:highlight w:val="none"/>
          <w:shd w:val="clear" w:color="auto" w:fill="auto"/>
        </w:rPr>
        <w:t>杭州萧山商业城开发有限公司食堂菜品采购项目</w:t>
      </w:r>
    </w:p>
    <w:p>
      <w:pPr>
        <w:adjustRightInd/>
        <w:spacing w:line="360" w:lineRule="auto"/>
        <w:jc w:val="center"/>
        <w:rPr>
          <w:rFonts w:hint="default" w:ascii="仿宋" w:hAnsi="仿宋" w:eastAsia="仿宋" w:cs="仿宋"/>
          <w:b/>
          <w:bCs w:val="0"/>
          <w:color w:val="auto"/>
          <w:spacing w:val="-23"/>
          <w:sz w:val="52"/>
          <w:szCs w:val="52"/>
          <w:highlight w:val="none"/>
          <w:lang w:val="en-US" w:eastAsia="zh-CN"/>
        </w:rPr>
      </w:pPr>
    </w:p>
    <w:p>
      <w:pPr>
        <w:pStyle w:val="2"/>
        <w:rPr>
          <w:rFonts w:hint="default"/>
          <w:lang w:val="en-US" w:eastAsia="zh-CN"/>
        </w:rPr>
      </w:pPr>
    </w:p>
    <w:p>
      <w:pPr>
        <w:pStyle w:val="3"/>
        <w:rPr>
          <w:rFonts w:hint="default"/>
          <w:lang w:val="en-US" w:eastAsia="zh-CN"/>
        </w:rPr>
      </w:pPr>
    </w:p>
    <w:p>
      <w:pPr>
        <w:pStyle w:val="4"/>
        <w:rPr>
          <w:rFonts w:hint="default"/>
          <w:lang w:val="en-US" w:eastAsia="zh-CN"/>
        </w:rPr>
      </w:pPr>
    </w:p>
    <w:p>
      <w:pPr>
        <w:adjustRightInd/>
        <w:spacing w:line="360" w:lineRule="auto"/>
        <w:jc w:val="center"/>
        <w:rPr>
          <w:rFonts w:hint="eastAsia" w:ascii="仿宋" w:hAnsi="仿宋" w:eastAsia="仿宋" w:cs="仿宋"/>
          <w:b/>
          <w:bCs/>
          <w:color w:val="auto"/>
          <w:sz w:val="72"/>
          <w:szCs w:val="72"/>
          <w:highlight w:val="none"/>
          <w:lang w:eastAsia="zh-CN"/>
        </w:rPr>
      </w:pPr>
      <w:r>
        <w:rPr>
          <w:rFonts w:hint="eastAsia" w:ascii="仿宋" w:hAnsi="仿宋" w:eastAsia="仿宋" w:cs="仿宋"/>
          <w:b/>
          <w:bCs/>
          <w:color w:val="auto"/>
          <w:sz w:val="72"/>
          <w:szCs w:val="72"/>
          <w:highlight w:val="none"/>
          <w:lang w:eastAsia="zh-CN"/>
        </w:rPr>
        <w:t>交易文件</w:t>
      </w:r>
    </w:p>
    <w:p>
      <w:pPr>
        <w:adjustRightInd/>
        <w:spacing w:line="360" w:lineRule="auto"/>
        <w:jc w:val="center"/>
        <w:rPr>
          <w:rFonts w:hint="default" w:ascii="仿宋" w:hAnsi="仿宋" w:eastAsia="仿宋" w:cs="仿宋"/>
          <w:b/>
          <w:color w:val="auto"/>
          <w:sz w:val="48"/>
          <w:szCs w:val="52"/>
          <w:highlight w:val="none"/>
          <w:shd w:val="clear" w:color="auto" w:fill="auto"/>
          <w:lang w:val="en-US" w:eastAsia="zh-CN"/>
        </w:rPr>
      </w:pPr>
      <w:r>
        <w:rPr>
          <w:rFonts w:hint="eastAsia" w:ascii="仿宋" w:hAnsi="仿宋" w:eastAsia="仿宋" w:cs="仿宋"/>
          <w:b/>
          <w:bCs/>
          <w:color w:val="auto"/>
          <w:sz w:val="30"/>
          <w:szCs w:val="30"/>
          <w:highlight w:val="none"/>
          <w:lang w:eastAsia="zh-CN"/>
        </w:rPr>
        <w:t>交易</w:t>
      </w:r>
      <w:r>
        <w:rPr>
          <w:rFonts w:hint="eastAsia" w:ascii="仿宋" w:hAnsi="仿宋" w:eastAsia="仿宋" w:cs="仿宋"/>
          <w:b/>
          <w:bCs/>
          <w:color w:val="auto"/>
          <w:sz w:val="30"/>
          <w:szCs w:val="30"/>
          <w:highlight w:val="none"/>
        </w:rPr>
        <w:t>编号:</w:t>
      </w:r>
      <w:r>
        <w:rPr>
          <w:rFonts w:hint="eastAsia" w:ascii="仿宋" w:hAnsi="仿宋" w:eastAsia="仿宋" w:cs="仿宋"/>
          <w:b/>
          <w:color w:val="auto"/>
          <w:sz w:val="32"/>
          <w:szCs w:val="16"/>
          <w:highlight w:val="none"/>
          <w:shd w:val="clear" w:color="auto" w:fill="auto"/>
        </w:rPr>
        <w:t>HXJY2022072</w:t>
      </w:r>
      <w:r>
        <w:rPr>
          <w:rFonts w:hint="eastAsia" w:ascii="仿宋" w:hAnsi="仿宋" w:eastAsia="仿宋" w:cs="仿宋"/>
          <w:b/>
          <w:color w:val="auto"/>
          <w:sz w:val="32"/>
          <w:szCs w:val="16"/>
          <w:highlight w:val="none"/>
          <w:shd w:val="clear" w:color="auto" w:fill="auto"/>
          <w:lang w:val="en-US" w:eastAsia="zh-CN"/>
        </w:rPr>
        <w:t>-0</w:t>
      </w:r>
    </w:p>
    <w:p>
      <w:pPr>
        <w:adjustRightInd/>
        <w:spacing w:line="360" w:lineRule="auto"/>
        <w:jc w:val="center"/>
        <w:rPr>
          <w:rFonts w:hint="eastAsia" w:ascii="仿宋" w:hAnsi="仿宋" w:eastAsia="仿宋" w:cs="仿宋"/>
          <w:b w:val="0"/>
          <w:bCs w:val="0"/>
          <w:color w:val="auto"/>
          <w:sz w:val="44"/>
          <w:szCs w:val="44"/>
          <w:highlight w:val="none"/>
        </w:rPr>
      </w:pPr>
      <w:r>
        <w:rPr>
          <w:rFonts w:hint="eastAsia" w:ascii="仿宋" w:hAnsi="仿宋" w:eastAsia="仿宋" w:cs="仿宋"/>
          <w:b w:val="0"/>
          <w:bCs w:val="0"/>
          <w:color w:val="auto"/>
          <w:sz w:val="44"/>
          <w:szCs w:val="44"/>
          <w:highlight w:val="none"/>
        </w:rPr>
        <w:t xml:space="preserve"> </w:t>
      </w:r>
    </w:p>
    <w:p>
      <w:pPr>
        <w:spacing w:line="360" w:lineRule="auto"/>
        <w:jc w:val="both"/>
        <w:rPr>
          <w:rFonts w:hint="eastAsia" w:ascii="仿宋" w:hAnsi="仿宋" w:eastAsia="仿宋" w:cs="仿宋"/>
          <w:b w:val="0"/>
          <w:bCs w:val="0"/>
          <w:color w:val="auto"/>
          <w:sz w:val="24"/>
          <w:highlight w:val="none"/>
        </w:rPr>
      </w:pPr>
    </w:p>
    <w:p>
      <w:pPr>
        <w:pStyle w:val="2"/>
        <w:rPr>
          <w:rFonts w:hint="eastAsia"/>
        </w:rPr>
      </w:pPr>
    </w:p>
    <w:p>
      <w:pPr>
        <w:spacing w:line="360" w:lineRule="auto"/>
        <w:rPr>
          <w:rFonts w:hint="eastAsia" w:ascii="仿宋" w:hAnsi="仿宋" w:eastAsia="仿宋" w:cs="仿宋"/>
          <w:b w:val="0"/>
          <w:bCs w:val="0"/>
          <w:color w:val="auto"/>
          <w:sz w:val="32"/>
          <w:szCs w:val="32"/>
          <w:highlight w:val="none"/>
        </w:rPr>
      </w:pPr>
    </w:p>
    <w:p>
      <w:pPr>
        <w:pStyle w:val="2"/>
        <w:rPr>
          <w:rFonts w:hint="eastAsia"/>
        </w:rPr>
      </w:pPr>
    </w:p>
    <w:p>
      <w:pPr>
        <w:snapToGrid w:val="0"/>
        <w:spacing w:line="360" w:lineRule="auto"/>
        <w:jc w:val="center"/>
        <w:rPr>
          <w:rFonts w:hint="eastAsia" w:ascii="仿宋" w:hAnsi="仿宋" w:eastAsia="仿宋" w:cs="仿宋"/>
          <w:b w:val="0"/>
          <w:bCs w:val="0"/>
          <w:color w:val="auto"/>
          <w:kern w:val="2"/>
          <w:sz w:val="32"/>
          <w:szCs w:val="30"/>
          <w:highlight w:val="none"/>
        </w:rPr>
      </w:pPr>
      <w:r>
        <w:rPr>
          <w:rFonts w:hint="eastAsia" w:ascii="仿宋" w:hAnsi="仿宋" w:eastAsia="仿宋" w:cs="仿宋"/>
          <w:b w:val="0"/>
          <w:bCs w:val="0"/>
          <w:color w:val="auto"/>
          <w:kern w:val="2"/>
          <w:sz w:val="32"/>
          <w:szCs w:val="30"/>
          <w:highlight w:val="none"/>
          <w:lang w:val="en-US" w:eastAsia="zh-CN"/>
        </w:rPr>
        <w:t>交易发起</w:t>
      </w:r>
      <w:r>
        <w:rPr>
          <w:rFonts w:hint="eastAsia" w:ascii="仿宋" w:hAnsi="仿宋" w:eastAsia="仿宋" w:cs="仿宋"/>
          <w:b w:val="0"/>
          <w:bCs w:val="0"/>
          <w:color w:val="auto"/>
          <w:kern w:val="2"/>
          <w:sz w:val="32"/>
          <w:szCs w:val="30"/>
          <w:highlight w:val="none"/>
          <w:lang w:eastAsia="zh-CN"/>
        </w:rPr>
        <w:t>人：</w:t>
      </w:r>
      <w:r>
        <w:rPr>
          <w:rFonts w:hint="eastAsia" w:ascii="仿宋" w:hAnsi="仿宋" w:eastAsia="仿宋" w:cs="仿宋"/>
          <w:bCs/>
          <w:color w:val="auto"/>
          <w:sz w:val="32"/>
          <w:szCs w:val="32"/>
          <w:highlight w:val="none"/>
          <w:shd w:val="clear" w:color="auto" w:fill="auto"/>
        </w:rPr>
        <w:t>杭州萧山商业城开发有限公司</w:t>
      </w:r>
    </w:p>
    <w:p>
      <w:pPr>
        <w:snapToGrid w:val="0"/>
        <w:spacing w:line="360" w:lineRule="auto"/>
        <w:jc w:val="center"/>
        <w:rPr>
          <w:rFonts w:ascii="仿宋" w:hAnsi="仿宋" w:eastAsia="仿宋" w:cs="仿宋"/>
          <w:bCs/>
          <w:color w:val="auto"/>
          <w:sz w:val="32"/>
          <w:szCs w:val="32"/>
          <w:highlight w:val="none"/>
          <w:shd w:val="clear" w:color="auto" w:fill="auto"/>
        </w:rPr>
      </w:pPr>
      <w:r>
        <w:rPr>
          <w:rFonts w:hint="eastAsia" w:ascii="仿宋" w:hAnsi="仿宋" w:eastAsia="仿宋" w:cs="仿宋"/>
          <w:b w:val="0"/>
          <w:bCs w:val="0"/>
          <w:color w:val="auto"/>
          <w:sz w:val="32"/>
          <w:szCs w:val="30"/>
          <w:highlight w:val="none"/>
          <w:lang w:val="en-US" w:eastAsia="zh-CN"/>
        </w:rPr>
        <w:t>代理机构</w:t>
      </w:r>
      <w:r>
        <w:rPr>
          <w:rFonts w:hint="eastAsia" w:ascii="仿宋" w:hAnsi="仿宋" w:eastAsia="仿宋" w:cs="仿宋"/>
          <w:b w:val="0"/>
          <w:bCs w:val="0"/>
          <w:color w:val="auto"/>
          <w:sz w:val="32"/>
          <w:szCs w:val="30"/>
          <w:highlight w:val="none"/>
          <w:lang w:eastAsia="zh-CN"/>
        </w:rPr>
        <w:t>：</w:t>
      </w:r>
      <w:r>
        <w:rPr>
          <w:rFonts w:hint="eastAsia" w:ascii="仿宋" w:hAnsi="仿宋" w:eastAsia="仿宋" w:cs="仿宋"/>
          <w:bCs/>
          <w:color w:val="auto"/>
          <w:sz w:val="32"/>
          <w:szCs w:val="32"/>
          <w:highlight w:val="none"/>
          <w:shd w:val="clear" w:color="auto" w:fill="auto"/>
        </w:rPr>
        <w:t>浙江华夏工程管理有限公司</w:t>
      </w:r>
    </w:p>
    <w:p>
      <w:pPr>
        <w:snapToGrid w:val="0"/>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三</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一</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九</w:t>
      </w:r>
      <w:r>
        <w:rPr>
          <w:rFonts w:hint="eastAsia" w:ascii="仿宋" w:hAnsi="仿宋" w:eastAsia="仿宋" w:cs="仿宋"/>
          <w:b w:val="0"/>
          <w:bCs w:val="0"/>
          <w:color w:val="auto"/>
          <w:sz w:val="32"/>
          <w:szCs w:val="32"/>
          <w:highlight w:val="none"/>
          <w:lang w:eastAsia="zh-CN"/>
        </w:rPr>
        <w:t>日</w:t>
      </w:r>
    </w:p>
    <w:p>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pStyle w:val="3"/>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rPr>
      </w:pPr>
    </w:p>
    <w:p>
      <w:pPr>
        <w:pStyle w:val="4"/>
        <w:rPr>
          <w:rFonts w:hint="eastAsia" w:ascii="仿宋" w:hAnsi="仿宋" w:eastAsia="仿宋" w:cs="仿宋"/>
          <w:color w:val="auto"/>
        </w:rPr>
      </w:pPr>
    </w:p>
    <w:p>
      <w:pPr>
        <w:spacing w:line="240" w:lineRule="auto"/>
        <w:jc w:val="left"/>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第三部分      </w:t>
      </w:r>
      <w:r>
        <w:rPr>
          <w:rFonts w:hint="eastAsia" w:ascii="仿宋" w:hAnsi="仿宋" w:eastAsia="仿宋" w:cs="仿宋"/>
          <w:color w:val="auto"/>
          <w:sz w:val="32"/>
          <w:szCs w:val="32"/>
          <w:highlight w:val="none"/>
          <w:lang w:val="en-US" w:eastAsia="zh-CN"/>
        </w:rPr>
        <w:t>交易</w:t>
      </w:r>
      <w:r>
        <w:rPr>
          <w:rFonts w:hint="eastAsia" w:ascii="仿宋" w:hAnsi="仿宋" w:eastAsia="仿宋" w:cs="仿宋"/>
          <w:color w:val="auto"/>
          <w:sz w:val="32"/>
          <w:szCs w:val="32"/>
          <w:highlight w:val="none"/>
        </w:rPr>
        <w:t>需求</w:t>
      </w:r>
    </w:p>
    <w:p>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交易办法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lang w:eastAsia="zh-CN"/>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一、基本情况</w:t>
      </w:r>
    </w:p>
    <w:p>
      <w:pPr>
        <w:adjustRightInd/>
        <w:spacing w:line="360" w:lineRule="auto"/>
        <w:ind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交易</w:t>
      </w:r>
      <w:r>
        <w:rPr>
          <w:rFonts w:hint="eastAsia" w:ascii="仿宋" w:hAnsi="仿宋" w:eastAsia="仿宋" w:cs="仿宋"/>
          <w:b/>
          <w:color w:val="auto"/>
          <w:sz w:val="24"/>
          <w:highlight w:val="none"/>
        </w:rPr>
        <w:t>编号：</w:t>
      </w:r>
      <w:r>
        <w:rPr>
          <w:rFonts w:hint="eastAsia" w:ascii="仿宋" w:hAnsi="仿宋" w:eastAsia="仿宋" w:cs="仿宋"/>
          <w:bCs/>
          <w:color w:val="auto"/>
          <w:sz w:val="24"/>
          <w:highlight w:val="none"/>
          <w:shd w:val="clear" w:color="auto" w:fill="auto"/>
        </w:rPr>
        <w:t>HXJY2022072</w:t>
      </w:r>
      <w:r>
        <w:rPr>
          <w:rFonts w:hint="eastAsia" w:ascii="仿宋" w:hAnsi="仿宋" w:eastAsia="仿宋" w:cs="仿宋"/>
          <w:bCs/>
          <w:color w:val="auto"/>
          <w:sz w:val="24"/>
          <w:highlight w:val="none"/>
          <w:shd w:val="clear" w:color="auto" w:fill="auto"/>
          <w:lang w:val="en-US" w:eastAsia="zh-CN"/>
        </w:rPr>
        <w:t>-0</w:t>
      </w:r>
    </w:p>
    <w:p>
      <w:pPr>
        <w:spacing w:line="360" w:lineRule="auto"/>
        <w:ind w:firstLine="480"/>
        <w:rPr>
          <w:rFonts w:hint="eastAsia" w:ascii="仿宋" w:hAnsi="仿宋" w:eastAsia="仿宋" w:cs="仿宋"/>
          <w:color w:val="auto"/>
          <w:sz w:val="24"/>
          <w:szCs w:val="28"/>
          <w:highlight w:val="none"/>
          <w:lang w:val="en-US" w:eastAsia="zh-CN"/>
        </w:rPr>
      </w:pPr>
      <w:r>
        <w:rPr>
          <w:rFonts w:hint="eastAsia" w:ascii="仿宋" w:hAnsi="仿宋" w:eastAsia="仿宋" w:cs="仿宋"/>
          <w:b/>
          <w:color w:val="auto"/>
          <w:sz w:val="24"/>
          <w:highlight w:val="none"/>
          <w:lang w:val="en-US" w:eastAsia="zh-CN"/>
        </w:rPr>
        <w:t>交易</w:t>
      </w:r>
      <w:r>
        <w:rPr>
          <w:rFonts w:hint="eastAsia" w:ascii="仿宋" w:hAnsi="仿宋" w:eastAsia="仿宋" w:cs="仿宋"/>
          <w:b/>
          <w:color w:val="auto"/>
          <w:sz w:val="24"/>
          <w:highlight w:val="none"/>
        </w:rPr>
        <w:t>名称：</w:t>
      </w:r>
      <w:r>
        <w:rPr>
          <w:rFonts w:hint="eastAsia" w:ascii="仿宋" w:hAnsi="仿宋" w:eastAsia="仿宋" w:cs="仿宋"/>
          <w:bCs/>
          <w:color w:val="auto"/>
          <w:sz w:val="24"/>
          <w:highlight w:val="none"/>
          <w:shd w:val="clear" w:color="auto" w:fill="auto"/>
        </w:rPr>
        <w:t>杭州萧山商业城开发有限公司食堂菜品采购项目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w:t>
      </w:r>
      <w:r>
        <w:rPr>
          <w:rFonts w:hint="eastAsia" w:ascii="仿宋" w:hAnsi="仿宋" w:eastAsia="仿宋" w:cs="仿宋"/>
          <w:b w:val="0"/>
          <w:bCs/>
          <w:color w:val="auto"/>
          <w:sz w:val="24"/>
          <w:highlight w:val="none"/>
          <w:shd w:val="clear" w:color="auto" w:fill="auto"/>
          <w:lang w:val="en-US" w:eastAsia="zh-CN"/>
        </w:rPr>
        <w:t>800000.00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w:t>
      </w:r>
      <w:r>
        <w:rPr>
          <w:rFonts w:hint="eastAsia" w:ascii="仿宋" w:hAnsi="仿宋" w:eastAsia="仿宋" w:cs="仿宋"/>
          <w:b w:val="0"/>
          <w:bCs/>
          <w:color w:val="auto"/>
          <w:sz w:val="24"/>
          <w:highlight w:val="none"/>
          <w:shd w:val="clear" w:color="auto" w:fill="auto"/>
          <w:lang w:val="en-US" w:eastAsia="zh-CN"/>
        </w:rPr>
        <w:t>800000.00</w:t>
      </w:r>
    </w:p>
    <w:p>
      <w:pPr>
        <w:pStyle w:val="19"/>
        <w:spacing w:line="360" w:lineRule="auto"/>
        <w:ind w:firstLine="480"/>
        <w:rPr>
          <w:rFonts w:ascii="仿宋" w:hAnsi="仿宋" w:eastAsia="仿宋" w:cs="仿宋"/>
          <w:color w:val="auto"/>
          <w:sz w:val="24"/>
          <w:highlight w:val="none"/>
          <w:u w:val="single"/>
          <w:shd w:val="clear" w:color="auto" w:fill="auto"/>
        </w:rPr>
      </w:pPr>
      <w:r>
        <w:rPr>
          <w:rFonts w:hint="eastAsia" w:ascii="仿宋" w:hAnsi="仿宋" w:eastAsia="仿宋" w:cs="仿宋"/>
          <w:b/>
          <w:color w:val="auto"/>
          <w:sz w:val="24"/>
          <w:highlight w:val="none"/>
          <w:lang w:val="en-US" w:eastAsia="zh-CN"/>
        </w:rPr>
        <w:t>交易</w:t>
      </w:r>
      <w:r>
        <w:rPr>
          <w:rFonts w:hint="eastAsia" w:ascii="仿宋" w:hAnsi="仿宋" w:eastAsia="仿宋" w:cs="仿宋"/>
          <w:b/>
          <w:color w:val="auto"/>
          <w:sz w:val="24"/>
          <w:highlight w:val="none"/>
        </w:rPr>
        <w:t>需求：</w:t>
      </w:r>
      <w:r>
        <w:rPr>
          <w:rFonts w:hint="eastAsia" w:ascii="仿宋" w:hAnsi="仿宋" w:eastAsia="仿宋" w:cs="仿宋"/>
          <w:color w:val="auto"/>
          <w:sz w:val="24"/>
          <w:highlight w:val="none"/>
          <w:shd w:val="clear" w:color="auto" w:fill="auto"/>
        </w:rPr>
        <w:t>杭州萧山商业城开发有限公司食堂菜品采购，详见第三部分采购需求。</w:t>
      </w:r>
    </w:p>
    <w:p>
      <w:pPr>
        <w:spacing w:line="360" w:lineRule="auto"/>
        <w:ind w:firstLine="480"/>
        <w:rPr>
          <w:rFonts w:ascii="仿宋" w:hAnsi="仿宋" w:eastAsia="仿宋" w:cs="仿宋"/>
          <w:bCs/>
          <w:color w:val="auto"/>
          <w:sz w:val="24"/>
          <w:highlight w:val="none"/>
          <w:shd w:val="clear" w:color="auto" w:fill="auto"/>
        </w:rPr>
      </w:pPr>
      <w:r>
        <w:rPr>
          <w:rFonts w:hint="eastAsia" w:ascii="仿宋" w:hAnsi="仿宋" w:eastAsia="仿宋" w:cs="仿宋"/>
          <w:b/>
          <w:color w:val="auto"/>
          <w:sz w:val="24"/>
          <w:highlight w:val="none"/>
          <w:shd w:val="clear" w:color="auto" w:fill="auto"/>
        </w:rPr>
        <w:t>主要内容：</w:t>
      </w:r>
      <w:r>
        <w:rPr>
          <w:rFonts w:hint="eastAsia" w:ascii="仿宋" w:hAnsi="仿宋" w:eastAsia="仿宋" w:cs="仿宋"/>
          <w:color w:val="auto"/>
          <w:sz w:val="24"/>
          <w:highlight w:val="none"/>
          <w:shd w:val="clear" w:color="auto" w:fill="auto"/>
        </w:rPr>
        <w:t>杭州萧山商业城开发有限公司食堂菜品采购，</w:t>
      </w:r>
      <w:r>
        <w:rPr>
          <w:rFonts w:hint="eastAsia" w:ascii="仿宋" w:hAnsi="仿宋" w:eastAsia="仿宋" w:cs="仿宋"/>
          <w:bCs/>
          <w:color w:val="auto"/>
          <w:sz w:val="24"/>
          <w:highlight w:val="none"/>
          <w:shd w:val="clear" w:color="auto" w:fill="auto"/>
        </w:rPr>
        <w:t>详见第三部分采购需求。</w:t>
      </w:r>
    </w:p>
    <w:p>
      <w:pPr>
        <w:spacing w:line="360" w:lineRule="auto"/>
        <w:ind w:firstLine="480"/>
        <w:rPr>
          <w:rFonts w:ascii="仿宋" w:hAnsi="仿宋" w:eastAsia="仿宋" w:cs="仿宋"/>
          <w:bCs/>
          <w:color w:val="auto"/>
          <w:sz w:val="24"/>
          <w:highlight w:val="none"/>
          <w:shd w:val="clear" w:color="auto" w:fill="auto"/>
        </w:rPr>
      </w:pPr>
      <w:r>
        <w:rPr>
          <w:rFonts w:hint="eastAsia" w:ascii="仿宋" w:hAnsi="仿宋" w:eastAsia="仿宋" w:cs="仿宋"/>
          <w:b/>
          <w:color w:val="auto"/>
          <w:sz w:val="24"/>
          <w:highlight w:val="none"/>
          <w:shd w:val="clear" w:color="auto" w:fill="auto"/>
        </w:rPr>
        <w:t>合同履约期限：</w:t>
      </w:r>
      <w:r>
        <w:rPr>
          <w:rFonts w:hint="eastAsia" w:ascii="仿宋" w:hAnsi="仿宋" w:eastAsia="仿宋" w:cs="仿宋"/>
          <w:color w:val="auto"/>
          <w:sz w:val="24"/>
          <w:highlight w:val="none"/>
          <w:shd w:val="clear" w:color="auto" w:fill="auto"/>
        </w:rPr>
        <w:t>详见第三部分采购需求</w:t>
      </w:r>
    </w:p>
    <w:p>
      <w:pPr>
        <w:spacing w:line="360" w:lineRule="auto"/>
        <w:ind w:firstLine="480"/>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本项目接受联合体：（√）否。</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1、具有独立承担民事责任的能力；</w:t>
      </w:r>
    </w:p>
    <w:p>
      <w:pPr>
        <w:spacing w:line="360" w:lineRule="auto"/>
        <w:ind w:firstLine="48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2、具有良好的商业信誉和健全的财务会计制度；</w:t>
      </w:r>
    </w:p>
    <w:p>
      <w:pPr>
        <w:spacing w:line="360" w:lineRule="auto"/>
        <w:ind w:firstLine="48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3、具有履行合同所必需的设备和专业技术能力；</w:t>
      </w:r>
    </w:p>
    <w:p>
      <w:pPr>
        <w:spacing w:line="360" w:lineRule="auto"/>
        <w:ind w:firstLine="48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4、有依法缴纳税收和社会保障资金的良好记录；</w:t>
      </w:r>
    </w:p>
    <w:p>
      <w:pPr>
        <w:spacing w:line="360" w:lineRule="auto"/>
        <w:ind w:firstLine="48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5、参加</w:t>
      </w:r>
      <w:r>
        <w:rPr>
          <w:rFonts w:hint="eastAsia" w:ascii="仿宋" w:hAnsi="仿宋" w:eastAsia="仿宋" w:cs="仿宋"/>
          <w:snapToGrid w:val="0"/>
          <w:color w:val="auto"/>
          <w:kern w:val="28"/>
          <w:sz w:val="24"/>
          <w:szCs w:val="20"/>
          <w:highlight w:val="none"/>
          <w:shd w:val="clear" w:color="auto" w:fill="auto"/>
          <w:lang w:eastAsia="zh-CN"/>
        </w:rPr>
        <w:t>采购</w:t>
      </w:r>
      <w:r>
        <w:rPr>
          <w:rFonts w:hint="eastAsia" w:ascii="仿宋" w:hAnsi="仿宋" w:eastAsia="仿宋" w:cs="仿宋"/>
          <w:snapToGrid w:val="0"/>
          <w:color w:val="auto"/>
          <w:kern w:val="28"/>
          <w:sz w:val="24"/>
          <w:szCs w:val="20"/>
          <w:highlight w:val="none"/>
          <w:shd w:val="clear" w:color="auto" w:fill="auto"/>
        </w:rPr>
        <w:t>活动前三年内，在经营活动中没有重大违法记录；</w:t>
      </w:r>
    </w:p>
    <w:p>
      <w:pPr>
        <w:spacing w:line="360" w:lineRule="auto"/>
        <w:ind w:firstLine="48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6、法律、行政法规规定的其他条件；</w:t>
      </w:r>
    </w:p>
    <w:p>
      <w:pPr>
        <w:spacing w:line="360" w:lineRule="auto"/>
        <w:ind w:firstLine="480"/>
        <w:rPr>
          <w:rFonts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lang w:val="en-US" w:eastAsia="zh-CN"/>
        </w:rPr>
        <w:t>7</w:t>
      </w:r>
      <w:r>
        <w:rPr>
          <w:rFonts w:hint="eastAsia" w:ascii="仿宋" w:hAnsi="仿宋" w:eastAsia="仿宋" w:cs="仿宋"/>
          <w:snapToGrid w:val="0"/>
          <w:color w:val="auto"/>
          <w:kern w:val="28"/>
          <w:sz w:val="24"/>
          <w:szCs w:val="20"/>
          <w:highlight w:val="none"/>
          <w:shd w:val="clear" w:color="auto" w:fill="auto"/>
        </w:rPr>
        <w:t>、本项目不接受联合体参与（潜在供应商能独立完成本项目）。</w:t>
      </w:r>
    </w:p>
    <w:p>
      <w:pPr>
        <w:spacing w:line="360" w:lineRule="auto"/>
        <w:ind w:firstLine="480" w:firstLineChars="200"/>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本项目的特定资格要求：具有</w:t>
      </w:r>
      <w:r>
        <w:rPr>
          <w:rFonts w:hint="eastAsia" w:ascii="仿宋" w:hAnsi="仿宋" w:eastAsia="仿宋" w:cs="仿宋"/>
          <w:color w:val="auto"/>
          <w:sz w:val="24"/>
          <w:highlight w:val="none"/>
          <w:shd w:val="clear" w:color="auto" w:fill="auto"/>
          <w:lang w:val="en-US" w:eastAsia="zh-CN"/>
        </w:rPr>
        <w:t>有效的食品流通许可证或食品经营许可证</w:t>
      </w:r>
      <w:r>
        <w:rPr>
          <w:rFonts w:hint="eastAsia" w:ascii="仿宋" w:hAnsi="仿宋" w:eastAsia="仿宋" w:cs="仿宋"/>
          <w:color w:val="auto"/>
          <w:sz w:val="24"/>
          <w:highlight w:val="none"/>
          <w:lang w:eastAsia="zh-CN"/>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pPr>
        <w:spacing w:line="360" w:lineRule="auto"/>
        <w:ind w:firstLine="482" w:firstLineChars="200"/>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时间：</w:t>
      </w:r>
      <w:r>
        <w:rPr>
          <w:rFonts w:hint="eastAsia" w:ascii="仿宋" w:hAnsi="仿宋" w:eastAsia="仿宋" w:cs="仿宋"/>
          <w:color w:val="auto"/>
          <w:sz w:val="24"/>
          <w:highlight w:val="none"/>
          <w:shd w:val="clear" w:color="auto" w:fill="auto"/>
        </w:rPr>
        <w:t>/至</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01</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17</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shd w:val="clear" w:color="auto" w:fill="auto"/>
        </w:rPr>
        <w:t>，每天上午00:00至12:00 ，下午12:00至23:59（北京时间，线上获取法定节假日均可，线下获取文件法定节假日除外）</w:t>
      </w:r>
    </w:p>
    <w:p>
      <w:pPr>
        <w:spacing w:line="360" w:lineRule="auto"/>
        <w:ind w:firstLine="482" w:firstLineChars="200"/>
        <w:jc w:val="left"/>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地点（网址）：</w:t>
      </w:r>
      <w:r>
        <w:rPr>
          <w:rFonts w:hint="eastAsia" w:ascii="仿宋" w:hAnsi="仿宋" w:eastAsia="仿宋" w:cs="仿宋"/>
          <w:b w:val="0"/>
          <w:bCs/>
          <w:color w:val="auto"/>
          <w:sz w:val="24"/>
          <w:highlight w:val="none"/>
          <w:shd w:val="clear" w:color="auto" w:fill="auto"/>
          <w:lang w:val="en-US" w:eastAsia="zh-CN"/>
        </w:rPr>
        <w:t>乐</w:t>
      </w:r>
      <w:r>
        <w:rPr>
          <w:rFonts w:hint="eastAsia" w:ascii="仿宋" w:hAnsi="仿宋" w:eastAsia="仿宋" w:cs="仿宋"/>
          <w:b w:val="0"/>
          <w:bCs/>
          <w:color w:val="auto"/>
          <w:sz w:val="24"/>
          <w:highlight w:val="none"/>
          <w:shd w:val="clear" w:color="auto" w:fill="auto"/>
        </w:rPr>
        <w:t>采云平台（https://www.lecaiyun.com/）</w:t>
      </w:r>
    </w:p>
    <w:p>
      <w:pPr>
        <w:spacing w:line="360" w:lineRule="auto"/>
        <w:ind w:firstLine="482" w:firstLineChars="200"/>
        <w:jc w:val="left"/>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方式：</w:t>
      </w:r>
      <w:r>
        <w:rPr>
          <w:rFonts w:hint="eastAsia" w:ascii="仿宋" w:hAnsi="仿宋" w:eastAsia="仿宋" w:cs="仿宋"/>
          <w:color w:val="auto"/>
          <w:sz w:val="24"/>
          <w:highlight w:val="none"/>
          <w:shd w:val="clear" w:color="auto" w:fill="auto"/>
        </w:rPr>
        <w:t>供应商登录</w:t>
      </w:r>
      <w:r>
        <w:rPr>
          <w:rFonts w:hint="eastAsia" w:ascii="仿宋" w:hAnsi="仿宋" w:eastAsia="仿宋" w:cs="仿宋"/>
          <w:b w:val="0"/>
          <w:bCs/>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w:t>
      </w:r>
      <w:r>
        <w:rPr>
          <w:rFonts w:hint="eastAsia" w:ascii="仿宋" w:hAnsi="仿宋" w:eastAsia="仿宋" w:cs="仿宋"/>
          <w:b w:val="0"/>
          <w:bCs/>
          <w:color w:val="auto"/>
          <w:sz w:val="24"/>
          <w:highlight w:val="none"/>
          <w:shd w:val="clear" w:color="auto" w:fill="auto"/>
        </w:rPr>
        <w:t>（https://www.lecaiyun.com/）</w:t>
      </w:r>
      <w:r>
        <w:rPr>
          <w:rFonts w:hint="eastAsia" w:ascii="仿宋" w:hAnsi="仿宋" w:eastAsia="仿宋" w:cs="仿宋"/>
          <w:color w:val="auto"/>
          <w:sz w:val="24"/>
          <w:highlight w:val="none"/>
          <w:shd w:val="clear" w:color="auto" w:fill="auto"/>
        </w:rPr>
        <w:t>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售价（元）：</w:t>
      </w:r>
      <w:r>
        <w:rPr>
          <w:rFonts w:hint="eastAsia" w:ascii="仿宋" w:hAnsi="仿宋" w:eastAsia="仿宋" w:cs="仿宋"/>
          <w:color w:val="auto"/>
          <w:sz w:val="24"/>
          <w:highlight w:val="none"/>
          <w:shd w:val="clear" w:color="auto" w:fill="auto"/>
        </w:rPr>
        <w:t xml:space="preserve">0 </w:t>
      </w:r>
      <w:r>
        <w:rPr>
          <w:rFonts w:hint="eastAsia" w:ascii="仿宋" w:hAnsi="仿宋" w:eastAsia="仿宋" w:cs="仿宋"/>
          <w:color w:val="auto"/>
          <w:sz w:val="24"/>
          <w:highlight w:val="none"/>
          <w:shd w:val="clear" w:color="auto" w:fill="auto"/>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交易时间</w:t>
      </w:r>
      <w:r>
        <w:rPr>
          <w:rFonts w:hint="eastAsia" w:ascii="仿宋" w:hAnsi="仿宋" w:eastAsia="仿宋" w:cs="仿宋"/>
          <w:b/>
          <w:color w:val="auto"/>
          <w:sz w:val="24"/>
          <w:highlight w:val="none"/>
        </w:rPr>
        <w:t>和地点</w:t>
      </w:r>
    </w:p>
    <w:p>
      <w:pPr>
        <w:spacing w:line="360" w:lineRule="auto"/>
        <w:ind w:firstLine="482" w:firstLineChars="200"/>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提交响应文件截止时间：</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01</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17</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u w:val="single"/>
          <w:shd w:val="clear" w:color="auto" w:fill="auto"/>
          <w:lang w:val="en-US" w:eastAsia="zh-CN"/>
        </w:rPr>
        <w:t>14</w:t>
      </w:r>
      <w:r>
        <w:rPr>
          <w:rFonts w:hint="eastAsia" w:ascii="仿宋" w:hAnsi="仿宋" w:eastAsia="仿宋" w:cs="仿宋"/>
          <w:color w:val="auto"/>
          <w:sz w:val="24"/>
          <w:highlight w:val="none"/>
          <w:u w:val="single"/>
          <w:shd w:val="clear" w:color="auto" w:fill="auto"/>
        </w:rPr>
        <w:t>点30分</w:t>
      </w:r>
      <w:r>
        <w:rPr>
          <w:rFonts w:hint="eastAsia" w:ascii="仿宋" w:hAnsi="仿宋" w:eastAsia="仿宋" w:cs="仿宋"/>
          <w:color w:val="auto"/>
          <w:sz w:val="24"/>
          <w:highlight w:val="none"/>
          <w:shd w:val="clear" w:color="auto" w:fill="auto"/>
        </w:rPr>
        <w:t>（北京时间）</w:t>
      </w:r>
    </w:p>
    <w:p>
      <w:pPr>
        <w:spacing w:line="360" w:lineRule="auto"/>
        <w:ind w:firstLine="482" w:firstLineChars="200"/>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投标地点（网址）：</w:t>
      </w:r>
      <w:r>
        <w:rPr>
          <w:rFonts w:hint="eastAsia" w:ascii="仿宋" w:hAnsi="仿宋" w:eastAsia="仿宋" w:cs="仿宋"/>
          <w:b w:val="0"/>
          <w:bCs/>
          <w:color w:val="auto"/>
          <w:sz w:val="24"/>
          <w:highlight w:val="none"/>
          <w:shd w:val="clear" w:color="auto" w:fill="auto"/>
          <w:lang w:val="en-US" w:eastAsia="zh-CN"/>
        </w:rPr>
        <w:t>乐</w:t>
      </w:r>
      <w:r>
        <w:rPr>
          <w:rFonts w:hint="eastAsia" w:ascii="仿宋" w:hAnsi="仿宋" w:eastAsia="仿宋" w:cs="仿宋"/>
          <w:b w:val="0"/>
          <w:bCs/>
          <w:color w:val="auto"/>
          <w:sz w:val="24"/>
          <w:highlight w:val="none"/>
          <w:shd w:val="clear" w:color="auto" w:fill="auto"/>
        </w:rPr>
        <w:t>采云平台（https://www.lecaiyun.com/）</w:t>
      </w:r>
    </w:p>
    <w:p>
      <w:pPr>
        <w:spacing w:line="360" w:lineRule="auto"/>
        <w:ind w:firstLine="482" w:firstLineChars="200"/>
        <w:rPr>
          <w:rFonts w:ascii="仿宋" w:hAnsi="仿宋" w:eastAsia="仿宋" w:cs="仿宋"/>
          <w:bCs/>
          <w:color w:val="auto"/>
          <w:sz w:val="24"/>
          <w:highlight w:val="none"/>
          <w:u w:val="single"/>
          <w:shd w:val="clear" w:color="auto" w:fill="auto"/>
        </w:rPr>
      </w:pPr>
      <w:r>
        <w:rPr>
          <w:rFonts w:hint="eastAsia" w:ascii="仿宋" w:hAnsi="仿宋" w:eastAsia="仿宋" w:cs="仿宋"/>
          <w:b/>
          <w:color w:val="auto"/>
          <w:sz w:val="24"/>
          <w:highlight w:val="none"/>
          <w:shd w:val="clear" w:color="auto" w:fill="auto"/>
        </w:rPr>
        <w:t>交易时间：</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01</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17</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u w:val="single"/>
          <w:shd w:val="clear" w:color="auto" w:fill="auto"/>
          <w:lang w:val="en-US" w:eastAsia="zh-CN"/>
        </w:rPr>
        <w:t>14</w:t>
      </w:r>
      <w:r>
        <w:rPr>
          <w:rFonts w:hint="eastAsia" w:ascii="仿宋" w:hAnsi="仿宋" w:eastAsia="仿宋" w:cs="仿宋"/>
          <w:color w:val="auto"/>
          <w:sz w:val="24"/>
          <w:highlight w:val="none"/>
          <w:u w:val="single"/>
          <w:shd w:val="clear" w:color="auto" w:fill="auto"/>
        </w:rPr>
        <w:t>点30分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shd w:val="clear" w:color="auto" w:fill="auto"/>
        </w:rPr>
        <w:t>交易地点（网址）：</w:t>
      </w:r>
      <w:r>
        <w:rPr>
          <w:rFonts w:hint="eastAsia" w:ascii="仿宋" w:hAnsi="仿宋" w:eastAsia="仿宋" w:cs="仿宋"/>
          <w:b w:val="0"/>
          <w:bCs/>
          <w:color w:val="auto"/>
          <w:sz w:val="24"/>
          <w:highlight w:val="none"/>
          <w:shd w:val="clear" w:color="auto" w:fill="auto"/>
          <w:lang w:val="en-US" w:eastAsia="zh-CN"/>
        </w:rPr>
        <w:t>乐</w:t>
      </w:r>
      <w:r>
        <w:rPr>
          <w:rFonts w:hint="eastAsia" w:ascii="仿宋" w:hAnsi="仿宋" w:eastAsia="仿宋" w:cs="仿宋"/>
          <w:b w:val="0"/>
          <w:bCs/>
          <w:color w:val="auto"/>
          <w:sz w:val="24"/>
          <w:highlight w:val="none"/>
          <w:shd w:val="clear" w:color="auto" w:fill="auto"/>
        </w:rPr>
        <w:t>采云平台（https://www.lecaiyun.com/）</w:t>
      </w:r>
    </w:p>
    <w:p>
      <w:pPr>
        <w:spacing w:line="360" w:lineRule="auto"/>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lang w:eastAsia="zh-CN"/>
        </w:rPr>
        <w:t>五</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shd w:val="clear" w:color="auto" w:fill="auto"/>
        </w:rPr>
        <w:t xml:space="preserve">公告期限 </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shd w:val="clear" w:color="auto" w:fill="auto"/>
        </w:rPr>
        <w:t>自本公告发布之日起5个工作日。</w:t>
      </w:r>
    </w:p>
    <w:p>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个工作日内，以书面形式向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val="en-US" w:eastAsia="zh-CN"/>
        </w:rPr>
        <w:t>代理</w:t>
      </w:r>
      <w:r>
        <w:rPr>
          <w:rFonts w:hint="eastAsia" w:ascii="仿宋" w:hAnsi="仿宋" w:eastAsia="仿宋" w:cs="仿宋"/>
          <w:color w:val="auto"/>
          <w:sz w:val="24"/>
          <w:highlight w:val="none"/>
        </w:rPr>
        <w:t>代理机构提出质疑。质疑供应商对</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、代理机构的答复不满意或者</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、代理机构未在规定的时间内作出答复的，可以在答复期满后十五个工作日内向采购监督管理部门投诉。质疑函范本、投诉书范本请到浙江政府采购网下载专区下载。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的说明：①电子</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：本项目以数据电文形式，依托“萧采云平台（https://login.lecaiyun.com/user-login/#/login）”进行</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代理</w:t>
      </w:r>
      <w:r>
        <w:rPr>
          <w:rFonts w:hint="eastAsia" w:ascii="仿宋" w:hAnsi="仿宋" w:eastAsia="仿宋" w:cs="仿宋"/>
          <w:color w:val="auto"/>
          <w:sz w:val="24"/>
          <w:highlight w:val="none"/>
        </w:rPr>
        <w:t>机构将依托政采云平台完成本项目的电子交易活动，平台不接受未按上述方式获取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交易无效</w:t>
      </w:r>
      <w:r>
        <w:rPr>
          <w:rFonts w:hint="eastAsia" w:ascii="仿宋" w:hAnsi="仿宋" w:eastAsia="仿宋" w:cs="仿宋"/>
          <w:color w:val="auto"/>
          <w:sz w:val="24"/>
          <w:highlight w:val="none"/>
        </w:rPr>
        <w:t>；⑩具体操作指南：详见政采云平台“服务中心-帮助文档-项目采购-操作流程-电子招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w:t>
      </w:r>
      <w:r>
        <w:rPr>
          <w:rFonts w:hint="eastAsia" w:ascii="仿宋" w:hAnsi="仿宋" w:eastAsia="仿宋" w:cs="仿宋"/>
          <w:b/>
          <w:color w:val="auto"/>
          <w:sz w:val="24"/>
          <w:highlight w:val="none"/>
          <w:lang w:val="en-US" w:eastAsia="zh-CN"/>
        </w:rPr>
        <w:t>交易</w:t>
      </w:r>
      <w:r>
        <w:rPr>
          <w:rFonts w:hint="eastAsia" w:ascii="仿宋" w:hAnsi="仿宋" w:eastAsia="仿宋" w:cs="仿宋"/>
          <w:b/>
          <w:color w:val="auto"/>
          <w:sz w:val="24"/>
          <w:highlight w:val="none"/>
        </w:rPr>
        <w:t>提出询问、质疑、投诉，请按以下方式联系</w:t>
      </w:r>
    </w:p>
    <w:p>
      <w:pPr>
        <w:widowControl/>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1.交易发起人信息</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名称：</w:t>
      </w:r>
      <w:r>
        <w:rPr>
          <w:rFonts w:hint="eastAsia" w:ascii="仿宋" w:hAnsi="仿宋" w:eastAsia="仿宋" w:cs="仿宋"/>
          <w:color w:val="auto"/>
          <w:sz w:val="24"/>
          <w:highlight w:val="none"/>
          <w:shd w:val="clear" w:color="auto" w:fill="auto"/>
        </w:rPr>
        <w:t>杭州萧山商业城开发有限公司</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地址：</w:t>
      </w:r>
      <w:r>
        <w:rPr>
          <w:rFonts w:hint="eastAsia" w:ascii="仿宋" w:hAnsi="仿宋" w:eastAsia="仿宋" w:cs="仿宋"/>
          <w:color w:val="auto"/>
          <w:sz w:val="24"/>
          <w:highlight w:val="none"/>
          <w:shd w:val="clear" w:color="auto" w:fill="auto"/>
        </w:rPr>
        <w:t>萧山区商聚街 57 号</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项目联系人（询问）：桑哲奇</w:t>
      </w:r>
    </w:p>
    <w:p>
      <w:pPr>
        <w:spacing w:line="360" w:lineRule="auto"/>
        <w:ind w:firstLine="480" w:firstLineChars="200"/>
        <w:jc w:val="left"/>
        <w:rPr>
          <w:rFonts w:ascii="仿宋" w:hAnsi="仿宋" w:eastAsia="仿宋" w:cs="仿宋"/>
          <w:color w:val="auto"/>
          <w:sz w:val="24"/>
          <w:highlight w:val="none"/>
          <w:shd w:val="clear" w:color="auto" w:fill="auto"/>
        </w:rPr>
      </w:pPr>
      <w:r>
        <w:rPr>
          <w:rFonts w:hint="eastAsia" w:ascii="仿宋" w:hAnsi="仿宋" w:eastAsia="仿宋" w:cs="仿宋"/>
          <w:color w:val="auto"/>
          <w:sz w:val="24"/>
          <w:szCs w:val="28"/>
          <w:highlight w:val="none"/>
          <w:shd w:val="clear" w:color="auto" w:fill="auto"/>
        </w:rPr>
        <w:t>项目联系方式（询问）：</w:t>
      </w:r>
      <w:r>
        <w:rPr>
          <w:rFonts w:hint="eastAsia" w:ascii="仿宋" w:hAnsi="仿宋" w:eastAsia="仿宋" w:cs="仿宋"/>
          <w:color w:val="auto"/>
          <w:sz w:val="24"/>
          <w:highlight w:val="none"/>
          <w:shd w:val="clear" w:color="auto" w:fill="auto"/>
        </w:rPr>
        <w:t xml:space="preserve"> </w:t>
      </w:r>
      <w:r>
        <w:rPr>
          <w:rFonts w:ascii="仿宋" w:hAnsi="仿宋" w:eastAsia="仿宋" w:cs="仿宋"/>
          <w:color w:val="auto"/>
          <w:sz w:val="24"/>
          <w:highlight w:val="none"/>
          <w:shd w:val="clear" w:color="auto" w:fill="auto"/>
        </w:rPr>
        <w:t>18767105224</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质疑联系人：赵国平</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 xml:space="preserve">质疑联系方式： </w:t>
      </w:r>
      <w:r>
        <w:rPr>
          <w:rFonts w:ascii="仿宋" w:hAnsi="仿宋" w:eastAsia="仿宋" w:cs="仿宋"/>
          <w:color w:val="auto"/>
          <w:sz w:val="24"/>
          <w:szCs w:val="28"/>
          <w:highlight w:val="none"/>
          <w:shd w:val="clear" w:color="auto" w:fill="auto"/>
        </w:rPr>
        <w:t>15868167727</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2.代理机构信息</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名称：浙江华夏工程管理有限公司</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地址：萧山区金城路540号心意广场3幢1802</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项目联系人（询问）：张荣</w:t>
      </w:r>
    </w:p>
    <w:p>
      <w:pPr>
        <w:spacing w:line="360" w:lineRule="auto"/>
        <w:ind w:firstLine="480" w:firstLineChars="200"/>
        <w:jc w:val="left"/>
        <w:rPr>
          <w:rFonts w:ascii="仿宋" w:hAnsi="仿宋" w:eastAsia="仿宋" w:cs="仿宋"/>
          <w:bCs/>
          <w:snapToGrid w:val="0"/>
          <w:color w:val="auto"/>
          <w:kern w:val="28"/>
          <w:sz w:val="24"/>
          <w:highlight w:val="none"/>
          <w:shd w:val="clear" w:color="auto" w:fill="auto"/>
        </w:rPr>
      </w:pPr>
      <w:r>
        <w:rPr>
          <w:rFonts w:hint="eastAsia" w:ascii="仿宋" w:hAnsi="仿宋" w:eastAsia="仿宋" w:cs="仿宋"/>
          <w:color w:val="auto"/>
          <w:sz w:val="24"/>
          <w:szCs w:val="28"/>
          <w:highlight w:val="none"/>
          <w:shd w:val="clear" w:color="auto" w:fill="auto"/>
        </w:rPr>
        <w:t>项目联系方式（询问）：</w:t>
      </w:r>
      <w:r>
        <w:rPr>
          <w:rFonts w:hint="eastAsia" w:ascii="仿宋" w:hAnsi="仿宋" w:eastAsia="仿宋" w:cs="仿宋"/>
          <w:bCs/>
          <w:snapToGrid w:val="0"/>
          <w:color w:val="auto"/>
          <w:kern w:val="28"/>
          <w:sz w:val="24"/>
          <w:highlight w:val="none"/>
          <w:shd w:val="clear" w:color="auto" w:fill="auto"/>
        </w:rPr>
        <w:t>13750864344  1065599210@qq.com</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质疑联系人：尚赛</w:t>
      </w:r>
    </w:p>
    <w:p>
      <w:pPr>
        <w:spacing w:line="360" w:lineRule="auto"/>
        <w:ind w:firstLine="480" w:firstLineChars="200"/>
        <w:jc w:val="left"/>
        <w:rPr>
          <w:rFonts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质疑联系方式：</w:t>
      </w:r>
      <w:r>
        <w:rPr>
          <w:rFonts w:hint="eastAsia" w:ascii="仿宋" w:hAnsi="仿宋" w:eastAsia="仿宋" w:cs="仿宋"/>
          <w:bCs/>
          <w:snapToGrid w:val="0"/>
          <w:color w:val="auto"/>
          <w:kern w:val="28"/>
          <w:sz w:val="24"/>
          <w:highlight w:val="none"/>
          <w:shd w:val="clear" w:color="auto" w:fill="auto"/>
        </w:rPr>
        <w:t>0571-57572683</w:t>
      </w:r>
    </w:p>
    <w:p>
      <w:pPr>
        <w:spacing w:line="360" w:lineRule="auto"/>
        <w:ind w:firstLine="480" w:firstLineChars="200"/>
        <w:rPr>
          <w:rFonts w:ascii="仿宋" w:hAnsi="仿宋" w:eastAsia="仿宋" w:cs="仿宋"/>
          <w:color w:val="auto"/>
          <w:sz w:val="24"/>
          <w:highlight w:val="none"/>
          <w:shd w:val="clear" w:color="auto" w:fill="auto"/>
        </w:rPr>
      </w:pPr>
    </w:p>
    <w:p>
      <w:pPr>
        <w:spacing w:line="360" w:lineRule="auto"/>
        <w:ind w:firstLine="480" w:firstLineChars="200"/>
        <w:rPr>
          <w:rFonts w:ascii="仿宋" w:hAnsi="仿宋" w:eastAsia="仿宋" w:cs="仿宋"/>
          <w:color w:val="auto"/>
          <w:sz w:val="24"/>
          <w:highlight w:val="none"/>
          <w:shd w:val="clear" w:color="auto" w:fill="auto"/>
        </w:rPr>
      </w:pPr>
    </w:p>
    <w:p>
      <w:pPr>
        <w:spacing w:line="360" w:lineRule="auto"/>
        <w:ind w:firstLine="480" w:firstLineChars="200"/>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若对项目采购电子交易系统操作有疑问，可登录政采云（https://www.zcygov.cn/），点击右侧咨询小采，获取采小蜜智能服务管家帮助，或拨打政采云服务热线400-881-7190获取热线服务帮助。</w:t>
      </w:r>
    </w:p>
    <w:p>
      <w:pPr>
        <w:ind w:firstLine="480" w:firstLineChars="200"/>
        <w:rPr>
          <w:rFonts w:ascii="仿宋" w:hAnsi="仿宋" w:eastAsia="仿宋" w:cs="仿宋"/>
          <w:b/>
          <w:color w:val="auto"/>
          <w:sz w:val="36"/>
          <w:szCs w:val="20"/>
          <w:highlight w:val="none"/>
          <w:shd w:val="clear" w:color="auto" w:fill="auto"/>
        </w:rPr>
      </w:pPr>
      <w:r>
        <w:rPr>
          <w:rFonts w:hint="eastAsia" w:ascii="仿宋" w:hAnsi="仿宋" w:eastAsia="仿宋" w:cs="仿宋"/>
          <w:color w:val="auto"/>
          <w:sz w:val="24"/>
          <w:highlight w:val="none"/>
          <w:shd w:val="clear" w:color="auto" w:fill="auto"/>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供应商</w:t>
      </w:r>
      <w:r>
        <w:rPr>
          <w:rFonts w:hint="eastAsia" w:ascii="仿宋" w:hAnsi="仿宋" w:eastAsia="仿宋" w:cs="仿宋"/>
          <w:b/>
          <w:color w:val="auto"/>
          <w:sz w:val="36"/>
          <w:szCs w:val="20"/>
          <w:highlight w:val="none"/>
        </w:rPr>
        <w:t>须知</w:t>
      </w:r>
      <w:bookmarkEnd w:id="8"/>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en-US" w:eastAsia="zh-CN"/>
              </w:rPr>
              <w:t xml:space="preserve"> )A货物类</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    )B服务类</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bCs/>
                <w:color w:val="auto"/>
                <w:sz w:val="24"/>
                <w:highlight w:val="none"/>
                <w:shd w:val="clear" w:color="auto" w:fill="auto"/>
              </w:rPr>
              <w:t>杭州萧山商业城开发有限公司食堂菜品采购项目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批发业</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B</w:t>
            </w:r>
            <w:r>
              <w:rPr>
                <w:rFonts w:hint="eastAsia" w:ascii="仿宋" w:hAnsi="仿宋" w:eastAsia="仿宋" w:cs="仿宋"/>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val="0"/>
                <w:bCs/>
                <w:color w:val="auto"/>
                <w:sz w:val="24"/>
                <w:szCs w:val="20"/>
                <w:highlight w:val="none"/>
                <w:lang w:val="en-US" w:eastAsia="zh-CN"/>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交易保证金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w:t>
            </w:r>
            <w:r>
              <w:rPr>
                <w:rFonts w:hint="eastAsia" w:ascii="仿宋" w:hAnsi="仿宋" w:eastAsia="仿宋" w:cs="仿宋"/>
                <w:b w:val="0"/>
                <w:bCs/>
                <w:color w:val="auto"/>
                <w:kern w:val="0"/>
                <w:sz w:val="24"/>
                <w:highlight w:val="none"/>
                <w:lang w:eastAsia="zh-CN"/>
              </w:rPr>
              <w:t>交易一览表</w:t>
            </w:r>
            <w:r>
              <w:rPr>
                <w:rFonts w:hint="eastAsia" w:ascii="仿宋" w:hAnsi="仿宋" w:eastAsia="仿宋" w:cs="仿宋"/>
                <w:b w:val="0"/>
                <w:bCs/>
                <w:color w:val="auto"/>
                <w:kern w:val="0"/>
                <w:sz w:val="24"/>
                <w:highlight w:val="none"/>
              </w:rPr>
              <w:t>（报价表）是报价的唯一载体</w:t>
            </w:r>
            <w:r>
              <w:rPr>
                <w:rFonts w:hint="eastAsia" w:ascii="仿宋" w:hAnsi="仿宋" w:eastAsia="仿宋" w:cs="仿宋"/>
                <w:b w:val="0"/>
                <w:bCs/>
                <w:color w:val="auto"/>
                <w:kern w:val="0"/>
                <w:sz w:val="24"/>
                <w:highlight w:val="none"/>
                <w:lang w:val="zh-CN"/>
              </w:rPr>
              <w:t>。响应文件中价格全部采用人民币报价。交易文件未列明，而供应商认为必需的费用也需列入报价。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b w:val="0"/>
                <w:bCs/>
                <w:color w:val="auto"/>
                <w:kern w:val="0"/>
                <w:sz w:val="24"/>
                <w:highlight w:val="none"/>
                <w:lang w:val="zh-CN" w:eastAsia="zh-CN"/>
              </w:rPr>
            </w:pPr>
            <w:r>
              <w:rPr>
                <w:rFonts w:hint="eastAsia" w:ascii="仿宋" w:hAnsi="仿宋" w:eastAsia="仿宋" w:cs="仿宋"/>
                <w:b w:val="0"/>
                <w:bCs/>
                <w:color w:val="auto"/>
                <w:kern w:val="0"/>
                <w:sz w:val="24"/>
                <w:highlight w:val="none"/>
                <w:lang w:val="zh-CN"/>
              </w:rPr>
              <w:t>交易报价超过交易文件中规定的预算金额或者最高限价的</w:t>
            </w:r>
            <w:r>
              <w:rPr>
                <w:rFonts w:hint="eastAsia" w:ascii="仿宋" w:hAnsi="仿宋" w:eastAsia="仿宋" w:cs="仿宋"/>
                <w:b w:val="0"/>
                <w:bCs/>
                <w:color w:val="auto"/>
                <w:kern w:val="0"/>
                <w:sz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b w:val="0"/>
                <w:bCs/>
                <w:color w:val="auto"/>
                <w:kern w:val="0"/>
                <w:sz w:val="24"/>
                <w:highlight w:val="none"/>
                <w:lang w:eastAsia="zh-CN"/>
              </w:rPr>
            </w:pPr>
            <w:r>
              <w:rPr>
                <w:rFonts w:hint="eastAsia" w:ascii="仿宋" w:hAnsi="仿宋" w:eastAsia="仿宋" w:cs="仿宋"/>
                <w:b w:val="0"/>
                <w:bCs/>
                <w:color w:val="auto"/>
                <w:kern w:val="0"/>
                <w:sz w:val="24"/>
                <w:highlight w:val="none"/>
              </w:rPr>
              <w:t>报价明显低于其他通过符合性审查</w:t>
            </w:r>
            <w:r>
              <w:rPr>
                <w:rFonts w:hint="eastAsia" w:ascii="仿宋" w:hAnsi="仿宋" w:eastAsia="仿宋" w:cs="仿宋"/>
                <w:b w:val="0"/>
                <w:bCs/>
                <w:color w:val="auto"/>
                <w:kern w:val="0"/>
                <w:sz w:val="24"/>
                <w:highlight w:val="none"/>
                <w:lang w:eastAsia="zh-CN"/>
              </w:rPr>
              <w:t>供应商</w:t>
            </w:r>
            <w:r>
              <w:rPr>
                <w:rFonts w:hint="eastAsia" w:ascii="仿宋" w:hAnsi="仿宋" w:eastAsia="仿宋" w:cs="仿宋"/>
                <w:b w:val="0"/>
                <w:bCs/>
                <w:color w:val="auto"/>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val="0"/>
                <w:bCs/>
                <w:color w:val="auto"/>
                <w:kern w:val="0"/>
                <w:sz w:val="24"/>
                <w:highlight w:val="none"/>
                <w:lang w:eastAsia="zh-CN"/>
              </w:rPr>
              <w:t>供应商</w:t>
            </w:r>
            <w:r>
              <w:rPr>
                <w:rFonts w:hint="eastAsia" w:ascii="仿宋" w:hAnsi="仿宋" w:eastAsia="仿宋" w:cs="仿宋"/>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ind w:left="0" w:leftChars="0" w:hanging="4" w:firstLine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备份文件是否收取：不收取</w:t>
            </w:r>
          </w:p>
          <w:p>
            <w:pPr>
              <w:pStyle w:val="35"/>
              <w:spacing w:line="360" w:lineRule="auto"/>
              <w:ind w:left="0" w:leftChars="0" w:hanging="4" w:firstLine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lang w:eastAsia="zh-CN"/>
              </w:rPr>
              <w:t>单位在</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lang w:eastAsia="zh-CN"/>
              </w:rPr>
              <w:t>后提供纸质</w:t>
            </w:r>
            <w:r>
              <w:rPr>
                <w:rFonts w:hint="eastAsia" w:ascii="仿宋" w:hAnsi="仿宋" w:eastAsia="仿宋" w:cs="仿宋"/>
                <w:b/>
                <w:bCs w:val="0"/>
                <w:color w:val="auto"/>
                <w:sz w:val="24"/>
                <w:highlight w:val="none"/>
                <w:lang w:val="en-US" w:eastAsia="zh-CN"/>
              </w:rPr>
              <w:t>响应</w:t>
            </w:r>
            <w:r>
              <w:rPr>
                <w:rFonts w:hint="eastAsia" w:ascii="仿宋" w:hAnsi="仿宋" w:eastAsia="仿宋" w:cs="仿宋"/>
                <w:b/>
                <w:bCs w:val="0"/>
                <w:color w:val="auto"/>
                <w:sz w:val="24"/>
                <w:highlight w:val="none"/>
                <w:lang w:eastAsia="zh-CN"/>
              </w:rPr>
              <w:t>文件一正</w:t>
            </w:r>
            <w:r>
              <w:rPr>
                <w:rFonts w:hint="eastAsia" w:ascii="仿宋" w:hAnsi="仿宋" w:eastAsia="仿宋" w:cs="仿宋"/>
                <w:b/>
                <w:bCs w:val="0"/>
                <w:color w:val="auto"/>
                <w:sz w:val="24"/>
                <w:highlight w:val="none"/>
                <w:lang w:val="en-US" w:eastAsia="zh-CN"/>
              </w:rPr>
              <w:t>三副。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代理</w:t>
            </w:r>
            <w:r>
              <w:rPr>
                <w:rFonts w:hint="eastAsia" w:ascii="仿宋" w:hAnsi="仿宋" w:eastAsia="仿宋" w:cs="仿宋"/>
                <w:b/>
                <w:color w:val="auto"/>
                <w:sz w:val="24"/>
                <w:highlight w:val="none"/>
              </w:rPr>
              <w:t>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highlight w:val="none"/>
                <w:shd w:val="clear" w:color="auto" w:fill="auto"/>
              </w:rPr>
              <w:t>由交易发起人支付。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ind w:left="0" w:leftChars="0" w:hanging="4" w:firstLineChars="0"/>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履约保证金：收取合同金额的1%，合同签订后支付，履约完成后无息退还。</w:t>
            </w:r>
          </w:p>
          <w:p>
            <w:pPr>
              <w:pStyle w:val="19"/>
              <w:spacing w:line="360" w:lineRule="auto"/>
              <w:ind w:firstLine="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供应商应当以支票</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rPr>
              <w:t>汇票等非现金形式提交。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eastAsia="zh-CN"/>
              </w:rPr>
              <w:t>交易发起人</w:t>
            </w:r>
            <w:r>
              <w:rPr>
                <w:rFonts w:hint="eastAsia" w:ascii="仿宋" w:hAnsi="仿宋" w:eastAsia="仿宋" w:cs="仿宋"/>
                <w:color w:val="auto"/>
                <w:sz w:val="24"/>
                <w:highlight w:val="none"/>
                <w:u w:val="none"/>
              </w:rPr>
              <w:t>质疑接收人：</w:t>
            </w:r>
            <w:r>
              <w:rPr>
                <w:rFonts w:hint="eastAsia" w:ascii="仿宋" w:hAnsi="仿宋" w:eastAsia="仿宋" w:cs="仿宋"/>
                <w:color w:val="auto"/>
                <w:sz w:val="24"/>
                <w:szCs w:val="28"/>
                <w:highlight w:val="none"/>
                <w:shd w:val="clear" w:color="auto" w:fill="auto"/>
              </w:rPr>
              <w:t>赵国平</w:t>
            </w:r>
            <w:r>
              <w:rPr>
                <w:rFonts w:hint="eastAsia" w:ascii="仿宋" w:hAnsi="仿宋" w:eastAsia="仿宋" w:cs="仿宋"/>
                <w:color w:val="auto"/>
                <w:sz w:val="24"/>
                <w:szCs w:val="28"/>
                <w:highlight w:val="none"/>
                <w:shd w:val="clear" w:color="auto" w:fill="auto"/>
                <w:lang w:val="en-US" w:eastAsia="zh-CN"/>
              </w:rPr>
              <w:t xml:space="preserve">  </w:t>
            </w:r>
            <w:r>
              <w:rPr>
                <w:rFonts w:hint="eastAsia" w:ascii="仿宋" w:hAnsi="仿宋" w:eastAsia="仿宋" w:cs="仿宋"/>
                <w:color w:val="auto"/>
                <w:sz w:val="24"/>
                <w:highlight w:val="none"/>
                <w:u w:val="none"/>
              </w:rPr>
              <w:t>联系方式：</w:t>
            </w:r>
            <w:r>
              <w:rPr>
                <w:rFonts w:ascii="仿宋" w:hAnsi="仿宋" w:eastAsia="仿宋" w:cs="仿宋"/>
                <w:color w:val="auto"/>
                <w:sz w:val="24"/>
                <w:szCs w:val="28"/>
                <w:highlight w:val="none"/>
                <w:shd w:val="clear" w:color="auto" w:fill="auto"/>
              </w:rPr>
              <w:t>15868167727</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地址：</w:t>
            </w:r>
            <w:r>
              <w:rPr>
                <w:rFonts w:hint="eastAsia" w:ascii="仿宋" w:hAnsi="仿宋" w:eastAsia="仿宋" w:cs="仿宋"/>
                <w:color w:val="auto"/>
                <w:sz w:val="24"/>
                <w:highlight w:val="none"/>
                <w:shd w:val="clear" w:color="auto" w:fill="auto"/>
              </w:rPr>
              <w:t>萧山区商聚街 57 号</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u w:val="none"/>
              </w:rPr>
              <w:t>邮箱:</w:t>
            </w:r>
            <w:r>
              <w:rPr>
                <w:rFonts w:hint="eastAsia" w:ascii="仿宋" w:hAnsi="仿宋" w:eastAsia="仿宋" w:cs="仿宋"/>
                <w:color w:val="auto"/>
                <w:sz w:val="24"/>
                <w:highlight w:val="none"/>
                <w:u w:val="none"/>
                <w:lang w:val="en-US" w:eastAsia="zh-CN"/>
              </w:rPr>
              <w:t>/</w:t>
            </w:r>
          </w:p>
          <w:p>
            <w:pPr>
              <w:snapToGrid w:val="0"/>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代理</w:t>
            </w:r>
            <w:r>
              <w:rPr>
                <w:rFonts w:hint="eastAsia" w:ascii="仿宋" w:hAnsi="仿宋" w:eastAsia="仿宋" w:cs="仿宋"/>
                <w:color w:val="auto"/>
                <w:sz w:val="24"/>
                <w:highlight w:val="none"/>
                <w:u w:val="none"/>
              </w:rPr>
              <w:t>机构质疑接收人：</w:t>
            </w:r>
            <w:r>
              <w:rPr>
                <w:rFonts w:hint="eastAsia" w:ascii="仿宋" w:hAnsi="仿宋" w:eastAsia="仿宋" w:cs="仿宋"/>
                <w:color w:val="auto"/>
                <w:sz w:val="24"/>
                <w:szCs w:val="28"/>
                <w:highlight w:val="none"/>
                <w:shd w:val="clear" w:color="auto" w:fill="auto"/>
              </w:rPr>
              <w:t>尚赛</w:t>
            </w:r>
            <w:r>
              <w:rPr>
                <w:rFonts w:hint="eastAsia" w:ascii="仿宋" w:hAnsi="仿宋" w:eastAsia="仿宋" w:cs="仿宋"/>
                <w:color w:val="auto"/>
                <w:sz w:val="24"/>
                <w:szCs w:val="28"/>
                <w:highlight w:val="none"/>
                <w:shd w:val="clear" w:color="auto" w:fill="auto"/>
                <w:lang w:val="en-US" w:eastAsia="zh-CN"/>
              </w:rPr>
              <w:t xml:space="preserve">  </w:t>
            </w:r>
            <w:r>
              <w:rPr>
                <w:rFonts w:hint="eastAsia" w:ascii="仿宋" w:hAnsi="仿宋" w:eastAsia="仿宋" w:cs="仿宋"/>
                <w:color w:val="auto"/>
                <w:sz w:val="24"/>
                <w:highlight w:val="none"/>
                <w:u w:val="none"/>
              </w:rPr>
              <w:t>联系方式：</w:t>
            </w:r>
            <w:r>
              <w:rPr>
                <w:rFonts w:hint="eastAsia" w:ascii="仿宋" w:hAnsi="仿宋" w:eastAsia="仿宋" w:cs="仿宋"/>
                <w:bCs/>
                <w:snapToGrid w:val="0"/>
                <w:color w:val="auto"/>
                <w:kern w:val="28"/>
                <w:sz w:val="24"/>
                <w:highlight w:val="none"/>
                <w:shd w:val="clear" w:color="auto" w:fill="auto"/>
              </w:rPr>
              <w:t>0571-57572683</w:t>
            </w:r>
          </w:p>
          <w:p>
            <w:pPr>
              <w:snapToGrid w:val="0"/>
              <w:spacing w:line="360" w:lineRule="auto"/>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highlight w:val="none"/>
                <w:u w:val="none"/>
              </w:rPr>
              <w:t>地址：</w:t>
            </w:r>
            <w:r>
              <w:rPr>
                <w:rFonts w:hint="eastAsia" w:ascii="仿宋" w:hAnsi="仿宋" w:eastAsia="仿宋" w:cs="仿宋"/>
                <w:color w:val="auto"/>
                <w:sz w:val="24"/>
                <w:szCs w:val="28"/>
                <w:highlight w:val="none"/>
                <w:shd w:val="clear" w:color="auto" w:fill="auto"/>
              </w:rPr>
              <w:t>萧山区金城路540号心意广场3幢1802</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邮箱：</w:t>
            </w:r>
            <w:r>
              <w:rPr>
                <w:rFonts w:hint="eastAsia" w:ascii="仿宋" w:hAnsi="仿宋" w:eastAsia="仿宋" w:cs="仿宋"/>
                <w:color w:val="auto"/>
                <w:sz w:val="24"/>
                <w:highlight w:val="none"/>
                <w:u w:val="none"/>
                <w:lang w:val="en-US" w:eastAsia="zh-CN"/>
              </w:rPr>
              <w:t>1065599210</w:t>
            </w:r>
            <w:r>
              <w:rPr>
                <w:rFonts w:hint="eastAsia" w:ascii="仿宋" w:hAnsi="仿宋" w:eastAsia="仿宋" w:cs="仿宋"/>
                <w:color w:val="auto"/>
                <w:sz w:val="24"/>
                <w:highlight w:val="none"/>
                <w:u w:val="none"/>
              </w:rPr>
              <w:t xml:space="preserve">@qq.com </w:t>
            </w:r>
            <w:bookmarkStart w:id="381" w:name="_GoBack"/>
            <w:bookmarkEnd w:id="381"/>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要求的质疑文件（参考附件2），盖章扫描后发送，质疑的受理按答复主体划分以</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或</w:t>
            </w:r>
            <w:r>
              <w:rPr>
                <w:rFonts w:hint="eastAsia" w:ascii="仿宋" w:hAnsi="仿宋" w:eastAsia="仿宋" w:cs="仿宋"/>
                <w:b/>
                <w:color w:val="auto"/>
                <w:sz w:val="24"/>
                <w:highlight w:val="none"/>
                <w:lang w:val="en-US" w:eastAsia="zh-CN"/>
              </w:rPr>
              <w:t>代理</w:t>
            </w:r>
            <w:r>
              <w:rPr>
                <w:rFonts w:hint="eastAsia" w:ascii="仿宋" w:hAnsi="仿宋" w:eastAsia="仿宋" w:cs="仿宋"/>
                <w:b/>
                <w:color w:val="auto"/>
                <w:sz w:val="24"/>
                <w:highlight w:val="none"/>
              </w:rPr>
              <w:t>机构邮箱回复确认受理为准。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过程中有关现场考察或开标前答疑会事项由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进行答复。</w:t>
            </w:r>
          </w:p>
          <w:p>
            <w:pPr>
              <w:pStyle w:val="35"/>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w:t>
            </w:r>
            <w:r>
              <w:rPr>
                <w:rFonts w:hint="eastAsia" w:ascii="仿宋" w:hAnsi="仿宋" w:eastAsia="仿宋" w:cs="仿宋"/>
                <w:color w:val="auto"/>
                <w:sz w:val="24"/>
                <w:highlight w:val="none"/>
                <w:lang w:val="en-US" w:eastAsia="zh-CN"/>
              </w:rPr>
              <w:t>代理</w:t>
            </w:r>
            <w:r>
              <w:rPr>
                <w:rFonts w:hint="eastAsia" w:ascii="仿宋" w:hAnsi="仿宋" w:eastAsia="仿宋" w:cs="仿宋"/>
                <w:color w:val="auto"/>
                <w:sz w:val="24"/>
                <w:highlight w:val="none"/>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仿宋" w:hAnsi="仿宋" w:eastAsia="仿宋" w:cs="仿宋"/>
          <w:b/>
          <w:color w:val="auto"/>
          <w:sz w:val="32"/>
          <w:szCs w:val="20"/>
          <w:highlight w:val="none"/>
        </w:rPr>
      </w:pPr>
    </w:p>
    <w:bookmarkEnd w:id="9"/>
    <w:p>
      <w:pPr>
        <w:rPr>
          <w:rFonts w:hint="eastAsia" w:ascii="仿宋" w:hAnsi="仿宋" w:eastAsia="仿宋" w:cs="仿宋"/>
          <w:b/>
          <w:color w:val="auto"/>
          <w:sz w:val="32"/>
          <w:szCs w:val="20"/>
          <w:highlight w:val="none"/>
        </w:rPr>
      </w:pPr>
      <w:bookmarkStart w:id="10" w:name="_Toc164416483"/>
      <w:bookmarkStart w:id="11" w:name="第三部分"/>
      <w:r>
        <w:rPr>
          <w:rFonts w:hint="eastAsia" w:ascii="仿宋" w:hAnsi="仿宋" w:eastAsia="仿宋" w:cs="仿宋"/>
          <w:b/>
          <w:color w:val="auto"/>
          <w:sz w:val="32"/>
          <w:szCs w:val="20"/>
          <w:highlight w:val="none"/>
        </w:rPr>
        <w:br w:type="page"/>
      </w:r>
    </w:p>
    <w:p>
      <w:pPr>
        <w:keepNext w:val="0"/>
        <w:keepLines w:val="0"/>
        <w:pageBreakBefore w:val="0"/>
        <w:kinsoku/>
        <w:wordWrap/>
        <w:overflowPunct/>
        <w:topLinePunct w:val="0"/>
        <w:bidi w:val="0"/>
        <w:adjustRightInd/>
        <w:spacing w:beforeAutospacing="0" w:line="440" w:lineRule="exact"/>
        <w:ind w:left="0" w:leftChars="0" w:firstLine="0" w:firstLineChars="0"/>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keepNext w:val="0"/>
        <w:keepLines w:val="0"/>
        <w:pageBreakBefore w:val="0"/>
        <w:kinsoku/>
        <w:wordWrap/>
        <w:overflowPunct/>
        <w:topLinePunct w:val="0"/>
        <w:bidi w:val="0"/>
        <w:snapToGrid w:val="0"/>
        <w:spacing w:beforeAutospacing="0" w:line="440" w:lineRule="exact"/>
        <w:ind w:left="0" w:left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keepNext w:val="0"/>
        <w:keepLines w:val="0"/>
        <w:pageBreakBefore w:val="0"/>
        <w:kinsoku/>
        <w:wordWrap/>
        <w:overflowPunct/>
        <w:topLinePunct w:val="0"/>
        <w:bidi w:val="0"/>
        <w:snapToGrid w:val="0"/>
        <w:spacing w:beforeAutospacing="0"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、资格审查及信用信息查询、评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beforeAutospacing="0" w:line="440" w:lineRule="exact"/>
        <w:ind w:left="0" w:left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”系指是指响应招标、参加</w:t>
      </w:r>
      <w:r>
        <w:rPr>
          <w:rFonts w:hint="eastAsia" w:ascii="仿宋" w:hAnsi="仿宋" w:eastAsia="仿宋" w:cs="仿宋"/>
          <w:color w:val="auto"/>
          <w:sz w:val="24"/>
          <w:highlight w:val="none"/>
          <w:lang w:val="en-US" w:eastAsia="zh-CN"/>
        </w:rPr>
        <w:t>公开</w:t>
      </w:r>
      <w:r>
        <w:rPr>
          <w:rFonts w:hint="eastAsia" w:ascii="仿宋" w:hAnsi="仿宋" w:eastAsia="仿宋" w:cs="仿宋"/>
          <w:color w:val="auto"/>
          <w:sz w:val="24"/>
          <w:highlight w:val="none"/>
        </w:rPr>
        <w:t>竞争的法人、其他组织或者自然人。</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供应商电子签名指供应商电子公章</w:t>
      </w:r>
      <w:r>
        <w:rPr>
          <w:rFonts w:hint="eastAsia" w:ascii="仿宋" w:hAnsi="仿宋" w:eastAsia="仿宋" w:cs="仿宋"/>
          <w:color w:val="auto"/>
          <w:sz w:val="24"/>
          <w:highlight w:val="none"/>
        </w:rPr>
        <w:t>；“公章”系指单位法定名称章。因特殊原因需要使用冠以法定名称的业务专用章的，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beforeAutospacing="0"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2.6“电子交易平台”是指本项目采购活动所依托的政府采购云平台（https://www.zcygov.cn/）。</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val="0"/>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pPr>
        <w:keepNext w:val="0"/>
        <w:keepLines w:val="0"/>
        <w:pageBreakBefore w:val="0"/>
        <w:kinsoku/>
        <w:wordWrap/>
        <w:overflowPunct/>
        <w:topLinePunct w:val="0"/>
        <w:bidi w:val="0"/>
        <w:spacing w:beforeAutospacing="0" w:line="44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3.询问、质疑、投诉</w:t>
      </w:r>
    </w:p>
    <w:p>
      <w:pPr>
        <w:keepNext w:val="0"/>
        <w:keepLines w:val="0"/>
        <w:pageBreakBefore w:val="0"/>
        <w:kinsoku/>
        <w:wordWrap/>
        <w:overflowPunct/>
        <w:topLinePunct w:val="0"/>
        <w:autoSpaceDE w:val="0"/>
        <w:autoSpaceDN w:val="0"/>
        <w:bidi w:val="0"/>
        <w:spacing w:beforeAutospacing="0" w:line="44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.1供应商询问</w:t>
      </w:r>
    </w:p>
    <w:p>
      <w:pPr>
        <w:keepNext w:val="0"/>
        <w:keepLines w:val="0"/>
        <w:pageBreakBefore w:val="0"/>
        <w:kinsoku/>
        <w:wordWrap/>
        <w:overflowPunct/>
        <w:topLinePunct w:val="0"/>
        <w:autoSpaceDE w:val="0"/>
        <w:autoSpaceDN w:val="0"/>
        <w:bidi w:val="0"/>
        <w:spacing w:beforeAutospacing="0" w:line="44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活动事项有疑问的，可以提出询问，交易发起人或者代理机构应当在3个工作日内对供应商依法提出的询问作出答复，但答复的内容不得涉及商业秘密。供应商提出的询问超出交易发起人对代理机构委托授权范围的，代理机构应当告知供应商向交易发起人提出。</w:t>
      </w:r>
    </w:p>
    <w:p>
      <w:pPr>
        <w:keepNext w:val="0"/>
        <w:keepLines w:val="0"/>
        <w:pageBreakBefore w:val="0"/>
        <w:kinsoku/>
        <w:wordWrap/>
        <w:overflowPunct/>
        <w:topLinePunct w:val="0"/>
        <w:autoSpaceDE w:val="0"/>
        <w:autoSpaceDN w:val="0"/>
        <w:bidi w:val="0"/>
        <w:spacing w:beforeAutospacing="0" w:line="44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.2供应商质疑</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过程和</w:t>
      </w:r>
      <w:r>
        <w:rPr>
          <w:rFonts w:hint="eastAsia" w:ascii="仿宋" w:hAnsi="仿宋" w:eastAsia="仿宋" w:cs="仿宋"/>
          <w:color w:val="auto"/>
          <w:sz w:val="24"/>
          <w:highlight w:val="none"/>
          <w:lang w:eastAsia="zh-CN"/>
        </w:rPr>
        <w:t>成交结果</w:t>
      </w:r>
      <w:r>
        <w:rPr>
          <w:rFonts w:hint="eastAsia" w:ascii="仿宋" w:hAnsi="仿宋" w:eastAsia="仿宋" w:cs="仿宋"/>
          <w:color w:val="auto"/>
          <w:sz w:val="24"/>
          <w:highlight w:val="none"/>
        </w:rPr>
        <w:t>使自己的权益受到损害的，可以在知道或者应知其权益受到损害之日起</w:t>
      </w:r>
      <w:r>
        <w:rPr>
          <w:rFonts w:hint="eastAsia" w:ascii="仿宋" w:hAnsi="仿宋" w:eastAsia="仿宋" w:cs="仿宋"/>
          <w:color w:val="auto"/>
          <w:sz w:val="24"/>
          <w:highlight w:val="none"/>
          <w:lang w:val="en-US" w:eastAsia="zh-CN"/>
        </w:rPr>
        <w:t>三天</w:t>
      </w:r>
      <w:r>
        <w:rPr>
          <w:rFonts w:hint="eastAsia" w:ascii="仿宋" w:hAnsi="仿宋" w:eastAsia="仿宋" w:cs="仿宋"/>
          <w:color w:val="auto"/>
          <w:sz w:val="24"/>
          <w:highlight w:val="none"/>
        </w:rPr>
        <w:t>内，以书面形式向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提出质疑，否则，</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不予受理：</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对采购过程提出质疑的，质疑期限为各采购程序环节结束之日起计算。对同一采购程序环节的质疑，供应商须一次性提出。</w:t>
      </w:r>
    </w:p>
    <w:p>
      <w:pPr>
        <w:pStyle w:val="35"/>
        <w:keepNext w:val="0"/>
        <w:keepLines w:val="0"/>
        <w:pageBreakBefore w:val="0"/>
        <w:kinsoku/>
        <w:wordWrap/>
        <w:overflowPunct/>
        <w:topLinePunct w:val="0"/>
        <w:bidi w:val="0"/>
        <w:spacing w:beforeAutospacing="0" w:line="440" w:lineRule="exact"/>
        <w:ind w:left="0" w:leftChars="0" w:firstLine="643" w:firstLineChars="200"/>
        <w:jc w:val="center"/>
        <w:textAlignment w:val="auto"/>
        <w:rPr>
          <w:rFonts w:hint="eastAsia" w:ascii="仿宋" w:hAnsi="仿宋" w:eastAsia="仿宋" w:cs="仿宋"/>
          <w:b/>
          <w:color w:val="auto"/>
          <w:sz w:val="32"/>
          <w:szCs w:val="20"/>
          <w:highlight w:val="none"/>
        </w:rPr>
      </w:pPr>
    </w:p>
    <w:p>
      <w:pPr>
        <w:pStyle w:val="35"/>
        <w:keepNext w:val="0"/>
        <w:keepLines w:val="0"/>
        <w:pageBreakBefore w:val="0"/>
        <w:kinsoku/>
        <w:wordWrap/>
        <w:overflowPunct/>
        <w:topLinePunct w:val="0"/>
        <w:bidi w:val="0"/>
        <w:spacing w:beforeAutospacing="0" w:line="440" w:lineRule="exact"/>
        <w:ind w:left="0" w:leftChars="0" w:firstLine="643" w:firstLineChars="20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.2.3供应商提出质疑应当提交质疑函和必要的证明材料。质疑函应当包括下列内容：</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.2.3.1供应商的姓名或者名称、地址、邮编、联系人及联系电话；</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.2.3.2质疑项目的名称、编号；</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.2.3.3具体、明确的质疑事项和与质疑事项相关的请求；</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.2.3.4事实依据；</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.2.3.5必要的法律依据；</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.2.3.6提出质疑的日期。</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.4</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应当在收到供应商的书面质疑后七个工作日内作出答复，并以书面形式通知质疑供应商和其他与质疑处理结果有利害关系的采购当事人，但答复的内容不得涉及商业秘密。</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.5询问或者质疑事项可能影响</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结果的，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应当暂停签订合同，已经签订合同的，应当中止履行合同。</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rPr>
        <w:t>.3供应商投诉</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.3.1质疑供应商对</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的答复不满意或者</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未在规定的时间内作出答复的，可以在答复期满后十五个工作日内向同级采购监督管理部门提出投诉。</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.3.3供应商投诉应当有明确的请求和必要的证明材料。</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.3.5 以联合体形式参加采购活动的，其投诉应当由组成联合体的所有供应商共同提出。</w:t>
      </w:r>
    </w:p>
    <w:p>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p>
    <w:p>
      <w:pPr>
        <w:keepNext w:val="0"/>
        <w:keepLines w:val="0"/>
        <w:pageBreakBefore w:val="0"/>
        <w:kinsoku/>
        <w:wordWrap/>
        <w:overflowPunct/>
        <w:topLinePunct w:val="0"/>
        <w:bidi w:val="0"/>
        <w:adjustRightInd/>
        <w:spacing w:beforeAutospacing="0" w:line="440" w:lineRule="exact"/>
        <w:ind w:left="0" w:leftChars="0"/>
        <w:jc w:val="center"/>
        <w:textAlignment w:val="auto"/>
        <w:outlineLvl w:val="0"/>
        <w:rPr>
          <w:rFonts w:hint="eastAsia" w:ascii="仿宋" w:hAnsi="仿宋" w:eastAsia="仿宋" w:cs="仿宋"/>
          <w:b/>
          <w:color w:val="auto"/>
          <w:sz w:val="32"/>
          <w:szCs w:val="20"/>
          <w:highlight w:val="none"/>
        </w:rPr>
      </w:pPr>
    </w:p>
    <w:p>
      <w:pPr>
        <w:pStyle w:val="35"/>
        <w:keepNext w:val="0"/>
        <w:keepLines w:val="0"/>
        <w:pageBreakBefore w:val="0"/>
        <w:kinsoku/>
        <w:wordWrap/>
        <w:overflowPunct/>
        <w:topLinePunct w:val="0"/>
        <w:bidi w:val="0"/>
        <w:spacing w:beforeAutospacing="0" w:line="44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pPr>
        <w:pStyle w:val="35"/>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pPr>
        <w:pStyle w:val="35"/>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pPr>
        <w:pStyle w:val="35"/>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需求；</w:t>
      </w:r>
    </w:p>
    <w:p>
      <w:pPr>
        <w:pStyle w:val="35"/>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eastAsia="zh-CN"/>
        </w:rPr>
        <w:t>交易办法</w:t>
      </w:r>
      <w:r>
        <w:rPr>
          <w:rFonts w:hint="eastAsia" w:ascii="仿宋" w:hAnsi="仿宋" w:eastAsia="仿宋" w:cs="仿宋"/>
          <w:color w:val="auto"/>
          <w:sz w:val="24"/>
          <w:szCs w:val="24"/>
          <w:highlight w:val="none"/>
        </w:rPr>
        <w:t>；</w:t>
      </w:r>
    </w:p>
    <w:p>
      <w:pPr>
        <w:pStyle w:val="35"/>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.1.5拟签订的合同文本；</w:t>
      </w:r>
    </w:p>
    <w:p>
      <w:pPr>
        <w:pStyle w:val="35"/>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rPr>
        <w:t>应提交的有关格式范例。</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pPr>
        <w:pStyle w:val="35"/>
        <w:keepNext w:val="0"/>
        <w:keepLines w:val="0"/>
        <w:pageBreakBefore w:val="0"/>
        <w:kinsoku/>
        <w:wordWrap/>
        <w:overflowPunct/>
        <w:topLinePunct w:val="0"/>
        <w:bidi w:val="0"/>
        <w:spacing w:beforeAutospacing="0" w:line="44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截止时间前，以书面形式向</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提出。</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截止时间和</w:t>
      </w:r>
      <w:r>
        <w:rPr>
          <w:rFonts w:hint="eastAsia" w:ascii="仿宋" w:hAnsi="仿宋" w:eastAsia="仿宋" w:cs="仿宋"/>
          <w:color w:val="auto"/>
          <w:highlight w:val="none"/>
          <w:lang w:eastAsia="zh-CN"/>
        </w:rPr>
        <w:t>交易时间</w:t>
      </w:r>
      <w:r>
        <w:rPr>
          <w:rFonts w:hint="eastAsia" w:ascii="仿宋" w:hAnsi="仿宋" w:eastAsia="仿宋" w:cs="仿宋"/>
          <w:color w:val="auto"/>
          <w:highlight w:val="none"/>
        </w:rPr>
        <w:t>。该澄清或者修改的内容为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pPr>
        <w:keepNext w:val="0"/>
        <w:keepLines w:val="0"/>
        <w:pageBreakBefore w:val="0"/>
        <w:kinsoku/>
        <w:wordWrap/>
        <w:overflowPunct/>
        <w:topLinePunct w:val="0"/>
        <w:bidi w:val="0"/>
        <w:adjustRightInd/>
        <w:spacing w:beforeAutospacing="0" w:line="440" w:lineRule="exact"/>
        <w:ind w:left="0" w:leftChars="0"/>
        <w:jc w:val="center"/>
        <w:textAlignment w:val="auto"/>
        <w:outlineLvl w:val="0"/>
        <w:rPr>
          <w:rFonts w:hint="eastAsia" w:ascii="仿宋" w:hAnsi="仿宋" w:eastAsia="仿宋" w:cs="仿宋"/>
          <w:b/>
          <w:color w:val="auto"/>
          <w:sz w:val="30"/>
          <w:szCs w:val="20"/>
          <w:highlight w:val="none"/>
        </w:rPr>
      </w:pPr>
    </w:p>
    <w:p>
      <w:pPr>
        <w:keepNext w:val="0"/>
        <w:keepLines w:val="0"/>
        <w:pageBreakBefore w:val="0"/>
        <w:kinsoku/>
        <w:wordWrap/>
        <w:overflowPunct/>
        <w:topLinePunct w:val="0"/>
        <w:bidi w:val="0"/>
        <w:adjustRightInd/>
        <w:spacing w:beforeAutospacing="0" w:line="440" w:lineRule="exact"/>
        <w:ind w:left="0" w:leftChars="0"/>
        <w:jc w:val="center"/>
        <w:textAlignment w:val="auto"/>
        <w:outlineLvl w:val="0"/>
        <w:rPr>
          <w:rFonts w:hint="eastAsia" w:ascii="仿宋" w:hAnsi="仿宋" w:eastAsia="仿宋" w:cs="仿宋"/>
          <w:b/>
          <w:color w:val="auto"/>
          <w:sz w:val="30"/>
          <w:szCs w:val="20"/>
          <w:highlight w:val="none"/>
          <w:lang w:val="en-US"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eastAsia="zh-CN"/>
        </w:rPr>
        <w:t>交</w:t>
      </w:r>
      <w:r>
        <w:rPr>
          <w:rFonts w:hint="eastAsia" w:ascii="仿宋" w:hAnsi="仿宋" w:eastAsia="仿宋" w:cs="仿宋"/>
          <w:b/>
          <w:color w:val="auto"/>
          <w:sz w:val="30"/>
          <w:szCs w:val="20"/>
          <w:highlight w:val="none"/>
          <w:lang w:val="en-US" w:eastAsia="zh-CN"/>
        </w:rPr>
        <w:t xml:space="preserve"> </w:t>
      </w:r>
      <w:r>
        <w:rPr>
          <w:rFonts w:hint="eastAsia" w:ascii="仿宋" w:hAnsi="仿宋" w:eastAsia="仿宋" w:cs="仿宋"/>
          <w:b/>
          <w:color w:val="auto"/>
          <w:sz w:val="30"/>
          <w:szCs w:val="20"/>
          <w:highlight w:val="none"/>
          <w:lang w:eastAsia="zh-CN"/>
        </w:rPr>
        <w:t>易</w:t>
      </w:r>
    </w:p>
    <w:p>
      <w:pPr>
        <w:pStyle w:val="35"/>
        <w:keepNext w:val="0"/>
        <w:keepLines w:val="0"/>
        <w:pageBreakBefore w:val="0"/>
        <w:kinsoku/>
        <w:wordWrap/>
        <w:overflowPunct/>
        <w:topLinePunct w:val="0"/>
        <w:bidi w:val="0"/>
        <w:spacing w:beforeAutospacing="0" w:line="44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pPr>
        <w:pStyle w:val="35"/>
        <w:keepNext w:val="0"/>
        <w:keepLines w:val="0"/>
        <w:pageBreakBefore w:val="0"/>
        <w:kinsoku/>
        <w:wordWrap/>
        <w:overflowPunct/>
        <w:topLinePunct w:val="0"/>
        <w:bidi w:val="0"/>
        <w:spacing w:beforeAutospacing="0" w:line="44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w:t>
      </w:r>
      <w:r>
        <w:rPr>
          <w:rFonts w:hint="eastAsia" w:ascii="仿宋" w:hAnsi="仿宋" w:eastAsia="仿宋" w:cs="仿宋"/>
          <w:b/>
          <w:color w:val="auto"/>
          <w:sz w:val="24"/>
          <w:szCs w:val="24"/>
          <w:highlight w:val="none"/>
        </w:rPr>
        <w:t>前答疑会或现场考察</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须知前附表的规定参加现场考察或者开标前答疑会。</w:t>
      </w:r>
    </w:p>
    <w:p>
      <w:pPr>
        <w:pStyle w:val="35"/>
        <w:keepNext w:val="0"/>
        <w:keepLines w:val="0"/>
        <w:pageBreakBefore w:val="0"/>
        <w:kinsoku/>
        <w:wordWrap/>
        <w:overflowPunct/>
        <w:topLinePunct w:val="0"/>
        <w:bidi w:val="0"/>
        <w:spacing w:beforeAutospacing="0" w:line="440" w:lineRule="exact"/>
        <w:ind w:left="0" w:leftChars="0"/>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kern w:val="28"/>
          <w:sz w:val="24"/>
          <w:szCs w:val="24"/>
          <w:highlight w:val="none"/>
          <w:lang w:val="en-US" w:eastAsia="zh-CN"/>
        </w:rPr>
        <w:t>8</w:t>
      </w:r>
      <w:r>
        <w:rPr>
          <w:rFonts w:hint="eastAsia" w:ascii="仿宋" w:hAnsi="仿宋" w:eastAsia="仿宋" w:cs="仿宋"/>
          <w:b/>
          <w:color w:val="auto"/>
          <w:kern w:val="28"/>
          <w:sz w:val="24"/>
          <w:szCs w:val="24"/>
          <w:highlight w:val="none"/>
        </w:rPr>
        <w:t>.</w:t>
      </w:r>
      <w:r>
        <w:rPr>
          <w:rFonts w:hint="eastAsia" w:ascii="仿宋" w:hAnsi="仿宋" w:eastAsia="仿宋" w:cs="仿宋"/>
          <w:b/>
          <w:color w:val="auto"/>
          <w:kern w:val="28"/>
          <w:sz w:val="24"/>
          <w:szCs w:val="24"/>
          <w:highlight w:val="none"/>
          <w:lang w:eastAsia="zh-CN"/>
        </w:rPr>
        <w:t>交易保证金</w:t>
      </w:r>
    </w:p>
    <w:p>
      <w:pPr>
        <w:pStyle w:val="35"/>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详见前附表。</w:t>
      </w:r>
    </w:p>
    <w:p>
      <w:pPr>
        <w:pStyle w:val="35"/>
        <w:keepNext w:val="0"/>
        <w:keepLines w:val="0"/>
        <w:pageBreakBefore w:val="0"/>
        <w:kinsoku/>
        <w:wordWrap/>
        <w:overflowPunct/>
        <w:topLinePunct w:val="0"/>
        <w:bidi w:val="0"/>
        <w:spacing w:beforeAutospacing="0" w:line="44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pPr>
        <w:keepNext w:val="0"/>
        <w:keepLines w:val="0"/>
        <w:pageBreakBefore w:val="0"/>
        <w:kinsoku/>
        <w:wordWrap/>
        <w:overflowPunct/>
        <w:topLinePunct w:val="0"/>
        <w:autoSpaceDE w:val="0"/>
        <w:autoSpaceDN w:val="0"/>
        <w:bidi w:val="0"/>
        <w:spacing w:beforeAutospacing="0" w:line="440" w:lineRule="exact"/>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有关的来往通知、函件和文件均应使用中文。</w:t>
      </w:r>
    </w:p>
    <w:p>
      <w:pPr>
        <w:pStyle w:val="35"/>
        <w:keepNext w:val="0"/>
        <w:keepLines w:val="0"/>
        <w:pageBreakBefore w:val="0"/>
        <w:kinsoku/>
        <w:wordWrap/>
        <w:overflowPunct/>
        <w:topLinePunct w:val="0"/>
        <w:bidi w:val="0"/>
        <w:spacing w:beforeAutospacing="0" w:line="44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pPr>
        <w:keepNext w:val="0"/>
        <w:keepLines w:val="0"/>
        <w:pageBreakBefore w:val="0"/>
        <w:kinsoku/>
        <w:wordWrap/>
        <w:overflowPunct/>
        <w:topLinePunct w:val="0"/>
        <w:bidi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.1.1符合参加</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活动应当具备的一般条件的承诺函；</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10.1.2落实政府采购政策需满足的资格要求；</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pPr>
        <w:keepNext w:val="0"/>
        <w:keepLines w:val="0"/>
        <w:pageBreakBefore w:val="0"/>
        <w:kinsoku/>
        <w:wordWrap/>
        <w:overflowPunct/>
        <w:topLinePunct w:val="0"/>
        <w:bidi w:val="0"/>
        <w:snapToGrid w:val="0"/>
        <w:spacing w:beforeAutospacing="0" w:line="440" w:lineRule="exact"/>
        <w:ind w:left="0" w:leftChars="0"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交易函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10.2</w:t>
      </w:r>
      <w:r>
        <w:rPr>
          <w:rFonts w:hint="eastAsia" w:ascii="仿宋" w:hAnsi="仿宋" w:eastAsia="仿宋" w:cs="仿宋"/>
          <w:color w:val="auto"/>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10.2</w:t>
      </w:r>
      <w:r>
        <w:rPr>
          <w:rFonts w:hint="eastAsia" w:ascii="仿宋" w:hAnsi="仿宋" w:eastAsia="仿宋" w:cs="仿宋"/>
          <w:color w:val="auto"/>
          <w:sz w:val="24"/>
          <w:highlight w:val="none"/>
        </w:rPr>
        <w:t>.3符合性审查资料；</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10.2</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标准相应的商务技术资料；</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10.2</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响应标的清单</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10.2</w:t>
      </w:r>
      <w:r>
        <w:rPr>
          <w:rFonts w:hint="eastAsia" w:ascii="仿宋" w:hAnsi="仿宋" w:eastAsia="仿宋" w:cs="仿宋"/>
          <w:color w:val="auto"/>
          <w:sz w:val="24"/>
          <w:highlight w:val="none"/>
        </w:rPr>
        <w:t>.6商务技术偏离表；</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10.2</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供应商廉洁自律承诺书；</w:t>
      </w:r>
    </w:p>
    <w:p>
      <w:pPr>
        <w:keepNext w:val="0"/>
        <w:keepLines w:val="0"/>
        <w:pageBreakBefore w:val="0"/>
        <w:kinsoku/>
        <w:wordWrap/>
        <w:overflowPunct/>
        <w:topLinePunct w:val="0"/>
        <w:bidi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交易一览表</w:t>
      </w:r>
      <w:r>
        <w:rPr>
          <w:rFonts w:hint="eastAsia" w:ascii="仿宋" w:hAnsi="仿宋" w:eastAsia="仿宋" w:cs="仿宋"/>
          <w:color w:val="auto"/>
          <w:sz w:val="24"/>
          <w:highlight w:val="none"/>
        </w:rPr>
        <w:t>（报价表）；</w:t>
      </w:r>
    </w:p>
    <w:p>
      <w:pPr>
        <w:keepNext w:val="0"/>
        <w:keepLines w:val="0"/>
        <w:pageBreakBefore w:val="0"/>
        <w:kinsoku/>
        <w:wordWrap/>
        <w:overflowPunct/>
        <w:topLinePunct w:val="0"/>
        <w:bidi w:val="0"/>
        <w:spacing w:beforeAutospacing="0" w:line="440" w:lineRule="exact"/>
        <w:ind w:left="0" w:leftChars="0" w:firstLine="723" w:firstLineChars="3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不能接受的附加条件的，</w:t>
      </w:r>
      <w:r>
        <w:rPr>
          <w:rFonts w:hint="eastAsia" w:ascii="仿宋" w:hAnsi="仿宋" w:eastAsia="仿宋" w:cs="仿宋"/>
          <w:b/>
          <w:color w:val="auto"/>
          <w:sz w:val="24"/>
          <w:highlight w:val="none"/>
          <w:lang w:eastAsia="zh-CN"/>
        </w:rPr>
        <w:t>交易无效</w:t>
      </w:r>
      <w:r>
        <w:rPr>
          <w:rFonts w:hint="eastAsia" w:ascii="仿宋" w:hAnsi="仿宋" w:eastAsia="仿宋" w:cs="仿宋"/>
          <w:b/>
          <w:color w:val="auto"/>
          <w:sz w:val="24"/>
          <w:highlight w:val="none"/>
        </w:rPr>
        <w:t>；</w:t>
      </w:r>
    </w:p>
    <w:p>
      <w:pPr>
        <w:keepNext w:val="0"/>
        <w:keepLines w:val="0"/>
        <w:pageBreakBefore w:val="0"/>
        <w:kinsoku/>
        <w:wordWrap/>
        <w:overflowPunct/>
        <w:topLinePunct w:val="0"/>
        <w:bidi w:val="0"/>
        <w:spacing w:beforeAutospacing="0" w:line="440" w:lineRule="exact"/>
        <w:ind w:left="0" w:leftChars="0" w:firstLine="723" w:firstLineChars="3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交易无效</w:t>
      </w:r>
      <w:r>
        <w:rPr>
          <w:rFonts w:hint="eastAsia" w:ascii="仿宋" w:hAnsi="仿宋" w:eastAsia="仿宋" w:cs="仿宋"/>
          <w:b/>
          <w:color w:val="auto"/>
          <w:sz w:val="24"/>
          <w:highlight w:val="none"/>
        </w:rPr>
        <w:t>。</w:t>
      </w:r>
    </w:p>
    <w:p>
      <w:pPr>
        <w:pStyle w:val="130"/>
        <w:keepNext w:val="0"/>
        <w:keepLines w:val="0"/>
        <w:pageBreakBefore w:val="0"/>
        <w:kinsoku/>
        <w:wordWrap/>
        <w:overflowPunct/>
        <w:topLinePunct w:val="0"/>
        <w:bidi w:val="0"/>
        <w:snapToGrid w:val="0"/>
        <w:spacing w:before="0" w:beforeAutospacing="0" w:line="440" w:lineRule="exact"/>
        <w:ind w:left="0" w:leftChars="0" w:firstLine="0" w:firstLineChars="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审委员会查找不到有效文件是供应商的风险。</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.2供应商进行电子响应应安装客户端软件—“政采云电子交易客户端”，并按照交易文件和电子交易平台的要求编制并加密响应文件。供应商未按规定加密的响应文件，电子交易平台将拒收并提示。</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beforeAutospacing="0" w:line="44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交易无效</w:t>
      </w:r>
      <w:r>
        <w:rPr>
          <w:rFonts w:hint="eastAsia" w:ascii="仿宋" w:hAnsi="仿宋" w:eastAsia="仿宋" w:cs="仿宋"/>
          <w:color w:val="auto"/>
          <w:szCs w:val="24"/>
          <w:highlight w:val="none"/>
        </w:rPr>
        <w:t>。</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截止时间前完成在“政府采购云平台”的身份认证，确保在电子</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过程中能够对相关数据电文进行加密和使用电子签名。</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pPr>
        <w:pStyle w:val="130"/>
        <w:keepNext w:val="0"/>
        <w:keepLines w:val="0"/>
        <w:pageBreakBefore w:val="0"/>
        <w:kinsoku/>
        <w:wordWrap/>
        <w:overflowPunct/>
        <w:topLinePunct w:val="0"/>
        <w:bidi w:val="0"/>
        <w:spacing w:before="0" w:beforeAutospacing="0" w:line="440" w:lineRule="exact"/>
        <w:ind w:left="0" w:leftChars="0"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pPr>
        <w:pStyle w:val="130"/>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.1供应商应当在</w:t>
      </w:r>
      <w:r>
        <w:rPr>
          <w:rFonts w:hint="eastAsia" w:ascii="仿宋" w:hAnsi="仿宋" w:eastAsia="仿宋" w:cs="仿宋"/>
          <w:color w:val="auto"/>
          <w:szCs w:val="24"/>
          <w:highlight w:val="none"/>
          <w:lang w:val="en-US" w:eastAsia="zh-CN"/>
        </w:rPr>
        <w:t>交易</w:t>
      </w:r>
      <w:r>
        <w:rPr>
          <w:rFonts w:hint="eastAsia" w:ascii="仿宋" w:hAnsi="仿宋" w:eastAsia="仿宋" w:cs="仿宋"/>
          <w:color w:val="auto"/>
          <w:szCs w:val="24"/>
          <w:highlight w:val="none"/>
        </w:rPr>
        <w:t>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w:t>
      </w:r>
      <w:r>
        <w:rPr>
          <w:rFonts w:hint="eastAsia" w:ascii="仿宋" w:hAnsi="仿宋" w:eastAsia="仿宋" w:cs="仿宋"/>
          <w:color w:val="auto"/>
          <w:szCs w:val="24"/>
          <w:highlight w:val="none"/>
          <w:lang w:val="en-US" w:eastAsia="zh-CN"/>
        </w:rPr>
        <w:t>交易</w:t>
      </w:r>
      <w:r>
        <w:rPr>
          <w:rFonts w:hint="eastAsia" w:ascii="仿宋" w:hAnsi="仿宋" w:eastAsia="仿宋" w:cs="仿宋"/>
          <w:color w:val="auto"/>
          <w:szCs w:val="24"/>
          <w:highlight w:val="none"/>
        </w:rPr>
        <w:t>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交易</w:t>
      </w:r>
      <w:r>
        <w:rPr>
          <w:rFonts w:hint="eastAsia" w:ascii="仿宋" w:hAnsi="仿宋" w:eastAsia="仿宋" w:cs="仿宋"/>
          <w:color w:val="auto"/>
          <w:szCs w:val="24"/>
          <w:highlight w:val="none"/>
        </w:rPr>
        <w:t>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pPr>
        <w:pStyle w:val="130"/>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w:t>
      </w:r>
      <w:r>
        <w:rPr>
          <w:rFonts w:hint="eastAsia" w:ascii="仿宋" w:hAnsi="仿宋" w:eastAsia="仿宋" w:cs="仿宋"/>
          <w:color w:val="auto"/>
          <w:szCs w:val="24"/>
          <w:highlight w:val="none"/>
          <w:lang w:val="en-US" w:eastAsia="zh-CN"/>
        </w:rPr>
        <w:t>交易</w:t>
      </w:r>
      <w:r>
        <w:rPr>
          <w:rFonts w:hint="eastAsia" w:ascii="仿宋" w:hAnsi="仿宋" w:eastAsia="仿宋" w:cs="仿宋"/>
          <w:color w:val="auto"/>
          <w:szCs w:val="24"/>
          <w:highlight w:val="none"/>
        </w:rPr>
        <w:t>截止时间前，除供应商补充、修改或者撤回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pPr>
        <w:pStyle w:val="130"/>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eastAsia="zh-CN"/>
        </w:rPr>
        <w:t>交易发起人</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w:t>
      </w:r>
      <w:r>
        <w:rPr>
          <w:rFonts w:hint="eastAsia" w:ascii="仿宋" w:hAnsi="仿宋" w:eastAsia="仿宋" w:cs="仿宋"/>
          <w:color w:val="auto"/>
          <w:szCs w:val="24"/>
          <w:highlight w:val="none"/>
          <w:lang w:val="en-US" w:eastAsia="zh-CN"/>
        </w:rPr>
        <w:t>交易</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val="en-US" w:eastAsia="zh-CN"/>
        </w:rPr>
        <w:t>交易</w:t>
      </w:r>
      <w:r>
        <w:rPr>
          <w:rFonts w:hint="eastAsia" w:ascii="仿宋" w:hAnsi="仿宋" w:eastAsia="仿宋" w:cs="仿宋"/>
          <w:color w:val="auto"/>
          <w:szCs w:val="24"/>
          <w:highlight w:val="none"/>
        </w:rPr>
        <w:t>截止期。</w:t>
      </w:r>
    </w:p>
    <w:p>
      <w:pPr>
        <w:pStyle w:val="35"/>
        <w:keepNext w:val="0"/>
        <w:keepLines w:val="0"/>
        <w:pageBreakBefore w:val="0"/>
        <w:numPr>
          <w:ilvl w:val="0"/>
          <w:numId w:val="1"/>
        </w:numPr>
        <w:kinsoku/>
        <w:wordWrap/>
        <w:overflowPunct/>
        <w:topLinePunct w:val="0"/>
        <w:bidi w:val="0"/>
        <w:spacing w:beforeAutospacing="0" w:line="44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p>
    <w:p>
      <w:pPr>
        <w:pStyle w:val="35"/>
        <w:keepNext w:val="0"/>
        <w:keepLines w:val="0"/>
        <w:pageBreakBefore w:val="0"/>
        <w:numPr>
          <w:ilvl w:val="0"/>
          <w:numId w:val="0"/>
        </w:numPr>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lang w:val="en-US" w:eastAsia="zh-CN"/>
        </w:rPr>
        <w:t>不收取备份响应文件</w:t>
      </w:r>
    </w:p>
    <w:p>
      <w:pPr>
        <w:pStyle w:val="130"/>
        <w:keepNext w:val="0"/>
        <w:keepLines w:val="0"/>
        <w:pageBreakBefore w:val="0"/>
        <w:kinsoku/>
        <w:wordWrap/>
        <w:overflowPunct/>
        <w:topLinePunct w:val="0"/>
        <w:bidi w:val="0"/>
        <w:spacing w:before="0" w:beforeAutospacing="0" w:line="440" w:lineRule="exact"/>
        <w:ind w:left="0" w:leftChars="0"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pPr>
        <w:pStyle w:val="27"/>
        <w:keepNext w:val="0"/>
        <w:keepLines w:val="0"/>
        <w:pageBreakBefore w:val="0"/>
        <w:kinsoku/>
        <w:wordWrap/>
        <w:overflowPunct/>
        <w:topLinePunct w:val="0"/>
        <w:bidi w:val="0"/>
        <w:spacing w:beforeAutospacing="0" w:line="440" w:lineRule="exact"/>
        <w:ind w:left="0" w:leftChars="0"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w:t>
      </w:r>
      <w:r>
        <w:rPr>
          <w:rFonts w:hint="eastAsia" w:ascii="仿宋" w:hAnsi="仿宋" w:eastAsia="仿宋" w:cs="仿宋"/>
          <w:color w:val="auto"/>
          <w:szCs w:val="21"/>
          <w:highlight w:val="none"/>
          <w:lang w:eastAsia="zh-CN"/>
        </w:rPr>
        <w:t>交易无效</w:t>
      </w:r>
      <w:r>
        <w:rPr>
          <w:rFonts w:hint="eastAsia" w:ascii="仿宋" w:hAnsi="仿宋" w:eastAsia="仿宋" w:cs="仿宋"/>
          <w:color w:val="auto"/>
          <w:szCs w:val="21"/>
          <w:highlight w:val="none"/>
        </w:rPr>
        <w:t>：</w:t>
      </w:r>
    </w:p>
    <w:p>
      <w:pPr>
        <w:pStyle w:val="130"/>
        <w:keepNext w:val="0"/>
        <w:keepLines w:val="0"/>
        <w:pageBreakBefore w:val="0"/>
        <w:kinsoku/>
        <w:wordWrap/>
        <w:overflowPunct/>
        <w:topLinePunct w:val="0"/>
        <w:bidi w:val="0"/>
        <w:spacing w:before="0" w:beforeAutospacing="0" w:line="440" w:lineRule="exact"/>
        <w:ind w:left="0" w:leftChars="0" w:firstLine="0" w:firstLineChars="0"/>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交易有效期</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交易有效期</w:t>
      </w:r>
      <w:r>
        <w:rPr>
          <w:rFonts w:hint="eastAsia" w:ascii="仿宋" w:hAnsi="仿宋" w:eastAsia="仿宋" w:cs="仿宋"/>
          <w:color w:val="auto"/>
          <w:sz w:val="24"/>
          <w:szCs w:val="20"/>
          <w:highlight w:val="none"/>
        </w:rPr>
        <w:t>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交易有效期</w:t>
      </w:r>
      <w:r>
        <w:rPr>
          <w:rFonts w:hint="eastAsia" w:ascii="仿宋" w:hAnsi="仿宋" w:eastAsia="仿宋" w:cs="仿宋"/>
          <w:b/>
          <w:color w:val="auto"/>
          <w:sz w:val="24"/>
          <w:szCs w:val="21"/>
          <w:highlight w:val="none"/>
        </w:rPr>
        <w:t>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w:t>
      </w:r>
      <w:r>
        <w:rPr>
          <w:rFonts w:hint="eastAsia" w:ascii="仿宋" w:hAnsi="仿宋" w:eastAsia="仿宋" w:cs="仿宋"/>
          <w:b/>
          <w:color w:val="auto"/>
          <w:sz w:val="24"/>
          <w:szCs w:val="21"/>
          <w:highlight w:val="none"/>
          <w:lang w:eastAsia="zh-CN"/>
        </w:rPr>
        <w:t>交易有效期</w:t>
      </w:r>
      <w:r>
        <w:rPr>
          <w:rFonts w:hint="eastAsia" w:ascii="仿宋" w:hAnsi="仿宋" w:eastAsia="仿宋" w:cs="仿宋"/>
          <w:b/>
          <w:color w:val="auto"/>
          <w:sz w:val="24"/>
          <w:szCs w:val="21"/>
          <w:highlight w:val="none"/>
        </w:rPr>
        <w:t>的，</w:t>
      </w:r>
      <w:r>
        <w:rPr>
          <w:rFonts w:hint="eastAsia" w:ascii="仿宋" w:hAnsi="仿宋" w:eastAsia="仿宋" w:cs="仿宋"/>
          <w:b/>
          <w:color w:val="auto"/>
          <w:sz w:val="24"/>
          <w:szCs w:val="21"/>
          <w:highlight w:val="none"/>
          <w:lang w:eastAsia="zh-CN"/>
        </w:rPr>
        <w:t>交易无效</w:t>
      </w:r>
      <w:r>
        <w:rPr>
          <w:rFonts w:hint="eastAsia" w:ascii="仿宋" w:hAnsi="仿宋" w:eastAsia="仿宋" w:cs="仿宋"/>
          <w:b/>
          <w:color w:val="auto"/>
          <w:sz w:val="24"/>
          <w:szCs w:val="21"/>
          <w:highlight w:val="none"/>
        </w:rPr>
        <w:t>。</w:t>
      </w:r>
    </w:p>
    <w:p>
      <w:pPr>
        <w:pStyle w:val="130"/>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交易有效期</w:t>
      </w:r>
      <w:r>
        <w:rPr>
          <w:rFonts w:hint="eastAsia" w:ascii="仿宋" w:hAnsi="仿宋" w:eastAsia="仿宋" w:cs="仿宋"/>
          <w:color w:val="auto"/>
          <w:highlight w:val="none"/>
        </w:rPr>
        <w:t>内有效。</w:t>
      </w:r>
    </w:p>
    <w:p>
      <w:pPr>
        <w:pStyle w:val="130"/>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仿宋" w:hAnsi="仿宋" w:eastAsia="仿宋" w:cs="仿宋"/>
          <w:b/>
          <w:color w:val="auto"/>
          <w:sz w:val="32"/>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交易有效期</w:t>
      </w:r>
      <w:r>
        <w:rPr>
          <w:rFonts w:hint="eastAsia" w:ascii="仿宋" w:hAnsi="仿宋" w:eastAsia="仿宋" w:cs="仿宋"/>
          <w:color w:val="auto"/>
          <w:highlight w:val="none"/>
        </w:rPr>
        <w:t>满之前，如果出现特殊情况，</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交易有效期</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无效。</w:t>
      </w:r>
    </w:p>
    <w:p>
      <w:pPr>
        <w:pStyle w:val="130"/>
        <w:keepNext w:val="0"/>
        <w:keepLines w:val="0"/>
        <w:pageBreakBefore w:val="0"/>
        <w:kinsoku/>
        <w:wordWrap/>
        <w:overflowPunct/>
        <w:topLinePunct w:val="0"/>
        <w:bidi w:val="0"/>
        <w:spacing w:before="0" w:beforeAutospacing="0" w:line="440" w:lineRule="exact"/>
        <w:ind w:left="0" w:leftChars="0" w:firstLine="0" w:firstLineChars="0"/>
        <w:jc w:val="center"/>
        <w:textAlignment w:val="auto"/>
        <w:rPr>
          <w:rFonts w:hint="eastAsia" w:ascii="仿宋" w:hAnsi="仿宋" w:eastAsia="仿宋" w:cs="仿宋"/>
          <w:b/>
          <w:color w:val="auto"/>
          <w:sz w:val="32"/>
          <w:highlight w:val="none"/>
        </w:rPr>
      </w:pPr>
    </w:p>
    <w:p>
      <w:pPr>
        <w:pStyle w:val="130"/>
        <w:keepNext w:val="0"/>
        <w:keepLines w:val="0"/>
        <w:pageBreakBefore w:val="0"/>
        <w:kinsoku/>
        <w:wordWrap/>
        <w:overflowPunct/>
        <w:topLinePunct w:val="0"/>
        <w:bidi w:val="0"/>
        <w:spacing w:before="0" w:beforeAutospacing="0" w:line="440" w:lineRule="exact"/>
        <w:ind w:left="0" w:leftChars="0" w:firstLine="0" w:firstLine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eastAsia="zh-CN"/>
        </w:rPr>
        <w:t>交易</w:t>
      </w:r>
      <w:r>
        <w:rPr>
          <w:rFonts w:hint="eastAsia" w:ascii="仿宋" w:hAnsi="仿宋" w:eastAsia="仿宋" w:cs="仿宋"/>
          <w:b/>
          <w:color w:val="auto"/>
          <w:sz w:val="32"/>
          <w:highlight w:val="none"/>
        </w:rPr>
        <w:t>、资格审查</w:t>
      </w:r>
    </w:p>
    <w:p>
      <w:pPr>
        <w:pStyle w:val="556"/>
        <w:keepNext w:val="0"/>
        <w:keepLines w:val="0"/>
        <w:pageBreakBefore w:val="0"/>
        <w:kinsoku/>
        <w:wordWrap/>
        <w:overflowPunct/>
        <w:topLinePunct w:val="0"/>
        <w:bidi w:val="0"/>
        <w:spacing w:before="0" w:beforeAutospacing="0" w:line="440" w:lineRule="exact"/>
        <w:ind w:left="0" w:leftChars="0" w:firstLine="0" w:firstLineChars="0"/>
        <w:contextualSpacing/>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17.交易 </w:t>
      </w:r>
    </w:p>
    <w:p>
      <w:pPr>
        <w:pStyle w:val="556"/>
        <w:keepNext w:val="0"/>
        <w:keepLines w:val="0"/>
        <w:pageBreakBefore w:val="0"/>
        <w:kinsoku/>
        <w:wordWrap/>
        <w:overflowPunct/>
        <w:topLinePunct w:val="0"/>
        <w:bidi w:val="0"/>
        <w:spacing w:before="0" w:beforeAutospacing="0" w:line="440" w:lineRule="exact"/>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w:t>
      </w:r>
    </w:p>
    <w:p>
      <w:pPr>
        <w:pStyle w:val="556"/>
        <w:keepNext w:val="0"/>
        <w:keepLines w:val="0"/>
        <w:pageBreakBefore w:val="0"/>
        <w:kinsoku/>
        <w:wordWrap/>
        <w:overflowPunct/>
        <w:topLinePunct w:val="0"/>
        <w:bidi w:val="0"/>
        <w:spacing w:before="0" w:beforeAutospacing="0" w:line="440" w:lineRule="exact"/>
        <w:ind w:left="0" w:leftChars="0" w:firstLine="240" w:firstLineChars="1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时，电子交易平台按</w:t>
      </w:r>
      <w:r>
        <w:rPr>
          <w:rFonts w:hint="eastAsia" w:ascii="仿宋" w:hAnsi="仿宋" w:eastAsia="仿宋" w:cs="仿宋"/>
          <w:color w:val="auto"/>
          <w:sz w:val="24"/>
          <w:highlight w:val="none"/>
          <w:lang w:eastAsia="zh-CN"/>
        </w:rPr>
        <w:t>交易时间</w:t>
      </w:r>
      <w:r>
        <w:rPr>
          <w:rFonts w:hint="eastAsia" w:ascii="仿宋" w:hAnsi="仿宋" w:eastAsia="仿宋" w:cs="仿宋"/>
          <w:color w:val="auto"/>
          <w:sz w:val="24"/>
          <w:highlight w:val="none"/>
        </w:rPr>
        <w:t>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pPr>
        <w:pStyle w:val="556"/>
        <w:keepNext w:val="0"/>
        <w:keepLines w:val="0"/>
        <w:pageBreakBefore w:val="0"/>
        <w:kinsoku/>
        <w:wordWrap/>
        <w:overflowPunct/>
        <w:topLinePunct w:val="0"/>
        <w:bidi w:val="0"/>
        <w:spacing w:before="0" w:beforeAutospacing="0" w:line="440" w:lineRule="exact"/>
        <w:ind w:left="0" w:leftChars="0" w:firstLine="240" w:firstLineChars="1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pPr>
        <w:keepNext w:val="0"/>
        <w:keepLines w:val="0"/>
        <w:pageBreakBefore w:val="0"/>
        <w:widowControl/>
        <w:kinsoku/>
        <w:wordWrap/>
        <w:overflowPunct/>
        <w:topLinePunct w:val="0"/>
        <w:bidi w:val="0"/>
        <w:spacing w:beforeAutospacing="0" w:line="440" w:lineRule="exact"/>
        <w:ind w:left="0" w:leftChars="0"/>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8.</w:t>
      </w:r>
      <w:r>
        <w:rPr>
          <w:rFonts w:hint="eastAsia" w:ascii="仿宋" w:hAnsi="仿宋" w:eastAsia="仿宋" w:cs="仿宋"/>
          <w:b/>
          <w:color w:val="auto"/>
          <w:sz w:val="24"/>
          <w:szCs w:val="20"/>
          <w:highlight w:val="none"/>
        </w:rPr>
        <w:t>资格审查</w:t>
      </w:r>
    </w:p>
    <w:p>
      <w:pPr>
        <w:pStyle w:val="130"/>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后，</w:t>
      </w:r>
      <w:r>
        <w:rPr>
          <w:rFonts w:hint="eastAsia" w:ascii="仿宋" w:hAnsi="仿宋" w:eastAsia="仿宋" w:cs="仿宋"/>
          <w:color w:val="auto"/>
          <w:kern w:val="0"/>
          <w:szCs w:val="24"/>
          <w:highlight w:val="none"/>
          <w:lang w:eastAsia="zh-CN"/>
        </w:rPr>
        <w:t>交易发起人</w:t>
      </w:r>
      <w:r>
        <w:rPr>
          <w:rFonts w:hint="eastAsia" w:ascii="仿宋" w:hAnsi="仿宋" w:eastAsia="仿宋" w:cs="仿宋"/>
          <w:color w:val="auto"/>
          <w:kern w:val="0"/>
          <w:szCs w:val="24"/>
          <w:highlight w:val="none"/>
        </w:rPr>
        <w:t>或</w:t>
      </w:r>
      <w:r>
        <w:rPr>
          <w:rFonts w:hint="eastAsia" w:ascii="仿宋" w:hAnsi="仿宋" w:eastAsia="仿宋" w:cs="仿宋"/>
          <w:color w:val="auto"/>
          <w:kern w:val="0"/>
          <w:szCs w:val="24"/>
          <w:highlight w:val="none"/>
          <w:lang w:eastAsia="zh-CN"/>
        </w:rPr>
        <w:t>代理机构</w:t>
      </w:r>
      <w:r>
        <w:rPr>
          <w:rFonts w:hint="eastAsia" w:ascii="仿宋" w:hAnsi="仿宋" w:eastAsia="仿宋" w:cs="仿宋"/>
          <w:color w:val="auto"/>
          <w:kern w:val="0"/>
          <w:szCs w:val="24"/>
          <w:highlight w:val="none"/>
        </w:rPr>
        <w:t>将依法对</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的资格进行审查。</w:t>
      </w:r>
    </w:p>
    <w:p>
      <w:pPr>
        <w:keepNext w:val="0"/>
        <w:keepLines w:val="0"/>
        <w:pageBreakBefore w:val="0"/>
        <w:kinsoku/>
        <w:wordWrap/>
        <w:overflowPunct/>
        <w:topLinePunct w:val="0"/>
        <w:bidi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的基本资格条件、特定资格条件进行审查。</w:t>
      </w:r>
    </w:p>
    <w:p>
      <w:pPr>
        <w:pStyle w:val="130"/>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w:t>
      </w:r>
      <w:r>
        <w:rPr>
          <w:rFonts w:hint="eastAsia" w:ascii="仿宋" w:hAnsi="仿宋" w:eastAsia="仿宋" w:cs="仿宋"/>
          <w:color w:val="auto"/>
          <w:highlight w:val="none"/>
          <w:lang w:eastAsia="zh-CN"/>
        </w:rPr>
        <w:t>交易无效</w:t>
      </w:r>
      <w:r>
        <w:rPr>
          <w:rFonts w:hint="eastAsia" w:ascii="仿宋" w:hAnsi="仿宋" w:eastAsia="仿宋" w:cs="仿宋"/>
          <w:color w:val="auto"/>
          <w:highlight w:val="none"/>
        </w:rPr>
        <w:t>。</w:t>
      </w:r>
    </w:p>
    <w:p>
      <w:pPr>
        <w:pStyle w:val="130"/>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4对未通过资格审查的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告知其未通过的原因。</w:t>
      </w:r>
    </w:p>
    <w:p>
      <w:pPr>
        <w:pStyle w:val="130"/>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5合格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不足3家的，不再</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w:t>
      </w:r>
    </w:p>
    <w:p>
      <w:pPr>
        <w:keepNext w:val="0"/>
        <w:keepLines w:val="0"/>
        <w:pageBreakBefore w:val="0"/>
        <w:kinsoku/>
        <w:wordWrap/>
        <w:overflowPunct/>
        <w:topLinePunct w:val="0"/>
        <w:bidi w:val="0"/>
        <w:snapToGrid w:val="0"/>
        <w:spacing w:beforeAutospacing="0" w:line="440" w:lineRule="exact"/>
        <w:ind w:left="0" w:left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kinsoku/>
        <w:wordWrap/>
        <w:overflowPunct/>
        <w:topLinePunct w:val="0"/>
        <w:bidi w:val="0"/>
        <w:snapToGrid w:val="0"/>
        <w:spacing w:beforeAutospacing="0" w:line="440" w:lineRule="exact"/>
        <w:ind w:left="0" w:leftChars="0"/>
        <w:jc w:val="center"/>
        <w:textAlignment w:val="auto"/>
        <w:outlineLvl w:val="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五、评</w:t>
      </w:r>
      <w:r>
        <w:rPr>
          <w:rFonts w:hint="eastAsia" w:ascii="仿宋" w:hAnsi="仿宋" w:eastAsia="仿宋" w:cs="仿宋"/>
          <w:b/>
          <w:color w:val="auto"/>
          <w:sz w:val="32"/>
          <w:szCs w:val="32"/>
          <w:highlight w:val="none"/>
          <w:lang w:val="en-US" w:eastAsia="zh-CN"/>
        </w:rPr>
        <w:t>审</w:t>
      </w:r>
    </w:p>
    <w:p>
      <w:pPr>
        <w:keepNext w:val="0"/>
        <w:keepLines w:val="0"/>
        <w:pageBreakBefore w:val="0"/>
        <w:kinsoku/>
        <w:wordWrap/>
        <w:overflowPunct/>
        <w:topLinePunct w:val="0"/>
        <w:bidi w:val="0"/>
        <w:spacing w:beforeAutospacing="0" w:line="440" w:lineRule="exact"/>
        <w:ind w:left="0" w:leftChars="0"/>
        <w:textAlignment w:val="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工作职责，并按照</w:t>
      </w:r>
      <w:r>
        <w:rPr>
          <w:rFonts w:hint="eastAsia" w:ascii="仿宋" w:hAnsi="仿宋" w:eastAsia="仿宋" w:cs="仿宋"/>
          <w:color w:val="auto"/>
          <w:sz w:val="24"/>
          <w:highlight w:val="none"/>
          <w:lang w:eastAsia="zh-CN"/>
        </w:rPr>
        <w:t>评审方法</w:t>
      </w:r>
      <w:r>
        <w:rPr>
          <w:rFonts w:hint="eastAsia" w:ascii="仿宋" w:hAnsi="仿宋" w:eastAsia="仿宋" w:cs="仿宋"/>
          <w:color w:val="auto"/>
          <w:sz w:val="24"/>
          <w:highlight w:val="none"/>
        </w:rPr>
        <w:t>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w:t>
      </w:r>
      <w:r>
        <w:rPr>
          <w:rFonts w:hint="eastAsia" w:ascii="仿宋" w:hAnsi="仿宋" w:eastAsia="仿宋" w:cs="仿宋"/>
          <w:b/>
          <w:color w:val="auto"/>
          <w:sz w:val="24"/>
          <w:highlight w:val="none"/>
          <w:lang w:eastAsia="zh-CN"/>
        </w:rPr>
        <w:t>交易办法</w:t>
      </w:r>
      <w:r>
        <w:rPr>
          <w:rFonts w:hint="eastAsia" w:ascii="仿宋" w:hAnsi="仿宋" w:eastAsia="仿宋" w:cs="仿宋"/>
          <w:b/>
          <w:color w:val="auto"/>
          <w:sz w:val="24"/>
          <w:highlight w:val="none"/>
        </w:rPr>
        <w:t>。</w:t>
      </w:r>
    </w:p>
    <w:p>
      <w:pPr>
        <w:keepNext w:val="0"/>
        <w:keepLines w:val="0"/>
        <w:pageBreakBefore w:val="0"/>
        <w:kinsoku/>
        <w:wordWrap/>
        <w:overflowPunct/>
        <w:topLinePunct w:val="0"/>
        <w:bidi w:val="0"/>
        <w:snapToGrid w:val="0"/>
        <w:spacing w:beforeAutospacing="0" w:line="440" w:lineRule="exact"/>
        <w:ind w:left="0" w:leftChars="0"/>
        <w:jc w:val="center"/>
        <w:textAlignment w:val="auto"/>
        <w:outlineLvl w:val="0"/>
        <w:rPr>
          <w:rFonts w:hint="eastAsia" w:ascii="仿宋" w:hAnsi="仿宋" w:eastAsia="仿宋" w:cs="仿宋"/>
          <w:b/>
          <w:color w:val="auto"/>
          <w:sz w:val="32"/>
          <w:szCs w:val="32"/>
          <w:highlight w:val="none"/>
        </w:rPr>
      </w:pPr>
    </w:p>
    <w:p>
      <w:pPr>
        <w:keepNext w:val="0"/>
        <w:keepLines w:val="0"/>
        <w:pageBreakBefore w:val="0"/>
        <w:kinsoku/>
        <w:wordWrap/>
        <w:overflowPunct/>
        <w:topLinePunct w:val="0"/>
        <w:bidi w:val="0"/>
        <w:snapToGrid w:val="0"/>
        <w:spacing w:beforeAutospacing="0" w:line="440" w:lineRule="exact"/>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pPr>
        <w:pStyle w:val="27"/>
        <w:keepNext w:val="0"/>
        <w:keepLines w:val="0"/>
        <w:pageBreakBefore w:val="0"/>
        <w:kinsoku/>
        <w:wordWrap/>
        <w:overflowPunct/>
        <w:topLinePunct w:val="0"/>
        <w:bidi w:val="0"/>
        <w:spacing w:beforeAutospacing="0" w:line="440" w:lineRule="exact"/>
        <w:ind w:left="479" w:leftChars="0" w:hanging="479" w:hangingChars="199"/>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.确定</w:t>
      </w:r>
      <w:r>
        <w:rPr>
          <w:rFonts w:hint="eastAsia" w:ascii="仿宋" w:hAnsi="仿宋" w:eastAsia="仿宋" w:cs="仿宋"/>
          <w:b/>
          <w:color w:val="auto"/>
          <w:highlight w:val="none"/>
          <w:lang w:eastAsia="zh-CN"/>
        </w:rPr>
        <w:t>成交供应商</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eastAsia="zh-CN"/>
        </w:rPr>
        <w:t>交易发起人</w:t>
      </w:r>
      <w:r>
        <w:rPr>
          <w:rFonts w:hint="eastAsia" w:ascii="仿宋" w:hAnsi="仿宋" w:eastAsia="仿宋" w:cs="仿宋"/>
          <w:color w:val="auto"/>
          <w:szCs w:val="24"/>
          <w:highlight w:val="none"/>
        </w:rPr>
        <w:t>将自收到评审报告之日起5个工作日内通过电子交易平台在评审报告推荐的</w:t>
      </w:r>
      <w:r>
        <w:rPr>
          <w:rFonts w:hint="eastAsia" w:ascii="仿宋" w:hAnsi="仿宋" w:eastAsia="仿宋" w:cs="仿宋"/>
          <w:color w:val="auto"/>
          <w:szCs w:val="24"/>
          <w:highlight w:val="none"/>
          <w:lang w:eastAsia="zh-CN"/>
        </w:rPr>
        <w:t>成交候选人</w:t>
      </w:r>
      <w:r>
        <w:rPr>
          <w:rFonts w:hint="eastAsia" w:ascii="仿宋" w:hAnsi="仿宋" w:eastAsia="仿宋" w:cs="仿宋"/>
          <w:color w:val="auto"/>
          <w:szCs w:val="24"/>
          <w:highlight w:val="none"/>
        </w:rPr>
        <w:t>中按顺序确定</w:t>
      </w:r>
      <w:r>
        <w:rPr>
          <w:rFonts w:hint="eastAsia" w:ascii="仿宋" w:hAnsi="仿宋" w:eastAsia="仿宋" w:cs="仿宋"/>
          <w:color w:val="auto"/>
          <w:szCs w:val="24"/>
          <w:highlight w:val="none"/>
          <w:lang w:eastAsia="zh-CN"/>
        </w:rPr>
        <w:t>成交供应商</w:t>
      </w:r>
      <w:r>
        <w:rPr>
          <w:rFonts w:hint="eastAsia" w:ascii="仿宋" w:hAnsi="仿宋" w:eastAsia="仿宋" w:cs="仿宋"/>
          <w:color w:val="auto"/>
          <w:szCs w:val="24"/>
          <w:highlight w:val="none"/>
        </w:rPr>
        <w:t>。</w:t>
      </w:r>
    </w:p>
    <w:p>
      <w:pPr>
        <w:pStyle w:val="130"/>
        <w:keepNext w:val="0"/>
        <w:keepLines w:val="0"/>
        <w:pageBreakBefore w:val="0"/>
        <w:kinsoku/>
        <w:wordWrap/>
        <w:overflowPunct/>
        <w:topLinePunct w:val="0"/>
        <w:bidi w:val="0"/>
        <w:snapToGrid w:val="0"/>
        <w:spacing w:before="0" w:beforeAutospacing="0" w:line="440" w:lineRule="exact"/>
        <w:ind w:left="0" w:leftChars="0"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成交通知</w:t>
      </w:r>
      <w:r>
        <w:rPr>
          <w:rFonts w:hint="eastAsia" w:ascii="仿宋" w:hAnsi="仿宋" w:eastAsia="仿宋" w:cs="仿宋"/>
          <w:b/>
          <w:color w:val="auto"/>
          <w:szCs w:val="24"/>
          <w:highlight w:val="none"/>
        </w:rPr>
        <w:t>与</w:t>
      </w:r>
      <w:r>
        <w:rPr>
          <w:rFonts w:hint="eastAsia" w:ascii="仿宋" w:hAnsi="仿宋" w:eastAsia="仿宋" w:cs="仿宋"/>
          <w:b/>
          <w:color w:val="auto"/>
          <w:szCs w:val="24"/>
          <w:highlight w:val="none"/>
          <w:lang w:eastAsia="zh-CN"/>
        </w:rPr>
        <w:t>成交结果</w:t>
      </w:r>
      <w:r>
        <w:rPr>
          <w:rFonts w:hint="eastAsia" w:ascii="仿宋" w:hAnsi="仿宋" w:eastAsia="仿宋" w:cs="仿宋"/>
          <w:b/>
          <w:color w:val="auto"/>
          <w:szCs w:val="24"/>
          <w:highlight w:val="none"/>
        </w:rPr>
        <w:t>公告</w:t>
      </w:r>
    </w:p>
    <w:p>
      <w:pPr>
        <w:keepNext w:val="0"/>
        <w:keepLines w:val="0"/>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.1自</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确定之日起</w:t>
      </w:r>
      <w:r>
        <w:rPr>
          <w:rFonts w:hint="eastAsia" w:ascii="仿宋" w:hAnsi="仿宋" w:eastAsia="仿宋" w:cs="仿宋"/>
          <w:color w:val="auto"/>
          <w:sz w:val="24"/>
          <w:highlight w:val="none"/>
          <w:lang w:val="en-US" w:eastAsia="zh-CN"/>
        </w:rPr>
        <w:t>3天</w:t>
      </w:r>
      <w:r>
        <w:rPr>
          <w:rFonts w:hint="eastAsia" w:ascii="仿宋" w:hAnsi="仿宋" w:eastAsia="仿宋" w:cs="仿宋"/>
          <w:color w:val="auto"/>
          <w:sz w:val="24"/>
          <w:highlight w:val="none"/>
        </w:rPr>
        <w:t>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通过电子交易平台向</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eastAsia="zh-CN"/>
        </w:rPr>
        <w:t>成交通知</w:t>
      </w:r>
      <w:r>
        <w:rPr>
          <w:rFonts w:hint="eastAsia" w:ascii="仿宋" w:hAnsi="仿宋" w:eastAsia="仿宋" w:cs="仿宋"/>
          <w:color w:val="auto"/>
          <w:sz w:val="24"/>
          <w:highlight w:val="none"/>
        </w:rPr>
        <w:t>书，同时编制发布采购结果公告。</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也可以以纸质形式进行</w:t>
      </w:r>
      <w:r>
        <w:rPr>
          <w:rFonts w:hint="eastAsia" w:ascii="仿宋" w:hAnsi="仿宋" w:eastAsia="仿宋" w:cs="仿宋"/>
          <w:color w:val="auto"/>
          <w:sz w:val="24"/>
          <w:highlight w:val="none"/>
          <w:lang w:eastAsia="zh-CN"/>
        </w:rPr>
        <w:t>成交通知</w:t>
      </w:r>
      <w:r>
        <w:rPr>
          <w:rFonts w:hint="eastAsia" w:ascii="仿宋" w:hAnsi="仿宋" w:eastAsia="仿宋" w:cs="仿宋"/>
          <w:color w:val="auto"/>
          <w:sz w:val="24"/>
          <w:highlight w:val="none"/>
        </w:rPr>
        <w:t>。</w:t>
      </w:r>
    </w:p>
    <w:p>
      <w:pPr>
        <w:keepNext w:val="0"/>
        <w:keepLines w:val="0"/>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hint="eastAsia" w:ascii="仿宋" w:hAnsi="仿宋" w:eastAsia="仿宋" w:cs="仿宋"/>
          <w:b/>
          <w:color w:val="auto"/>
          <w:sz w:val="32"/>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成交结果</w:t>
      </w:r>
      <w:r>
        <w:rPr>
          <w:rFonts w:hint="eastAsia" w:ascii="仿宋" w:hAnsi="仿宋" w:eastAsia="仿宋" w:cs="仿宋"/>
          <w:color w:val="auto"/>
          <w:sz w:val="24"/>
          <w:highlight w:val="none"/>
        </w:rPr>
        <w:t>公告内容包括</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及其委托的</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的名称、地址、联系方式，项目名称和</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名称、地址和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金额。</w:t>
      </w:r>
    </w:p>
    <w:p>
      <w:pPr>
        <w:keepNext w:val="0"/>
        <w:keepLines w:val="0"/>
        <w:pageBreakBefore w:val="0"/>
        <w:kinsoku/>
        <w:wordWrap/>
        <w:overflowPunct/>
        <w:topLinePunct w:val="0"/>
        <w:bidi w:val="0"/>
        <w:snapToGrid w:val="0"/>
        <w:spacing w:beforeAutospacing="0" w:line="440" w:lineRule="exact"/>
        <w:ind w:left="0" w:leftChars="0"/>
        <w:jc w:val="center"/>
        <w:textAlignment w:val="auto"/>
        <w:rPr>
          <w:rFonts w:hint="eastAsia" w:ascii="仿宋" w:hAnsi="仿宋" w:eastAsia="仿宋" w:cs="仿宋"/>
          <w:b/>
          <w:color w:val="auto"/>
          <w:sz w:val="32"/>
          <w:highlight w:val="none"/>
        </w:rPr>
      </w:pPr>
    </w:p>
    <w:p>
      <w:pPr>
        <w:keepNext w:val="0"/>
        <w:keepLines w:val="0"/>
        <w:pageBreakBefore w:val="0"/>
        <w:kinsoku/>
        <w:wordWrap/>
        <w:overflowPunct/>
        <w:topLinePunct w:val="0"/>
        <w:bidi w:val="0"/>
        <w:snapToGrid w:val="0"/>
        <w:spacing w:beforeAutospacing="0" w:line="440" w:lineRule="exact"/>
        <w:ind w:left="0" w:left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7"/>
        <w:keepNext w:val="0"/>
        <w:keepLines w:val="0"/>
        <w:pageBreakBefore w:val="0"/>
        <w:kinsoku/>
        <w:wordWrap/>
        <w:overflowPunct/>
        <w:topLinePunct w:val="0"/>
        <w:bidi w:val="0"/>
        <w:spacing w:beforeAutospacing="0" w:line="440" w:lineRule="exact"/>
        <w:ind w:left="479" w:leftChars="0"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w:t>
      </w:r>
      <w:r>
        <w:rPr>
          <w:rFonts w:hint="eastAsia" w:ascii="仿宋" w:hAnsi="仿宋" w:eastAsia="仿宋" w:cs="仿宋"/>
          <w:color w:val="auto"/>
          <w:highlight w:val="none"/>
        </w:rPr>
        <w:t>合同主要条款详见第五部分拟签订的合同文本。</w:t>
      </w:r>
    </w:p>
    <w:p>
      <w:pPr>
        <w:pStyle w:val="27"/>
        <w:keepNext w:val="0"/>
        <w:keepLines w:val="0"/>
        <w:pageBreakBefore w:val="0"/>
        <w:kinsoku/>
        <w:wordWrap/>
        <w:overflowPunct/>
        <w:topLinePunct w:val="0"/>
        <w:bidi w:val="0"/>
        <w:spacing w:beforeAutospacing="0" w:line="440" w:lineRule="exact"/>
        <w:ind w:left="479" w:leftChars="0"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.合同的签订</w:t>
      </w:r>
    </w:p>
    <w:p>
      <w:pPr>
        <w:keepNext w:val="0"/>
        <w:keepLines w:val="0"/>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应当通过电子交易平台在</w:t>
      </w:r>
      <w:r>
        <w:rPr>
          <w:rFonts w:hint="eastAsia" w:ascii="仿宋" w:hAnsi="仿宋" w:eastAsia="仿宋" w:cs="仿宋"/>
          <w:color w:val="auto"/>
          <w:kern w:val="0"/>
          <w:sz w:val="24"/>
          <w:highlight w:val="none"/>
          <w:lang w:eastAsia="zh-CN"/>
        </w:rPr>
        <w:t>成交通知</w:t>
      </w:r>
      <w:r>
        <w:rPr>
          <w:rFonts w:hint="eastAsia" w:ascii="仿宋" w:hAnsi="仿宋" w:eastAsia="仿宋" w:cs="仿宋"/>
          <w:color w:val="auto"/>
          <w:kern w:val="0"/>
          <w:sz w:val="24"/>
          <w:highlight w:val="none"/>
        </w:rPr>
        <w:t>书发出之日起三十日内，按照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确定的事项签订采购合同。</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.2成交人按规定的日期、时间、地点，由法定代表人或其授权代表与交易发起人代表签订合同。</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.3如签订合同并生效后，供应商无故拒绝或延期，除按照合同条款处理外，列入不良行为记录一次，并给予通报。</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拒绝与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签订合同的，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可以按照评审报告推荐的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或者成交候选人名单排序，确定下一候选人为</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，也可以重新开展采购活动。</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.5采购合同由</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与</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等内容通过政府采购电子交易平台在线签订，自动备案。</w:t>
      </w:r>
    </w:p>
    <w:p>
      <w:pPr>
        <w:pStyle w:val="27"/>
        <w:keepNext w:val="0"/>
        <w:keepLines w:val="0"/>
        <w:pageBreakBefore w:val="0"/>
        <w:kinsoku/>
        <w:wordWrap/>
        <w:overflowPunct/>
        <w:topLinePunct w:val="0"/>
        <w:bidi w:val="0"/>
        <w:spacing w:beforeAutospacing="0" w:line="440" w:lineRule="exact"/>
        <w:ind w:left="479" w:leftChars="0"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.履约保证金</w:t>
      </w:r>
    </w:p>
    <w:p>
      <w:pPr>
        <w:keepNext w:val="0"/>
        <w:keepLines w:val="0"/>
        <w:pageBreakBefore w:val="0"/>
        <w:tabs>
          <w:tab w:val="left" w:pos="0"/>
        </w:tabs>
        <w:kinsoku/>
        <w:wordWrap/>
        <w:overflowPunct/>
        <w:topLinePunct w:val="0"/>
        <w:bidi w:val="0"/>
        <w:spacing w:beforeAutospacing="0" w:line="440" w:lineRule="exact"/>
        <w:ind w:left="0" w:leftChars="0" w:firstLine="482"/>
        <w:textAlignment w:val="auto"/>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拟签订的合同文本要求</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提交履约保证金的，供应商应当以支票、汇票、本票或者</w:t>
      </w:r>
      <w:r>
        <w:rPr>
          <w:rFonts w:hint="eastAsia" w:ascii="仿宋" w:hAnsi="仿宋" w:eastAsia="仿宋" w:cs="仿宋"/>
          <w:color w:val="auto"/>
          <w:kern w:val="0"/>
          <w:sz w:val="24"/>
          <w:highlight w:val="none"/>
          <w:lang w:val="en-US" w:eastAsia="zh-CN"/>
        </w:rPr>
        <w:t>电汇</w:t>
      </w:r>
      <w:r>
        <w:rPr>
          <w:rFonts w:hint="eastAsia" w:ascii="仿宋" w:hAnsi="仿宋" w:eastAsia="仿宋" w:cs="仿宋"/>
          <w:color w:val="auto"/>
          <w:kern w:val="0"/>
          <w:sz w:val="24"/>
          <w:highlight w:val="none"/>
        </w:rPr>
        <w:t>等非现金形式提交</w:t>
      </w:r>
      <w:r>
        <w:rPr>
          <w:rFonts w:hint="eastAsia" w:ascii="仿宋" w:hAnsi="仿宋" w:eastAsia="仿宋" w:cs="仿宋"/>
          <w:color w:val="auto"/>
          <w:sz w:val="24"/>
          <w:highlight w:val="none"/>
        </w:rPr>
        <w:t>。履约保证金的数额不得超过采购合同金额的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val="0"/>
        <w:spacing w:beforeAutospacing="0" w:line="440" w:lineRule="exact"/>
        <w:ind w:left="0" w:leftChars="0"/>
        <w:jc w:val="center"/>
        <w:textAlignment w:val="auto"/>
        <w:rPr>
          <w:rFonts w:hint="eastAsia" w:ascii="仿宋" w:hAnsi="仿宋" w:eastAsia="仿宋" w:cs="仿宋"/>
          <w:b/>
          <w:color w:val="auto"/>
          <w:sz w:val="32"/>
          <w:highlight w:val="none"/>
        </w:rPr>
      </w:pPr>
    </w:p>
    <w:p>
      <w:pPr>
        <w:keepNext w:val="0"/>
        <w:keepLines w:val="0"/>
        <w:pageBreakBefore w:val="0"/>
        <w:kinsoku/>
        <w:wordWrap/>
        <w:overflowPunct/>
        <w:topLinePunct w:val="0"/>
        <w:bidi w:val="0"/>
        <w:snapToGrid w:val="0"/>
        <w:spacing w:beforeAutospacing="0" w:line="440" w:lineRule="exact"/>
        <w:ind w:left="0"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keepNext w:val="0"/>
        <w:keepLines w:val="0"/>
        <w:pageBreakBefore w:val="0"/>
        <w:kinsoku/>
        <w:wordWrap/>
        <w:overflowPunct/>
        <w:topLinePunct w:val="0"/>
        <w:bidi w:val="0"/>
        <w:snapToGrid w:val="0"/>
        <w:spacing w:before="0" w:beforeAutospacing="0" w:line="44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可中止电子交易活动：</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.1电子交易平台发生故障而无法登录访问的； </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.2电子交易平台应用或数据库出现错误，不能进行正常操作的；</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.3电子交易平台发现严重安全漏洞，有潜在泄密危险的；</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.4病毒发作导致不能进行正常操作的； </w:t>
      </w:r>
    </w:p>
    <w:p>
      <w:pPr>
        <w:pStyle w:val="130"/>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.5其他无法保证电子交易的公平、公正和安全的情况。</w:t>
      </w:r>
    </w:p>
    <w:p>
      <w:pPr>
        <w:pStyle w:val="130"/>
        <w:keepNext w:val="0"/>
        <w:keepLines w:val="0"/>
        <w:pageBreakBefore w:val="0"/>
        <w:kinsoku/>
        <w:wordWrap/>
        <w:overflowPunct/>
        <w:topLinePunct w:val="0"/>
        <w:bidi w:val="0"/>
        <w:snapToGrid w:val="0"/>
        <w:spacing w:before="0" w:beforeAutospacing="0" w:line="4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bidi w:val="0"/>
        <w:snapToGrid w:val="0"/>
        <w:spacing w:beforeAutospacing="0" w:line="440" w:lineRule="exact"/>
        <w:ind w:left="0" w:leftChars="0"/>
        <w:jc w:val="center"/>
        <w:textAlignment w:val="auto"/>
        <w:rPr>
          <w:rFonts w:hint="eastAsia" w:ascii="仿宋" w:hAnsi="仿宋" w:eastAsia="仿宋" w:cs="仿宋"/>
          <w:b/>
          <w:color w:val="auto"/>
          <w:sz w:val="32"/>
          <w:highlight w:val="none"/>
        </w:rPr>
      </w:pPr>
    </w:p>
    <w:p>
      <w:pPr>
        <w:keepNext w:val="0"/>
        <w:keepLines w:val="0"/>
        <w:pageBreakBefore w:val="0"/>
        <w:kinsoku/>
        <w:wordWrap/>
        <w:overflowPunct/>
        <w:topLinePunct w:val="0"/>
        <w:bidi w:val="0"/>
        <w:snapToGrid w:val="0"/>
        <w:spacing w:beforeAutospacing="0" w:line="440" w:lineRule="exact"/>
        <w:ind w:left="0" w:left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7"/>
        <w:keepNext w:val="0"/>
        <w:keepLines w:val="0"/>
        <w:pageBreakBefore w:val="0"/>
        <w:kinsoku/>
        <w:wordWrap/>
        <w:overflowPunct/>
        <w:topLinePunct w:val="0"/>
        <w:bidi w:val="0"/>
        <w:spacing w:beforeAutospacing="0" w:line="440" w:lineRule="exact"/>
        <w:ind w:left="0" w:leftChars="0"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.验收</w:t>
      </w:r>
    </w:p>
    <w:p>
      <w:pPr>
        <w:keepNext w:val="0"/>
        <w:keepLines w:val="0"/>
        <w:pageBreakBefore w:val="0"/>
        <w:tabs>
          <w:tab w:val="left" w:pos="0"/>
        </w:tabs>
        <w:kinsoku/>
        <w:wordWrap/>
        <w:overflowPunct/>
        <w:topLinePunct w:val="0"/>
        <w:bidi w:val="0"/>
        <w:spacing w:beforeAutospacing="0" w:line="440" w:lineRule="exact"/>
        <w:ind w:left="0" w:leftChars="0"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应当组织对供应商履约的验收。</w:t>
      </w:r>
    </w:p>
    <w:bookmarkEnd w:id="10"/>
    <w:bookmarkEnd w:id="11"/>
    <w:bookmarkEnd w:id="12"/>
    <w:p>
      <w:pPr>
        <w:rPr>
          <w:rFonts w:hint="eastAsia" w:ascii="仿宋" w:hAnsi="仿宋" w:eastAsia="仿宋" w:cs="仿宋"/>
          <w:b/>
          <w:color w:val="auto"/>
          <w:sz w:val="36"/>
          <w:szCs w:val="36"/>
          <w:highlight w:val="none"/>
        </w:rPr>
      </w:pPr>
      <w:bookmarkStart w:id="13" w:name="第四部分"/>
      <w:r>
        <w:rPr>
          <w:rFonts w:hint="eastAsia" w:ascii="仿宋" w:hAnsi="仿宋" w:eastAsia="仿宋" w:cs="仿宋"/>
          <w:b/>
          <w:color w:val="auto"/>
          <w:sz w:val="36"/>
          <w:szCs w:val="36"/>
          <w:highlight w:val="none"/>
        </w:rPr>
        <w:br w:type="page"/>
      </w:r>
    </w:p>
    <w:p>
      <w:pPr>
        <w:spacing w:line="44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第三部分   </w:t>
      </w:r>
      <w:r>
        <w:rPr>
          <w:rFonts w:hint="eastAsia" w:ascii="仿宋" w:hAnsi="仿宋" w:eastAsia="仿宋" w:cs="仿宋"/>
          <w:b/>
          <w:color w:val="auto"/>
          <w:sz w:val="36"/>
          <w:szCs w:val="36"/>
          <w:highlight w:val="none"/>
          <w:lang w:val="en-US" w:eastAsia="zh-CN"/>
        </w:rPr>
        <w:t>交易</w:t>
      </w:r>
      <w:r>
        <w:rPr>
          <w:rFonts w:hint="eastAsia" w:ascii="仿宋" w:hAnsi="仿宋" w:eastAsia="仿宋" w:cs="仿宋"/>
          <w:b/>
          <w:color w:val="auto"/>
          <w:sz w:val="36"/>
          <w:szCs w:val="36"/>
          <w:highlight w:val="none"/>
        </w:rPr>
        <w:t>需求</w:t>
      </w:r>
    </w:p>
    <w:p>
      <w:pPr>
        <w:snapToGrid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keepNext w:val="0"/>
        <w:keepLines w:val="0"/>
        <w:widowControl w:val="0"/>
        <w:numPr>
          <w:ilvl w:val="0"/>
          <w:numId w:val="0"/>
        </w:numPr>
        <w:suppressLineNumbers w:val="0"/>
        <w:autoSpaceDE w:val="0"/>
        <w:autoSpaceDN w:val="0"/>
        <w:spacing w:before="0" w:beforeAutospacing="0" w:after="0" w:afterAutospacing="0" w:line="440" w:lineRule="exact"/>
        <w:ind w:right="0" w:rightChars="0"/>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lang w:eastAsia="zh-CN"/>
        </w:rPr>
        <w:t>交易一览表</w:t>
      </w:r>
    </w:p>
    <w:tbl>
      <w:tblPr>
        <w:tblStyle w:val="64"/>
        <w:tblpPr w:leftFromText="180" w:rightFromText="180" w:vertAnchor="text" w:horzAnchor="page" w:tblpX="1800" w:tblpY="98"/>
        <w:tblOverlap w:val="never"/>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905"/>
        <w:gridCol w:w="2310"/>
        <w:gridCol w:w="834"/>
        <w:gridCol w:w="96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 w:type="dxa"/>
            <w:noWrap w:val="0"/>
            <w:vAlign w:val="center"/>
          </w:tcPr>
          <w:p>
            <w:pPr>
              <w:spacing w:line="400" w:lineRule="exact"/>
              <w:jc w:val="center"/>
              <w:rPr>
                <w:rFonts w:hint="eastAsia" w:ascii="仿宋" w:hAnsi="仿宋" w:eastAsia="仿宋" w:cs="仿宋"/>
                <w:color w:val="auto"/>
                <w:sz w:val="24"/>
                <w:szCs w:val="28"/>
                <w:highlight w:val="none"/>
                <w:vertAlign w:val="baseline"/>
                <w:lang w:val="en-US" w:eastAsia="zh-CN"/>
              </w:rPr>
            </w:pPr>
            <w:r>
              <w:rPr>
                <w:rFonts w:hint="eastAsia" w:ascii="仿宋" w:hAnsi="仿宋" w:eastAsia="仿宋" w:cs="仿宋"/>
                <w:color w:val="auto"/>
                <w:sz w:val="24"/>
                <w:szCs w:val="28"/>
                <w:highlight w:val="none"/>
                <w:vertAlign w:val="baseline"/>
                <w:lang w:val="en-US" w:eastAsia="zh-CN"/>
              </w:rPr>
              <w:t>标项号</w:t>
            </w:r>
          </w:p>
        </w:tc>
        <w:tc>
          <w:tcPr>
            <w:tcW w:w="1905" w:type="dxa"/>
            <w:noWrap w:val="0"/>
            <w:vAlign w:val="center"/>
          </w:tcPr>
          <w:p>
            <w:pPr>
              <w:spacing w:line="400" w:lineRule="exact"/>
              <w:jc w:val="center"/>
              <w:rPr>
                <w:rFonts w:hint="eastAsia" w:ascii="仿宋" w:hAnsi="仿宋" w:eastAsia="仿宋" w:cs="仿宋"/>
                <w:color w:val="auto"/>
                <w:sz w:val="24"/>
                <w:szCs w:val="28"/>
                <w:highlight w:val="none"/>
                <w:vertAlign w:val="baseline"/>
                <w:lang w:eastAsia="zh-CN"/>
              </w:rPr>
            </w:pPr>
            <w:r>
              <w:rPr>
                <w:rFonts w:hint="eastAsia" w:ascii="仿宋" w:hAnsi="仿宋" w:eastAsia="仿宋" w:cs="仿宋"/>
                <w:color w:val="auto"/>
                <w:sz w:val="24"/>
                <w:szCs w:val="28"/>
                <w:highlight w:val="none"/>
                <w:vertAlign w:val="baseline"/>
                <w:lang w:eastAsia="zh-CN"/>
              </w:rPr>
              <w:t>标项名称</w:t>
            </w:r>
          </w:p>
        </w:tc>
        <w:tc>
          <w:tcPr>
            <w:tcW w:w="2310" w:type="dxa"/>
            <w:noWrap w:val="0"/>
            <w:vAlign w:val="center"/>
          </w:tcPr>
          <w:p>
            <w:pPr>
              <w:spacing w:line="400" w:lineRule="exact"/>
              <w:jc w:val="center"/>
              <w:rPr>
                <w:rFonts w:hint="eastAsia" w:ascii="仿宋" w:hAnsi="仿宋" w:eastAsia="仿宋" w:cs="仿宋"/>
                <w:color w:val="auto"/>
                <w:sz w:val="24"/>
                <w:szCs w:val="28"/>
                <w:highlight w:val="none"/>
                <w:vertAlign w:val="baseline"/>
              </w:rPr>
            </w:pPr>
            <w:r>
              <w:rPr>
                <w:rFonts w:hint="eastAsia" w:ascii="仿宋" w:hAnsi="仿宋" w:eastAsia="仿宋" w:cs="仿宋"/>
                <w:color w:val="auto"/>
                <w:sz w:val="24"/>
                <w:szCs w:val="28"/>
                <w:highlight w:val="none"/>
                <w:vertAlign w:val="baseline"/>
                <w:lang w:val="en-US" w:eastAsia="zh-CN"/>
              </w:rPr>
              <w:t>简要技术要求、用途</w:t>
            </w:r>
          </w:p>
        </w:tc>
        <w:tc>
          <w:tcPr>
            <w:tcW w:w="834" w:type="dxa"/>
            <w:noWrap w:val="0"/>
            <w:vAlign w:val="center"/>
          </w:tcPr>
          <w:p>
            <w:pPr>
              <w:spacing w:line="400" w:lineRule="exact"/>
              <w:jc w:val="center"/>
              <w:rPr>
                <w:rFonts w:hint="eastAsia" w:ascii="仿宋" w:hAnsi="仿宋" w:eastAsia="仿宋" w:cs="仿宋"/>
                <w:color w:val="auto"/>
                <w:sz w:val="24"/>
                <w:szCs w:val="28"/>
                <w:highlight w:val="none"/>
                <w:vertAlign w:val="baseline"/>
                <w:lang w:eastAsia="zh-CN"/>
              </w:rPr>
            </w:pPr>
            <w:r>
              <w:rPr>
                <w:rFonts w:hint="eastAsia" w:ascii="仿宋" w:hAnsi="仿宋" w:eastAsia="仿宋" w:cs="仿宋"/>
                <w:bCs/>
                <w:sz w:val="24"/>
                <w:highlight w:val="none"/>
              </w:rPr>
              <w:t>单位</w:t>
            </w:r>
          </w:p>
        </w:tc>
        <w:tc>
          <w:tcPr>
            <w:tcW w:w="966" w:type="dxa"/>
            <w:noWrap w:val="0"/>
            <w:vAlign w:val="center"/>
          </w:tcPr>
          <w:p>
            <w:pPr>
              <w:spacing w:line="400" w:lineRule="exact"/>
              <w:jc w:val="center"/>
              <w:rPr>
                <w:rFonts w:hint="eastAsia" w:ascii="仿宋" w:hAnsi="仿宋" w:eastAsia="仿宋" w:cs="仿宋"/>
                <w:color w:val="auto"/>
                <w:sz w:val="24"/>
                <w:szCs w:val="28"/>
                <w:highlight w:val="none"/>
                <w:vertAlign w:val="baseline"/>
                <w:lang w:eastAsia="zh-CN"/>
              </w:rPr>
            </w:pPr>
            <w:r>
              <w:rPr>
                <w:rFonts w:hint="eastAsia" w:ascii="仿宋" w:hAnsi="仿宋" w:eastAsia="仿宋" w:cs="仿宋"/>
                <w:bCs/>
                <w:sz w:val="24"/>
                <w:highlight w:val="none"/>
              </w:rPr>
              <w:t>数量</w:t>
            </w:r>
          </w:p>
        </w:tc>
        <w:tc>
          <w:tcPr>
            <w:tcW w:w="1486" w:type="dxa"/>
            <w:noWrap w:val="0"/>
            <w:vAlign w:val="center"/>
          </w:tcPr>
          <w:p>
            <w:pPr>
              <w:spacing w:line="400" w:lineRule="exact"/>
              <w:jc w:val="center"/>
              <w:rPr>
                <w:rFonts w:hint="eastAsia" w:ascii="仿宋" w:hAnsi="仿宋" w:eastAsia="仿宋" w:cs="仿宋"/>
                <w:color w:val="auto"/>
                <w:sz w:val="24"/>
                <w:szCs w:val="28"/>
                <w:highlight w:val="none"/>
                <w:vertAlign w:val="baseline"/>
                <w:lang w:eastAsia="zh-CN"/>
              </w:rPr>
            </w:pPr>
            <w:r>
              <w:rPr>
                <w:rFonts w:hint="eastAsia" w:ascii="仿宋" w:hAnsi="仿宋" w:eastAsia="仿宋" w:cs="仿宋"/>
                <w:color w:val="auto"/>
                <w:sz w:val="24"/>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15" w:type="dxa"/>
            <w:noWrap w:val="0"/>
            <w:vAlign w:val="center"/>
          </w:tcPr>
          <w:p>
            <w:pPr>
              <w:spacing w:line="400" w:lineRule="exact"/>
              <w:jc w:val="center"/>
              <w:rPr>
                <w:rFonts w:hint="eastAsia" w:ascii="仿宋" w:hAnsi="仿宋" w:eastAsia="仿宋" w:cs="仿宋"/>
                <w:color w:val="auto"/>
                <w:sz w:val="24"/>
                <w:szCs w:val="28"/>
                <w:highlight w:val="none"/>
                <w:vertAlign w:val="baseline"/>
                <w:lang w:val="en-US" w:eastAsia="zh-CN"/>
              </w:rPr>
            </w:pPr>
            <w:r>
              <w:rPr>
                <w:rFonts w:hint="eastAsia" w:ascii="仿宋" w:hAnsi="仿宋" w:eastAsia="仿宋" w:cs="仿宋"/>
                <w:color w:val="auto"/>
                <w:sz w:val="24"/>
                <w:szCs w:val="28"/>
                <w:highlight w:val="none"/>
                <w:vertAlign w:val="baseline"/>
                <w:lang w:val="en-US" w:eastAsia="zh-CN"/>
              </w:rPr>
              <w:t>1</w:t>
            </w:r>
          </w:p>
        </w:tc>
        <w:tc>
          <w:tcPr>
            <w:tcW w:w="1905" w:type="dxa"/>
            <w:noWrap w:val="0"/>
            <w:vAlign w:val="center"/>
          </w:tcPr>
          <w:p>
            <w:pPr>
              <w:spacing w:line="400" w:lineRule="exact"/>
              <w:jc w:val="center"/>
              <w:rPr>
                <w:rFonts w:hint="eastAsia" w:ascii="仿宋" w:hAnsi="仿宋" w:eastAsia="仿宋" w:cs="仿宋"/>
                <w:color w:val="auto"/>
                <w:sz w:val="24"/>
                <w:szCs w:val="28"/>
                <w:highlight w:val="none"/>
                <w:vertAlign w:val="baseline"/>
                <w:lang w:eastAsia="zh-CN"/>
              </w:rPr>
            </w:pPr>
            <w:r>
              <w:rPr>
                <w:rFonts w:hint="eastAsia" w:ascii="仿宋" w:hAnsi="仿宋" w:eastAsia="仿宋" w:cs="仿宋"/>
                <w:color w:val="auto"/>
                <w:sz w:val="24"/>
                <w:highlight w:val="none"/>
                <w:shd w:val="clear" w:color="auto" w:fill="auto"/>
              </w:rPr>
              <w:t>杭州萧山商业城开发有限公司食堂菜品采购项目</w:t>
            </w:r>
          </w:p>
        </w:tc>
        <w:tc>
          <w:tcPr>
            <w:tcW w:w="2310" w:type="dxa"/>
            <w:noWrap w:val="0"/>
            <w:vAlign w:val="center"/>
          </w:tcPr>
          <w:p>
            <w:pPr>
              <w:spacing w:line="400" w:lineRule="exact"/>
              <w:jc w:val="center"/>
              <w:rPr>
                <w:rFonts w:hint="eastAsia" w:ascii="仿宋" w:hAnsi="仿宋" w:eastAsia="仿宋" w:cs="仿宋"/>
                <w:color w:val="auto"/>
                <w:sz w:val="24"/>
                <w:szCs w:val="28"/>
                <w:highlight w:val="none"/>
                <w:vertAlign w:val="baseline"/>
                <w:lang w:val="en-US" w:eastAsia="zh-CN"/>
              </w:rPr>
            </w:pPr>
            <w:r>
              <w:rPr>
                <w:rFonts w:hint="eastAsia" w:ascii="仿宋" w:hAnsi="仿宋" w:eastAsia="仿宋" w:cs="仿宋"/>
                <w:color w:val="auto"/>
                <w:sz w:val="24"/>
                <w:szCs w:val="28"/>
                <w:highlight w:val="none"/>
                <w:vertAlign w:val="baseline"/>
                <w:lang w:val="en-US" w:eastAsia="zh-CN"/>
              </w:rPr>
              <w:t>详见交易需求</w:t>
            </w:r>
          </w:p>
        </w:tc>
        <w:tc>
          <w:tcPr>
            <w:tcW w:w="834" w:type="dxa"/>
            <w:noWrap w:val="0"/>
            <w:vAlign w:val="center"/>
          </w:tcPr>
          <w:p>
            <w:pPr>
              <w:spacing w:line="400" w:lineRule="exact"/>
              <w:jc w:val="center"/>
              <w:rPr>
                <w:rFonts w:hint="eastAsia" w:ascii="仿宋" w:hAnsi="仿宋" w:eastAsia="仿宋" w:cs="仿宋"/>
                <w:color w:val="auto"/>
                <w:sz w:val="24"/>
                <w:szCs w:val="28"/>
                <w:highlight w:val="none"/>
                <w:vertAlign w:val="baseline"/>
                <w:lang w:val="en-US" w:eastAsia="zh-CN"/>
              </w:rPr>
            </w:pPr>
            <w:r>
              <w:rPr>
                <w:rFonts w:hint="eastAsia" w:ascii="仿宋" w:hAnsi="仿宋" w:eastAsia="仿宋" w:cs="仿宋"/>
                <w:color w:val="auto"/>
                <w:kern w:val="0"/>
                <w:sz w:val="24"/>
                <w:highlight w:val="none"/>
                <w:shd w:val="clear" w:color="auto" w:fill="auto"/>
              </w:rPr>
              <w:t>项</w:t>
            </w:r>
          </w:p>
        </w:tc>
        <w:tc>
          <w:tcPr>
            <w:tcW w:w="966" w:type="dxa"/>
            <w:noWrap w:val="0"/>
            <w:vAlign w:val="center"/>
          </w:tcPr>
          <w:p>
            <w:pPr>
              <w:spacing w:line="400" w:lineRule="exact"/>
              <w:jc w:val="center"/>
              <w:rPr>
                <w:rFonts w:hint="eastAsia" w:ascii="仿宋" w:hAnsi="仿宋" w:eastAsia="仿宋" w:cs="仿宋"/>
                <w:color w:val="auto"/>
                <w:sz w:val="24"/>
                <w:szCs w:val="28"/>
                <w:highlight w:val="none"/>
                <w:vertAlign w:val="baseline"/>
                <w:lang w:val="en-US" w:eastAsia="zh-CN"/>
              </w:rPr>
            </w:pPr>
            <w:r>
              <w:rPr>
                <w:rFonts w:hint="eastAsia" w:ascii="仿宋" w:hAnsi="仿宋" w:eastAsia="仿宋" w:cs="仿宋"/>
                <w:color w:val="auto"/>
                <w:kern w:val="0"/>
                <w:sz w:val="24"/>
                <w:highlight w:val="none"/>
                <w:shd w:val="clear" w:color="auto" w:fill="auto"/>
                <w:lang w:val="en-US" w:eastAsia="zh-CN"/>
              </w:rPr>
              <w:t>1</w:t>
            </w:r>
          </w:p>
        </w:tc>
        <w:tc>
          <w:tcPr>
            <w:tcW w:w="1486" w:type="dxa"/>
            <w:noWrap w:val="0"/>
            <w:vAlign w:val="center"/>
          </w:tcPr>
          <w:p>
            <w:pPr>
              <w:spacing w:line="400" w:lineRule="exact"/>
              <w:jc w:val="center"/>
              <w:rPr>
                <w:rFonts w:hint="default" w:ascii="仿宋" w:hAnsi="仿宋" w:eastAsia="仿宋" w:cs="仿宋"/>
                <w:color w:val="auto"/>
                <w:sz w:val="24"/>
                <w:szCs w:val="28"/>
                <w:highlight w:val="none"/>
                <w:vertAlign w:val="baseline"/>
                <w:lang w:val="en-US" w:eastAsia="zh-CN"/>
              </w:rPr>
            </w:pPr>
            <w:r>
              <w:rPr>
                <w:rFonts w:hint="eastAsia" w:ascii="仿宋" w:hAnsi="仿宋" w:eastAsia="仿宋" w:cs="仿宋"/>
                <w:b w:val="0"/>
                <w:bCs/>
                <w:color w:val="auto"/>
                <w:sz w:val="24"/>
                <w:highlight w:val="none"/>
                <w:shd w:val="clear" w:color="auto" w:fill="auto"/>
                <w:lang w:val="en-US" w:eastAsia="zh-CN"/>
              </w:rPr>
              <w:t>/</w:t>
            </w:r>
          </w:p>
        </w:tc>
      </w:tr>
    </w:tbl>
    <w:p>
      <w:pPr>
        <w:numPr>
          <w:ilvl w:val="-1"/>
          <w:numId w:val="0"/>
        </w:numPr>
        <w:autoSpaceDE w:val="0"/>
        <w:autoSpaceDN w:val="0"/>
        <w:bidi w:val="0"/>
        <w:spacing w:line="440" w:lineRule="exact"/>
        <w:jc w:val="center"/>
        <w:rPr>
          <w:rFonts w:hint="eastAsia" w:ascii="仿宋" w:hAnsi="仿宋" w:eastAsia="仿宋" w:cs="仿宋"/>
          <w:b/>
          <w:color w:val="auto"/>
          <w:sz w:val="28"/>
          <w:szCs w:val="28"/>
          <w:highlight w:val="none"/>
          <w:lang w:val="en-US" w:eastAsia="zh-CN"/>
        </w:rPr>
      </w:pPr>
    </w:p>
    <w:p>
      <w:pPr>
        <w:numPr>
          <w:ilvl w:val="-1"/>
          <w:numId w:val="0"/>
        </w:numPr>
        <w:autoSpaceDE w:val="0"/>
        <w:autoSpaceDN w:val="0"/>
        <w:bidi w:val="0"/>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二、交易需求</w:t>
      </w:r>
    </w:p>
    <w:p>
      <w:pPr>
        <w:widowControl/>
        <w:numPr>
          <w:ilvl w:val="0"/>
          <w:numId w:val="2"/>
        </w:numPr>
        <w:spacing w:line="360" w:lineRule="auto"/>
        <w:jc w:val="left"/>
        <w:rPr>
          <w:rFonts w:ascii="仿宋" w:hAnsi="仿宋" w:eastAsia="仿宋" w:cs="仿宋"/>
          <w:b/>
          <w:bCs/>
          <w:color w:val="auto"/>
          <w:kern w:val="0"/>
          <w:sz w:val="24"/>
          <w:highlight w:val="none"/>
          <w:shd w:val="clear" w:color="auto" w:fill="auto"/>
          <w:lang w:bidi="ar"/>
        </w:rPr>
      </w:pPr>
      <w:r>
        <w:rPr>
          <w:rFonts w:hint="eastAsia" w:ascii="仿宋" w:hAnsi="仿宋" w:eastAsia="仿宋" w:cs="仿宋"/>
          <w:b/>
          <w:bCs/>
          <w:color w:val="auto"/>
          <w:kern w:val="0"/>
          <w:sz w:val="24"/>
          <w:highlight w:val="none"/>
          <w:shd w:val="clear" w:color="auto" w:fill="auto"/>
          <w:lang w:bidi="ar"/>
        </w:rPr>
        <w:t xml:space="preserve">技术需求 </w:t>
      </w:r>
    </w:p>
    <w:p>
      <w:pPr>
        <w:widowControl/>
        <w:numPr>
          <w:ilvl w:val="255"/>
          <w:numId w:val="0"/>
        </w:numPr>
        <w:spacing w:line="360" w:lineRule="auto"/>
        <w:jc w:val="left"/>
        <w:rPr>
          <w:rFonts w:ascii="仿宋" w:hAnsi="仿宋" w:eastAsia="仿宋" w:cs="仿宋"/>
          <w:color w:val="auto"/>
          <w:highlight w:val="none"/>
          <w:shd w:val="clear" w:color="auto" w:fill="auto"/>
        </w:rPr>
      </w:pPr>
      <w:r>
        <w:rPr>
          <w:rFonts w:hint="eastAsia" w:ascii="仿宋" w:hAnsi="仿宋" w:eastAsia="仿宋" w:cs="仿宋"/>
          <w:b/>
          <w:bCs/>
          <w:color w:val="auto"/>
          <w:kern w:val="0"/>
          <w:sz w:val="24"/>
          <w:highlight w:val="none"/>
          <w:shd w:val="clear" w:color="auto" w:fill="auto"/>
          <w:lang w:bidi="ar"/>
        </w:rPr>
        <w:t xml:space="preserve">1.1 项目概况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val="en-US" w:eastAsia="zh-CN" w:bidi="ar"/>
        </w:rPr>
        <w:t>本采购项目为</w:t>
      </w:r>
      <w:r>
        <w:rPr>
          <w:rFonts w:hint="eastAsia" w:ascii="仿宋" w:hAnsi="仿宋" w:eastAsia="仿宋" w:cs="仿宋"/>
          <w:color w:val="auto"/>
          <w:kern w:val="0"/>
          <w:sz w:val="24"/>
          <w:highlight w:val="none"/>
          <w:shd w:val="clear" w:color="auto" w:fill="auto"/>
          <w:lang w:bidi="ar"/>
        </w:rPr>
        <w:t>杭州萧山商业城开发有限公司</w:t>
      </w:r>
      <w:r>
        <w:rPr>
          <w:rFonts w:hint="eastAsia" w:ascii="仿宋" w:hAnsi="仿宋" w:eastAsia="仿宋" w:cs="仿宋"/>
          <w:color w:val="auto"/>
          <w:kern w:val="0"/>
          <w:sz w:val="24"/>
          <w:highlight w:val="none"/>
          <w:shd w:val="clear" w:color="auto" w:fill="auto"/>
          <w:lang w:val="en-US" w:eastAsia="zh-CN" w:bidi="ar"/>
        </w:rPr>
        <w:t>食堂提供菜品配送服务</w:t>
      </w:r>
      <w:r>
        <w:rPr>
          <w:rFonts w:hint="eastAsia" w:ascii="仿宋" w:hAnsi="仿宋" w:eastAsia="仿宋" w:cs="仿宋"/>
          <w:color w:val="auto"/>
          <w:kern w:val="0"/>
          <w:sz w:val="24"/>
          <w:highlight w:val="none"/>
          <w:shd w:val="clear" w:color="auto" w:fill="auto"/>
          <w:lang w:bidi="ar"/>
        </w:rPr>
        <w:t xml:space="preserve">。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采购类别∶畜肉、家禽、冷冻食品类；蔬菜、水果、鲜活水产品类；豆制品、禽蛋、调味品、饮料、牛奶类等食品。所供应的货品必须量足价平，并提供有完善的售后服务及检测证明。</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本次交易确定1名成交单位。</w:t>
      </w:r>
    </w:p>
    <w:p>
      <w:pPr>
        <w:widowControl/>
        <w:spacing w:line="360" w:lineRule="auto"/>
        <w:jc w:val="left"/>
        <w:rPr>
          <w:rFonts w:ascii="仿宋" w:hAnsi="仿宋" w:eastAsia="仿宋" w:cs="仿宋"/>
          <w:color w:val="auto"/>
          <w:highlight w:val="none"/>
          <w:shd w:val="clear" w:color="auto" w:fill="auto"/>
        </w:rPr>
      </w:pPr>
      <w:r>
        <w:rPr>
          <w:rFonts w:hint="eastAsia" w:ascii="仿宋" w:hAnsi="仿宋" w:eastAsia="仿宋" w:cs="仿宋"/>
          <w:b/>
          <w:bCs/>
          <w:color w:val="auto"/>
          <w:kern w:val="0"/>
          <w:sz w:val="24"/>
          <w:highlight w:val="none"/>
          <w:shd w:val="clear" w:color="auto" w:fill="auto"/>
          <w:lang w:bidi="ar"/>
        </w:rPr>
        <w:t xml:space="preserve">1.2 配送品质要求： </w:t>
      </w:r>
    </w:p>
    <w:p>
      <w:pPr>
        <w:widowControl/>
        <w:spacing w:line="360" w:lineRule="auto"/>
        <w:ind w:left="479" w:leftChars="228"/>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对货物的品质要求，必须符合国家食品部门的标准和下列规格要求∶</w:t>
      </w:r>
    </w:p>
    <w:tbl>
      <w:tblPr>
        <w:tblStyle w:val="64"/>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137"/>
        <w:gridCol w:w="399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77" w:type="dxa"/>
            <w:vAlign w:val="center"/>
          </w:tcPr>
          <w:p>
            <w:pPr>
              <w:widowControl/>
              <w:jc w:val="center"/>
              <w:rPr>
                <w:rFonts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bidi="ar"/>
              </w:rPr>
              <w:t>序号</w:t>
            </w:r>
          </w:p>
        </w:tc>
        <w:tc>
          <w:tcPr>
            <w:tcW w:w="1137" w:type="dxa"/>
            <w:vAlign w:val="center"/>
          </w:tcPr>
          <w:p>
            <w:pPr>
              <w:widowControl/>
              <w:jc w:val="center"/>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品名</w:t>
            </w:r>
          </w:p>
        </w:tc>
        <w:tc>
          <w:tcPr>
            <w:tcW w:w="3998" w:type="dxa"/>
            <w:vAlign w:val="center"/>
          </w:tcPr>
          <w:p>
            <w:pPr>
              <w:widowControl/>
              <w:jc w:val="center"/>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质量描述</w:t>
            </w:r>
          </w:p>
        </w:tc>
        <w:tc>
          <w:tcPr>
            <w:tcW w:w="3060" w:type="dxa"/>
            <w:vAlign w:val="center"/>
          </w:tcPr>
          <w:p>
            <w:pPr>
              <w:widowControl/>
              <w:jc w:val="center"/>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77" w:type="dxa"/>
            <w:vAlign w:val="center"/>
          </w:tcPr>
          <w:p>
            <w:pPr>
              <w:widowControl/>
              <w:jc w:val="center"/>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1</w:t>
            </w:r>
          </w:p>
        </w:tc>
        <w:tc>
          <w:tcPr>
            <w:tcW w:w="1137" w:type="dxa"/>
            <w:vAlign w:val="center"/>
          </w:tcPr>
          <w:p>
            <w:pPr>
              <w:widowControl/>
              <w:jc w:val="center"/>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家禽</w:t>
            </w:r>
          </w:p>
        </w:tc>
        <w:tc>
          <w:tcPr>
            <w:tcW w:w="3998" w:type="dxa"/>
            <w:vAlign w:val="center"/>
          </w:tcPr>
          <w:p>
            <w:pPr>
              <w:widowControl/>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①白条鸡、山黄鸡：</w:t>
            </w:r>
          </w:p>
          <w:p>
            <w:pPr>
              <w:widowControl/>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整鸡表皮光滑，新鲜肥嫩，有头颈，有腿翅，无内脏，规格从0.6kg-1.5kg,鸡的眼球饱满或平坦，皮肤有光泽，在品种不同而呈黄、浅黄、淡红、灰白等色，肌肉切面有光泽，外表微湿润，不粘手。</w:t>
            </w:r>
          </w:p>
          <w:p>
            <w:pPr>
              <w:widowControl/>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②白条鸭、雄鸭：</w:t>
            </w:r>
          </w:p>
          <w:p>
            <w:pPr>
              <w:widowControl/>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表皮光滑，新鲜肥嫩，无内脏，每只不低于 1KG,鸭的眼球饱满或平坦，皮肤有光泽，在品种不同而呈黄、浅黄、淡红、灰白等色，肌肉切面有光泽，外表微湿润，不粘手，具有鸭的正常气味。</w:t>
            </w:r>
          </w:p>
        </w:tc>
        <w:tc>
          <w:tcPr>
            <w:tcW w:w="3060" w:type="dxa"/>
            <w:vAlign w:val="center"/>
          </w:tcPr>
          <w:p>
            <w:pPr>
              <w:widowControl/>
              <w:rPr>
                <w:rFonts w:ascii="仿宋" w:hAnsi="仿宋" w:eastAsia="仿宋" w:cs="仿宋"/>
                <w:color w:val="auto"/>
                <w:kern w:val="0"/>
                <w:sz w:val="24"/>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77" w:type="dxa"/>
            <w:vAlign w:val="center"/>
          </w:tcPr>
          <w:p>
            <w:pPr>
              <w:widowControl/>
              <w:jc w:val="center"/>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2</w:t>
            </w:r>
          </w:p>
        </w:tc>
        <w:tc>
          <w:tcPr>
            <w:tcW w:w="1137" w:type="dxa"/>
            <w:vAlign w:val="center"/>
          </w:tcPr>
          <w:p>
            <w:pPr>
              <w:widowControl/>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冷冻食品（水产品）</w:t>
            </w:r>
          </w:p>
        </w:tc>
        <w:tc>
          <w:tcPr>
            <w:tcW w:w="3998" w:type="dxa"/>
            <w:vAlign w:val="center"/>
          </w:tcPr>
          <w:p>
            <w:pPr>
              <w:widowControl/>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sz w:val="24"/>
                <w:highlight w:val="none"/>
                <w:shd w:val="clear" w:color="auto" w:fill="auto"/>
              </w:rPr>
              <w:t>鱼眼睛清亮，角膜透明，眼球略微隆起，鳍展平张开，鳞片上覆有冻结的透明黏液层，皮肤天然色泽明显，无掺假。</w:t>
            </w:r>
          </w:p>
        </w:tc>
        <w:tc>
          <w:tcPr>
            <w:tcW w:w="3060" w:type="dxa"/>
            <w:vAlign w:val="center"/>
          </w:tcPr>
          <w:p>
            <w:pPr>
              <w:widowControl/>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sz w:val="24"/>
                <w:highlight w:val="none"/>
                <w:shd w:val="clear" w:color="auto" w:fill="auto"/>
              </w:rPr>
              <w:t>外包装上应当以中文标明规格、产地（具体到州/省/市）、目的地、生产日期、保质期、储存温度等内容，目的地应当标明为中华人民共和国，有输出国家或者地区官方检验检疫标识。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777" w:type="dxa"/>
            <w:vAlign w:val="center"/>
          </w:tcPr>
          <w:p>
            <w:pPr>
              <w:widowControl/>
              <w:jc w:val="center"/>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3</w:t>
            </w:r>
          </w:p>
        </w:tc>
        <w:tc>
          <w:tcPr>
            <w:tcW w:w="1137" w:type="dxa"/>
            <w:vAlign w:val="center"/>
          </w:tcPr>
          <w:p>
            <w:pPr>
              <w:widowControl/>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畜肉（猪、羊、牛肉类）</w:t>
            </w:r>
          </w:p>
        </w:tc>
        <w:tc>
          <w:tcPr>
            <w:tcW w:w="3998" w:type="dxa"/>
            <w:vAlign w:val="center"/>
          </w:tcPr>
          <w:p>
            <w:pPr>
              <w:widowControl/>
              <w:numPr>
                <w:ilvl w:val="255"/>
                <w:numId w:val="0"/>
              </w:numPr>
              <w:jc w:val="left"/>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①精瘦肉：整块成型，无肥膘，无病变，无异味，干净无异物，干燥无水分，颜色 正常，新鲜。</w:t>
            </w:r>
          </w:p>
          <w:p>
            <w:pPr>
              <w:widowControl/>
              <w:numPr>
                <w:ilvl w:val="255"/>
                <w:numId w:val="0"/>
              </w:numPr>
              <w:jc w:val="left"/>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②五花肉：猪肉皮呈白色、无病变，脂肪层洁白且有光泽，肌肉层呈均匀红色，表 面微干或稍湿，弹性好，无异味，干净无异物，新鲜。</w:t>
            </w:r>
          </w:p>
          <w:p>
            <w:pPr>
              <w:widowControl/>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sz w:val="24"/>
                <w:highlight w:val="none"/>
                <w:shd w:val="clear" w:color="auto" w:fill="auto"/>
              </w:rPr>
              <w:t>③内脏：干净、无淤血、无病变，无粘结，鲜嫩有弹性，颜色正常，表面光洁无异 味。</w:t>
            </w:r>
          </w:p>
        </w:tc>
        <w:tc>
          <w:tcPr>
            <w:tcW w:w="3060" w:type="dxa"/>
            <w:vAlign w:val="center"/>
          </w:tcPr>
          <w:p>
            <w:pPr>
              <w:widowControl/>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sz w:val="24"/>
                <w:highlight w:val="none"/>
                <w:shd w:val="clear" w:color="auto" w:fill="auto"/>
              </w:rPr>
              <w:t>所供应的各种肉类均应经过严格检疫，并符合卫生检疫标准，具有检疫合格标志， 保证新鲜无异味。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77" w:type="dxa"/>
            <w:vAlign w:val="center"/>
          </w:tcPr>
          <w:p>
            <w:pPr>
              <w:widowControl/>
              <w:jc w:val="center"/>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4</w:t>
            </w:r>
          </w:p>
        </w:tc>
        <w:tc>
          <w:tcPr>
            <w:tcW w:w="1137" w:type="dxa"/>
            <w:vAlign w:val="center"/>
          </w:tcPr>
          <w:p>
            <w:pPr>
              <w:widowControl/>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蔬菜</w:t>
            </w:r>
          </w:p>
        </w:tc>
        <w:tc>
          <w:tcPr>
            <w:tcW w:w="3998" w:type="dxa"/>
            <w:vAlign w:val="center"/>
          </w:tcPr>
          <w:p>
            <w:pPr>
              <w:widowControl/>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①叶菜类∶挺实、颜色好、无过多黄叶、腐烂叶与多泥根，水份充足、无萎蔫、不成 熟现象。</w:t>
            </w:r>
          </w:p>
          <w:p>
            <w:pPr>
              <w:widowControl/>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②瓜菜类∶个大、成熟、新鲜、外皮无斑点、有新鲜绿秧、无软化、变质现象。</w:t>
            </w:r>
          </w:p>
          <w:p>
            <w:pPr>
              <w:widowControl/>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sz w:val="24"/>
                <w:highlight w:val="none"/>
                <w:shd w:val="clear" w:color="auto" w:fill="auto"/>
              </w:rPr>
              <w:t>③根菜类∶挺实、无软化、腐烂、带泥过多、色泽正常、形状正常、无生芽现象。</w:t>
            </w:r>
          </w:p>
        </w:tc>
        <w:tc>
          <w:tcPr>
            <w:tcW w:w="3060" w:type="dxa"/>
            <w:vAlign w:val="center"/>
          </w:tcPr>
          <w:p>
            <w:pPr>
              <w:widowControl/>
              <w:rPr>
                <w:rFonts w:ascii="仿宋" w:hAnsi="仿宋" w:eastAsia="仿宋" w:cs="仿宋"/>
                <w:color w:val="auto"/>
                <w:sz w:val="24"/>
                <w:highlight w:val="none"/>
                <w:shd w:val="clear" w:color="auto" w:fill="auto"/>
              </w:rPr>
            </w:pPr>
          </w:p>
        </w:tc>
      </w:tr>
    </w:tbl>
    <w:p>
      <w:pPr>
        <w:widowControl/>
        <w:jc w:val="left"/>
        <w:rPr>
          <w:rFonts w:ascii="仿宋" w:hAnsi="仿宋" w:eastAsia="仿宋" w:cs="仿宋"/>
          <w:color w:val="auto"/>
          <w:kern w:val="0"/>
          <w:sz w:val="24"/>
          <w:highlight w:val="none"/>
          <w:shd w:val="clear" w:color="auto" w:fill="auto"/>
          <w:lang w:bidi="ar"/>
        </w:rPr>
      </w:pPr>
    </w:p>
    <w:p>
      <w:pPr>
        <w:widowControl/>
        <w:spacing w:line="360" w:lineRule="auto"/>
        <w:jc w:val="left"/>
        <w:rPr>
          <w:rFonts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bidi="ar"/>
        </w:rPr>
        <w:t>▲</w:t>
      </w:r>
      <w:r>
        <w:rPr>
          <w:rFonts w:hint="eastAsia" w:ascii="仿宋" w:hAnsi="仿宋" w:eastAsia="仿宋" w:cs="仿宋"/>
          <w:b/>
          <w:bCs/>
          <w:color w:val="auto"/>
          <w:kern w:val="0"/>
          <w:sz w:val="24"/>
          <w:highlight w:val="none"/>
          <w:shd w:val="clear" w:color="auto" w:fill="auto"/>
          <w:lang w:bidi="ar"/>
        </w:rPr>
        <w:t xml:space="preserve">1.3 服务要求 </w:t>
      </w:r>
    </w:p>
    <w:p>
      <w:pPr>
        <w:widowControl/>
        <w:spacing w:line="360" w:lineRule="auto"/>
        <w:ind w:firstLine="480" w:firstLineChars="200"/>
        <w:jc w:val="left"/>
        <w:rPr>
          <w:rFonts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bidi="ar"/>
        </w:rPr>
        <w:t>（1）配送要求：成交人应足额、及时将食品配送至食堂。为确保食堂运营，食堂提前1天（下午3：00前），向成交人提交订货计划，说明购货品种、规格、数量及其它需要说明的事项。成交人必须每天早晨6:00之前将采购食品用品配送到交易发起人指定区域。如果交易发起人临时加订货物，成交人须在接到通知后0.5—1小时内或在商定的时间内将货物送达，待交易发起人验收、核对后，供货才算完成。如遇特殊情况，双方必须提前协商解决。</w:t>
      </w:r>
    </w:p>
    <w:p>
      <w:pPr>
        <w:widowControl/>
        <w:spacing w:line="360" w:lineRule="auto"/>
        <w:ind w:firstLine="480" w:firstLineChars="200"/>
        <w:jc w:val="left"/>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（2）工作要求：成交人要做到制度完善，证照齐全，用工规范，文明配送；自觉协调关系，妥善解决发生的问题和困难；自觉接受院方及有关职能部门的监督和指导。</w:t>
      </w:r>
    </w:p>
    <w:p>
      <w:pPr>
        <w:widowControl/>
        <w:spacing w:line="360" w:lineRule="auto"/>
        <w:jc w:val="left"/>
        <w:rPr>
          <w:rFonts w:ascii="仿宋" w:hAnsi="仿宋" w:eastAsia="仿宋" w:cs="仿宋"/>
          <w:color w:val="auto"/>
          <w:highlight w:val="none"/>
          <w:shd w:val="clear" w:color="auto" w:fill="auto"/>
        </w:rPr>
      </w:pPr>
      <w:r>
        <w:rPr>
          <w:rFonts w:hint="eastAsia" w:ascii="仿宋" w:hAnsi="仿宋" w:eastAsia="仿宋" w:cs="仿宋"/>
          <w:b/>
          <w:bCs/>
          <w:color w:val="auto"/>
          <w:kern w:val="0"/>
          <w:sz w:val="24"/>
          <w:highlight w:val="none"/>
          <w:shd w:val="clear" w:color="auto" w:fill="auto"/>
          <w:lang w:bidi="ar"/>
        </w:rPr>
        <w:t xml:space="preserve">1.4 安全责任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（1）因质量问题造成食物中毒或其它安全责任事故的，成交人独立承担一切法律责任和经济责任，没收履约保证金，双方合同自行终止，并追究由此造成的一切损失。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（2）配送过程中发生的任何安全事故等均由成交人独立承担责任。</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（3）成交人在院内运输物品，应服从指挥，确保安全。由此造成的安全事故，配送企业独立承担一切刑事、民事责任。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（4）配送中所涉运输、装卸、税收及其他相应规费由成交人自行承担；所需证、照等均由成交人自行办理。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（5）严肃财经纪律，加强廉政建设，经查实发现有受贿、行贿现象，取消配送资格，相关人员按情节轻重作出相应处分或处罚；触犯刑律的，依法追究法律责任。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（6）在正式签约时，根据上述精神拟就更为详尽的合同书。</w:t>
      </w:r>
    </w:p>
    <w:p>
      <w:pPr>
        <w:widowControl/>
        <w:spacing w:line="360" w:lineRule="auto"/>
        <w:jc w:val="left"/>
        <w:rPr>
          <w:rFonts w:ascii="仿宋" w:hAnsi="仿宋" w:eastAsia="仿宋" w:cs="仿宋"/>
          <w:color w:val="auto"/>
          <w:highlight w:val="none"/>
          <w:shd w:val="clear" w:color="auto" w:fill="auto"/>
        </w:rPr>
      </w:pPr>
      <w:r>
        <w:rPr>
          <w:rFonts w:hint="eastAsia" w:ascii="仿宋" w:hAnsi="仿宋" w:eastAsia="仿宋" w:cs="仿宋"/>
          <w:b/>
          <w:bCs/>
          <w:color w:val="auto"/>
          <w:kern w:val="0"/>
          <w:sz w:val="24"/>
          <w:highlight w:val="none"/>
          <w:shd w:val="clear" w:color="auto" w:fill="auto"/>
          <w:lang w:bidi="ar"/>
        </w:rPr>
        <w:t xml:space="preserve">1.5 违约责任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（1）成交人如转包或变相转包，一经查实，扣除全部履约保证金，并取消配送资格。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2）成交人应自觉接受市场监督管理、农业、质监等部门的检查和检测。配送的食品质量低于响应承诺质量的，经查实后将视情节严重程度扣除相应履约保证金，并按警告一次计。凡市、区市场监察局抽检有不合格的，按相关文件处理，每发生不合格一个批次的立即取消配送资格。</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（3）成交人配送的食品出现质量、数量不符合要求及价格虚高等现象，交易发起人有权要求成交人及时退换；若无有效配合，并按警告一次计。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 xml:space="preserve">（4）成交人配送人员（包括配送司机）若无健康证明的，发现一次警告一次，交易发起人有权随时抽查相关人员健康证明。 </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（5）累计警告两次的，暂停该单位配送资格，是否恢复配送需视整改情况由交易发起人讨论后确定。</w:t>
      </w:r>
    </w:p>
    <w:p>
      <w:pPr>
        <w:pStyle w:val="2"/>
        <w:numPr>
          <w:ilvl w:val="0"/>
          <w:numId w:val="3"/>
        </w:numPr>
        <w:autoSpaceDE/>
        <w:autoSpaceDN/>
        <w:adjustRightInd/>
        <w:ind w:firstLine="241" w:firstLineChars="100"/>
        <w:rPr>
          <w:rFonts w:ascii="仿宋" w:hAnsi="仿宋" w:eastAsia="仿宋" w:cs="仿宋"/>
          <w:b/>
          <w:bCs/>
          <w:color w:val="auto"/>
          <w:highlight w:val="none"/>
          <w:shd w:val="clear" w:color="auto" w:fill="auto"/>
        </w:rPr>
      </w:pPr>
      <w:r>
        <w:rPr>
          <w:rFonts w:hint="eastAsia" w:ascii="仿宋" w:hAnsi="仿宋" w:eastAsia="仿宋" w:cs="仿宋"/>
          <w:b/>
          <w:bCs/>
          <w:color w:val="auto"/>
          <w:highlight w:val="none"/>
          <w:shd w:val="clear" w:color="auto" w:fill="auto"/>
        </w:rPr>
        <w:t>商务需求</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▲1.服务期限：</w:t>
      </w:r>
      <w:r>
        <w:rPr>
          <w:rFonts w:hint="eastAsia" w:ascii="仿宋" w:hAnsi="仿宋" w:eastAsia="仿宋" w:cs="仿宋"/>
          <w:color w:val="auto"/>
          <w:kern w:val="0"/>
          <w:sz w:val="24"/>
          <w:highlight w:val="none"/>
          <w:shd w:val="clear" w:color="auto" w:fill="auto"/>
          <w:lang w:val="en-US" w:eastAsia="zh-CN" w:bidi="ar"/>
        </w:rPr>
        <w:t>服务期限3年，合同一年一签，经考核达标，商业城开发有限公司班子会讨论通过可续签下一年度，最多续签两次。在服务期内，交易发起人如发现成交人没有良好地履行合同、各项服务质量过差，达不到交易发起人的要求，可以中止合同。</w:t>
      </w:r>
    </w:p>
    <w:p>
      <w:pPr>
        <w:widowControl/>
        <w:spacing w:line="360" w:lineRule="auto"/>
        <w:ind w:firstLine="482" w:firstLineChars="200"/>
        <w:jc w:val="left"/>
        <w:rPr>
          <w:rFonts w:ascii="仿宋" w:hAnsi="仿宋" w:eastAsia="仿宋" w:cs="仿宋"/>
          <w:color w:val="auto"/>
          <w:highlight w:val="none"/>
          <w:shd w:val="clear" w:color="auto" w:fill="auto"/>
        </w:rPr>
      </w:pPr>
      <w:r>
        <w:rPr>
          <w:rFonts w:hint="eastAsia" w:ascii="仿宋" w:hAnsi="仿宋" w:eastAsia="仿宋" w:cs="仿宋"/>
          <w:b/>
          <w:bCs/>
          <w:color w:val="auto"/>
          <w:kern w:val="0"/>
          <w:sz w:val="24"/>
          <w:highlight w:val="none"/>
          <w:shd w:val="clear" w:color="auto" w:fill="auto"/>
          <w:lang w:bidi="ar"/>
        </w:rPr>
        <w:t>▲</w:t>
      </w:r>
      <w:r>
        <w:rPr>
          <w:rFonts w:hint="eastAsia" w:ascii="仿宋" w:hAnsi="仿宋" w:eastAsia="仿宋" w:cs="仿宋"/>
          <w:color w:val="auto"/>
          <w:kern w:val="0"/>
          <w:sz w:val="24"/>
          <w:highlight w:val="none"/>
          <w:shd w:val="clear" w:color="auto" w:fill="auto"/>
          <w:lang w:bidi="ar"/>
        </w:rPr>
        <w:t>2.服务质量承诺：达到国家现行行业标准及交易发起人要求。</w:t>
      </w:r>
    </w:p>
    <w:p>
      <w:pPr>
        <w:widowControl/>
        <w:spacing w:line="360" w:lineRule="auto"/>
        <w:ind w:firstLine="482" w:firstLineChars="200"/>
        <w:jc w:val="left"/>
        <w:rPr>
          <w:rFonts w:ascii="仿宋" w:hAnsi="仿宋" w:eastAsia="仿宋" w:cs="仿宋"/>
          <w:color w:val="auto"/>
          <w:highlight w:val="none"/>
          <w:shd w:val="clear" w:color="auto" w:fill="auto"/>
        </w:rPr>
      </w:pPr>
      <w:r>
        <w:rPr>
          <w:rFonts w:hint="eastAsia" w:ascii="仿宋" w:hAnsi="仿宋" w:eastAsia="仿宋" w:cs="仿宋"/>
          <w:b/>
          <w:bCs/>
          <w:color w:val="auto"/>
          <w:kern w:val="0"/>
          <w:sz w:val="24"/>
          <w:highlight w:val="none"/>
          <w:shd w:val="clear" w:color="auto" w:fill="auto"/>
          <w:lang w:bidi="ar"/>
        </w:rPr>
        <w:t>▲</w:t>
      </w:r>
      <w:r>
        <w:rPr>
          <w:rFonts w:hint="eastAsia" w:ascii="仿宋" w:hAnsi="仿宋" w:eastAsia="仿宋" w:cs="仿宋"/>
          <w:color w:val="auto"/>
          <w:kern w:val="0"/>
          <w:sz w:val="24"/>
          <w:highlight w:val="none"/>
          <w:shd w:val="clear" w:color="auto" w:fill="auto"/>
          <w:lang w:bidi="ar"/>
        </w:rPr>
        <w:t>3.合同形式：固定折扣率按实结算。</w:t>
      </w:r>
    </w:p>
    <w:p>
      <w:pPr>
        <w:widowControl/>
        <w:spacing w:line="360" w:lineRule="auto"/>
        <w:ind w:firstLine="482"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b/>
          <w:bCs/>
          <w:color w:val="auto"/>
          <w:kern w:val="0"/>
          <w:sz w:val="24"/>
          <w:highlight w:val="none"/>
          <w:shd w:val="clear" w:color="auto" w:fill="auto"/>
          <w:lang w:bidi="ar"/>
        </w:rPr>
        <w:t>▲</w:t>
      </w:r>
      <w:r>
        <w:rPr>
          <w:rFonts w:hint="eastAsia" w:ascii="仿宋" w:hAnsi="仿宋" w:eastAsia="仿宋" w:cs="仿宋"/>
          <w:color w:val="auto"/>
          <w:kern w:val="0"/>
          <w:sz w:val="24"/>
          <w:highlight w:val="none"/>
          <w:shd w:val="clear" w:color="auto" w:fill="auto"/>
          <w:lang w:bidi="ar"/>
        </w:rPr>
        <w:t>4.付款方式：每月月中结算上月费用。</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▲5.结算方式：按月支付，服务每满一个月后，次月第一周业主根据每日实际配送清单结合每日过磅点验情况得出上月的费用，供应方开具相应发票后业主支付相应费用。</w:t>
      </w:r>
    </w:p>
    <w:p>
      <w:pPr>
        <w:widowControl/>
        <w:spacing w:line="360" w:lineRule="auto"/>
        <w:ind w:firstLine="480" w:firstLineChars="200"/>
        <w:jc w:val="left"/>
        <w:rPr>
          <w:rFonts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bidi="ar"/>
        </w:rPr>
        <w:t>（本项目交易发起人为杭州萧山商业城开发有限公司，实施单位为杭州萧山商业城开发有限公司食堂，后续均由实施单位杭州萧山商业城开发有限公司食堂进行相关费用结算）</w:t>
      </w:r>
    </w:p>
    <w:p>
      <w:pPr>
        <w:widowControl/>
        <w:spacing w:line="360" w:lineRule="auto"/>
        <w:ind w:firstLine="482" w:firstLineChars="200"/>
        <w:jc w:val="left"/>
        <w:rPr>
          <w:rFonts w:ascii="仿宋" w:hAnsi="仿宋" w:eastAsia="仿宋" w:cs="仿宋"/>
          <w:b/>
          <w:bCs/>
          <w:color w:val="auto"/>
          <w:kern w:val="0"/>
          <w:sz w:val="24"/>
          <w:highlight w:val="none"/>
          <w:shd w:val="clear" w:color="auto" w:fill="auto"/>
          <w:lang w:bidi="ar"/>
        </w:rPr>
      </w:pPr>
      <w:r>
        <w:rPr>
          <w:rFonts w:hint="eastAsia" w:ascii="仿宋" w:hAnsi="仿宋" w:eastAsia="仿宋" w:cs="仿宋"/>
          <w:b/>
          <w:bCs/>
          <w:color w:val="auto"/>
          <w:kern w:val="0"/>
          <w:sz w:val="24"/>
          <w:highlight w:val="none"/>
          <w:shd w:val="clear" w:color="auto" w:fill="auto"/>
          <w:lang w:bidi="ar"/>
        </w:rPr>
        <w:t>▲</w:t>
      </w:r>
      <w:r>
        <w:rPr>
          <w:rFonts w:ascii="仿宋" w:hAnsi="仿宋" w:eastAsia="仿宋" w:cs="仿宋"/>
          <w:b/>
          <w:bCs/>
          <w:color w:val="auto"/>
          <w:kern w:val="0"/>
          <w:sz w:val="24"/>
          <w:highlight w:val="none"/>
          <w:shd w:val="clear" w:color="auto" w:fill="auto"/>
          <w:lang w:bidi="ar"/>
        </w:rPr>
        <w:t>6.</w:t>
      </w:r>
      <w:r>
        <w:rPr>
          <w:rFonts w:hint="eastAsia" w:ascii="仿宋" w:hAnsi="仿宋" w:eastAsia="仿宋" w:cs="仿宋"/>
          <w:b/>
          <w:bCs/>
          <w:color w:val="auto"/>
          <w:kern w:val="0"/>
          <w:sz w:val="24"/>
          <w:highlight w:val="none"/>
          <w:shd w:val="clear" w:color="auto" w:fill="auto"/>
          <w:lang w:bidi="ar"/>
        </w:rPr>
        <w:t xml:space="preserve">商品定价：配送商品价格按照萧山市场公众微信号【菜价周报】中的萧山西门农贸市场重点菜品零售参考价周报的指导价作为下周配送商品的基准价，结合供应商报价折扣率作为结算单价；若配送商品不能在参考价周报上比对得到报价的，以经交易发起人认可后的西门农贸市场的最低售价为基准价，结合供应商报价折扣率作为结算单价。 </w:t>
      </w:r>
    </w:p>
    <w:p>
      <w:pPr>
        <w:tabs>
          <w:tab w:val="left" w:pos="540"/>
          <w:tab w:val="left" w:pos="992"/>
        </w:tabs>
        <w:autoSpaceDE w:val="0"/>
        <w:autoSpaceDN w:val="0"/>
        <w:spacing w:line="360" w:lineRule="auto"/>
        <w:ind w:firstLine="482" w:firstLineChars="200"/>
        <w:rPr>
          <w:rFonts w:ascii="仿宋" w:hAnsi="仿宋" w:eastAsia="仿宋" w:cs="仿宋"/>
          <w:b/>
          <w:bCs/>
          <w:color w:val="auto"/>
          <w:sz w:val="24"/>
          <w:highlight w:val="none"/>
          <w:u w:val="single"/>
          <w:shd w:val="clear" w:color="auto" w:fill="auto"/>
        </w:rPr>
      </w:pPr>
      <w:r>
        <w:rPr>
          <w:rFonts w:hint="eastAsia" w:ascii="仿宋" w:hAnsi="仿宋" w:eastAsia="仿宋" w:cs="仿宋"/>
          <w:b/>
          <w:bCs/>
          <w:color w:val="auto"/>
          <w:kern w:val="0"/>
          <w:sz w:val="24"/>
          <w:highlight w:val="none"/>
          <w:shd w:val="clear" w:color="auto" w:fill="auto"/>
          <w:lang w:bidi="ar"/>
        </w:rPr>
        <w:t>▲7.结算价格=食材基准价格*报价折扣率*数量。</w:t>
      </w:r>
      <w:r>
        <w:rPr>
          <w:rFonts w:hint="eastAsia" w:ascii="仿宋" w:hAnsi="仿宋" w:eastAsia="仿宋" w:cs="仿宋"/>
          <w:b/>
          <w:bCs/>
          <w:color w:val="auto"/>
          <w:sz w:val="24"/>
          <w:highlight w:val="none"/>
          <w:u w:val="none"/>
          <w:shd w:val="clear" w:color="auto" w:fill="auto"/>
        </w:rPr>
        <w:t>报价以固定市场折扣率进行报价，响应人应自行考虑所供货物物资的供货、税金、包装、运输、装卸、验收及其所有税费、相关工作人员费用等全部费用以及供货时间内所供货物的价格浮动因素谨慎报价，折扣率在合同过程中不得以任何理由进行调整。</w:t>
      </w:r>
    </w:p>
    <w:p>
      <w:pPr>
        <w:pStyle w:val="2"/>
        <w:numPr>
          <w:ilvl w:val="255"/>
          <w:numId w:val="0"/>
        </w:numPr>
        <w:autoSpaceDE/>
        <w:autoSpaceDN/>
        <w:adjustRightInd/>
        <w:ind w:firstLine="482" w:firstLineChars="200"/>
        <w:rPr>
          <w:rFonts w:ascii="仿宋" w:hAnsi="仿宋" w:eastAsia="仿宋" w:cs="仿宋"/>
          <w:color w:val="auto"/>
          <w:highlight w:val="none"/>
          <w:shd w:val="clear" w:color="auto" w:fill="auto"/>
        </w:rPr>
      </w:pPr>
      <w:r>
        <w:rPr>
          <w:rFonts w:hint="eastAsia" w:ascii="仿宋" w:hAnsi="仿宋" w:eastAsia="仿宋" w:cs="仿宋"/>
          <w:b/>
          <w:bCs/>
          <w:color w:val="auto"/>
          <w:kern w:val="0"/>
          <w:szCs w:val="24"/>
          <w:highlight w:val="none"/>
          <w:shd w:val="clear" w:color="auto" w:fill="auto"/>
          <w:lang w:val="en-US" w:bidi="ar"/>
        </w:rPr>
        <w:t>▲8.</w:t>
      </w:r>
      <w:r>
        <w:rPr>
          <w:rFonts w:hint="eastAsia" w:ascii="仿宋" w:hAnsi="仿宋" w:eastAsia="仿宋" w:cs="仿宋"/>
          <w:color w:val="auto"/>
          <w:kern w:val="0"/>
          <w:szCs w:val="24"/>
          <w:highlight w:val="none"/>
          <w:shd w:val="clear" w:color="auto" w:fill="auto"/>
          <w:lang w:val="en-US" w:bidi="ar"/>
        </w:rPr>
        <w:t>供应商不得将交易项目转让或标项给他人，否则交易发起人有权单方终止合同，由此产生的一切经济损失由供应商自行承担。</w:t>
      </w:r>
    </w:p>
    <w:p>
      <w:pPr>
        <w:widowControl/>
        <w:spacing w:line="360" w:lineRule="auto"/>
        <w:ind w:firstLine="482" w:firstLineChars="200"/>
        <w:jc w:val="left"/>
        <w:rPr>
          <w:rFonts w:ascii="仿宋" w:hAnsi="仿宋" w:eastAsia="仿宋" w:cs="仿宋"/>
          <w:b/>
          <w:bCs/>
          <w:color w:val="auto"/>
          <w:kern w:val="0"/>
          <w:sz w:val="24"/>
          <w:highlight w:val="none"/>
          <w:shd w:val="clear" w:color="auto" w:fill="auto"/>
          <w:lang w:bidi="ar"/>
        </w:rPr>
      </w:pPr>
    </w:p>
    <w:p>
      <w:pPr>
        <w:widowControl/>
        <w:spacing w:line="360" w:lineRule="auto"/>
        <w:ind w:firstLine="482" w:firstLineChars="200"/>
        <w:jc w:val="left"/>
        <w:rPr>
          <w:rFonts w:ascii="仿宋" w:hAnsi="仿宋" w:eastAsia="仿宋" w:cs="仿宋"/>
          <w:color w:val="auto"/>
          <w:highlight w:val="none"/>
          <w:shd w:val="clear" w:color="auto" w:fill="auto"/>
        </w:rPr>
      </w:pPr>
      <w:r>
        <w:rPr>
          <w:rFonts w:hint="eastAsia" w:ascii="仿宋" w:hAnsi="仿宋" w:eastAsia="仿宋" w:cs="仿宋"/>
          <w:b/>
          <w:bCs/>
          <w:color w:val="auto"/>
          <w:kern w:val="0"/>
          <w:sz w:val="24"/>
          <w:highlight w:val="none"/>
          <w:shd w:val="clear" w:color="auto" w:fill="auto"/>
          <w:lang w:bidi="ar"/>
        </w:rPr>
        <w:t>注：</w:t>
      </w:r>
      <w:r>
        <w:rPr>
          <w:rFonts w:hint="eastAsia" w:ascii="仿宋" w:hAnsi="仿宋" w:eastAsia="仿宋" w:cs="仿宋"/>
          <w:color w:val="auto"/>
          <w:kern w:val="0"/>
          <w:sz w:val="24"/>
          <w:highlight w:val="none"/>
          <w:shd w:val="clear" w:color="auto" w:fill="auto"/>
          <w:lang w:bidi="ar"/>
        </w:rPr>
        <w:t>交易文件中打▲内容为实质性要求，不允许有负偏离，否则将以涉及无效响应条款作无效响应。</w:t>
      </w:r>
    </w:p>
    <w:p>
      <w:pPr>
        <w:spacing w:line="240" w:lineRule="auto"/>
        <w:jc w:val="left"/>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br w:type="page"/>
      </w:r>
    </w:p>
    <w:p>
      <w:pPr>
        <w:snapToGrid/>
        <w:spacing w:line="24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 xml:space="preserve">第四部分   </w:t>
      </w:r>
      <w:bookmarkStart w:id="14" w:name="_Toc184308048"/>
      <w:bookmarkEnd w:id="14"/>
      <w:bookmarkStart w:id="15" w:name="_Toc184310316"/>
      <w:bookmarkEnd w:id="15"/>
      <w:bookmarkStart w:id="16" w:name="_Toc184308094"/>
      <w:bookmarkEnd w:id="16"/>
      <w:bookmarkStart w:id="17" w:name="_Toc184312131"/>
      <w:bookmarkEnd w:id="17"/>
      <w:bookmarkStart w:id="18" w:name="_Toc184314449"/>
      <w:bookmarkEnd w:id="18"/>
      <w:bookmarkStart w:id="19" w:name="_Toc184313289"/>
      <w:bookmarkEnd w:id="19"/>
      <w:bookmarkStart w:id="20" w:name="_Toc184308081"/>
      <w:bookmarkEnd w:id="20"/>
      <w:bookmarkStart w:id="21" w:name="_Toc184308089"/>
      <w:bookmarkEnd w:id="21"/>
      <w:bookmarkStart w:id="22" w:name="_Toc184314423"/>
      <w:bookmarkEnd w:id="22"/>
      <w:bookmarkStart w:id="23" w:name="_Toc184314453"/>
      <w:bookmarkEnd w:id="23"/>
      <w:bookmarkStart w:id="24" w:name="_Toc184314474"/>
      <w:bookmarkEnd w:id="24"/>
      <w:bookmarkStart w:id="25" w:name="_Toc184313295"/>
      <w:bookmarkEnd w:id="25"/>
      <w:bookmarkStart w:id="26" w:name="_Toc184313273"/>
      <w:bookmarkEnd w:id="26"/>
      <w:bookmarkStart w:id="27" w:name="_Toc184313259"/>
      <w:bookmarkEnd w:id="27"/>
      <w:bookmarkStart w:id="28" w:name="_Toc184314446"/>
      <w:bookmarkEnd w:id="28"/>
      <w:bookmarkStart w:id="29" w:name="_Toc184312111"/>
      <w:bookmarkEnd w:id="29"/>
      <w:bookmarkStart w:id="30" w:name="_Toc184314478"/>
      <w:bookmarkEnd w:id="30"/>
      <w:bookmarkStart w:id="31" w:name="_Toc184310294"/>
      <w:bookmarkEnd w:id="31"/>
      <w:bookmarkStart w:id="32" w:name="_Toc184314413"/>
      <w:bookmarkEnd w:id="32"/>
      <w:bookmarkStart w:id="33" w:name="_Toc184312114"/>
      <w:bookmarkEnd w:id="33"/>
      <w:bookmarkStart w:id="34" w:name="_Toc184314435"/>
      <w:bookmarkEnd w:id="34"/>
      <w:bookmarkStart w:id="35" w:name="_Toc184308097"/>
      <w:bookmarkEnd w:id="35"/>
      <w:bookmarkStart w:id="36" w:name="_Toc184312107"/>
      <w:bookmarkEnd w:id="36"/>
      <w:bookmarkStart w:id="37" w:name="_Toc184313274"/>
      <w:bookmarkEnd w:id="37"/>
      <w:bookmarkStart w:id="38" w:name="_Toc184314467"/>
      <w:bookmarkEnd w:id="38"/>
      <w:bookmarkStart w:id="39" w:name="_Toc184314450"/>
      <w:bookmarkEnd w:id="39"/>
      <w:bookmarkStart w:id="40" w:name="_Toc184312136"/>
      <w:bookmarkEnd w:id="40"/>
      <w:bookmarkStart w:id="41" w:name="_Toc184312123"/>
      <w:bookmarkEnd w:id="41"/>
      <w:bookmarkStart w:id="42" w:name="_Toc184312077"/>
      <w:bookmarkEnd w:id="42"/>
      <w:bookmarkStart w:id="43" w:name="_Toc184308057"/>
      <w:bookmarkEnd w:id="43"/>
      <w:bookmarkStart w:id="44" w:name="_Toc184313293"/>
      <w:bookmarkEnd w:id="44"/>
      <w:bookmarkStart w:id="45" w:name="_Toc184308077"/>
      <w:bookmarkEnd w:id="45"/>
      <w:bookmarkStart w:id="46" w:name="_Toc184312098"/>
      <w:bookmarkEnd w:id="46"/>
      <w:bookmarkStart w:id="47" w:name="_Toc184312129"/>
      <w:bookmarkEnd w:id="47"/>
      <w:bookmarkStart w:id="48" w:name="_Toc184314454"/>
      <w:bookmarkEnd w:id="48"/>
      <w:bookmarkStart w:id="49" w:name="_Toc184314433"/>
      <w:bookmarkEnd w:id="49"/>
      <w:bookmarkStart w:id="50" w:name="_Toc184313294"/>
      <w:bookmarkEnd w:id="50"/>
      <w:bookmarkStart w:id="51" w:name="_Toc184308067"/>
      <w:bookmarkEnd w:id="51"/>
      <w:bookmarkStart w:id="52" w:name="_Toc184312119"/>
      <w:bookmarkEnd w:id="52"/>
      <w:bookmarkStart w:id="53" w:name="_Toc184313245"/>
      <w:bookmarkEnd w:id="53"/>
      <w:bookmarkStart w:id="54" w:name="_Toc184313281"/>
      <w:bookmarkEnd w:id="54"/>
      <w:bookmarkStart w:id="55" w:name="_Toc184314458"/>
      <w:bookmarkEnd w:id="55"/>
      <w:bookmarkStart w:id="56" w:name="_Toc184310302"/>
      <w:bookmarkEnd w:id="56"/>
      <w:bookmarkStart w:id="57" w:name="_Toc184310275"/>
      <w:bookmarkEnd w:id="57"/>
      <w:bookmarkStart w:id="58" w:name="_Toc184310320"/>
      <w:bookmarkEnd w:id="58"/>
      <w:bookmarkStart w:id="59" w:name="_Toc184310344"/>
      <w:bookmarkEnd w:id="59"/>
      <w:bookmarkStart w:id="60" w:name="_Toc184308099"/>
      <w:bookmarkEnd w:id="60"/>
      <w:bookmarkStart w:id="61" w:name="_Toc184310322"/>
      <w:bookmarkEnd w:id="61"/>
      <w:bookmarkStart w:id="62" w:name="_Toc184312097"/>
      <w:bookmarkEnd w:id="62"/>
      <w:bookmarkStart w:id="63" w:name="_Toc184308049"/>
      <w:bookmarkEnd w:id="63"/>
      <w:bookmarkStart w:id="64" w:name="_Toc184308083"/>
      <w:bookmarkEnd w:id="64"/>
      <w:bookmarkStart w:id="65" w:name="_Toc184312094"/>
      <w:bookmarkEnd w:id="65"/>
      <w:bookmarkStart w:id="66" w:name="_Toc184312118"/>
      <w:bookmarkEnd w:id="66"/>
      <w:bookmarkStart w:id="67" w:name="_Toc184314463"/>
      <w:bookmarkEnd w:id="67"/>
      <w:bookmarkStart w:id="68" w:name="_Toc184310343"/>
      <w:bookmarkEnd w:id="68"/>
      <w:bookmarkStart w:id="69" w:name="_Toc184310333"/>
      <w:bookmarkEnd w:id="69"/>
      <w:bookmarkStart w:id="70" w:name="_Toc184308069"/>
      <w:bookmarkEnd w:id="70"/>
      <w:bookmarkStart w:id="71" w:name="_Toc184312127"/>
      <w:bookmarkEnd w:id="71"/>
      <w:bookmarkStart w:id="72" w:name="_Toc184313283"/>
      <w:bookmarkEnd w:id="72"/>
      <w:bookmarkStart w:id="73" w:name="_Toc184313266"/>
      <w:bookmarkEnd w:id="73"/>
      <w:bookmarkStart w:id="74" w:name="_Toc184313275"/>
      <w:bookmarkEnd w:id="74"/>
      <w:bookmarkStart w:id="75" w:name="_Toc184312137"/>
      <w:bookmarkEnd w:id="75"/>
      <w:bookmarkStart w:id="76" w:name="_Toc184313268"/>
      <w:bookmarkEnd w:id="76"/>
      <w:bookmarkStart w:id="77" w:name="_Toc184308107"/>
      <w:bookmarkEnd w:id="77"/>
      <w:bookmarkStart w:id="78" w:name="_Toc184310317"/>
      <w:bookmarkEnd w:id="78"/>
      <w:bookmarkStart w:id="79" w:name="_Toc184310315"/>
      <w:bookmarkEnd w:id="79"/>
      <w:bookmarkStart w:id="80" w:name="_Toc184308085"/>
      <w:bookmarkEnd w:id="80"/>
      <w:bookmarkStart w:id="81" w:name="_Toc184313276"/>
      <w:bookmarkEnd w:id="81"/>
      <w:bookmarkStart w:id="82" w:name="_Toc184314482"/>
      <w:bookmarkEnd w:id="82"/>
      <w:bookmarkStart w:id="83" w:name="_Toc184313264"/>
      <w:bookmarkEnd w:id="83"/>
      <w:bookmarkStart w:id="84" w:name="_Toc184312071"/>
      <w:bookmarkEnd w:id="84"/>
      <w:bookmarkStart w:id="85" w:name="_Toc184313254"/>
      <w:bookmarkEnd w:id="85"/>
      <w:bookmarkStart w:id="86" w:name="_Toc184308065"/>
      <w:bookmarkEnd w:id="86"/>
      <w:bookmarkStart w:id="87" w:name="_Toc184310295"/>
      <w:bookmarkEnd w:id="87"/>
      <w:bookmarkStart w:id="88" w:name="_Toc184310330"/>
      <w:bookmarkEnd w:id="88"/>
      <w:bookmarkStart w:id="89" w:name="_Toc184314426"/>
      <w:bookmarkEnd w:id="89"/>
      <w:bookmarkStart w:id="90" w:name="_Toc184314447"/>
      <w:bookmarkEnd w:id="90"/>
      <w:bookmarkStart w:id="91" w:name="_Toc184310279"/>
      <w:bookmarkEnd w:id="91"/>
      <w:bookmarkStart w:id="92" w:name="_Toc184312068"/>
      <w:bookmarkEnd w:id="92"/>
      <w:bookmarkStart w:id="93" w:name="_Toc184310313"/>
      <w:bookmarkEnd w:id="93"/>
      <w:bookmarkStart w:id="94" w:name="_Toc184312117"/>
      <w:bookmarkEnd w:id="94"/>
      <w:bookmarkStart w:id="95" w:name="_Toc184310340"/>
      <w:bookmarkEnd w:id="95"/>
      <w:bookmarkStart w:id="96" w:name="_Toc184313257"/>
      <w:bookmarkEnd w:id="96"/>
      <w:bookmarkStart w:id="97" w:name="_Toc184313310"/>
      <w:bookmarkEnd w:id="97"/>
      <w:bookmarkStart w:id="98" w:name="_Toc184310324"/>
      <w:bookmarkEnd w:id="98"/>
      <w:bookmarkStart w:id="99" w:name="_Toc184310328"/>
      <w:bookmarkEnd w:id="99"/>
      <w:bookmarkStart w:id="100" w:name="_Toc184312087"/>
      <w:bookmarkEnd w:id="100"/>
      <w:bookmarkStart w:id="101" w:name="_Toc184312095"/>
      <w:bookmarkEnd w:id="101"/>
      <w:bookmarkStart w:id="102" w:name="_Toc184314439"/>
      <w:bookmarkEnd w:id="102"/>
      <w:bookmarkStart w:id="103" w:name="_Toc184308052"/>
      <w:bookmarkEnd w:id="103"/>
      <w:bookmarkStart w:id="104" w:name="_Toc184310277"/>
      <w:bookmarkEnd w:id="104"/>
      <w:bookmarkStart w:id="105" w:name="_Toc184308066"/>
      <w:bookmarkEnd w:id="105"/>
      <w:bookmarkStart w:id="106" w:name="_Toc184313256"/>
      <w:bookmarkEnd w:id="106"/>
      <w:bookmarkStart w:id="107" w:name="_Toc184308043"/>
      <w:bookmarkEnd w:id="107"/>
      <w:bookmarkStart w:id="108" w:name="_Toc184314434"/>
      <w:bookmarkEnd w:id="108"/>
      <w:bookmarkStart w:id="109" w:name="_Toc184314468"/>
      <w:bookmarkEnd w:id="109"/>
      <w:bookmarkStart w:id="110" w:name="_Toc184310276"/>
      <w:bookmarkEnd w:id="110"/>
      <w:bookmarkStart w:id="111" w:name="_Toc184308044"/>
      <w:bookmarkEnd w:id="111"/>
      <w:bookmarkStart w:id="112" w:name="_Toc184310311"/>
      <w:bookmarkEnd w:id="112"/>
      <w:bookmarkStart w:id="113" w:name="_Toc184314431"/>
      <w:bookmarkEnd w:id="113"/>
      <w:bookmarkStart w:id="114" w:name="_Toc184313242"/>
      <w:bookmarkEnd w:id="114"/>
      <w:bookmarkStart w:id="115" w:name="_Toc184308036"/>
      <w:bookmarkEnd w:id="115"/>
      <w:bookmarkStart w:id="116" w:name="_Toc184314437"/>
      <w:bookmarkEnd w:id="116"/>
      <w:bookmarkStart w:id="117" w:name="_Toc184308047"/>
      <w:bookmarkEnd w:id="117"/>
      <w:bookmarkStart w:id="118" w:name="_Toc184308082"/>
      <w:bookmarkEnd w:id="118"/>
      <w:bookmarkStart w:id="119" w:name="_Toc184308093"/>
      <w:bookmarkEnd w:id="119"/>
      <w:bookmarkStart w:id="120" w:name="_Toc184310325"/>
      <w:bookmarkEnd w:id="120"/>
      <w:bookmarkStart w:id="121" w:name="_Toc184312134"/>
      <w:bookmarkEnd w:id="121"/>
      <w:bookmarkStart w:id="122" w:name="_Toc184308095"/>
      <w:bookmarkEnd w:id="122"/>
      <w:bookmarkStart w:id="123" w:name="_Toc184313252"/>
      <w:bookmarkEnd w:id="123"/>
      <w:bookmarkStart w:id="124" w:name="_Toc184314418"/>
      <w:bookmarkEnd w:id="124"/>
      <w:bookmarkStart w:id="125" w:name="_Toc184308060"/>
      <w:bookmarkEnd w:id="125"/>
      <w:bookmarkStart w:id="126" w:name="_Toc184308106"/>
      <w:bookmarkEnd w:id="126"/>
      <w:bookmarkStart w:id="127" w:name="_Toc184310337"/>
      <w:bookmarkEnd w:id="127"/>
      <w:bookmarkStart w:id="128" w:name="_Toc184310273"/>
      <w:bookmarkEnd w:id="128"/>
      <w:bookmarkStart w:id="129" w:name="_Toc184312112"/>
      <w:bookmarkEnd w:id="129"/>
      <w:bookmarkStart w:id="130" w:name="_Toc184312121"/>
      <w:bookmarkEnd w:id="130"/>
      <w:bookmarkStart w:id="131" w:name="_Toc184310327"/>
      <w:bookmarkEnd w:id="131"/>
      <w:bookmarkStart w:id="132" w:name="_Toc184312113"/>
      <w:bookmarkEnd w:id="132"/>
      <w:bookmarkStart w:id="133" w:name="_Toc184313300"/>
      <w:bookmarkEnd w:id="133"/>
      <w:bookmarkStart w:id="134" w:name="_Toc184308084"/>
      <w:bookmarkEnd w:id="134"/>
      <w:bookmarkStart w:id="135" w:name="_Toc184314475"/>
      <w:bookmarkEnd w:id="135"/>
      <w:bookmarkStart w:id="136" w:name="_Toc184314416"/>
      <w:bookmarkEnd w:id="136"/>
      <w:bookmarkStart w:id="137" w:name="_Toc184313304"/>
      <w:bookmarkEnd w:id="137"/>
      <w:bookmarkStart w:id="138" w:name="_Toc184312093"/>
      <w:bookmarkEnd w:id="138"/>
      <w:bookmarkStart w:id="139" w:name="_Toc184314420"/>
      <w:bookmarkEnd w:id="139"/>
      <w:bookmarkStart w:id="140" w:name="_Toc184313246"/>
      <w:bookmarkEnd w:id="140"/>
      <w:bookmarkStart w:id="141" w:name="_Toc184310278"/>
      <w:bookmarkEnd w:id="141"/>
      <w:bookmarkStart w:id="142" w:name="_Toc184312138"/>
      <w:bookmarkEnd w:id="142"/>
      <w:bookmarkStart w:id="143" w:name="_Toc184310291"/>
      <w:bookmarkEnd w:id="143"/>
      <w:bookmarkStart w:id="144" w:name="_Toc184313285"/>
      <w:bookmarkEnd w:id="144"/>
      <w:bookmarkStart w:id="145" w:name="_Toc184314424"/>
      <w:bookmarkEnd w:id="145"/>
      <w:bookmarkStart w:id="146" w:name="_Toc184308075"/>
      <w:bookmarkEnd w:id="146"/>
      <w:bookmarkStart w:id="147" w:name="_Toc184313287"/>
      <w:bookmarkEnd w:id="147"/>
      <w:bookmarkStart w:id="148" w:name="_Toc184313291"/>
      <w:bookmarkEnd w:id="148"/>
      <w:bookmarkStart w:id="149" w:name="_Toc184313298"/>
      <w:bookmarkEnd w:id="149"/>
      <w:bookmarkStart w:id="150" w:name="_Toc184308039"/>
      <w:bookmarkEnd w:id="150"/>
      <w:bookmarkStart w:id="151" w:name="_Toc184310274"/>
      <w:bookmarkEnd w:id="151"/>
      <w:bookmarkStart w:id="152" w:name="_Toc184308078"/>
      <w:bookmarkEnd w:id="152"/>
      <w:bookmarkStart w:id="153" w:name="_Toc184313288"/>
      <w:bookmarkEnd w:id="153"/>
      <w:bookmarkStart w:id="154" w:name="_Toc184314422"/>
      <w:bookmarkEnd w:id="154"/>
      <w:bookmarkStart w:id="155" w:name="_Toc184308098"/>
      <w:bookmarkEnd w:id="155"/>
      <w:bookmarkStart w:id="156" w:name="_Toc184312076"/>
      <w:bookmarkEnd w:id="156"/>
      <w:bookmarkStart w:id="157" w:name="_Toc184308046"/>
      <w:bookmarkEnd w:id="157"/>
      <w:bookmarkStart w:id="158" w:name="_Toc184308058"/>
      <w:bookmarkEnd w:id="158"/>
      <w:bookmarkStart w:id="159" w:name="_Toc184310286"/>
      <w:bookmarkEnd w:id="159"/>
      <w:bookmarkStart w:id="160" w:name="_Toc184314421"/>
      <w:bookmarkEnd w:id="160"/>
      <w:bookmarkStart w:id="161" w:name="_Toc184312124"/>
      <w:bookmarkEnd w:id="161"/>
      <w:bookmarkStart w:id="162" w:name="_Toc184310293"/>
      <w:bookmarkEnd w:id="162"/>
      <w:bookmarkStart w:id="163" w:name="_Toc184308038"/>
      <w:bookmarkEnd w:id="163"/>
      <w:bookmarkStart w:id="164" w:name="_Toc184308105"/>
      <w:bookmarkEnd w:id="164"/>
      <w:bookmarkStart w:id="165" w:name="_Toc184312108"/>
      <w:bookmarkEnd w:id="165"/>
      <w:bookmarkStart w:id="166" w:name="_Toc184310308"/>
      <w:bookmarkEnd w:id="166"/>
      <w:bookmarkStart w:id="167" w:name="_Toc184312128"/>
      <w:bookmarkEnd w:id="167"/>
      <w:bookmarkStart w:id="168" w:name="_Toc184308068"/>
      <w:bookmarkEnd w:id="168"/>
      <w:bookmarkStart w:id="169" w:name="_Toc184314430"/>
      <w:bookmarkEnd w:id="169"/>
      <w:bookmarkStart w:id="170" w:name="_Toc184314456"/>
      <w:bookmarkEnd w:id="170"/>
      <w:bookmarkStart w:id="171" w:name="_Toc184310331"/>
      <w:bookmarkEnd w:id="171"/>
      <w:bookmarkStart w:id="172" w:name="_Toc184314466"/>
      <w:bookmarkEnd w:id="172"/>
      <w:bookmarkStart w:id="173" w:name="_Toc184314473"/>
      <w:bookmarkEnd w:id="173"/>
      <w:bookmarkStart w:id="174" w:name="_Toc184310321"/>
      <w:bookmarkEnd w:id="174"/>
      <w:bookmarkStart w:id="175" w:name="_Toc184313239"/>
      <w:bookmarkEnd w:id="175"/>
      <w:bookmarkStart w:id="176" w:name="_Toc184314479"/>
      <w:bookmarkEnd w:id="176"/>
      <w:bookmarkStart w:id="177" w:name="_Toc184314440"/>
      <w:bookmarkEnd w:id="177"/>
      <w:bookmarkStart w:id="178" w:name="_Toc184310310"/>
      <w:bookmarkEnd w:id="178"/>
      <w:bookmarkStart w:id="179" w:name="_Toc184312072"/>
      <w:bookmarkEnd w:id="179"/>
      <w:bookmarkStart w:id="180" w:name="_Toc184310326"/>
      <w:bookmarkEnd w:id="180"/>
      <w:bookmarkStart w:id="181" w:name="_Toc184312130"/>
      <w:bookmarkEnd w:id="181"/>
      <w:bookmarkStart w:id="182" w:name="_Toc184312101"/>
      <w:bookmarkEnd w:id="182"/>
      <w:bookmarkStart w:id="183" w:name="_Toc184308040"/>
      <w:bookmarkEnd w:id="183"/>
      <w:bookmarkStart w:id="184" w:name="_Toc184308061"/>
      <w:bookmarkEnd w:id="184"/>
      <w:bookmarkStart w:id="185" w:name="_Toc184310314"/>
      <w:bookmarkEnd w:id="185"/>
      <w:bookmarkStart w:id="186" w:name="_Toc184313279"/>
      <w:bookmarkEnd w:id="186"/>
      <w:bookmarkStart w:id="187" w:name="_Toc184308090"/>
      <w:bookmarkEnd w:id="187"/>
      <w:bookmarkStart w:id="188" w:name="_Toc184313267"/>
      <w:bookmarkEnd w:id="188"/>
      <w:bookmarkStart w:id="189" w:name="_Toc184308063"/>
      <w:bookmarkEnd w:id="189"/>
      <w:bookmarkStart w:id="190" w:name="_Toc184310339"/>
      <w:bookmarkEnd w:id="190"/>
      <w:bookmarkStart w:id="191" w:name="_Toc184310305"/>
      <w:bookmarkEnd w:id="191"/>
      <w:bookmarkStart w:id="192" w:name="_Toc184314412"/>
      <w:bookmarkEnd w:id="192"/>
      <w:bookmarkStart w:id="193" w:name="_Toc184312083"/>
      <w:bookmarkEnd w:id="193"/>
      <w:bookmarkStart w:id="194" w:name="_Toc184308050"/>
      <w:bookmarkEnd w:id="194"/>
      <w:bookmarkStart w:id="195" w:name="_Toc184314429"/>
      <w:bookmarkEnd w:id="195"/>
      <w:bookmarkStart w:id="196" w:name="_Toc184313241"/>
      <w:bookmarkEnd w:id="196"/>
      <w:bookmarkStart w:id="197" w:name="_Toc184314470"/>
      <w:bookmarkEnd w:id="197"/>
      <w:bookmarkStart w:id="198" w:name="_Toc184313249"/>
      <w:bookmarkEnd w:id="198"/>
      <w:bookmarkStart w:id="199" w:name="_Toc184308103"/>
      <w:bookmarkEnd w:id="199"/>
      <w:bookmarkStart w:id="200" w:name="_Toc184310318"/>
      <w:bookmarkEnd w:id="200"/>
      <w:bookmarkStart w:id="201" w:name="_Toc184314469"/>
      <w:bookmarkEnd w:id="201"/>
      <w:bookmarkStart w:id="202" w:name="_Toc184310280"/>
      <w:bookmarkEnd w:id="202"/>
      <w:bookmarkStart w:id="203" w:name="_Toc184314425"/>
      <w:bookmarkEnd w:id="203"/>
      <w:bookmarkStart w:id="204" w:name="_Toc184313286"/>
      <w:bookmarkEnd w:id="204"/>
      <w:bookmarkStart w:id="205" w:name="_Toc184312133"/>
      <w:bookmarkEnd w:id="205"/>
      <w:bookmarkStart w:id="206" w:name="_Toc184308037"/>
      <w:bookmarkEnd w:id="206"/>
      <w:bookmarkStart w:id="207" w:name="_Toc184312110"/>
      <w:bookmarkEnd w:id="207"/>
      <w:bookmarkStart w:id="208" w:name="_Toc184308042"/>
      <w:bookmarkEnd w:id="208"/>
      <w:bookmarkStart w:id="209" w:name="_Toc184314438"/>
      <w:bookmarkEnd w:id="209"/>
      <w:bookmarkStart w:id="210" w:name="_Toc184312067"/>
      <w:bookmarkEnd w:id="210"/>
      <w:bookmarkStart w:id="211" w:name="_Toc184314480"/>
      <w:bookmarkEnd w:id="211"/>
      <w:bookmarkStart w:id="212" w:name="_Toc184310309"/>
      <w:bookmarkEnd w:id="212"/>
      <w:bookmarkStart w:id="213" w:name="_Toc184313247"/>
      <w:bookmarkEnd w:id="213"/>
      <w:bookmarkStart w:id="214" w:name="_Toc184310290"/>
      <w:bookmarkEnd w:id="214"/>
      <w:bookmarkStart w:id="215" w:name="_Toc184312100"/>
      <w:bookmarkEnd w:id="215"/>
      <w:bookmarkStart w:id="216" w:name="_Toc184312091"/>
      <w:bookmarkEnd w:id="216"/>
      <w:bookmarkStart w:id="217" w:name="_Toc184310292"/>
      <w:bookmarkEnd w:id="217"/>
      <w:bookmarkStart w:id="218" w:name="_Toc184312120"/>
      <w:bookmarkEnd w:id="218"/>
      <w:bookmarkStart w:id="219" w:name="_Toc184313301"/>
      <w:bookmarkEnd w:id="219"/>
      <w:bookmarkStart w:id="220" w:name="_Toc184308087"/>
      <w:bookmarkEnd w:id="220"/>
      <w:bookmarkStart w:id="221" w:name="_Toc184310299"/>
      <w:bookmarkEnd w:id="221"/>
      <w:bookmarkStart w:id="222" w:name="_Toc184312096"/>
      <w:bookmarkEnd w:id="222"/>
      <w:bookmarkStart w:id="223" w:name="_Toc184310306"/>
      <w:bookmarkEnd w:id="223"/>
      <w:bookmarkStart w:id="224" w:name="_Toc184314427"/>
      <w:bookmarkEnd w:id="224"/>
      <w:bookmarkStart w:id="225" w:name="_Toc184308051"/>
      <w:bookmarkEnd w:id="225"/>
      <w:bookmarkStart w:id="226" w:name="_Toc184310272"/>
      <w:bookmarkEnd w:id="226"/>
      <w:bookmarkStart w:id="227" w:name="_Toc184313280"/>
      <w:bookmarkEnd w:id="227"/>
      <w:bookmarkStart w:id="228" w:name="_Toc184314465"/>
      <w:bookmarkEnd w:id="228"/>
      <w:bookmarkStart w:id="229" w:name="_Toc184310338"/>
      <w:bookmarkEnd w:id="229"/>
      <w:bookmarkStart w:id="230" w:name="_Toc184312079"/>
      <w:bookmarkEnd w:id="230"/>
      <w:bookmarkStart w:id="231" w:name="_Toc184308100"/>
      <w:bookmarkEnd w:id="231"/>
      <w:bookmarkStart w:id="232" w:name="_Toc184313303"/>
      <w:bookmarkEnd w:id="232"/>
      <w:bookmarkStart w:id="233" w:name="_Toc184308064"/>
      <w:bookmarkEnd w:id="233"/>
      <w:bookmarkStart w:id="234" w:name="_Toc184312106"/>
      <w:bookmarkEnd w:id="234"/>
      <w:bookmarkStart w:id="235" w:name="_Toc184310334"/>
      <w:bookmarkEnd w:id="235"/>
      <w:bookmarkStart w:id="236" w:name="_Toc184312122"/>
      <w:bookmarkEnd w:id="236"/>
      <w:bookmarkStart w:id="237" w:name="_Toc184312080"/>
      <w:bookmarkEnd w:id="237"/>
      <w:bookmarkStart w:id="238" w:name="_Toc184312126"/>
      <w:bookmarkEnd w:id="238"/>
      <w:bookmarkStart w:id="239" w:name="_Toc184313302"/>
      <w:bookmarkEnd w:id="239"/>
      <w:bookmarkStart w:id="240" w:name="_Toc184314428"/>
      <w:bookmarkEnd w:id="240"/>
      <w:bookmarkStart w:id="241" w:name="_Toc184314448"/>
      <w:bookmarkEnd w:id="241"/>
      <w:bookmarkStart w:id="242" w:name="_Toc184312075"/>
      <w:bookmarkEnd w:id="242"/>
      <w:bookmarkStart w:id="243" w:name="_Toc184313240"/>
      <w:bookmarkEnd w:id="243"/>
      <w:bookmarkStart w:id="244" w:name="_Toc184310303"/>
      <w:bookmarkEnd w:id="244"/>
      <w:bookmarkStart w:id="245" w:name="_Toc184310329"/>
      <w:bookmarkEnd w:id="245"/>
      <w:bookmarkStart w:id="246" w:name="_Toc184312125"/>
      <w:bookmarkEnd w:id="246"/>
      <w:bookmarkStart w:id="247" w:name="_Toc184313270"/>
      <w:bookmarkEnd w:id="247"/>
      <w:bookmarkStart w:id="248" w:name="_Toc184314459"/>
      <w:bookmarkEnd w:id="248"/>
      <w:bookmarkStart w:id="249" w:name="_Toc184308096"/>
      <w:bookmarkEnd w:id="249"/>
      <w:bookmarkStart w:id="250" w:name="_Toc184313284"/>
      <w:bookmarkEnd w:id="250"/>
      <w:bookmarkStart w:id="251" w:name="_Toc184314441"/>
      <w:bookmarkEnd w:id="251"/>
      <w:bookmarkStart w:id="252" w:name="_Toc184314436"/>
      <w:bookmarkEnd w:id="252"/>
      <w:bookmarkStart w:id="253" w:name="_Toc184310288"/>
      <w:bookmarkEnd w:id="253"/>
      <w:bookmarkStart w:id="254" w:name="_Toc184312109"/>
      <w:bookmarkEnd w:id="254"/>
      <w:bookmarkStart w:id="255" w:name="_Toc184310287"/>
      <w:bookmarkEnd w:id="255"/>
      <w:bookmarkStart w:id="256" w:name="_Toc184310342"/>
      <w:bookmarkEnd w:id="256"/>
      <w:bookmarkStart w:id="257" w:name="_Toc184312073"/>
      <w:bookmarkEnd w:id="257"/>
      <w:bookmarkStart w:id="258" w:name="_Toc184313299"/>
      <w:bookmarkEnd w:id="258"/>
      <w:bookmarkStart w:id="259" w:name="_Toc184312088"/>
      <w:bookmarkEnd w:id="259"/>
      <w:bookmarkStart w:id="260" w:name="_Toc184314452"/>
      <w:bookmarkEnd w:id="260"/>
      <w:bookmarkStart w:id="261" w:name="_Toc184308080"/>
      <w:bookmarkEnd w:id="261"/>
      <w:bookmarkStart w:id="262" w:name="_Toc184308073"/>
      <w:bookmarkEnd w:id="262"/>
      <w:bookmarkStart w:id="263" w:name="_Toc184314442"/>
      <w:bookmarkEnd w:id="263"/>
      <w:bookmarkStart w:id="264" w:name="_Toc184312081"/>
      <w:bookmarkEnd w:id="264"/>
      <w:bookmarkStart w:id="265" w:name="_Toc184310301"/>
      <w:bookmarkEnd w:id="265"/>
      <w:bookmarkStart w:id="266" w:name="_Toc184313255"/>
      <w:bookmarkEnd w:id="266"/>
      <w:bookmarkStart w:id="267" w:name="_Toc184314415"/>
      <w:bookmarkEnd w:id="267"/>
      <w:bookmarkStart w:id="268" w:name="_Toc184310304"/>
      <w:bookmarkEnd w:id="268"/>
      <w:bookmarkStart w:id="269" w:name="_Toc184312135"/>
      <w:bookmarkEnd w:id="269"/>
      <w:bookmarkStart w:id="270" w:name="_Toc184310284"/>
      <w:bookmarkEnd w:id="270"/>
      <w:bookmarkStart w:id="271" w:name="_Toc184313278"/>
      <w:bookmarkEnd w:id="271"/>
      <w:bookmarkStart w:id="272" w:name="_Toc184312103"/>
      <w:bookmarkEnd w:id="272"/>
      <w:bookmarkStart w:id="273" w:name="_Toc184312102"/>
      <w:bookmarkEnd w:id="273"/>
      <w:bookmarkStart w:id="274" w:name="_Toc184313248"/>
      <w:bookmarkEnd w:id="274"/>
      <w:bookmarkStart w:id="275" w:name="_Toc184308062"/>
      <w:bookmarkEnd w:id="275"/>
      <w:bookmarkStart w:id="276" w:name="_Toc184312115"/>
      <w:bookmarkEnd w:id="276"/>
      <w:bookmarkStart w:id="277" w:name="_Toc184308092"/>
      <w:bookmarkEnd w:id="277"/>
      <w:bookmarkStart w:id="278" w:name="_Toc184310281"/>
      <w:bookmarkEnd w:id="278"/>
      <w:bookmarkStart w:id="279" w:name="_Toc184308102"/>
      <w:bookmarkEnd w:id="279"/>
      <w:bookmarkStart w:id="280" w:name="_Toc184313262"/>
      <w:bookmarkEnd w:id="280"/>
      <w:bookmarkStart w:id="281" w:name="_Toc184314457"/>
      <w:bookmarkEnd w:id="281"/>
      <w:bookmarkStart w:id="282" w:name="_Toc184308074"/>
      <w:bookmarkEnd w:id="282"/>
      <w:bookmarkStart w:id="283" w:name="_Toc184313308"/>
      <w:bookmarkEnd w:id="283"/>
      <w:bookmarkStart w:id="284" w:name="_Toc184314411"/>
      <w:bookmarkEnd w:id="284"/>
      <w:bookmarkStart w:id="285" w:name="_Toc184312082"/>
      <w:bookmarkEnd w:id="285"/>
      <w:bookmarkStart w:id="286" w:name="_Toc184314432"/>
      <w:bookmarkEnd w:id="286"/>
      <w:bookmarkStart w:id="287" w:name="_Toc184313306"/>
      <w:bookmarkEnd w:id="287"/>
      <w:bookmarkStart w:id="288" w:name="_Toc184314417"/>
      <w:bookmarkEnd w:id="288"/>
      <w:bookmarkStart w:id="289" w:name="_Toc184314443"/>
      <w:bookmarkEnd w:id="289"/>
      <w:bookmarkStart w:id="290" w:name="_Toc184314471"/>
      <w:bookmarkEnd w:id="290"/>
      <w:bookmarkStart w:id="291" w:name="_Toc184313243"/>
      <w:bookmarkEnd w:id="291"/>
      <w:bookmarkStart w:id="292" w:name="_Toc184313277"/>
      <w:bookmarkEnd w:id="292"/>
      <w:bookmarkStart w:id="293" w:name="_Toc184308071"/>
      <w:bookmarkEnd w:id="293"/>
      <w:bookmarkStart w:id="294" w:name="_Toc184313263"/>
      <w:bookmarkEnd w:id="294"/>
      <w:bookmarkStart w:id="295" w:name="_Toc184314476"/>
      <w:bookmarkEnd w:id="295"/>
      <w:bookmarkStart w:id="296" w:name="_Toc184308059"/>
      <w:bookmarkEnd w:id="296"/>
      <w:bookmarkStart w:id="297" w:name="_Toc184310307"/>
      <w:bookmarkEnd w:id="297"/>
      <w:bookmarkStart w:id="298" w:name="_Toc184313307"/>
      <w:bookmarkEnd w:id="298"/>
      <w:bookmarkStart w:id="299" w:name="_Toc184310289"/>
      <w:bookmarkEnd w:id="299"/>
      <w:bookmarkStart w:id="300" w:name="_Toc184308072"/>
      <w:bookmarkEnd w:id="300"/>
      <w:bookmarkStart w:id="301" w:name="_Toc184313305"/>
      <w:bookmarkEnd w:id="301"/>
      <w:bookmarkStart w:id="302" w:name="_Toc184310335"/>
      <w:bookmarkEnd w:id="302"/>
      <w:bookmarkStart w:id="303" w:name="_Toc184314462"/>
      <w:bookmarkEnd w:id="303"/>
      <w:bookmarkStart w:id="304" w:name="_Toc184308101"/>
      <w:bookmarkEnd w:id="304"/>
      <w:bookmarkStart w:id="305" w:name="_Toc184310285"/>
      <w:bookmarkEnd w:id="305"/>
      <w:bookmarkStart w:id="306" w:name="_Toc184310323"/>
      <w:bookmarkEnd w:id="306"/>
      <w:bookmarkStart w:id="307" w:name="_Toc184310336"/>
      <w:bookmarkEnd w:id="307"/>
      <w:bookmarkStart w:id="308" w:name="_Toc184313261"/>
      <w:bookmarkEnd w:id="308"/>
      <w:bookmarkStart w:id="309" w:name="_Toc184312139"/>
      <w:bookmarkEnd w:id="309"/>
      <w:bookmarkStart w:id="310" w:name="_Toc184313272"/>
      <w:bookmarkEnd w:id="310"/>
      <w:bookmarkStart w:id="311" w:name="_Toc184308104"/>
      <w:bookmarkEnd w:id="311"/>
      <w:bookmarkStart w:id="312" w:name="_Toc184312090"/>
      <w:bookmarkEnd w:id="312"/>
      <w:bookmarkStart w:id="313" w:name="_Toc184314410"/>
      <w:bookmarkEnd w:id="313"/>
      <w:bookmarkStart w:id="314" w:name="_Toc184314481"/>
      <w:bookmarkEnd w:id="314"/>
      <w:bookmarkStart w:id="315" w:name="_Toc184308086"/>
      <w:bookmarkEnd w:id="315"/>
      <w:bookmarkStart w:id="316" w:name="_Toc184313271"/>
      <w:bookmarkEnd w:id="316"/>
      <w:bookmarkStart w:id="317" w:name="_Toc184310312"/>
      <w:bookmarkEnd w:id="317"/>
      <w:bookmarkStart w:id="318" w:name="_Toc184314460"/>
      <w:bookmarkEnd w:id="318"/>
      <w:bookmarkStart w:id="319" w:name="_Toc184313250"/>
      <w:bookmarkEnd w:id="319"/>
      <w:bookmarkStart w:id="320" w:name="_Toc184314472"/>
      <w:bookmarkEnd w:id="320"/>
      <w:bookmarkStart w:id="321" w:name="_Toc184312070"/>
      <w:bookmarkEnd w:id="321"/>
      <w:bookmarkStart w:id="322" w:name="_Toc184312089"/>
      <w:bookmarkEnd w:id="322"/>
      <w:bookmarkStart w:id="323" w:name="_Toc184308091"/>
      <w:bookmarkEnd w:id="323"/>
      <w:bookmarkStart w:id="324" w:name="_Toc184310283"/>
      <w:bookmarkEnd w:id="324"/>
      <w:bookmarkStart w:id="325" w:name="_Toc184310297"/>
      <w:bookmarkEnd w:id="325"/>
      <w:bookmarkStart w:id="326" w:name="_Toc184308045"/>
      <w:bookmarkEnd w:id="326"/>
      <w:bookmarkStart w:id="327" w:name="_Toc184313296"/>
      <w:bookmarkEnd w:id="327"/>
      <w:bookmarkStart w:id="328" w:name="_Toc184312084"/>
      <w:bookmarkEnd w:id="328"/>
      <w:bookmarkStart w:id="329" w:name="_Toc184310298"/>
      <w:bookmarkEnd w:id="329"/>
      <w:bookmarkStart w:id="330" w:name="_Toc184312074"/>
      <w:bookmarkEnd w:id="330"/>
      <w:bookmarkStart w:id="331" w:name="_Toc184314414"/>
      <w:bookmarkEnd w:id="331"/>
      <w:bookmarkStart w:id="332" w:name="_Toc184313251"/>
      <w:bookmarkEnd w:id="332"/>
      <w:bookmarkStart w:id="333" w:name="_Toc184312116"/>
      <w:bookmarkEnd w:id="333"/>
      <w:bookmarkStart w:id="334" w:name="_Toc184310282"/>
      <w:bookmarkEnd w:id="334"/>
      <w:bookmarkStart w:id="335" w:name="_Toc184314451"/>
      <w:bookmarkEnd w:id="335"/>
      <w:bookmarkStart w:id="336" w:name="_Toc184312069"/>
      <w:bookmarkEnd w:id="336"/>
      <w:bookmarkStart w:id="337" w:name="_Toc184308076"/>
      <w:bookmarkEnd w:id="337"/>
      <w:bookmarkStart w:id="338" w:name="_Toc184308088"/>
      <w:bookmarkEnd w:id="338"/>
      <w:bookmarkStart w:id="339" w:name="_Toc184313282"/>
      <w:bookmarkEnd w:id="339"/>
      <w:bookmarkStart w:id="340" w:name="_Toc184308053"/>
      <w:bookmarkEnd w:id="340"/>
      <w:bookmarkStart w:id="341" w:name="_Toc184313238"/>
      <w:bookmarkEnd w:id="341"/>
      <w:bookmarkStart w:id="342" w:name="_Toc184314455"/>
      <w:bookmarkEnd w:id="342"/>
      <w:bookmarkStart w:id="343" w:name="_Toc184313260"/>
      <w:bookmarkEnd w:id="343"/>
      <w:bookmarkStart w:id="344" w:name="_Toc184308054"/>
      <w:bookmarkEnd w:id="344"/>
      <w:bookmarkStart w:id="345" w:name="_Toc184312132"/>
      <w:bookmarkEnd w:id="345"/>
      <w:bookmarkStart w:id="346" w:name="_Toc184312085"/>
      <w:bookmarkEnd w:id="346"/>
      <w:bookmarkStart w:id="347" w:name="_Toc184313297"/>
      <w:bookmarkEnd w:id="347"/>
      <w:bookmarkStart w:id="348" w:name="_Toc184312099"/>
      <w:bookmarkEnd w:id="348"/>
      <w:bookmarkStart w:id="349" w:name="_Toc184314444"/>
      <w:bookmarkEnd w:id="349"/>
      <w:bookmarkStart w:id="350" w:name="_Toc184308055"/>
      <w:bookmarkEnd w:id="350"/>
      <w:bookmarkStart w:id="351" w:name="_Toc184308041"/>
      <w:bookmarkEnd w:id="351"/>
      <w:bookmarkStart w:id="352" w:name="_Toc184312078"/>
      <w:bookmarkEnd w:id="352"/>
      <w:bookmarkStart w:id="353" w:name="_Toc184313244"/>
      <w:bookmarkEnd w:id="353"/>
      <w:bookmarkStart w:id="354" w:name="_Toc184313258"/>
      <w:bookmarkEnd w:id="354"/>
      <w:bookmarkStart w:id="355" w:name="_Toc184312105"/>
      <w:bookmarkEnd w:id="355"/>
      <w:bookmarkStart w:id="356" w:name="_Toc184310332"/>
      <w:bookmarkEnd w:id="356"/>
      <w:bookmarkStart w:id="357" w:name="_Toc184310319"/>
      <w:bookmarkEnd w:id="357"/>
      <w:bookmarkStart w:id="358" w:name="_Toc184308056"/>
      <w:bookmarkEnd w:id="358"/>
      <w:bookmarkStart w:id="359" w:name="_Toc184310300"/>
      <w:bookmarkEnd w:id="359"/>
      <w:bookmarkStart w:id="360" w:name="_Toc184310341"/>
      <w:bookmarkEnd w:id="360"/>
      <w:bookmarkStart w:id="361" w:name="_Toc184313309"/>
      <w:bookmarkEnd w:id="361"/>
      <w:bookmarkStart w:id="362" w:name="_Toc184313290"/>
      <w:bookmarkEnd w:id="362"/>
      <w:bookmarkStart w:id="363" w:name="_Toc184314461"/>
      <w:bookmarkEnd w:id="363"/>
      <w:bookmarkStart w:id="364" w:name="_Toc184314445"/>
      <w:bookmarkEnd w:id="364"/>
      <w:bookmarkStart w:id="365" w:name="_Toc184313253"/>
      <w:bookmarkEnd w:id="365"/>
      <w:bookmarkStart w:id="366" w:name="_Toc184312104"/>
      <w:bookmarkEnd w:id="366"/>
      <w:bookmarkStart w:id="367" w:name="_Toc184312086"/>
      <w:bookmarkEnd w:id="367"/>
      <w:bookmarkStart w:id="368" w:name="_Toc184314464"/>
      <w:bookmarkEnd w:id="368"/>
      <w:bookmarkStart w:id="369" w:name="_Toc184312092"/>
      <w:bookmarkEnd w:id="369"/>
      <w:bookmarkStart w:id="370" w:name="_Toc184314477"/>
      <w:bookmarkEnd w:id="370"/>
      <w:bookmarkStart w:id="371" w:name="_Toc184313265"/>
      <w:bookmarkEnd w:id="371"/>
      <w:bookmarkStart w:id="372" w:name="_Toc184310296"/>
      <w:bookmarkEnd w:id="372"/>
      <w:bookmarkStart w:id="373" w:name="_Toc184308108"/>
      <w:bookmarkEnd w:id="373"/>
      <w:bookmarkStart w:id="374" w:name="_Toc184313292"/>
      <w:bookmarkEnd w:id="374"/>
      <w:bookmarkStart w:id="375" w:name="_Toc184313269"/>
      <w:bookmarkEnd w:id="375"/>
      <w:bookmarkStart w:id="376" w:name="_Toc184314419"/>
      <w:bookmarkEnd w:id="376"/>
      <w:bookmarkStart w:id="377" w:name="_Toc184308070"/>
      <w:bookmarkEnd w:id="377"/>
      <w:bookmarkStart w:id="378" w:name="_Toc184308079"/>
      <w:bookmarkEnd w:id="378"/>
      <w:r>
        <w:rPr>
          <w:rFonts w:hint="eastAsia" w:ascii="仿宋" w:hAnsi="仿宋" w:eastAsia="仿宋" w:cs="仿宋"/>
          <w:b/>
          <w:color w:val="auto"/>
          <w:sz w:val="36"/>
          <w:szCs w:val="36"/>
          <w:highlight w:val="none"/>
          <w:lang w:eastAsia="zh-CN"/>
        </w:rPr>
        <w:t>交易办法</w:t>
      </w:r>
    </w:p>
    <w:p>
      <w:pPr>
        <w:pageBreakBefore w:val="0"/>
        <w:kinsoku/>
        <w:wordWrap/>
        <w:overflowPunct/>
        <w:topLinePunct w:val="0"/>
        <w:autoSpaceDE/>
        <w:autoSpaceDN/>
        <w:bidi w:val="0"/>
        <w:snapToGrid w:val="0"/>
        <w:spacing w:line="440" w:lineRule="exact"/>
        <w:ind w:left="0" w:leftChars="0" w:firstLine="0" w:firstLineChars="0"/>
        <w:textAlignment w:val="auto"/>
        <w:rPr>
          <w:rFonts w:hint="eastAsia" w:ascii="仿宋" w:hAnsi="仿宋" w:eastAsia="仿宋" w:cs="仿宋"/>
          <w:b/>
          <w:color w:val="auto"/>
          <w:sz w:val="32"/>
          <w:highlight w:val="none"/>
        </w:rPr>
      </w:pPr>
    </w:p>
    <w:p>
      <w:pPr>
        <w:pageBreakBefore w:val="0"/>
        <w:kinsoku/>
        <w:wordWrap/>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w:t>
      </w:r>
      <w:r>
        <w:rPr>
          <w:rFonts w:hint="eastAsia" w:ascii="仿宋" w:hAnsi="仿宋" w:eastAsia="仿宋" w:cs="仿宋"/>
          <w:b/>
          <w:color w:val="auto"/>
          <w:sz w:val="32"/>
          <w:highlight w:val="none"/>
          <w:lang w:eastAsia="zh-CN"/>
        </w:rPr>
        <w:t>交易</w:t>
      </w:r>
      <w:r>
        <w:rPr>
          <w:rFonts w:hint="eastAsia" w:ascii="仿宋" w:hAnsi="仿宋" w:eastAsia="仿宋" w:cs="仿宋"/>
          <w:b/>
          <w:color w:val="auto"/>
          <w:sz w:val="32"/>
          <w:highlight w:val="none"/>
        </w:rPr>
        <w:t>方法</w:t>
      </w:r>
    </w:p>
    <w:p>
      <w:pPr>
        <w:pageBreakBefore w:val="0"/>
        <w:kinsoku/>
        <w:wordWrap/>
        <w:overflowPunct/>
        <w:topLinePunct w:val="0"/>
        <w:autoSpaceDE/>
        <w:autoSpaceDN/>
        <w:bidi w:val="0"/>
        <w:adjustRightInd/>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eastAsia="zh-CN"/>
        </w:rPr>
        <w:t>成交候选人</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评审方法</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color w:val="auto"/>
          <w:sz w:val="32"/>
          <w:highlight w:val="none"/>
        </w:rPr>
      </w:pPr>
    </w:p>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w:t>
      </w:r>
      <w:r>
        <w:rPr>
          <w:rFonts w:hint="eastAsia" w:ascii="仿宋" w:hAnsi="仿宋" w:eastAsia="仿宋" w:cs="仿宋"/>
          <w:b/>
          <w:color w:val="auto"/>
          <w:sz w:val="32"/>
          <w:highlight w:val="none"/>
          <w:lang w:eastAsia="zh-CN"/>
        </w:rPr>
        <w:t>交易</w:t>
      </w:r>
      <w:r>
        <w:rPr>
          <w:rFonts w:hint="eastAsia" w:ascii="仿宋" w:hAnsi="仿宋" w:eastAsia="仿宋" w:cs="仿宋"/>
          <w:b/>
          <w:color w:val="auto"/>
          <w:sz w:val="32"/>
          <w:highlight w:val="none"/>
        </w:rPr>
        <w:t>标准</w:t>
      </w:r>
    </w:p>
    <w:p>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lang w:eastAsia="zh-CN"/>
        </w:rPr>
        <w:t>评审</w:t>
      </w:r>
      <w:r>
        <w:rPr>
          <w:rFonts w:hint="eastAsia" w:ascii="仿宋" w:hAnsi="仿宋" w:eastAsia="仿宋" w:cs="仿宋"/>
          <w:b/>
          <w:color w:val="auto"/>
          <w:sz w:val="24"/>
          <w:highlight w:val="none"/>
        </w:rPr>
        <w:t>标准：</w:t>
      </w:r>
    </w:p>
    <w:p>
      <w:pPr>
        <w:pStyle w:val="234"/>
        <w:spacing w:line="360" w:lineRule="auto"/>
        <w:ind w:firstLine="480"/>
        <w:rPr>
          <w:rFonts w:ascii="仿宋" w:hAnsi="仿宋" w:eastAsia="仿宋" w:cs="仿宋"/>
          <w:color w:val="auto"/>
          <w:kern w:val="2"/>
          <w:highlight w:val="none"/>
          <w:shd w:val="clear" w:color="auto" w:fill="auto"/>
        </w:rPr>
      </w:pPr>
      <w:r>
        <w:rPr>
          <w:rFonts w:hint="eastAsia" w:ascii="仿宋" w:hAnsi="仿宋" w:eastAsia="仿宋" w:cs="仿宋"/>
          <w:b/>
          <w:bCs/>
          <w:color w:val="auto"/>
          <w:sz w:val="24"/>
          <w:szCs w:val="24"/>
          <w:highlight w:val="none"/>
          <w:lang w:val="en-US" w:eastAsia="zh-CN"/>
        </w:rPr>
        <w:t>2.1</w:t>
      </w:r>
      <w:r>
        <w:rPr>
          <w:rFonts w:hint="eastAsia" w:ascii="仿宋" w:hAnsi="仿宋" w:eastAsia="仿宋" w:cs="仿宋"/>
          <w:color w:val="auto"/>
          <w:kern w:val="2"/>
          <w:highlight w:val="none"/>
          <w:shd w:val="clear" w:color="auto" w:fill="auto"/>
        </w:rPr>
        <w:t>商务技术评分表（80分）</w:t>
      </w:r>
    </w:p>
    <w:p>
      <w:pPr>
        <w:widowControl/>
        <w:spacing w:line="360" w:lineRule="auto"/>
        <w:ind w:firstLine="480" w:firstLineChars="200"/>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商务资信（30分）</w:t>
      </w:r>
    </w:p>
    <w:tbl>
      <w:tblPr>
        <w:tblStyle w:val="63"/>
        <w:tblW w:w="9078" w:type="dxa"/>
        <w:jc w:val="center"/>
        <w:tblLayout w:type="fixed"/>
        <w:tblCellMar>
          <w:top w:w="0" w:type="dxa"/>
          <w:left w:w="108" w:type="dxa"/>
          <w:bottom w:w="0" w:type="dxa"/>
          <w:right w:w="108" w:type="dxa"/>
        </w:tblCellMar>
      </w:tblPr>
      <w:tblGrid>
        <w:gridCol w:w="703"/>
        <w:gridCol w:w="572"/>
        <w:gridCol w:w="5908"/>
        <w:gridCol w:w="947"/>
        <w:gridCol w:w="948"/>
      </w:tblGrid>
      <w:tr>
        <w:tblPrEx>
          <w:tblCellMar>
            <w:top w:w="0" w:type="dxa"/>
            <w:left w:w="108" w:type="dxa"/>
            <w:bottom w:w="0" w:type="dxa"/>
            <w:right w:w="108" w:type="dxa"/>
          </w:tblCellMar>
        </w:tblPrEx>
        <w:trPr>
          <w:trHeight w:val="1079" w:hRule="atLeast"/>
          <w:jc w:val="center"/>
        </w:trPr>
        <w:tc>
          <w:tcPr>
            <w:tcW w:w="703" w:type="dxa"/>
            <w:tcBorders>
              <w:top w:val="single" w:color="auto" w:sz="8" w:space="0"/>
              <w:left w:val="single" w:color="auto" w:sz="8" w:space="0"/>
              <w:bottom w:val="single" w:color="auto" w:sz="4" w:space="0"/>
              <w:right w:val="single" w:color="auto" w:sz="4" w:space="0"/>
            </w:tcBorders>
            <w:vAlign w:val="center"/>
          </w:tcPr>
          <w:p>
            <w:pPr>
              <w:widowControl/>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序号</w:t>
            </w:r>
          </w:p>
        </w:tc>
        <w:tc>
          <w:tcPr>
            <w:tcW w:w="6480" w:type="dxa"/>
            <w:gridSpan w:val="2"/>
            <w:tcBorders>
              <w:top w:val="single" w:color="auto" w:sz="8" w:space="0"/>
              <w:left w:val="nil"/>
              <w:bottom w:val="single" w:color="auto" w:sz="4" w:space="0"/>
              <w:right w:val="single" w:color="auto" w:sz="4" w:space="0"/>
            </w:tcBorders>
            <w:vAlign w:val="center"/>
          </w:tcPr>
          <w:p>
            <w:pPr>
              <w:widowControl/>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评分内容和标准</w:t>
            </w:r>
          </w:p>
        </w:tc>
        <w:tc>
          <w:tcPr>
            <w:tcW w:w="947"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分值</w:t>
            </w:r>
          </w:p>
          <w:p>
            <w:pPr>
              <w:widowControl/>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区间</w:t>
            </w:r>
          </w:p>
        </w:tc>
        <w:tc>
          <w:tcPr>
            <w:tcW w:w="948"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主观/客观分</w:t>
            </w:r>
          </w:p>
        </w:tc>
      </w:tr>
      <w:tr>
        <w:tblPrEx>
          <w:tblCellMar>
            <w:top w:w="0" w:type="dxa"/>
            <w:left w:w="108" w:type="dxa"/>
            <w:bottom w:w="0" w:type="dxa"/>
            <w:right w:w="108" w:type="dxa"/>
          </w:tblCellMar>
        </w:tblPrEx>
        <w:trPr>
          <w:trHeight w:val="529" w:hRule="atLeast"/>
          <w:jc w:val="center"/>
        </w:trPr>
        <w:tc>
          <w:tcPr>
            <w:tcW w:w="703" w:type="dxa"/>
            <w:vMerge w:val="restart"/>
            <w:tcBorders>
              <w:top w:val="single" w:color="auto" w:sz="4" w:space="0"/>
              <w:left w:val="single" w:color="auto" w:sz="4" w:space="0"/>
              <w:right w:val="single" w:color="auto" w:sz="4" w:space="0"/>
            </w:tcBorders>
            <w:shd w:val="clear" w:color="auto" w:fill="auto"/>
            <w:vAlign w:val="center"/>
          </w:tcPr>
          <w:p>
            <w:pP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商务资信</w:t>
            </w:r>
          </w:p>
          <w:p>
            <w:pP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（30分）</w:t>
            </w:r>
          </w:p>
        </w:tc>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590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根据供应商综合实力、履约能力等情况综合评定。</w:t>
            </w:r>
          </w:p>
        </w:tc>
        <w:tc>
          <w:tcPr>
            <w:tcW w:w="94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2-5</w:t>
            </w:r>
          </w:p>
        </w:tc>
        <w:tc>
          <w:tcPr>
            <w:tcW w:w="94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r>
        <w:tblPrEx>
          <w:tblCellMar>
            <w:top w:w="0" w:type="dxa"/>
            <w:left w:w="108" w:type="dxa"/>
            <w:bottom w:w="0" w:type="dxa"/>
            <w:right w:w="108" w:type="dxa"/>
          </w:tblCellMar>
        </w:tblPrEx>
        <w:trPr>
          <w:trHeight w:val="459" w:hRule="atLeast"/>
          <w:jc w:val="center"/>
        </w:trPr>
        <w:tc>
          <w:tcPr>
            <w:tcW w:w="703" w:type="dxa"/>
            <w:vMerge w:val="continue"/>
            <w:tcBorders>
              <w:left w:val="single" w:color="auto" w:sz="4" w:space="0"/>
              <w:right w:val="single" w:color="auto" w:sz="4" w:space="0"/>
            </w:tcBorders>
            <w:vAlign w:val="center"/>
          </w:tcPr>
          <w:p>
            <w:pPr>
              <w:rPr>
                <w:rFonts w:ascii="仿宋" w:hAnsi="仿宋" w:eastAsia="仿宋" w:cs="仿宋"/>
                <w:color w:val="auto"/>
                <w:kern w:val="0"/>
                <w:sz w:val="24"/>
                <w:highlight w:val="none"/>
                <w:shd w:val="clear" w:color="auto" w:fill="auto"/>
              </w:rPr>
            </w:pPr>
          </w:p>
        </w:tc>
        <w:tc>
          <w:tcPr>
            <w:tcW w:w="5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2</w:t>
            </w:r>
          </w:p>
        </w:tc>
        <w:tc>
          <w:tcPr>
            <w:tcW w:w="5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供应商经营状况。</w:t>
            </w:r>
          </w:p>
        </w:tc>
        <w:tc>
          <w:tcPr>
            <w:tcW w:w="9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0-3</w:t>
            </w:r>
          </w:p>
        </w:tc>
        <w:tc>
          <w:tcPr>
            <w:tcW w:w="94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r>
        <w:tblPrEx>
          <w:tblCellMar>
            <w:top w:w="0" w:type="dxa"/>
            <w:left w:w="108" w:type="dxa"/>
            <w:bottom w:w="0" w:type="dxa"/>
            <w:right w:w="108" w:type="dxa"/>
          </w:tblCellMar>
        </w:tblPrEx>
        <w:trPr>
          <w:trHeight w:val="90" w:hRule="atLeast"/>
          <w:jc w:val="center"/>
        </w:trPr>
        <w:tc>
          <w:tcPr>
            <w:tcW w:w="703" w:type="dxa"/>
            <w:vMerge w:val="continue"/>
            <w:tcBorders>
              <w:left w:val="single" w:color="auto" w:sz="4" w:space="0"/>
              <w:right w:val="single" w:color="auto" w:sz="4" w:space="0"/>
            </w:tcBorders>
            <w:vAlign w:val="center"/>
          </w:tcPr>
          <w:p>
            <w:pPr>
              <w:rPr>
                <w:rFonts w:ascii="仿宋" w:hAnsi="仿宋" w:eastAsia="仿宋" w:cs="仿宋"/>
                <w:color w:val="auto"/>
                <w:kern w:val="0"/>
                <w:sz w:val="24"/>
                <w:highlight w:val="none"/>
                <w:shd w:val="clear" w:color="auto" w:fill="auto"/>
              </w:rPr>
            </w:pPr>
          </w:p>
        </w:tc>
        <w:tc>
          <w:tcPr>
            <w:tcW w:w="5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w:t>
            </w:r>
          </w:p>
        </w:tc>
        <w:tc>
          <w:tcPr>
            <w:tcW w:w="5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类似业绩：供应商自2020年1月1日以来，承接过类似机关事业单位、医院、学校等食堂配送服务业绩的每个得 1分。（同一配送单位最多只得1分，不重复计分，以合同签订单位为准；提供合同复印件并加盖供应商公章，合同中需能体现合同签订时间）。</w:t>
            </w:r>
          </w:p>
        </w:tc>
        <w:tc>
          <w:tcPr>
            <w:tcW w:w="9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0-5</w:t>
            </w:r>
          </w:p>
        </w:tc>
        <w:tc>
          <w:tcPr>
            <w:tcW w:w="94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客观分</w:t>
            </w:r>
          </w:p>
        </w:tc>
      </w:tr>
      <w:tr>
        <w:tblPrEx>
          <w:tblCellMar>
            <w:top w:w="0" w:type="dxa"/>
            <w:left w:w="108" w:type="dxa"/>
            <w:bottom w:w="0" w:type="dxa"/>
            <w:right w:w="108" w:type="dxa"/>
          </w:tblCellMar>
        </w:tblPrEx>
        <w:trPr>
          <w:trHeight w:val="2029" w:hRule="atLeast"/>
          <w:jc w:val="center"/>
        </w:trPr>
        <w:tc>
          <w:tcPr>
            <w:tcW w:w="703" w:type="dxa"/>
            <w:vMerge w:val="continue"/>
            <w:tcBorders>
              <w:left w:val="single" w:color="auto" w:sz="4" w:space="0"/>
              <w:right w:val="single" w:color="auto" w:sz="4" w:space="0"/>
            </w:tcBorders>
            <w:vAlign w:val="center"/>
          </w:tcPr>
          <w:p>
            <w:pPr>
              <w:rPr>
                <w:rFonts w:ascii="仿宋" w:hAnsi="仿宋" w:eastAsia="仿宋" w:cs="仿宋"/>
                <w:color w:val="auto"/>
                <w:kern w:val="0"/>
                <w:sz w:val="24"/>
                <w:highlight w:val="none"/>
                <w:shd w:val="clear" w:color="auto" w:fill="auto"/>
              </w:rPr>
            </w:pPr>
          </w:p>
        </w:tc>
        <w:tc>
          <w:tcPr>
            <w:tcW w:w="5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w:t>
            </w:r>
          </w:p>
        </w:tc>
        <w:tc>
          <w:tcPr>
            <w:tcW w:w="59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体系认证：供应商具有食品安全管理体系认证证书、职业健康管理体系认证证书、环境管理体系认证证书，且均在有效期内的每个得2分，没有不得分。（提供相应证书复印件加盖公章）</w:t>
            </w:r>
          </w:p>
        </w:tc>
        <w:tc>
          <w:tcPr>
            <w:tcW w:w="9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0-6</w:t>
            </w:r>
          </w:p>
        </w:tc>
        <w:tc>
          <w:tcPr>
            <w:tcW w:w="94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客观分</w:t>
            </w:r>
          </w:p>
        </w:tc>
      </w:tr>
      <w:tr>
        <w:tblPrEx>
          <w:tblCellMar>
            <w:top w:w="0" w:type="dxa"/>
            <w:left w:w="108" w:type="dxa"/>
            <w:bottom w:w="0" w:type="dxa"/>
            <w:right w:w="108" w:type="dxa"/>
          </w:tblCellMar>
        </w:tblPrEx>
        <w:trPr>
          <w:trHeight w:val="3787" w:hRule="atLeast"/>
          <w:jc w:val="center"/>
        </w:trPr>
        <w:tc>
          <w:tcPr>
            <w:tcW w:w="703" w:type="dxa"/>
            <w:vMerge w:val="continue"/>
            <w:tcBorders>
              <w:left w:val="single" w:color="auto" w:sz="4" w:space="0"/>
              <w:right w:val="single" w:color="auto" w:sz="4" w:space="0"/>
            </w:tcBorders>
            <w:vAlign w:val="center"/>
          </w:tcPr>
          <w:p>
            <w:pPr>
              <w:rPr>
                <w:rFonts w:ascii="仿宋" w:hAnsi="仿宋" w:eastAsia="仿宋" w:cs="仿宋"/>
                <w:color w:val="auto"/>
                <w:kern w:val="0"/>
                <w:sz w:val="24"/>
                <w:highlight w:val="none"/>
                <w:shd w:val="clear" w:color="auto" w:fill="auto"/>
              </w:rPr>
            </w:pPr>
          </w:p>
        </w:tc>
        <w:tc>
          <w:tcPr>
            <w:tcW w:w="5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5</w:t>
            </w:r>
          </w:p>
        </w:tc>
        <w:tc>
          <w:tcPr>
            <w:tcW w:w="590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bidi="ar"/>
              </w:rPr>
              <w:t>仓储、运输设备：</w:t>
            </w:r>
          </w:p>
          <w:p>
            <w:pPr>
              <w:widowControl/>
              <w:spacing w:line="360" w:lineRule="auto"/>
              <w:jc w:val="left"/>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bidi="ar"/>
              </w:rPr>
              <w:t>1、供应商具有的保鲜冷库单个容积 50立方米以上的，每个得1分，最高得3分。（提供相关冷库施工合同、发票，若租赁的还需提供租赁证明等相关证明材料复印件并加盖公章，证明材料须能体现冷库容积）</w:t>
            </w:r>
          </w:p>
          <w:p>
            <w:pPr>
              <w:widowControl/>
              <w:spacing w:line="360" w:lineRule="auto"/>
              <w:jc w:val="left"/>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bidi="ar"/>
              </w:rPr>
              <w:t>2、供应商具有箱式冷链车的，每拥有一辆得1分，最高得4分。（提供车辆行驶证，若车辆为租赁的还需提供车辆租赁合同等相关证明材料复印件并加盖公章）</w:t>
            </w:r>
          </w:p>
        </w:tc>
        <w:tc>
          <w:tcPr>
            <w:tcW w:w="9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0-7</w:t>
            </w:r>
          </w:p>
        </w:tc>
        <w:tc>
          <w:tcPr>
            <w:tcW w:w="94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客观分</w:t>
            </w:r>
          </w:p>
        </w:tc>
      </w:tr>
      <w:tr>
        <w:tblPrEx>
          <w:tblCellMar>
            <w:top w:w="0" w:type="dxa"/>
            <w:left w:w="108" w:type="dxa"/>
            <w:bottom w:w="0" w:type="dxa"/>
            <w:right w:w="108" w:type="dxa"/>
          </w:tblCellMar>
        </w:tblPrEx>
        <w:trPr>
          <w:trHeight w:val="2590" w:hRule="atLeast"/>
          <w:jc w:val="center"/>
        </w:trPr>
        <w:tc>
          <w:tcPr>
            <w:tcW w:w="703" w:type="dxa"/>
            <w:vMerge w:val="continue"/>
            <w:tcBorders>
              <w:left w:val="single" w:color="auto" w:sz="4" w:space="0"/>
              <w:bottom w:val="single" w:color="000000" w:sz="8" w:space="0"/>
              <w:right w:val="single" w:color="auto" w:sz="4" w:space="0"/>
            </w:tcBorders>
            <w:vAlign w:val="center"/>
          </w:tcPr>
          <w:p>
            <w:pPr>
              <w:rPr>
                <w:rFonts w:ascii="仿宋" w:hAnsi="仿宋" w:eastAsia="仿宋" w:cs="仿宋"/>
                <w:color w:val="auto"/>
                <w:kern w:val="0"/>
                <w:sz w:val="24"/>
                <w:highlight w:val="none"/>
                <w:shd w:val="clear" w:color="auto" w:fill="auto"/>
              </w:rPr>
            </w:pPr>
          </w:p>
        </w:tc>
        <w:tc>
          <w:tcPr>
            <w:tcW w:w="5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6</w:t>
            </w:r>
          </w:p>
        </w:tc>
        <w:tc>
          <w:tcPr>
            <w:tcW w:w="590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bidi="ar"/>
              </w:rPr>
              <w:t>经营场所：供应商在萧山区范围内的生产经营场所面积1000㎡（不含）以下得1分，达到 1000㎡的得2分，每增加500㎡加1分，本项最高得4分。（证明材料：提供土地证、房屋产权，若为租赁的还需提供租赁合同等相关场地证明复印件并加盖公章）</w:t>
            </w:r>
          </w:p>
        </w:tc>
        <w:tc>
          <w:tcPr>
            <w:tcW w:w="947" w:type="dxa"/>
            <w:tcBorders>
              <w:top w:val="single" w:color="auto" w:sz="4" w:space="0"/>
              <w:left w:val="nil"/>
              <w:bottom w:val="single" w:color="auto" w:sz="8" w:space="0"/>
              <w:right w:val="single" w:color="auto" w:sz="4" w:space="0"/>
            </w:tcBorders>
            <w:vAlign w:val="center"/>
          </w:tcPr>
          <w:p>
            <w:pPr>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0-4</w:t>
            </w:r>
          </w:p>
        </w:tc>
        <w:tc>
          <w:tcPr>
            <w:tcW w:w="948" w:type="dxa"/>
            <w:tcBorders>
              <w:top w:val="single" w:color="auto" w:sz="4" w:space="0"/>
              <w:left w:val="nil"/>
              <w:bottom w:val="single" w:color="auto" w:sz="8" w:space="0"/>
              <w:right w:val="single" w:color="auto" w:sz="4" w:space="0"/>
            </w:tcBorders>
            <w:vAlign w:val="center"/>
          </w:tcPr>
          <w:p>
            <w:pPr>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客观分</w:t>
            </w:r>
          </w:p>
        </w:tc>
      </w:tr>
    </w:tbl>
    <w:p>
      <w:pPr>
        <w:widowControl/>
        <w:spacing w:line="360" w:lineRule="auto"/>
        <w:ind w:firstLine="480" w:firstLineChars="200"/>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技术部分（50分）</w:t>
      </w:r>
    </w:p>
    <w:tbl>
      <w:tblPr>
        <w:tblStyle w:val="63"/>
        <w:tblW w:w="9057" w:type="dxa"/>
        <w:jc w:val="center"/>
        <w:tblLayout w:type="fixed"/>
        <w:tblCellMar>
          <w:top w:w="0" w:type="dxa"/>
          <w:left w:w="108" w:type="dxa"/>
          <w:bottom w:w="0" w:type="dxa"/>
          <w:right w:w="108" w:type="dxa"/>
        </w:tblCellMar>
      </w:tblPr>
      <w:tblGrid>
        <w:gridCol w:w="699"/>
        <w:gridCol w:w="563"/>
        <w:gridCol w:w="5915"/>
        <w:gridCol w:w="938"/>
        <w:gridCol w:w="942"/>
      </w:tblGrid>
      <w:tr>
        <w:tblPrEx>
          <w:tblCellMar>
            <w:top w:w="0" w:type="dxa"/>
            <w:left w:w="108" w:type="dxa"/>
            <w:bottom w:w="0" w:type="dxa"/>
            <w:right w:w="108" w:type="dxa"/>
          </w:tblCellMar>
        </w:tblPrEx>
        <w:trPr>
          <w:trHeight w:val="957" w:hRule="atLeast"/>
          <w:jc w:val="center"/>
        </w:trPr>
        <w:tc>
          <w:tcPr>
            <w:tcW w:w="699" w:type="dxa"/>
            <w:tcBorders>
              <w:top w:val="single" w:color="auto" w:sz="8" w:space="0"/>
              <w:left w:val="single" w:color="auto" w:sz="8"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序号</w:t>
            </w:r>
          </w:p>
        </w:tc>
        <w:tc>
          <w:tcPr>
            <w:tcW w:w="6478" w:type="dxa"/>
            <w:gridSpan w:val="2"/>
            <w:tcBorders>
              <w:top w:val="single" w:color="auto" w:sz="8" w:space="0"/>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评分内容和标准</w:t>
            </w:r>
          </w:p>
        </w:tc>
        <w:tc>
          <w:tcPr>
            <w:tcW w:w="938" w:type="dxa"/>
            <w:tcBorders>
              <w:top w:val="single" w:color="auto" w:sz="8" w:space="0"/>
              <w:left w:val="nil"/>
              <w:bottom w:val="single" w:color="auto" w:sz="4" w:space="0"/>
              <w:right w:val="single" w:color="auto" w:sz="4" w:space="0"/>
            </w:tcBorders>
            <w:vAlign w:val="center"/>
          </w:tcPr>
          <w:p>
            <w:pPr>
              <w:widowControl/>
              <w:spacing w:line="360" w:lineRule="auto"/>
              <w:contextualSpacing/>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分值</w:t>
            </w:r>
          </w:p>
          <w:p>
            <w:pPr>
              <w:widowControl/>
              <w:spacing w:line="360" w:lineRule="auto"/>
              <w:contextualSpacing/>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区间</w:t>
            </w:r>
          </w:p>
        </w:tc>
        <w:tc>
          <w:tcPr>
            <w:tcW w:w="942" w:type="dxa"/>
            <w:tcBorders>
              <w:top w:val="single" w:color="auto" w:sz="8" w:space="0"/>
              <w:left w:val="single" w:color="auto" w:sz="4" w:space="0"/>
              <w:bottom w:val="single" w:color="auto" w:sz="4" w:space="0"/>
              <w:right w:val="single" w:color="auto" w:sz="8" w:space="0"/>
            </w:tcBorders>
            <w:vAlign w:val="center"/>
          </w:tcPr>
          <w:p>
            <w:pPr>
              <w:widowControl/>
              <w:spacing w:line="360" w:lineRule="auto"/>
              <w:contextualSpacing/>
              <w:jc w:val="center"/>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主观/客观分</w:t>
            </w:r>
          </w:p>
        </w:tc>
      </w:tr>
      <w:tr>
        <w:tblPrEx>
          <w:tblCellMar>
            <w:top w:w="0" w:type="dxa"/>
            <w:left w:w="108" w:type="dxa"/>
            <w:bottom w:w="0" w:type="dxa"/>
            <w:right w:w="108" w:type="dxa"/>
          </w:tblCellMar>
        </w:tblPrEx>
        <w:trPr>
          <w:trHeight w:val="1396" w:hRule="atLeast"/>
          <w:jc w:val="center"/>
        </w:trPr>
        <w:tc>
          <w:tcPr>
            <w:tcW w:w="699"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技术</w:t>
            </w:r>
          </w:p>
          <w:p>
            <w:pPr>
              <w:spacing w:line="360" w:lineRule="auto"/>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（50分）</w:t>
            </w: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6</w:t>
            </w:r>
          </w:p>
        </w:tc>
        <w:tc>
          <w:tcPr>
            <w:tcW w:w="5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bidi="ar"/>
              </w:rPr>
              <w:t>供应商内部管理制度是否健全。</w:t>
            </w:r>
          </w:p>
          <w:p>
            <w:pPr>
              <w:widowControl/>
              <w:spacing w:line="360" w:lineRule="auto"/>
              <w:jc w:val="left"/>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bidi="ar"/>
              </w:rPr>
              <w:t>（包括：企业管理制度、卫生管理制度、档案管理制度、食品安全管理台账等）</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r>
        <w:tblPrEx>
          <w:tblCellMar>
            <w:top w:w="0" w:type="dxa"/>
            <w:left w:w="108" w:type="dxa"/>
            <w:bottom w:w="0" w:type="dxa"/>
            <w:right w:w="108" w:type="dxa"/>
          </w:tblCellMar>
        </w:tblPrEx>
        <w:trPr>
          <w:trHeight w:val="1855" w:hRule="atLeast"/>
          <w:jc w:val="center"/>
        </w:trPr>
        <w:tc>
          <w:tcPr>
            <w:tcW w:w="699" w:type="dxa"/>
            <w:vMerge w:val="continue"/>
            <w:tcBorders>
              <w:left w:val="single" w:color="auto" w:sz="4" w:space="0"/>
              <w:right w:val="single" w:color="auto" w:sz="4" w:space="0"/>
            </w:tcBorders>
            <w:vAlign w:val="center"/>
          </w:tcPr>
          <w:p>
            <w:pPr>
              <w:widowControl/>
              <w:spacing w:line="360" w:lineRule="auto"/>
              <w:contextualSpacing/>
              <w:jc w:val="left"/>
              <w:rPr>
                <w:rFonts w:ascii="仿宋" w:hAnsi="仿宋" w:eastAsia="仿宋" w:cs="仿宋"/>
                <w:color w:val="auto"/>
                <w:sz w:val="24"/>
                <w:highlight w:val="none"/>
                <w:shd w:val="clear" w:color="auto" w:fill="auto"/>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7</w:t>
            </w:r>
          </w:p>
        </w:tc>
        <w:tc>
          <w:tcPr>
            <w:tcW w:w="5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bidi="ar"/>
              </w:rPr>
              <w:t>供应商对各类原材料质量监测及每日供应的货品的品控保证措施及方案是否合理。（供应商需有一体化食品安全综合分析仪，并提供购买发票，若是租赁的还需提供租赁合同，否则本项不得分）</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r>
        <w:tblPrEx>
          <w:tblCellMar>
            <w:top w:w="0" w:type="dxa"/>
            <w:left w:w="108" w:type="dxa"/>
            <w:bottom w:w="0" w:type="dxa"/>
            <w:right w:w="108" w:type="dxa"/>
          </w:tblCellMar>
        </w:tblPrEx>
        <w:trPr>
          <w:trHeight w:val="1396" w:hRule="atLeast"/>
          <w:jc w:val="center"/>
        </w:trPr>
        <w:tc>
          <w:tcPr>
            <w:tcW w:w="699" w:type="dxa"/>
            <w:vMerge w:val="continue"/>
            <w:tcBorders>
              <w:left w:val="single" w:color="auto" w:sz="4" w:space="0"/>
              <w:right w:val="single" w:color="auto" w:sz="4" w:space="0"/>
            </w:tcBorders>
            <w:vAlign w:val="center"/>
          </w:tcPr>
          <w:p>
            <w:pPr>
              <w:widowControl/>
              <w:spacing w:line="360" w:lineRule="auto"/>
              <w:contextualSpacing/>
              <w:jc w:val="left"/>
              <w:rPr>
                <w:rFonts w:ascii="仿宋" w:hAnsi="仿宋" w:eastAsia="仿宋" w:cs="仿宋"/>
                <w:color w:val="auto"/>
                <w:sz w:val="24"/>
                <w:highlight w:val="none"/>
                <w:shd w:val="clear" w:color="auto" w:fill="auto"/>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8</w:t>
            </w:r>
          </w:p>
        </w:tc>
        <w:tc>
          <w:tcPr>
            <w:tcW w:w="5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bidi="ar"/>
              </w:rPr>
              <w:t>供应商投入本项目的人员配置是否合理。</w:t>
            </w:r>
          </w:p>
          <w:p>
            <w:pPr>
              <w:widowControl/>
              <w:spacing w:line="360" w:lineRule="auto"/>
              <w:jc w:val="left"/>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bidi="ar"/>
              </w:rPr>
              <w:t>(所有投入本项目的工作人员均须持有在有效期内的健康证明，否则本项不得分。）</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2-7</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r>
        <w:tblPrEx>
          <w:tblCellMar>
            <w:top w:w="0" w:type="dxa"/>
            <w:left w:w="108" w:type="dxa"/>
            <w:bottom w:w="0" w:type="dxa"/>
            <w:right w:w="108" w:type="dxa"/>
          </w:tblCellMar>
        </w:tblPrEx>
        <w:trPr>
          <w:trHeight w:val="630" w:hRule="atLeast"/>
          <w:jc w:val="center"/>
        </w:trPr>
        <w:tc>
          <w:tcPr>
            <w:tcW w:w="699" w:type="dxa"/>
            <w:vMerge w:val="continue"/>
            <w:tcBorders>
              <w:left w:val="single" w:color="auto" w:sz="4" w:space="0"/>
              <w:right w:val="single" w:color="auto" w:sz="4" w:space="0"/>
            </w:tcBorders>
            <w:vAlign w:val="center"/>
          </w:tcPr>
          <w:p>
            <w:pPr>
              <w:widowControl/>
              <w:spacing w:line="360" w:lineRule="auto"/>
              <w:contextualSpacing/>
              <w:jc w:val="left"/>
              <w:rPr>
                <w:rFonts w:ascii="仿宋" w:hAnsi="仿宋" w:eastAsia="仿宋" w:cs="仿宋"/>
                <w:color w:val="auto"/>
                <w:sz w:val="24"/>
                <w:highlight w:val="none"/>
                <w:shd w:val="clear" w:color="auto" w:fill="auto"/>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9</w:t>
            </w:r>
          </w:p>
        </w:tc>
        <w:tc>
          <w:tcPr>
            <w:tcW w:w="5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货物运输方案及保障措施是否合理。</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1-5</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r>
        <w:tblPrEx>
          <w:tblCellMar>
            <w:top w:w="0" w:type="dxa"/>
            <w:left w:w="108" w:type="dxa"/>
            <w:bottom w:w="0" w:type="dxa"/>
            <w:right w:w="108" w:type="dxa"/>
          </w:tblCellMar>
        </w:tblPrEx>
        <w:trPr>
          <w:trHeight w:val="635" w:hRule="atLeast"/>
          <w:jc w:val="center"/>
        </w:trPr>
        <w:tc>
          <w:tcPr>
            <w:tcW w:w="699" w:type="dxa"/>
            <w:vMerge w:val="continue"/>
            <w:tcBorders>
              <w:left w:val="single" w:color="auto" w:sz="4" w:space="0"/>
              <w:right w:val="single" w:color="auto" w:sz="4" w:space="0"/>
            </w:tcBorders>
            <w:vAlign w:val="center"/>
          </w:tcPr>
          <w:p>
            <w:pPr>
              <w:widowControl/>
              <w:spacing w:line="360" w:lineRule="auto"/>
              <w:contextualSpacing/>
              <w:jc w:val="left"/>
              <w:rPr>
                <w:rFonts w:ascii="仿宋" w:hAnsi="仿宋" w:eastAsia="仿宋" w:cs="仿宋"/>
                <w:color w:val="auto"/>
                <w:sz w:val="24"/>
                <w:highlight w:val="none"/>
                <w:shd w:val="clear" w:color="auto" w:fill="auto"/>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10</w:t>
            </w:r>
          </w:p>
        </w:tc>
        <w:tc>
          <w:tcPr>
            <w:tcW w:w="5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供应商留样制度及措施是否完整。</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1-5</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r>
        <w:tblPrEx>
          <w:tblCellMar>
            <w:top w:w="0" w:type="dxa"/>
            <w:left w:w="108" w:type="dxa"/>
            <w:bottom w:w="0" w:type="dxa"/>
            <w:right w:w="108" w:type="dxa"/>
          </w:tblCellMar>
        </w:tblPrEx>
        <w:trPr>
          <w:trHeight w:val="937" w:hRule="atLeast"/>
          <w:jc w:val="center"/>
        </w:trPr>
        <w:tc>
          <w:tcPr>
            <w:tcW w:w="699" w:type="dxa"/>
            <w:vMerge w:val="continue"/>
            <w:tcBorders>
              <w:left w:val="single" w:color="auto" w:sz="4" w:space="0"/>
              <w:right w:val="single" w:color="auto" w:sz="4" w:space="0"/>
            </w:tcBorders>
            <w:vAlign w:val="center"/>
          </w:tcPr>
          <w:p>
            <w:pPr>
              <w:widowControl/>
              <w:spacing w:line="360" w:lineRule="auto"/>
              <w:contextualSpacing/>
              <w:jc w:val="left"/>
              <w:rPr>
                <w:rFonts w:ascii="仿宋" w:hAnsi="仿宋" w:eastAsia="仿宋" w:cs="仿宋"/>
                <w:color w:val="auto"/>
                <w:sz w:val="24"/>
                <w:highlight w:val="none"/>
                <w:shd w:val="clear" w:color="auto" w:fill="auto"/>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11</w:t>
            </w:r>
          </w:p>
        </w:tc>
        <w:tc>
          <w:tcPr>
            <w:tcW w:w="5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bidi="ar"/>
              </w:rPr>
              <w:t>针对突发事件，如食品安全事故、临时变更采购量、不可抗力导致无法按时送货等情况的应急方案是否合理。</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1-5</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r>
        <w:tblPrEx>
          <w:tblCellMar>
            <w:top w:w="0" w:type="dxa"/>
            <w:left w:w="108" w:type="dxa"/>
            <w:bottom w:w="0" w:type="dxa"/>
            <w:right w:w="108" w:type="dxa"/>
          </w:tblCellMar>
        </w:tblPrEx>
        <w:trPr>
          <w:trHeight w:val="937" w:hRule="atLeast"/>
          <w:jc w:val="center"/>
        </w:trPr>
        <w:tc>
          <w:tcPr>
            <w:tcW w:w="699" w:type="dxa"/>
            <w:vMerge w:val="continue"/>
            <w:tcBorders>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auto"/>
                <w:sz w:val="24"/>
                <w:highlight w:val="none"/>
                <w:shd w:val="clear" w:color="auto" w:fill="auto"/>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12</w:t>
            </w:r>
          </w:p>
        </w:tc>
        <w:tc>
          <w:tcPr>
            <w:tcW w:w="591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服务承诺（根据本地化服务能力、售后服务方案、措施、响应等情况综合评定）</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1-5</w:t>
            </w:r>
          </w:p>
        </w:tc>
        <w:tc>
          <w:tcPr>
            <w:tcW w:w="942"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r>
        <w:tblPrEx>
          <w:tblCellMar>
            <w:top w:w="0" w:type="dxa"/>
            <w:left w:w="108" w:type="dxa"/>
            <w:bottom w:w="0" w:type="dxa"/>
            <w:right w:w="108" w:type="dxa"/>
          </w:tblCellMar>
        </w:tblPrEx>
        <w:trPr>
          <w:trHeight w:val="645" w:hRule="atLeast"/>
          <w:jc w:val="center"/>
        </w:trPr>
        <w:tc>
          <w:tcPr>
            <w:tcW w:w="699" w:type="dxa"/>
            <w:vMerge w:val="continue"/>
            <w:tcBorders>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auto"/>
                <w:sz w:val="24"/>
                <w:highlight w:val="none"/>
                <w:shd w:val="clear" w:color="auto" w:fill="auto"/>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13</w:t>
            </w:r>
          </w:p>
        </w:tc>
        <w:tc>
          <w:tcPr>
            <w:tcW w:w="591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bidi="ar"/>
              </w:rPr>
              <w:t>对本项目的合理化建议（综合评定）</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0-3</w:t>
            </w:r>
          </w:p>
        </w:tc>
        <w:tc>
          <w:tcPr>
            <w:tcW w:w="942"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主观分</w:t>
            </w:r>
          </w:p>
        </w:tc>
      </w:tr>
    </w:tbl>
    <w:p>
      <w:pPr>
        <w:widowControl/>
        <w:numPr>
          <w:ilvl w:val="-1"/>
          <w:numId w:val="0"/>
        </w:numPr>
        <w:spacing w:line="360" w:lineRule="auto"/>
        <w:ind w:firstLine="482" w:firstLineChars="200"/>
        <w:rPr>
          <w:rFonts w:hint="eastAsia" w:ascii="仿宋" w:hAnsi="仿宋" w:eastAsia="仿宋" w:cs="仿宋"/>
          <w:b/>
          <w:bCs/>
          <w:color w:val="auto"/>
          <w:sz w:val="24"/>
          <w:szCs w:val="24"/>
          <w:highlight w:val="none"/>
        </w:rPr>
      </w:pPr>
    </w:p>
    <w:p>
      <w:pPr>
        <w:widowControl/>
        <w:spacing w:line="360" w:lineRule="auto"/>
        <w:jc w:val="left"/>
        <w:rPr>
          <w:rFonts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bidi="ar"/>
        </w:rPr>
        <w:t>注：（1）若交易发起人对供应商提供的证明资料要求为原件的，另行提出。</w:t>
      </w:r>
    </w:p>
    <w:p>
      <w:pPr>
        <w:widowControl/>
        <w:spacing w:line="360" w:lineRule="auto"/>
        <w:ind w:firstLine="480" w:firstLineChars="200"/>
        <w:jc w:val="left"/>
        <w:rPr>
          <w:rFonts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bidi="ar"/>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价格分（20分）</w:t>
      </w:r>
    </w:p>
    <w:tbl>
      <w:tblPr>
        <w:tblStyle w:val="63"/>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价格权值</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价格权值=0.2</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各有效报价的最低报价作为评审基准价</w:t>
            </w:r>
          </w:p>
          <w:p>
            <w:pPr>
              <w:widowControl/>
              <w:spacing w:line="360" w:lineRule="auto"/>
              <w:ind w:firstLine="480" w:firstLineChars="200"/>
              <w:jc w:val="left"/>
              <w:rPr>
                <w:rFonts w:ascii="仿宋" w:hAnsi="仿宋" w:eastAsia="仿宋" w:cs="仿宋"/>
                <w:color w:val="auto"/>
                <w:kern w:val="0"/>
                <w:sz w:val="24"/>
                <w:highlight w:val="none"/>
                <w:shd w:val="clear" w:color="auto" w:fill="auto"/>
                <w:lang w:bidi="ar"/>
              </w:rPr>
            </w:pPr>
            <w:r>
              <w:rPr>
                <w:rFonts w:hint="eastAsia" w:ascii="仿宋" w:hAnsi="仿宋" w:eastAsia="仿宋" w:cs="仿宋"/>
                <w:color w:val="auto"/>
                <w:kern w:val="0"/>
                <w:sz w:val="24"/>
                <w:highlight w:val="none"/>
                <w:shd w:val="clear" w:color="auto" w:fill="auto"/>
                <w:lang w:bidi="ar"/>
              </w:rPr>
              <w:t>报价得分=(评审基准价／响应报价)×价格权值×100（计算得分保留小数点后2位）</w:t>
            </w:r>
          </w:p>
          <w:p>
            <w:pPr>
              <w:widowControl/>
              <w:spacing w:line="360" w:lineRule="auto"/>
              <w:ind w:firstLine="480" w:firstLineChars="200"/>
              <w:jc w:val="left"/>
              <w:rPr>
                <w:color w:val="auto"/>
                <w:highlight w:val="none"/>
                <w:shd w:val="clear" w:color="auto" w:fill="auto"/>
              </w:rPr>
            </w:pPr>
            <w:r>
              <w:rPr>
                <w:rFonts w:hint="eastAsia" w:ascii="仿宋" w:hAnsi="仿宋" w:eastAsia="仿宋" w:cs="仿宋"/>
                <w:color w:val="auto"/>
                <w:kern w:val="0"/>
                <w:sz w:val="24"/>
                <w:highlight w:val="none"/>
                <w:shd w:val="clear" w:color="auto" w:fill="auto"/>
                <w:lang w:bidi="ar"/>
              </w:rPr>
              <w:t>▲报价折扣率100%（含临界值），超出报价范围的响应报价按无效标处理。</w:t>
            </w:r>
          </w:p>
        </w:tc>
      </w:tr>
    </w:tbl>
    <w:p>
      <w:pPr>
        <w:pageBreakBefore w:val="0"/>
        <w:kinsoku/>
        <w:wordWrap/>
        <w:overflowPunct/>
        <w:topLinePunct w:val="0"/>
        <w:autoSpaceDE/>
        <w:autoSpaceDN/>
        <w:bidi w:val="0"/>
        <w:spacing w:line="440" w:lineRule="exact"/>
        <w:ind w:left="0" w:leftChars="0" w:firstLine="0" w:firstLineChars="0"/>
        <w:textAlignment w:val="auto"/>
        <w:outlineLvl w:val="0"/>
        <w:rPr>
          <w:rFonts w:hint="eastAsia" w:ascii="仿宋" w:hAnsi="仿宋" w:eastAsia="仿宋" w:cs="仿宋"/>
          <w:b/>
          <w:color w:val="auto"/>
          <w:sz w:val="32"/>
          <w:szCs w:val="32"/>
          <w:highlight w:val="none"/>
        </w:rPr>
      </w:pPr>
    </w:p>
    <w:p>
      <w:pPr>
        <w:pageBreakBefore w:val="0"/>
        <w:kinsoku/>
        <w:wordWrap/>
        <w:overflowPunct/>
        <w:topLinePunct w:val="0"/>
        <w:autoSpaceDE/>
        <w:autoSpaceDN/>
        <w:bidi w:val="0"/>
        <w:spacing w:line="440" w:lineRule="exact"/>
        <w:ind w:left="0" w:leftChars="0" w:firstLine="0" w:firstLineChars="0"/>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2"/>
          <w:szCs w:val="32"/>
          <w:highlight w:val="none"/>
        </w:rPr>
        <w:t>三、</w:t>
      </w:r>
      <w:r>
        <w:rPr>
          <w:rFonts w:hint="eastAsia" w:ascii="仿宋" w:hAnsi="仿宋" w:eastAsia="仿宋" w:cs="仿宋"/>
          <w:b/>
          <w:color w:val="auto"/>
          <w:sz w:val="32"/>
          <w:szCs w:val="32"/>
          <w:highlight w:val="none"/>
          <w:lang w:eastAsia="zh-CN"/>
        </w:rPr>
        <w:t>交易</w:t>
      </w:r>
      <w:r>
        <w:rPr>
          <w:rFonts w:hint="eastAsia" w:ascii="仿宋" w:hAnsi="仿宋" w:eastAsia="仿宋" w:cs="仿宋"/>
          <w:b/>
          <w:color w:val="auto"/>
          <w:sz w:val="32"/>
          <w:szCs w:val="32"/>
          <w:highlight w:val="none"/>
        </w:rPr>
        <w:t>程</w:t>
      </w:r>
      <w:r>
        <w:rPr>
          <w:rFonts w:hint="eastAsia" w:ascii="仿宋" w:hAnsi="仿宋" w:eastAsia="仿宋" w:cs="仿宋"/>
          <w:b/>
          <w:color w:val="auto"/>
          <w:sz w:val="32"/>
          <w:highlight w:val="none"/>
        </w:rPr>
        <w:t>序</w:t>
      </w:r>
    </w:p>
    <w:bookmarkEnd w:id="13"/>
    <w:p>
      <w:pPr>
        <w:pageBreakBefore w:val="0"/>
        <w:kinsoku/>
        <w:wordWrap/>
        <w:overflowPunct/>
        <w:topLinePunct w:val="0"/>
        <w:autoSpaceDE/>
        <w:autoSpaceDN/>
        <w:bidi w:val="0"/>
        <w:spacing w:line="440" w:lineRule="exact"/>
        <w:ind w:left="0" w:leftChars="0" w:firstLine="482" w:firstLineChars="200"/>
        <w:textAlignment w:val="auto"/>
        <w:rPr>
          <w:rFonts w:hint="eastAsia" w:ascii="仿宋" w:hAnsi="仿宋" w:eastAsia="仿宋" w:cs="仿宋"/>
          <w:color w:val="auto"/>
          <w:kern w:val="0"/>
          <w:sz w:val="24"/>
          <w:highlight w:val="none"/>
        </w:rPr>
      </w:pPr>
      <w:bookmarkStart w:id="379" w:name="第五部分"/>
      <w:bookmarkStart w:id="380" w:name="_Toc86217003"/>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交易无效</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pacing w:line="440" w:lineRule="exact"/>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w:t>
      </w:r>
      <w:r>
        <w:rPr>
          <w:rFonts w:hint="eastAsia" w:ascii="仿宋" w:hAnsi="仿宋" w:eastAsia="仿宋" w:cs="仿宋"/>
          <w:color w:val="auto"/>
          <w:kern w:val="0"/>
          <w:sz w:val="24"/>
          <w:highlight w:val="none"/>
          <w:lang w:eastAsia="zh-CN"/>
        </w:rPr>
        <w:t>评审方法</w:t>
      </w:r>
      <w:r>
        <w:rPr>
          <w:rFonts w:hint="eastAsia" w:ascii="仿宋" w:hAnsi="仿宋" w:eastAsia="仿宋" w:cs="仿宋"/>
          <w:color w:val="auto"/>
          <w:kern w:val="0"/>
          <w:sz w:val="24"/>
          <w:highlight w:val="none"/>
        </w:rPr>
        <w:t>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pPr>
        <w:pageBreakBefore w:val="0"/>
        <w:kinsoku/>
        <w:wordWrap/>
        <w:overflowPunct/>
        <w:topLinePunct w:val="0"/>
        <w:autoSpaceDE/>
        <w:autoSpaceDN/>
        <w:bidi w:val="0"/>
        <w:spacing w:line="440" w:lineRule="exact"/>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pPr>
        <w:pageBreakBefore w:val="0"/>
        <w:kinsoku/>
        <w:wordWrap/>
        <w:overflowPunct/>
        <w:topLinePunct w:val="0"/>
        <w:autoSpaceDE/>
        <w:autoSpaceDN/>
        <w:bidi w:val="0"/>
        <w:spacing w:line="440" w:lineRule="exact"/>
        <w:ind w:left="0" w:leftChars="0"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pageBreakBefore w:val="0"/>
        <w:kinsoku/>
        <w:wordWrap/>
        <w:overflowPunct/>
        <w:topLinePunct w:val="0"/>
        <w:autoSpaceDE/>
        <w:autoSpaceDN/>
        <w:bidi w:val="0"/>
        <w:spacing w:before="0" w:line="440" w:lineRule="exact"/>
        <w:ind w:left="0" w:leftChars="0"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pPr>
        <w:pStyle w:val="130"/>
        <w:pageBreakBefore w:val="0"/>
        <w:kinsoku/>
        <w:wordWrap/>
        <w:overflowPunct/>
        <w:topLinePunct w:val="0"/>
        <w:autoSpaceDE/>
        <w:autoSpaceDN/>
        <w:bidi w:val="0"/>
        <w:spacing w:before="0" w:line="44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eastAsia="zh-CN"/>
        </w:rPr>
        <w:t>交易一览表</w:t>
      </w:r>
      <w:r>
        <w:rPr>
          <w:rFonts w:hint="eastAsia" w:ascii="仿宋" w:hAnsi="仿宋" w:eastAsia="仿宋" w:cs="仿宋"/>
          <w:color w:val="auto"/>
          <w:kern w:val="0"/>
          <w:szCs w:val="24"/>
          <w:highlight w:val="none"/>
        </w:rPr>
        <w:t>(报价表)内容与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eastAsia="zh-CN"/>
        </w:rPr>
        <w:t>交易一览表</w:t>
      </w:r>
      <w:r>
        <w:rPr>
          <w:rFonts w:hint="eastAsia" w:ascii="仿宋" w:hAnsi="仿宋" w:eastAsia="仿宋" w:cs="仿宋"/>
          <w:color w:val="auto"/>
          <w:kern w:val="0"/>
          <w:szCs w:val="24"/>
          <w:highlight w:val="none"/>
        </w:rPr>
        <w:t>(报价表)为准;</w:t>
      </w:r>
    </w:p>
    <w:p>
      <w:pPr>
        <w:pStyle w:val="130"/>
        <w:pageBreakBefore w:val="0"/>
        <w:kinsoku/>
        <w:wordWrap/>
        <w:overflowPunct/>
        <w:topLinePunct w:val="0"/>
        <w:autoSpaceDE/>
        <w:autoSpaceDN/>
        <w:bidi w:val="0"/>
        <w:spacing w:before="0" w:line="44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pageBreakBefore w:val="0"/>
        <w:kinsoku/>
        <w:wordWrap/>
        <w:overflowPunct/>
        <w:topLinePunct w:val="0"/>
        <w:autoSpaceDE/>
        <w:autoSpaceDN/>
        <w:bidi w:val="0"/>
        <w:spacing w:before="0" w:line="44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lang w:eastAsia="zh-CN"/>
        </w:rPr>
        <w:t>交易一览表</w:t>
      </w:r>
      <w:r>
        <w:rPr>
          <w:rFonts w:hint="eastAsia" w:ascii="仿宋" w:hAnsi="仿宋" w:eastAsia="仿宋" w:cs="仿宋"/>
          <w:color w:val="auto"/>
          <w:kern w:val="0"/>
          <w:szCs w:val="24"/>
          <w:highlight w:val="none"/>
        </w:rPr>
        <w:t>的总价为准，并修改单价;</w:t>
      </w:r>
    </w:p>
    <w:p>
      <w:pPr>
        <w:pStyle w:val="130"/>
        <w:pageBreakBefore w:val="0"/>
        <w:kinsoku/>
        <w:wordWrap/>
        <w:overflowPunct/>
        <w:topLinePunct w:val="0"/>
        <w:autoSpaceDE/>
        <w:autoSpaceDN/>
        <w:bidi w:val="0"/>
        <w:spacing w:before="0" w:line="44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pageBreakBefore w:val="0"/>
        <w:kinsoku/>
        <w:wordWrap/>
        <w:overflowPunct/>
        <w:topLinePunct w:val="0"/>
        <w:autoSpaceDE/>
        <w:autoSpaceDN/>
        <w:bidi w:val="0"/>
        <w:spacing w:before="0" w:line="44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pPr>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交易报价</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交易无效</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交易报价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交易无效</w:t>
      </w:r>
      <w:r>
        <w:rPr>
          <w:rFonts w:hint="eastAsia" w:ascii="仿宋" w:hAnsi="仿宋" w:eastAsia="仿宋" w:cs="仿宋"/>
          <w:color w:val="auto"/>
          <w:kern w:val="0"/>
          <w:sz w:val="24"/>
          <w:highlight w:val="none"/>
        </w:rPr>
        <w:t>。</w:t>
      </w:r>
    </w:p>
    <w:p>
      <w:pPr>
        <w:pStyle w:val="130"/>
        <w:pageBreakBefore w:val="0"/>
        <w:kinsoku/>
        <w:wordWrap/>
        <w:overflowPunct/>
        <w:topLinePunct w:val="0"/>
        <w:autoSpaceDE/>
        <w:autoSpaceDN/>
        <w:bidi w:val="0"/>
        <w:spacing w:before="0" w:line="440" w:lineRule="exact"/>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w:t>
      </w:r>
      <w:r>
        <w:rPr>
          <w:rFonts w:hint="eastAsia" w:ascii="仿宋" w:hAnsi="仿宋" w:eastAsia="仿宋" w:cs="仿宋"/>
          <w:color w:val="auto"/>
          <w:kern w:val="0"/>
          <w:szCs w:val="24"/>
          <w:highlight w:val="none"/>
          <w:lang w:eastAsia="zh-CN"/>
        </w:rPr>
        <w:t>评审</w:t>
      </w:r>
      <w:r>
        <w:rPr>
          <w:rFonts w:hint="eastAsia" w:ascii="仿宋" w:hAnsi="仿宋" w:eastAsia="仿宋" w:cs="仿宋"/>
          <w:color w:val="auto"/>
          <w:kern w:val="0"/>
          <w:szCs w:val="24"/>
          <w:highlight w:val="none"/>
        </w:rPr>
        <w:t>委员会认为</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不能证明其报价合理性的，</w:t>
      </w:r>
      <w:r>
        <w:rPr>
          <w:rFonts w:hint="eastAsia" w:ascii="仿宋" w:hAnsi="仿宋" w:eastAsia="仿宋" w:cs="仿宋"/>
          <w:color w:val="auto"/>
          <w:kern w:val="0"/>
          <w:szCs w:val="24"/>
          <w:highlight w:val="none"/>
          <w:lang w:eastAsia="zh-CN"/>
        </w:rPr>
        <w:t>评审</w:t>
      </w:r>
      <w:r>
        <w:rPr>
          <w:rFonts w:hint="eastAsia" w:ascii="仿宋" w:hAnsi="仿宋" w:eastAsia="仿宋" w:cs="仿宋"/>
          <w:color w:val="auto"/>
          <w:kern w:val="0"/>
          <w:szCs w:val="24"/>
          <w:highlight w:val="none"/>
        </w:rPr>
        <w:t>委员会应当将其作为无效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pPr>
        <w:pageBreakBefore w:val="0"/>
        <w:kinsoku/>
        <w:wordWrap/>
        <w:overflowPunct/>
        <w:topLinePunct w:val="0"/>
        <w:autoSpaceDE/>
        <w:autoSpaceDN/>
        <w:bidi w:val="0"/>
        <w:spacing w:line="44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结果按评审后得分由高到低顺序排列。得分相同的，按</w:t>
      </w:r>
      <w:r>
        <w:rPr>
          <w:rFonts w:hint="eastAsia" w:ascii="仿宋" w:hAnsi="仿宋" w:eastAsia="仿宋" w:cs="仿宋"/>
          <w:color w:val="auto"/>
          <w:kern w:val="0"/>
          <w:sz w:val="24"/>
          <w:highlight w:val="none"/>
          <w:lang w:eastAsia="zh-CN"/>
        </w:rPr>
        <w:t>交易报价</w:t>
      </w:r>
      <w:r>
        <w:rPr>
          <w:rFonts w:hint="eastAsia" w:ascii="仿宋" w:hAnsi="仿宋" w:eastAsia="仿宋" w:cs="仿宋"/>
          <w:color w:val="auto"/>
          <w:kern w:val="0"/>
          <w:sz w:val="24"/>
          <w:highlight w:val="none"/>
        </w:rPr>
        <w:t>由低到高顺序排列。得分且</w:t>
      </w:r>
      <w:r>
        <w:rPr>
          <w:rFonts w:hint="eastAsia" w:ascii="仿宋" w:hAnsi="仿宋" w:eastAsia="仿宋" w:cs="仿宋"/>
          <w:color w:val="auto"/>
          <w:kern w:val="0"/>
          <w:sz w:val="24"/>
          <w:highlight w:val="none"/>
          <w:lang w:eastAsia="zh-CN"/>
        </w:rPr>
        <w:t>交易报价</w:t>
      </w:r>
      <w:r>
        <w:rPr>
          <w:rFonts w:hint="eastAsia" w:ascii="仿宋" w:hAnsi="仿宋" w:eastAsia="仿宋" w:cs="仿宋"/>
          <w:color w:val="auto"/>
          <w:kern w:val="0"/>
          <w:sz w:val="24"/>
          <w:highlight w:val="none"/>
        </w:rPr>
        <w:t>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eastAsia="zh-CN"/>
        </w:rPr>
        <w:t>成交候选人</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pacing w:line="440" w:lineRule="exact"/>
        <w:ind w:left="0" w:leftChars="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eastAsia="zh-CN"/>
        </w:rPr>
        <w:t>成交候选人</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pacing w:line="440" w:lineRule="exact"/>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w:t>
      </w:r>
      <w:r>
        <w:rPr>
          <w:rFonts w:hint="eastAsia" w:ascii="仿宋" w:hAnsi="仿宋" w:eastAsia="仿宋" w:cs="仿宋"/>
          <w:b/>
          <w:color w:val="auto"/>
          <w:kern w:val="0"/>
          <w:sz w:val="24"/>
          <w:highlight w:val="none"/>
          <w:lang w:eastAsia="zh-CN"/>
        </w:rPr>
        <w:t>评审</w:t>
      </w:r>
      <w:r>
        <w:rPr>
          <w:rFonts w:hint="eastAsia" w:ascii="仿宋" w:hAnsi="仿宋" w:eastAsia="仿宋" w:cs="仿宋"/>
          <w:b/>
          <w:color w:val="auto"/>
          <w:kern w:val="0"/>
          <w:sz w:val="24"/>
          <w:highlight w:val="none"/>
        </w:rPr>
        <w:t>报告。</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委员会根据全体</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成员签字的原始</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记录和</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结果编写</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报告。</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委员会成员对需要共同认定的事项存在争议的，应当按照少数服从多数的原则作出结论。持不同意见的</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委员会成员应当在</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报告上签署不同意见及理由，否则视为同意</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报告。</w:t>
      </w:r>
    </w:p>
    <w:p>
      <w:pPr>
        <w:pageBreakBefore w:val="0"/>
        <w:widowControl/>
        <w:shd w:val="clear" w:color="auto" w:fill="FFFFFF"/>
        <w:kinsoku/>
        <w:wordWrap/>
        <w:overflowPunct/>
        <w:topLinePunct w:val="0"/>
        <w:autoSpaceDE/>
        <w:autoSpaceDN/>
        <w:bidi w:val="0"/>
        <w:adjustRightInd/>
        <w:spacing w:line="440" w:lineRule="exact"/>
        <w:ind w:left="0" w:leftChars="0" w:firstLine="0" w:firstLineChars="0"/>
        <w:jc w:val="left"/>
        <w:textAlignment w:val="auto"/>
        <w:rPr>
          <w:rFonts w:hint="eastAsia" w:ascii="仿宋" w:hAnsi="仿宋" w:eastAsia="仿宋" w:cs="仿宋"/>
          <w:b/>
          <w:color w:val="auto"/>
          <w:sz w:val="32"/>
          <w:highlight w:val="none"/>
        </w:rPr>
      </w:pPr>
    </w:p>
    <w:p>
      <w:pPr>
        <w:pageBreakBefore w:val="0"/>
        <w:widowControl/>
        <w:shd w:val="clear" w:color="auto" w:fill="FFFFFF"/>
        <w:kinsoku/>
        <w:wordWrap/>
        <w:overflowPunct/>
        <w:topLinePunct w:val="0"/>
        <w:autoSpaceDE/>
        <w:autoSpaceDN/>
        <w:bidi w:val="0"/>
        <w:adjustRightInd/>
        <w:spacing w:line="440" w:lineRule="exact"/>
        <w:ind w:left="0" w:leftChars="0" w:firstLine="0" w:firstLineChars="0"/>
        <w:jc w:val="left"/>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eastAsia="zh-CN"/>
        </w:rPr>
        <w:t>评审</w:t>
      </w:r>
      <w:r>
        <w:rPr>
          <w:rFonts w:hint="eastAsia" w:ascii="仿宋" w:hAnsi="仿宋" w:eastAsia="仿宋" w:cs="仿宋"/>
          <w:b/>
          <w:color w:val="auto"/>
          <w:sz w:val="32"/>
          <w:highlight w:val="none"/>
        </w:rPr>
        <w:t>中的其他事项</w:t>
      </w:r>
    </w:p>
    <w:p>
      <w:pPr>
        <w:pStyle w:val="130"/>
        <w:pageBreakBefore w:val="0"/>
        <w:kinsoku/>
        <w:wordWrap/>
        <w:overflowPunct/>
        <w:topLinePunct w:val="0"/>
        <w:autoSpaceDE/>
        <w:autoSpaceDN/>
        <w:bidi w:val="0"/>
        <w:spacing w:before="0" w:line="440" w:lineRule="exact"/>
        <w:ind w:left="0" w:leftChars="0"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w:t>
      </w:r>
      <w:r>
        <w:rPr>
          <w:rFonts w:hint="eastAsia" w:ascii="仿宋" w:hAnsi="仿宋" w:eastAsia="仿宋" w:cs="仿宋"/>
          <w:color w:val="auto"/>
          <w:kern w:val="0"/>
          <w:szCs w:val="24"/>
          <w:highlight w:val="none"/>
          <w:lang w:eastAsia="zh-CN"/>
        </w:rPr>
        <w:t>评审</w:t>
      </w:r>
      <w:r>
        <w:rPr>
          <w:rFonts w:hint="eastAsia" w:ascii="仿宋" w:hAnsi="仿宋" w:eastAsia="仿宋" w:cs="仿宋"/>
          <w:color w:val="auto"/>
          <w:kern w:val="0"/>
          <w:szCs w:val="24"/>
          <w:highlight w:val="none"/>
        </w:rPr>
        <w:t>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pPr>
        <w:pStyle w:val="27"/>
        <w:pageBreakBefore w:val="0"/>
        <w:kinsoku/>
        <w:wordWrap/>
        <w:overflowPunct/>
        <w:topLinePunct w:val="0"/>
        <w:autoSpaceDE/>
        <w:autoSpaceDN/>
        <w:bidi w:val="0"/>
        <w:spacing w:line="440" w:lineRule="exact"/>
        <w:ind w:left="0" w:leftChars="0" w:firstLine="48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交易无效</w:t>
      </w:r>
      <w:r>
        <w:rPr>
          <w:rFonts w:hint="eastAsia" w:ascii="仿宋" w:hAnsi="仿宋" w:eastAsia="仿宋" w:cs="仿宋"/>
          <w:b/>
          <w:color w:val="auto"/>
          <w:kern w:val="0"/>
          <w:highlight w:val="none"/>
        </w:rPr>
        <w:t>。</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交易无效</w:t>
      </w:r>
      <w:r>
        <w:rPr>
          <w:rFonts w:hint="eastAsia" w:ascii="仿宋" w:hAnsi="仿宋" w:eastAsia="仿宋" w:cs="仿宋"/>
          <w:color w:val="auto"/>
          <w:szCs w:val="21"/>
          <w:highlight w:val="none"/>
        </w:rPr>
        <w:t>：</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拟采购的产品属于政府强制采购的节能产品品目清单范围的，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未按</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要求提供国家确定的认证机构出具的、处于有效期之内的节能产品认证证书的；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不能接受的附加条件的；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交易有效期</w:t>
      </w:r>
      <w:r>
        <w:rPr>
          <w:rFonts w:hint="eastAsia" w:ascii="仿宋" w:hAnsi="仿宋" w:eastAsia="仿宋" w:cs="仿宋"/>
          <w:color w:val="auto"/>
          <w:kern w:val="0"/>
          <w:sz w:val="24"/>
          <w:highlight w:val="none"/>
        </w:rPr>
        <w:t>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交易有效期</w:t>
      </w:r>
      <w:r>
        <w:rPr>
          <w:rFonts w:hint="eastAsia" w:ascii="仿宋" w:hAnsi="仿宋" w:eastAsia="仿宋" w:cs="仿宋"/>
          <w:color w:val="auto"/>
          <w:kern w:val="0"/>
          <w:sz w:val="24"/>
          <w:highlight w:val="none"/>
        </w:rPr>
        <w:t>的；</w:t>
      </w:r>
    </w:p>
    <w:p>
      <w:pPr>
        <w:pageBreakBefore w:val="0"/>
        <w:kinsoku/>
        <w:wordWrap/>
        <w:overflowPunct/>
        <w:topLinePunct w:val="0"/>
        <w:autoSpaceDE/>
        <w:autoSpaceDN/>
        <w:bidi w:val="0"/>
        <w:snapToGrid w:val="0"/>
        <w:spacing w:line="440" w:lineRule="exact"/>
        <w:ind w:left="0" w:leftChars="0" w:firstLine="120" w:firstLineChars="5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交易报价</w:t>
      </w:r>
      <w:r>
        <w:rPr>
          <w:rFonts w:hint="eastAsia" w:ascii="仿宋" w:hAnsi="仿宋" w:eastAsia="仿宋" w:cs="仿宋"/>
          <w:color w:val="auto"/>
          <w:kern w:val="0"/>
          <w:sz w:val="24"/>
          <w:highlight w:val="none"/>
        </w:rPr>
        <w:t>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w:t>
      </w:r>
      <w:r>
        <w:rPr>
          <w:rFonts w:hint="eastAsia" w:ascii="仿宋" w:hAnsi="仿宋" w:eastAsia="仿宋" w:cs="仿宋"/>
          <w:color w:val="auto"/>
          <w:kern w:val="0"/>
          <w:sz w:val="24"/>
          <w:highlight w:val="none"/>
          <w:lang w:eastAsia="zh-CN"/>
        </w:rPr>
        <w:t>交易报价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pPr>
        <w:pageBreakBefore w:val="0"/>
        <w:kinsoku/>
        <w:wordWrap/>
        <w:overflowPunct/>
        <w:topLinePunct w:val="0"/>
        <w:autoSpaceDE/>
        <w:autoSpaceDN/>
        <w:bidi w:val="0"/>
        <w:spacing w:line="440" w:lineRule="exact"/>
        <w:ind w:left="0" w:leftChars="0"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交易无效</w:t>
      </w:r>
      <w:r>
        <w:rPr>
          <w:rFonts w:hint="eastAsia" w:ascii="仿宋" w:hAnsi="仿宋" w:eastAsia="仿宋" w:cs="仿宋"/>
          <w:color w:val="auto"/>
          <w:kern w:val="0"/>
          <w:sz w:val="24"/>
          <w:highlight w:val="none"/>
        </w:rPr>
        <w:t>；</w:t>
      </w:r>
    </w:p>
    <w:p>
      <w:pPr>
        <w:pStyle w:val="6"/>
        <w:pageBreakBefore w:val="0"/>
        <w:kinsoku/>
        <w:wordWrap/>
        <w:overflowPunct/>
        <w:topLinePunct w:val="0"/>
        <w:autoSpaceDE/>
        <w:autoSpaceDN/>
        <w:bidi w:val="0"/>
        <w:spacing w:line="440" w:lineRule="exact"/>
        <w:ind w:left="0" w:leftChars="0"/>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 xml:space="preserve">4.2.13 </w:t>
      </w:r>
      <w:r>
        <w:rPr>
          <w:rFonts w:hint="eastAsia" w:ascii="仿宋" w:hAns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hAns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7"/>
        <w:pageBreakBefore w:val="0"/>
        <w:kinsoku/>
        <w:wordWrap/>
        <w:overflowPunct/>
        <w:topLinePunct w:val="0"/>
        <w:autoSpaceDE/>
        <w:autoSpaceDN/>
        <w:bidi w:val="0"/>
        <w:snapToGrid w:val="0"/>
        <w:spacing w:line="440" w:lineRule="exact"/>
        <w:ind w:left="0" w:leftChars="0"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7"/>
        <w:pageBreakBefore w:val="0"/>
        <w:kinsoku/>
        <w:wordWrap/>
        <w:overflowPunct/>
        <w:topLinePunct w:val="0"/>
        <w:autoSpaceDE/>
        <w:autoSpaceDN/>
        <w:bidi w:val="0"/>
        <w:snapToGrid w:val="0"/>
        <w:spacing w:line="440" w:lineRule="exact"/>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pPr>
        <w:pStyle w:val="27"/>
        <w:pageBreakBefore w:val="0"/>
        <w:kinsoku/>
        <w:wordWrap/>
        <w:overflowPunct/>
        <w:topLinePunct w:val="0"/>
        <w:autoSpaceDE/>
        <w:autoSpaceDN/>
        <w:bidi w:val="0"/>
        <w:snapToGrid w:val="0"/>
        <w:spacing w:line="440" w:lineRule="exact"/>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7"/>
        <w:pageBreakBefore w:val="0"/>
        <w:kinsoku/>
        <w:wordWrap/>
        <w:overflowPunct/>
        <w:topLinePunct w:val="0"/>
        <w:autoSpaceDE/>
        <w:autoSpaceDN/>
        <w:bidi w:val="0"/>
        <w:snapToGrid w:val="0"/>
        <w:spacing w:line="440" w:lineRule="exact"/>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不能支付的；</w:t>
      </w:r>
    </w:p>
    <w:p>
      <w:pPr>
        <w:pStyle w:val="27"/>
        <w:pageBreakBefore w:val="0"/>
        <w:kinsoku/>
        <w:wordWrap/>
        <w:overflowPunct/>
        <w:topLinePunct w:val="0"/>
        <w:autoSpaceDE/>
        <w:autoSpaceDN/>
        <w:bidi w:val="0"/>
        <w:snapToGrid w:val="0"/>
        <w:spacing w:line="440" w:lineRule="exact"/>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7"/>
        <w:pageBreakBefore w:val="0"/>
        <w:kinsoku/>
        <w:wordWrap/>
        <w:overflowPunct/>
        <w:topLinePunct w:val="0"/>
        <w:autoSpaceDE/>
        <w:autoSpaceDN/>
        <w:bidi w:val="0"/>
        <w:snapToGrid w:val="0"/>
        <w:spacing w:line="440" w:lineRule="exact"/>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val="en-US" w:eastAsia="zh-CN"/>
        </w:rPr>
        <w:t>代理</w:t>
      </w:r>
      <w:r>
        <w:rPr>
          <w:rFonts w:hint="eastAsia" w:ascii="仿宋" w:hAnsi="仿宋" w:eastAsia="仿宋" w:cs="仿宋"/>
          <w:color w:val="auto"/>
          <w:highlight w:val="none"/>
        </w:rPr>
        <w:t>机构应当将废标理由通知所有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pPr>
        <w:pStyle w:val="27"/>
        <w:pageBreakBefore w:val="0"/>
        <w:kinsoku/>
        <w:wordWrap/>
        <w:overflowPunct/>
        <w:topLinePunct w:val="0"/>
        <w:autoSpaceDE/>
        <w:autoSpaceDN/>
        <w:bidi w:val="0"/>
        <w:snapToGrid w:val="0"/>
        <w:spacing w:line="440" w:lineRule="exact"/>
        <w:ind w:left="0" w:leftChars="0"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工作，并与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代理</w:t>
      </w:r>
      <w:r>
        <w:rPr>
          <w:rFonts w:hint="eastAsia" w:ascii="仿宋" w:hAnsi="仿宋" w:eastAsia="仿宋" w:cs="仿宋"/>
          <w:color w:val="auto"/>
          <w:highlight w:val="none"/>
        </w:rPr>
        <w:t>机构沟通并作书面记录。</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代理</w:t>
      </w:r>
      <w:r>
        <w:rPr>
          <w:rFonts w:hint="eastAsia" w:ascii="仿宋" w:hAnsi="仿宋" w:eastAsia="仿宋" w:cs="仿宋"/>
          <w:color w:val="auto"/>
          <w:highlight w:val="none"/>
        </w:rPr>
        <w:t>机构确认后，将修改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活动。</w:t>
      </w:r>
    </w:p>
    <w:p>
      <w:pPr>
        <w:pStyle w:val="27"/>
        <w:pageBreakBefore w:val="0"/>
        <w:kinsoku/>
        <w:wordWrap/>
        <w:overflowPunct/>
        <w:topLinePunct w:val="0"/>
        <w:autoSpaceDE/>
        <w:autoSpaceDN/>
        <w:bidi w:val="0"/>
        <w:snapToGrid w:val="0"/>
        <w:spacing w:line="440" w:lineRule="exact"/>
        <w:ind w:left="0" w:leftChars="0"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w:t>
      </w:r>
      <w:r>
        <w:rPr>
          <w:rFonts w:hint="eastAsia" w:ascii="仿宋" w:hAnsi="仿宋" w:eastAsia="仿宋" w:cs="仿宋"/>
          <w:b/>
          <w:color w:val="auto"/>
          <w:kern w:val="0"/>
          <w:highlight w:val="none"/>
          <w:lang w:val="en-US" w:eastAsia="zh-CN"/>
        </w:rPr>
        <w:t>交易</w:t>
      </w:r>
      <w:r>
        <w:rPr>
          <w:rFonts w:hint="eastAsia" w:ascii="仿宋" w:hAnsi="仿宋" w:eastAsia="仿宋" w:cs="仿宋"/>
          <w:b/>
          <w:color w:val="auto"/>
          <w:kern w:val="0"/>
          <w:highlight w:val="none"/>
        </w:rPr>
        <w:t>。</w:t>
      </w:r>
      <w:r>
        <w:rPr>
          <w:rFonts w:hint="eastAsia" w:ascii="仿宋" w:hAnsi="仿宋" w:eastAsia="仿宋" w:cs="仿宋"/>
          <w:color w:val="auto"/>
          <w:highlight w:val="none"/>
        </w:rPr>
        <w:t>影响或者可能影响</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、成交结果的，依照下列规定处理：</w:t>
      </w:r>
    </w:p>
    <w:p>
      <w:pPr>
        <w:pStyle w:val="27"/>
        <w:pageBreakBefore w:val="0"/>
        <w:kinsoku/>
        <w:wordWrap/>
        <w:overflowPunct/>
        <w:topLinePunct w:val="0"/>
        <w:autoSpaceDE/>
        <w:autoSpaceDN/>
        <w:bidi w:val="0"/>
        <w:snapToGrid w:val="0"/>
        <w:spacing w:line="440" w:lineRule="exact"/>
        <w:ind w:left="0" w:leftChars="0"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的，终止本次</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活动，重新开展</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活动。</w:t>
      </w:r>
    </w:p>
    <w:p>
      <w:pPr>
        <w:pStyle w:val="27"/>
        <w:pageBreakBefore w:val="0"/>
        <w:kinsoku/>
        <w:wordWrap/>
        <w:overflowPunct/>
        <w:topLinePunct w:val="0"/>
        <w:autoSpaceDE/>
        <w:autoSpaceDN/>
        <w:bidi w:val="0"/>
        <w:snapToGrid w:val="0"/>
        <w:spacing w:line="440" w:lineRule="exact"/>
        <w:ind w:left="0" w:leftChars="0"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但尚未签订合同的，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或者成交结果无效，从合格的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或者成交候选人的，重新开展</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活动。</w:t>
      </w:r>
    </w:p>
    <w:p>
      <w:pPr>
        <w:pStyle w:val="27"/>
        <w:pageBreakBefore w:val="0"/>
        <w:kinsoku/>
        <w:wordWrap/>
        <w:overflowPunct/>
        <w:topLinePunct w:val="0"/>
        <w:autoSpaceDE/>
        <w:autoSpaceDN/>
        <w:bidi w:val="0"/>
        <w:snapToGrid w:val="0"/>
        <w:spacing w:line="440" w:lineRule="exact"/>
        <w:ind w:left="0" w:leftChars="0"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或者成交候选人的，重新开展</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活动。</w:t>
      </w:r>
    </w:p>
    <w:p>
      <w:pPr>
        <w:pStyle w:val="27"/>
        <w:pageBreakBefore w:val="0"/>
        <w:kinsoku/>
        <w:wordWrap/>
        <w:overflowPunct/>
        <w:topLinePunct w:val="0"/>
        <w:autoSpaceDE/>
        <w:autoSpaceDN/>
        <w:bidi w:val="0"/>
        <w:snapToGrid w:val="0"/>
        <w:spacing w:line="440" w:lineRule="exact"/>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、供应商造成损失的，由责任人承担赔偿责任。</w:t>
      </w:r>
    </w:p>
    <w:p>
      <w:pPr>
        <w:pStyle w:val="27"/>
        <w:pageBreakBefore w:val="0"/>
        <w:kinsoku/>
        <w:wordWrap/>
        <w:overflowPunct/>
        <w:topLinePunct w:val="0"/>
        <w:autoSpaceDE/>
        <w:autoSpaceDN/>
        <w:bidi w:val="0"/>
        <w:snapToGrid w:val="0"/>
        <w:spacing w:line="440" w:lineRule="exact"/>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、成交结果或者依法被认定为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highlight w:val="none"/>
        </w:rPr>
        <w:t>、成交无效的，依照7.1-7.4规定处理。</w:t>
      </w:r>
    </w:p>
    <w:p>
      <w:pPr>
        <w:rPr>
          <w:rFonts w:hint="eastAsia" w:ascii="仿宋" w:hAnsi="仿宋" w:eastAsia="仿宋" w:cs="仿宋"/>
          <w:color w:val="auto"/>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0" w:leftChars="0"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（服务类样本，仅供参考）</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合同编号：</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签订地点：                                 签订时间：20* 年  月  日</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项目名称：</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甲方（需方）：                                     </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乙方（供方）：                                     </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供、需双方根据杭州市萧山区                             项目（招标编号   ）交易结果和交易文件的要求，并经双方协调一致，订立本项目合同。</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一、合同文件：</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1、合同条款。</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2、成交通知书。</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3、交易文件。</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4、更正公告。</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5、成交单位响应文件。</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6、其他。</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二、合同金额: 本合同金额为(大写)_________________元（￥　　　　元）人民币附：</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《采购项目清单内容》</w:t>
      </w:r>
    </w:p>
    <w:tbl>
      <w:tblPr>
        <w:tblStyle w:val="6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ind w:firstLine="0" w:firstLineChars="0"/>
              <w:jc w:val="center"/>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ind w:firstLine="0" w:firstLineChars="0"/>
              <w:jc w:val="center"/>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ind w:firstLine="0" w:firstLineChars="0"/>
              <w:jc w:val="center"/>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ind w:firstLine="0" w:firstLineChars="0"/>
              <w:jc w:val="center"/>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ind w:firstLine="0" w:firstLineChars="0"/>
              <w:jc w:val="center"/>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ind w:firstLine="0" w:firstLineChars="0"/>
              <w:jc w:val="center"/>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ind w:firstLine="0" w:firstLineChars="0"/>
              <w:jc w:val="center"/>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ind w:firstLine="0" w:firstLineChars="0"/>
              <w:jc w:val="center"/>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 w:hAnsi="仿宋" w:eastAsia="仿宋" w:cs="仿宋"/>
                <w:color w:val="auto"/>
                <w:highlight w:val="none"/>
                <w:shd w:val="clear" w:color="auto" w:fill="auto"/>
              </w:rPr>
            </w:pPr>
          </w:p>
        </w:tc>
      </w:tr>
    </w:tbl>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三、技术资料</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1.乙方应按交易文件规定的时间向甲方提供有关技术资料。</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四、知识产权</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乙方应保证提供服务过程中不会侵犯任何第三方的知识产权。</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五、履约保证金</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本合同履约保证金    元。（乙方应当以支票、汇票、本票或者金融机构、担保机构出具的保函等非现金形式提交。）</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六、转包或分包</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1.本合同范围的服务，应由乙方直接供应，不得转让他人供应；</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2.除非得到甲方的书面同意，乙方不得将本合同范围的服务全部或部分分包给他人供应；</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3.如有转让和未经甲方同意的分包行为，甲方有权解除合同，没收履约保证金并追究乙方的违约责任。</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七、服务质量保证期</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服务质量保证期      年。（自验收合格之日起计）</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八、合同履行时间、履行方式及履行地点</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履行时间：</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 履行方式：</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 履行地点：</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九、款项支付</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1.付款方式：</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2.合同履行完毕，需方根据合同进行验收，验收合格后供应商按财政结算要求办理货款结算手续。</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十、税费</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本合同执行中相关的一切税费均由乙方负担。</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十一、质量保证及后续服务</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乙方应按交易文件规定向甲方提供服务。</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 乙方提供的服务成果在服务质量保证期内发生故障，乙方应负责免费提供后续服务。对达不到要求者，根据实际情况，经双方协商，可按以下办法处理：</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⑴重做：由乙方承担所发生的全部费用。</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⑵贬值处理：由甲乙双方合议定价。</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⑶解除合同。</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 如在使用过程中发生问题，乙方在接到甲方通知后在   小时内到达甲方现场。</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4.在服务质量保证期内，乙方应对出现的质量及安全问题负责处理解决并承担一切费用。</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十二、违约责任</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1.甲方无正当理由拒绝接收服务的，甲方向乙方偿付合同款项百分之 五 作为违约金。</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2.甲方无故逾期验收和办理款项支付手续的，甲方应按逾期付款总额每日万分之 五向乙方支付违约金。</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4.供方在服务项目验收合格之日起保修期内违反本合同有关承诺保证的，损失由乙方承担赔偿。</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5.如发现乙方违反招响应文件和合同的有关规定，甲方有权根据约定和《杭州市政府采购供应商合同履行和售后服务考核暂行办法》，对乙方进行处罚，并有权提前终止合同。</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十三、争议的解决</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因本合同引起的或与本合同有关的任何争议，合同双方应首先通过协商解决，达成书面协议，如协商不成，可选择下列第      种方式解决。</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（1）提请杭州仲裁委员会按照该会仲裁规则进行仲裁，仲裁裁决是终局的，对合同双方均有约束力。</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（2）向有管辖权的人民法院提起诉讼。</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十四、合同生效</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1.中标方持中标通知书作为与需方签订合同的凭证。</w:t>
      </w:r>
    </w:p>
    <w:p>
      <w:pPr>
        <w:pStyle w:val="27"/>
        <w:snapToGrid w:val="0"/>
        <w:spacing w:line="440" w:lineRule="exact"/>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2.本合同经需、供双方法定代表人或其授权委托人签字并加盖单位公章后生效。</w:t>
      </w:r>
    </w:p>
    <w:p>
      <w:pPr>
        <w:pStyle w:val="27"/>
        <w:snapToGrid w:val="0"/>
        <w:spacing w:line="360" w:lineRule="auto"/>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需方（盖章）：                     供方（盖章）：</w:t>
      </w:r>
    </w:p>
    <w:p>
      <w:pPr>
        <w:pStyle w:val="27"/>
        <w:snapToGrid w:val="0"/>
        <w:spacing w:line="360" w:lineRule="auto"/>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地址：                             地址：</w:t>
      </w:r>
    </w:p>
    <w:p>
      <w:pPr>
        <w:pStyle w:val="27"/>
        <w:snapToGrid w:val="0"/>
        <w:spacing w:line="360" w:lineRule="auto"/>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法定代表人（或委托代理人）签名：   法定代表人（或委托代理人）签名：</w:t>
      </w:r>
    </w:p>
    <w:p>
      <w:pPr>
        <w:pStyle w:val="27"/>
        <w:snapToGrid w:val="0"/>
        <w:spacing w:line="360" w:lineRule="auto"/>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联系电话：                         联系电话：</w:t>
      </w:r>
    </w:p>
    <w:p>
      <w:pPr>
        <w:pStyle w:val="27"/>
        <w:snapToGrid w:val="0"/>
        <w:spacing w:line="360" w:lineRule="auto"/>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邮政编码：                         邮政编码：</w:t>
      </w:r>
    </w:p>
    <w:p>
      <w:pPr>
        <w:pStyle w:val="27"/>
        <w:snapToGrid w:val="0"/>
        <w:spacing w:line="360" w:lineRule="auto"/>
        <w:rPr>
          <w:rFonts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开户银行：                         开户银行：     </w:t>
      </w:r>
    </w:p>
    <w:p>
      <w:pPr>
        <w:spacing w:line="360" w:lineRule="auto"/>
        <w:ind w:firstLine="480" w:firstLineChars="200"/>
        <w:jc w:val="left"/>
        <w:rPr>
          <w:rFonts w:ascii="仿宋" w:hAnsi="仿宋" w:eastAsia="仿宋" w:cs="仿宋"/>
          <w:color w:val="auto"/>
          <w:sz w:val="24"/>
          <w:highlight w:val="none"/>
          <w:shd w:val="clear" w:color="auto" w:fill="auto"/>
        </w:rPr>
        <w:sectPr>
          <w:footerReference r:id="rId5" w:type="first"/>
          <w:headerReference r:id="rId3" w:type="default"/>
          <w:footerReference r:id="rId4" w:type="default"/>
          <w:pgSz w:w="11906" w:h="16838"/>
          <w:pgMar w:top="1440" w:right="1803" w:bottom="1440" w:left="1803" w:header="884" w:footer="981" w:gutter="0"/>
          <w:cols w:space="0" w:num="1"/>
          <w:docGrid w:linePitch="312" w:charSpace="0"/>
        </w:sectPr>
      </w:pPr>
      <w:r>
        <w:rPr>
          <w:rFonts w:hint="eastAsia" w:ascii="仿宋" w:hAnsi="仿宋" w:eastAsia="仿宋" w:cs="仿宋"/>
          <w:color w:val="auto"/>
          <w:sz w:val="24"/>
          <w:highlight w:val="none"/>
          <w:shd w:val="clear" w:color="auto" w:fill="auto"/>
        </w:rPr>
        <w:t>帐号：                             帐号：</w:t>
      </w:r>
    </w:p>
    <w:p>
      <w:pPr>
        <w:pStyle w:val="19"/>
        <w:ind w:firstLine="0"/>
        <w:rPr>
          <w:rFonts w:hint="eastAsia" w:ascii="仿宋" w:hAnsi="仿宋" w:eastAsia="仿宋" w:cs="仿宋"/>
          <w:b/>
          <w:color w:val="auto"/>
          <w:sz w:val="36"/>
          <w:szCs w:val="20"/>
          <w:highlight w:val="none"/>
        </w:rPr>
      </w:pPr>
    </w:p>
    <w:p>
      <w:pPr>
        <w:rPr>
          <w:rFonts w:hint="eastAsia"/>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79"/>
      <w:r>
        <w:rPr>
          <w:rFonts w:hint="eastAsia" w:ascii="仿宋" w:hAnsi="仿宋" w:eastAsia="仿宋" w:cs="仿宋"/>
          <w:b/>
          <w:color w:val="auto"/>
          <w:sz w:val="36"/>
          <w:szCs w:val="20"/>
          <w:highlight w:val="none"/>
        </w:rPr>
        <w:t xml:space="preserve"> </w:t>
      </w:r>
      <w:bookmarkEnd w:id="380"/>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w:t>
      </w:r>
      <w:r>
        <w:rPr>
          <w:rFonts w:hint="eastAsia" w:ascii="仿宋" w:hAnsi="仿宋" w:eastAsia="仿宋" w:cs="仿宋"/>
          <w:b/>
          <w:color w:val="auto"/>
          <w:kern w:val="0"/>
          <w:sz w:val="32"/>
          <w:szCs w:val="32"/>
          <w:highlight w:val="none"/>
          <w:lang w:val="en-US" w:eastAsia="zh-CN"/>
        </w:rPr>
        <w:t>交易</w:t>
      </w:r>
      <w:r>
        <w:rPr>
          <w:rFonts w:hint="eastAsia" w:ascii="仿宋" w:hAnsi="仿宋" w:eastAsia="仿宋" w:cs="仿宋"/>
          <w:b/>
          <w:color w:val="auto"/>
          <w:kern w:val="0"/>
          <w:sz w:val="32"/>
          <w:szCs w:val="32"/>
          <w:highlight w:val="none"/>
        </w:rPr>
        <w:t>活动应当具备的一般条件的承诺函</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代理</w:t>
      </w:r>
      <w:r>
        <w:rPr>
          <w:rFonts w:hint="eastAsia" w:ascii="仿宋" w:hAnsi="仿宋" w:eastAsia="仿宋" w:cs="仿宋"/>
          <w:color w:val="auto"/>
          <w:sz w:val="24"/>
          <w:highlight w:val="none"/>
          <w:u w:val="single"/>
        </w:rPr>
        <w:t>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交易编号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以下</w:t>
      </w:r>
      <w:r>
        <w:rPr>
          <w:rFonts w:hint="eastAsia" w:ascii="仿宋" w:hAnsi="仿宋" w:eastAsia="仿宋" w:cs="仿宋"/>
          <w:color w:val="auto"/>
          <w:sz w:val="24"/>
          <w:highlight w:val="none"/>
        </w:rPr>
        <w:t>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ind w:right="420" w:firstLine="964" w:firstLineChars="3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本项目的特定资格要求提供相应的材料；未要求的，无需提供）</w:t>
      </w:r>
    </w:p>
    <w:p>
      <w:pPr>
        <w:spacing w:line="360" w:lineRule="auto"/>
        <w:jc w:val="center"/>
        <w:rPr>
          <w:rFonts w:hint="eastAsia" w:ascii="仿宋" w:hAnsi="仿宋" w:eastAsia="仿宋" w:cs="仿宋"/>
          <w:color w:val="auto"/>
          <w:kern w:val="0"/>
          <w:sz w:val="24"/>
          <w:highlight w:val="none"/>
          <w:lang w:val="zh-CN"/>
        </w:rPr>
      </w:pPr>
    </w:p>
    <w:p>
      <w:pPr>
        <w:widowControl/>
        <w:spacing w:line="360" w:lineRule="auto"/>
        <w:ind w:left="15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1"/>
          <w:numId w:val="0"/>
        </w:numPr>
        <w:snapToGrid w:val="0"/>
        <w:spacing w:line="360" w:lineRule="auto"/>
        <w:ind w:left="0" w:leftChars="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交易函</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highlight w:val="none"/>
        </w:rPr>
        <w:t>……………………………………………………………………………（页码）</w:t>
      </w:r>
    </w:p>
    <w:p>
      <w:pPr>
        <w:numPr>
          <w:ilvl w:val="-1"/>
          <w:numId w:val="0"/>
        </w:numPr>
        <w:snapToGrid w:val="0"/>
        <w:spacing w:line="360" w:lineRule="auto"/>
        <w:ind w:left="0" w:leftChars="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pPr>
        <w:snapToGrid w:val="0"/>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标准相应的商务技术资料</w:t>
      </w:r>
      <w:r>
        <w:rPr>
          <w:rFonts w:hint="eastAsia" w:ascii="仿宋" w:hAnsi="仿宋" w:eastAsia="仿宋" w:cs="仿宋"/>
          <w:color w:val="auto"/>
          <w:highlight w:val="none"/>
        </w:rPr>
        <w:t>………………………………………………（页码）</w:t>
      </w:r>
    </w:p>
    <w:p>
      <w:pPr>
        <w:snapToGrid w:val="0"/>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pPr>
        <w:snapToGrid w:val="0"/>
        <w:spacing w:line="360" w:lineRule="auto"/>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交易函</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交易编号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交易有效期</w:t>
      </w:r>
      <w:r>
        <w:rPr>
          <w:rFonts w:hint="eastAsia" w:ascii="仿宋" w:hAnsi="仿宋" w:eastAsia="仿宋" w:cs="仿宋"/>
          <w:color w:val="auto"/>
          <w:sz w:val="24"/>
          <w:highlight w:val="none"/>
        </w:rPr>
        <w:t>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交易有效期</w:t>
      </w:r>
      <w:r>
        <w:rPr>
          <w:rFonts w:hint="eastAsia" w:ascii="仿宋" w:hAnsi="仿宋" w:eastAsia="仿宋" w:cs="仿宋"/>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交易函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2.2.4</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w:t>
      </w:r>
      <w:r>
        <w:rPr>
          <w:rFonts w:hint="eastAsia" w:ascii="仿宋" w:hAnsi="仿宋" w:eastAsia="仿宋" w:cs="仿宋"/>
          <w:color w:val="auto"/>
          <w:sz w:val="24"/>
          <w:highlight w:val="none"/>
          <w:lang w:eastAsia="zh-CN"/>
        </w:rPr>
        <w:t>响应标的清单</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交易一览表</w:t>
      </w:r>
      <w:r>
        <w:rPr>
          <w:rFonts w:hint="eastAsia" w:ascii="仿宋" w:hAnsi="仿宋" w:eastAsia="仿宋" w:cs="仿宋"/>
          <w:color w:val="auto"/>
          <w:sz w:val="24"/>
          <w:highlight w:val="none"/>
        </w:rPr>
        <w:t>（报价表）；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eastAsia="zh-CN"/>
        </w:rPr>
        <w:t>成交通知</w:t>
      </w:r>
      <w:r>
        <w:rPr>
          <w:rFonts w:hint="eastAsia" w:ascii="仿宋" w:hAnsi="仿宋" w:eastAsia="仿宋" w:cs="仿宋"/>
          <w:color w:val="auto"/>
          <w:sz w:val="24"/>
          <w:highlight w:val="none"/>
        </w:rPr>
        <w:t>书后，在</w:t>
      </w:r>
      <w:r>
        <w:rPr>
          <w:rFonts w:hint="eastAsia" w:ascii="仿宋" w:hAnsi="仿宋" w:eastAsia="仿宋" w:cs="仿宋"/>
          <w:color w:val="auto"/>
          <w:sz w:val="24"/>
          <w:highlight w:val="none"/>
          <w:lang w:eastAsia="zh-CN"/>
        </w:rPr>
        <w:t>成交通知</w:t>
      </w:r>
      <w:r>
        <w:rPr>
          <w:rFonts w:hint="eastAsia" w:ascii="仿宋" w:hAnsi="仿宋" w:eastAsia="仿宋" w:cs="仿宋"/>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pStyle w:val="2"/>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交易编号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kern w:val="0"/>
          <w:sz w:val="24"/>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val="en-US" w:eastAsia="zh-CN"/>
        </w:rPr>
        <w:t>交易</w:t>
      </w:r>
      <w:r>
        <w:rPr>
          <w:rFonts w:hint="eastAsia" w:ascii="仿宋" w:hAnsi="仿宋" w:eastAsia="仿宋" w:cs="仿宋"/>
          <w:b/>
          <w:color w:val="auto"/>
          <w:sz w:val="30"/>
          <w:szCs w:val="30"/>
          <w:highlight w:val="none"/>
        </w:rPr>
        <w:t>）</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、符合性审查资料</w:t>
      </w:r>
    </w:p>
    <w:p>
      <w:pPr>
        <w:jc w:val="center"/>
        <w:rPr>
          <w:rFonts w:hint="eastAsia" w:ascii="仿宋" w:hAnsi="仿宋" w:eastAsia="仿宋" w:cs="仿宋"/>
          <w:b/>
          <w:color w:val="auto"/>
          <w:kern w:val="0"/>
          <w:sz w:val="32"/>
          <w:szCs w:val="32"/>
          <w:highlight w:val="none"/>
        </w:rPr>
      </w:pPr>
    </w:p>
    <w:tbl>
      <w:tblPr>
        <w:tblStyle w:val="63"/>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3535"/>
        <w:gridCol w:w="31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73"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535"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170"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260"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57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3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3170"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260" w:type="dxa"/>
            <w:vAlign w:val="center"/>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57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3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交易有效期</w:t>
            </w:r>
            <w:r>
              <w:rPr>
                <w:rFonts w:hint="eastAsia" w:ascii="仿宋" w:hAnsi="仿宋" w:eastAsia="仿宋" w:cs="仿宋"/>
                <w:color w:val="auto"/>
                <w:sz w:val="24"/>
                <w:highlight w:val="none"/>
              </w:rPr>
              <w:t>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交易有效期</w:t>
            </w:r>
            <w:r>
              <w:rPr>
                <w:rFonts w:hint="eastAsia" w:ascii="仿宋" w:hAnsi="仿宋" w:eastAsia="仿宋" w:cs="仿宋"/>
                <w:color w:val="auto"/>
                <w:sz w:val="24"/>
                <w:highlight w:val="none"/>
              </w:rPr>
              <w:t>。</w:t>
            </w:r>
          </w:p>
        </w:tc>
        <w:tc>
          <w:tcPr>
            <w:tcW w:w="3170" w:type="dxa"/>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交易函</w:t>
            </w:r>
          </w:p>
        </w:tc>
        <w:tc>
          <w:tcPr>
            <w:tcW w:w="1260" w:type="dxa"/>
            <w:vAlign w:val="center"/>
          </w:tcPr>
          <w:p>
            <w:pPr>
              <w:jc w:val="center"/>
              <w:rPr>
                <w:rFonts w:hint="eastAsia" w:ascii="仿宋" w:hAnsi="仿宋" w:eastAsia="仿宋" w:cs="仿宋"/>
                <w:color w:val="auto"/>
                <w:highlight w:val="none"/>
                <w:lang w:val="en-US"/>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7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3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3170"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260"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评审</w:t>
      </w:r>
      <w:r>
        <w:rPr>
          <w:rFonts w:hint="eastAsia" w:ascii="仿宋" w:hAnsi="仿宋" w:eastAsia="仿宋" w:cs="仿宋"/>
          <w:b/>
          <w:color w:val="auto"/>
          <w:kern w:val="0"/>
          <w:sz w:val="32"/>
          <w:szCs w:val="32"/>
          <w:highlight w:val="none"/>
        </w:rPr>
        <w:t>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w:t>
      </w:r>
      <w:r>
        <w:rPr>
          <w:rFonts w:hint="eastAsia" w:ascii="仿宋" w:hAnsi="仿宋" w:eastAsia="仿宋" w:cs="仿宋"/>
          <w:b/>
          <w:color w:val="auto"/>
          <w:sz w:val="24"/>
          <w:highlight w:val="none"/>
          <w:lang w:eastAsia="zh-CN"/>
        </w:rPr>
        <w:t>交易办法</w:t>
      </w:r>
      <w:r>
        <w:rPr>
          <w:rFonts w:hint="eastAsia" w:ascii="仿宋" w:hAnsi="仿宋" w:eastAsia="仿宋" w:cs="仿宋"/>
          <w:b/>
          <w:color w:val="auto"/>
          <w:sz w:val="24"/>
          <w:highlight w:val="none"/>
        </w:rPr>
        <w:t>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w:t>
      </w:r>
      <w:r>
        <w:rPr>
          <w:rFonts w:hint="eastAsia" w:ascii="仿宋" w:hAnsi="仿宋" w:eastAsia="仿宋" w:cs="仿宋"/>
          <w:b/>
          <w:color w:val="auto"/>
          <w:sz w:val="24"/>
          <w:highlight w:val="none"/>
          <w:lang w:eastAsia="zh-CN"/>
        </w:rPr>
        <w:t>评审</w:t>
      </w:r>
      <w:r>
        <w:rPr>
          <w:rFonts w:hint="eastAsia" w:ascii="仿宋" w:hAnsi="仿宋" w:eastAsia="仿宋" w:cs="仿宋"/>
          <w:b/>
          <w:color w:val="auto"/>
          <w:sz w:val="24"/>
          <w:highlight w:val="none"/>
        </w:rPr>
        <w:t>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spacing w:line="360" w:lineRule="auto"/>
        <w:ind w:right="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4"/>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295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2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5"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2959" w:type="dxa"/>
          </w:tcPr>
          <w:p>
            <w:pPr>
              <w:jc w:val="center"/>
              <w:rPr>
                <w:rFonts w:hint="eastAsia" w:ascii="仿宋" w:hAnsi="仿宋" w:eastAsia="仿宋" w:cs="仿宋"/>
                <w:b/>
                <w:color w:val="auto"/>
                <w:kern w:val="0"/>
                <w:sz w:val="32"/>
                <w:szCs w:val="32"/>
                <w:highlight w:val="none"/>
              </w:rPr>
            </w:pPr>
          </w:p>
        </w:tc>
        <w:tc>
          <w:tcPr>
            <w:tcW w:w="1275"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2959" w:type="dxa"/>
          </w:tcPr>
          <w:p>
            <w:pPr>
              <w:jc w:val="center"/>
              <w:rPr>
                <w:rFonts w:hint="eastAsia" w:ascii="仿宋" w:hAnsi="仿宋" w:eastAsia="仿宋" w:cs="仿宋"/>
                <w:b/>
                <w:color w:val="auto"/>
                <w:kern w:val="0"/>
                <w:sz w:val="32"/>
                <w:szCs w:val="32"/>
                <w:highlight w:val="none"/>
              </w:rPr>
            </w:pPr>
          </w:p>
        </w:tc>
        <w:tc>
          <w:tcPr>
            <w:tcW w:w="1275"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2959" w:type="dxa"/>
          </w:tcPr>
          <w:p>
            <w:pPr>
              <w:jc w:val="center"/>
              <w:rPr>
                <w:rFonts w:hint="eastAsia" w:ascii="仿宋" w:hAnsi="仿宋" w:eastAsia="仿宋" w:cs="仿宋"/>
                <w:b/>
                <w:color w:val="auto"/>
                <w:kern w:val="0"/>
                <w:sz w:val="32"/>
                <w:szCs w:val="32"/>
                <w:highlight w:val="none"/>
              </w:rPr>
            </w:pPr>
          </w:p>
        </w:tc>
        <w:tc>
          <w:tcPr>
            <w:tcW w:w="1275"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pPr>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。在这次</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过程中和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7" w:type="first"/>
          <w:footerReference r:id="rId9" w:type="first"/>
          <w:headerReference r:id="rId6" w:type="default"/>
          <w:footerReference r:id="rId8" w:type="default"/>
          <w:pgSz w:w="11906" w:h="16838"/>
          <w:pgMar w:top="1440" w:right="1803" w:bottom="1440" w:left="1803" w:header="851" w:footer="992" w:gutter="0"/>
          <w:pgNumType w:fmt="decimal"/>
          <w:cols w:space="0" w:num="1"/>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交易一览表</w:t>
      </w:r>
      <w:r>
        <w:rPr>
          <w:rFonts w:hint="eastAsia" w:ascii="仿宋" w:hAnsi="仿宋" w:eastAsia="仿宋" w:cs="仿宋"/>
          <w:color w:val="auto"/>
          <w:sz w:val="24"/>
          <w:highlight w:val="none"/>
        </w:rPr>
        <w:t>（报价表）…………………………………………………（页码）</w:t>
      </w:r>
    </w:p>
    <w:p>
      <w:pPr>
        <w:snapToGrid/>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shd w:val="clear" w:color="auto" w:fill="auto"/>
        </w:rPr>
      </w:pPr>
      <w:r>
        <w:rPr>
          <w:rFonts w:hint="eastAsia" w:ascii="仿宋" w:hAnsi="仿宋" w:eastAsia="仿宋" w:cs="仿宋"/>
          <w:color w:val="auto"/>
          <w:kern w:val="2"/>
          <w:sz w:val="32"/>
          <w:szCs w:val="32"/>
          <w:highlight w:val="none"/>
          <w:shd w:val="clear" w:color="auto" w:fill="auto"/>
          <w:lang w:val="en-US" w:eastAsia="zh-CN"/>
        </w:rPr>
        <w:t>一、交易</w:t>
      </w:r>
      <w:r>
        <w:rPr>
          <w:rFonts w:hint="eastAsia" w:ascii="仿宋" w:hAnsi="仿宋" w:eastAsia="仿宋" w:cs="仿宋"/>
          <w:color w:val="auto"/>
          <w:kern w:val="2"/>
          <w:sz w:val="32"/>
          <w:szCs w:val="32"/>
          <w:highlight w:val="none"/>
          <w:shd w:val="clear" w:color="auto" w:fill="auto"/>
        </w:rPr>
        <w:t>一览表（报价表）</w:t>
      </w:r>
    </w:p>
    <w:p>
      <w:pPr>
        <w:snapToGrid w:val="0"/>
        <w:spacing w:line="360" w:lineRule="auto"/>
        <w:rPr>
          <w:rFonts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（交易发起人）、（采购代理机构）</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482"/>
        <w:rPr>
          <w:rFonts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按你方交易文件要求，我们，本响应文件签字方，谨此向你方发出要约如下：如你方接受本投标，我方承诺按照如下交易一览表（报价表）的价格完成</w:t>
      </w: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kern w:val="0"/>
          <w:sz w:val="24"/>
          <w:highlight w:val="none"/>
          <w:shd w:val="clear" w:color="auto" w:fill="auto"/>
          <w:lang w:val="zh-CN"/>
        </w:rPr>
        <w:t>【招标编号：</w:t>
      </w:r>
      <w:r>
        <w:rPr>
          <w:rFonts w:hint="eastAsia" w:ascii="仿宋" w:hAnsi="仿宋" w:eastAsia="仿宋" w:cs="仿宋"/>
          <w:color w:val="auto"/>
          <w:sz w:val="24"/>
          <w:highlight w:val="none"/>
          <w:shd w:val="clear" w:color="auto" w:fill="auto"/>
        </w:rPr>
        <w:t>（采购编号）】的实施</w:t>
      </w:r>
      <w:r>
        <w:rPr>
          <w:rFonts w:hint="eastAsia" w:ascii="仿宋" w:hAnsi="仿宋" w:eastAsia="仿宋" w:cs="仿宋"/>
          <w:color w:val="auto"/>
          <w:kern w:val="0"/>
          <w:sz w:val="24"/>
          <w:highlight w:val="none"/>
          <w:shd w:val="clear" w:color="auto" w:fill="auto"/>
          <w:lang w:val="zh-CN"/>
        </w:rPr>
        <w:t>。</w:t>
      </w:r>
    </w:p>
    <w:p>
      <w:pPr>
        <w:spacing w:line="360" w:lineRule="auto"/>
        <w:jc w:val="center"/>
        <w:rPr>
          <w:rFonts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val="en-US" w:eastAsia="zh-CN"/>
        </w:rPr>
        <w:t>交易</w:t>
      </w:r>
      <w:r>
        <w:rPr>
          <w:rFonts w:hint="eastAsia" w:ascii="仿宋" w:hAnsi="仿宋" w:eastAsia="仿宋" w:cs="仿宋"/>
          <w:b/>
          <w:color w:val="auto"/>
          <w:kern w:val="0"/>
          <w:sz w:val="24"/>
          <w:highlight w:val="none"/>
          <w:shd w:val="clear" w:color="auto" w:fill="auto"/>
          <w:lang w:val="zh-CN"/>
        </w:rPr>
        <w:t>一览表（报价表）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32"/>
        <w:gridCol w:w="723"/>
        <w:gridCol w:w="736"/>
        <w:gridCol w:w="3186"/>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6" w:type="dxa"/>
            <w:vAlign w:val="center"/>
          </w:tcPr>
          <w:p>
            <w:pPr>
              <w:snapToGrid w:val="0"/>
              <w:spacing w:line="360" w:lineRule="auto"/>
              <w:jc w:val="center"/>
              <w:rPr>
                <w:rFonts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序号</w:t>
            </w:r>
          </w:p>
        </w:tc>
        <w:tc>
          <w:tcPr>
            <w:tcW w:w="2932" w:type="dxa"/>
            <w:vAlign w:val="center"/>
          </w:tcPr>
          <w:p>
            <w:pPr>
              <w:snapToGrid w:val="0"/>
              <w:spacing w:line="360" w:lineRule="auto"/>
              <w:jc w:val="center"/>
              <w:rPr>
                <w:rFonts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名称</w:t>
            </w:r>
          </w:p>
        </w:tc>
        <w:tc>
          <w:tcPr>
            <w:tcW w:w="723" w:type="dxa"/>
            <w:vAlign w:val="center"/>
          </w:tcPr>
          <w:p>
            <w:pPr>
              <w:snapToGrid w:val="0"/>
              <w:spacing w:line="360" w:lineRule="auto"/>
              <w:jc w:val="center"/>
              <w:rPr>
                <w:rFonts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数量</w:t>
            </w:r>
          </w:p>
        </w:tc>
        <w:tc>
          <w:tcPr>
            <w:tcW w:w="736" w:type="dxa"/>
            <w:vAlign w:val="center"/>
          </w:tcPr>
          <w:p>
            <w:pPr>
              <w:snapToGrid w:val="0"/>
              <w:spacing w:line="360" w:lineRule="auto"/>
              <w:jc w:val="center"/>
              <w:rPr>
                <w:rFonts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单位</w:t>
            </w:r>
          </w:p>
        </w:tc>
        <w:tc>
          <w:tcPr>
            <w:tcW w:w="3186" w:type="dxa"/>
            <w:vAlign w:val="center"/>
          </w:tcPr>
          <w:p>
            <w:pPr>
              <w:snapToGrid w:val="0"/>
              <w:spacing w:line="360" w:lineRule="auto"/>
              <w:jc w:val="center"/>
              <w:rPr>
                <w:rFonts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统一折扣率（%）</w:t>
            </w:r>
          </w:p>
        </w:tc>
        <w:tc>
          <w:tcPr>
            <w:tcW w:w="767" w:type="dxa"/>
            <w:vAlign w:val="center"/>
          </w:tcPr>
          <w:p>
            <w:pPr>
              <w:snapToGrid w:val="0"/>
              <w:spacing w:line="360" w:lineRule="auto"/>
              <w:jc w:val="center"/>
              <w:rPr>
                <w:rFonts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06" w:type="dxa"/>
            <w:vAlign w:val="center"/>
          </w:tcPr>
          <w:p>
            <w:pPr>
              <w:snapToGrid w:val="0"/>
              <w:spacing w:line="360" w:lineRule="auto"/>
              <w:jc w:val="center"/>
              <w:rPr>
                <w:rFonts w:ascii="仿宋" w:hAnsi="仿宋" w:eastAsia="仿宋" w:cs="仿宋"/>
                <w:bCs/>
                <w:color w:val="auto"/>
                <w:kern w:val="0"/>
                <w:sz w:val="24"/>
                <w:highlight w:val="none"/>
                <w:shd w:val="clear" w:color="auto" w:fill="auto"/>
              </w:rPr>
            </w:pPr>
            <w:r>
              <w:rPr>
                <w:rFonts w:hint="eastAsia" w:ascii="仿宋" w:hAnsi="仿宋" w:eastAsia="仿宋" w:cs="仿宋"/>
                <w:bCs/>
                <w:color w:val="auto"/>
                <w:kern w:val="0"/>
                <w:sz w:val="24"/>
                <w:highlight w:val="none"/>
                <w:shd w:val="clear" w:color="auto" w:fill="auto"/>
              </w:rPr>
              <w:t>1</w:t>
            </w:r>
          </w:p>
        </w:tc>
        <w:tc>
          <w:tcPr>
            <w:tcW w:w="2932" w:type="dxa"/>
            <w:vAlign w:val="center"/>
          </w:tcPr>
          <w:p>
            <w:pPr>
              <w:snapToGrid w:val="0"/>
              <w:spacing w:line="360" w:lineRule="auto"/>
              <w:jc w:val="center"/>
              <w:rPr>
                <w:rFonts w:ascii="仿宋" w:hAnsi="仿宋" w:eastAsia="仿宋" w:cs="仿宋"/>
                <w:bCs/>
                <w:color w:val="auto"/>
                <w:kern w:val="0"/>
                <w:sz w:val="24"/>
                <w:highlight w:val="none"/>
                <w:shd w:val="clear" w:color="auto" w:fill="auto"/>
                <w:lang w:val="zh-CN"/>
              </w:rPr>
            </w:pPr>
            <w:r>
              <w:rPr>
                <w:rFonts w:hint="eastAsia" w:ascii="仿宋" w:hAnsi="仿宋" w:eastAsia="仿宋" w:cs="仿宋"/>
                <w:bCs/>
                <w:color w:val="auto"/>
                <w:kern w:val="0"/>
                <w:sz w:val="24"/>
                <w:highlight w:val="none"/>
                <w:shd w:val="clear" w:color="auto" w:fill="auto"/>
                <w:lang w:val="zh-CN"/>
              </w:rPr>
              <w:t>杭州萧山商业城开发有限公司食堂菜品采购项目</w:t>
            </w:r>
          </w:p>
        </w:tc>
        <w:tc>
          <w:tcPr>
            <w:tcW w:w="723" w:type="dxa"/>
            <w:vAlign w:val="center"/>
          </w:tcPr>
          <w:p>
            <w:pPr>
              <w:snapToGrid w:val="0"/>
              <w:spacing w:line="360" w:lineRule="auto"/>
              <w:jc w:val="center"/>
              <w:rPr>
                <w:rFonts w:ascii="仿宋" w:hAnsi="仿宋" w:eastAsia="仿宋" w:cs="仿宋"/>
                <w:bCs/>
                <w:color w:val="auto"/>
                <w:kern w:val="0"/>
                <w:sz w:val="24"/>
                <w:highlight w:val="none"/>
                <w:shd w:val="clear" w:color="auto" w:fill="auto"/>
              </w:rPr>
            </w:pPr>
            <w:r>
              <w:rPr>
                <w:rFonts w:hint="eastAsia" w:ascii="仿宋" w:hAnsi="仿宋" w:eastAsia="仿宋" w:cs="仿宋"/>
                <w:bCs/>
                <w:color w:val="auto"/>
                <w:kern w:val="0"/>
                <w:sz w:val="24"/>
                <w:highlight w:val="none"/>
                <w:shd w:val="clear" w:color="auto" w:fill="auto"/>
              </w:rPr>
              <w:t>1</w:t>
            </w:r>
          </w:p>
        </w:tc>
        <w:tc>
          <w:tcPr>
            <w:tcW w:w="736" w:type="dxa"/>
            <w:vAlign w:val="center"/>
          </w:tcPr>
          <w:p>
            <w:pPr>
              <w:snapToGrid w:val="0"/>
              <w:spacing w:line="360" w:lineRule="auto"/>
              <w:jc w:val="center"/>
              <w:rPr>
                <w:rFonts w:ascii="仿宋" w:hAnsi="仿宋" w:eastAsia="仿宋" w:cs="仿宋"/>
                <w:bCs/>
                <w:color w:val="auto"/>
                <w:kern w:val="0"/>
                <w:sz w:val="24"/>
                <w:highlight w:val="none"/>
                <w:shd w:val="clear" w:color="auto" w:fill="auto"/>
                <w:lang w:val="zh-CN"/>
              </w:rPr>
            </w:pPr>
            <w:r>
              <w:rPr>
                <w:rFonts w:hint="eastAsia" w:ascii="仿宋" w:hAnsi="仿宋" w:eastAsia="仿宋" w:cs="仿宋"/>
                <w:bCs/>
                <w:color w:val="auto"/>
                <w:kern w:val="0"/>
                <w:sz w:val="24"/>
                <w:highlight w:val="none"/>
                <w:shd w:val="clear" w:color="auto" w:fill="auto"/>
                <w:lang w:val="zh-CN"/>
              </w:rPr>
              <w:t>项</w:t>
            </w:r>
          </w:p>
        </w:tc>
        <w:tc>
          <w:tcPr>
            <w:tcW w:w="3186" w:type="dxa"/>
            <w:vAlign w:val="center"/>
          </w:tcPr>
          <w:p>
            <w:pPr>
              <w:snapToGrid w:val="0"/>
              <w:spacing w:line="360" w:lineRule="auto"/>
              <w:jc w:val="center"/>
              <w:rPr>
                <w:rFonts w:ascii="仿宋" w:hAnsi="仿宋" w:eastAsia="仿宋" w:cs="仿宋"/>
                <w:bCs/>
                <w:color w:val="auto"/>
                <w:kern w:val="0"/>
                <w:sz w:val="24"/>
                <w:highlight w:val="none"/>
                <w:shd w:val="clear" w:color="auto" w:fill="auto"/>
                <w:lang w:val="zh-CN"/>
              </w:rPr>
            </w:pPr>
          </w:p>
        </w:tc>
        <w:tc>
          <w:tcPr>
            <w:tcW w:w="767" w:type="dxa"/>
            <w:vAlign w:val="center"/>
          </w:tcPr>
          <w:p>
            <w:pPr>
              <w:snapToGrid w:val="0"/>
              <w:spacing w:line="360" w:lineRule="auto"/>
              <w:jc w:val="center"/>
              <w:rPr>
                <w:rFonts w:ascii="仿宋" w:hAnsi="仿宋" w:eastAsia="仿宋" w:cs="仿宋"/>
                <w:bCs/>
                <w:color w:val="auto"/>
                <w:kern w:val="0"/>
                <w:sz w:val="24"/>
                <w:highlight w:val="none"/>
                <w:shd w:val="clear" w:color="auto" w:fill="auto"/>
                <w:lang w:val="zh-CN"/>
              </w:rPr>
            </w:pPr>
          </w:p>
        </w:tc>
      </w:tr>
    </w:tbl>
    <w:p>
      <w:pPr>
        <w:snapToGrid w:val="0"/>
        <w:spacing w:line="360" w:lineRule="auto"/>
        <w:ind w:left="480"/>
        <w:rPr>
          <w:rFonts w:ascii="仿宋" w:hAnsi="仿宋" w:eastAsia="仿宋" w:cs="仿宋"/>
          <w:b/>
          <w:color w:val="auto"/>
          <w:kern w:val="0"/>
          <w:sz w:val="24"/>
          <w:highlight w:val="none"/>
          <w:shd w:val="clear" w:color="auto" w:fill="auto"/>
          <w:lang w:val="zh-CN"/>
        </w:rPr>
      </w:pPr>
    </w:p>
    <w:p>
      <w:pPr>
        <w:snapToGrid w:val="0"/>
        <w:spacing w:line="360" w:lineRule="auto"/>
        <w:ind w:left="480"/>
        <w:rPr>
          <w:rFonts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val="zh-CN"/>
        </w:rPr>
        <w:t>注：</w:t>
      </w:r>
    </w:p>
    <w:p>
      <w:pPr>
        <w:numPr>
          <w:ilvl w:val="0"/>
          <w:numId w:val="4"/>
        </w:numPr>
        <w:spacing w:line="360" w:lineRule="auto"/>
        <w:ind w:left="-2" w:leftChars="-1" w:firstLine="480" w:firstLineChars="200"/>
        <w:rPr>
          <w:rFonts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响应人需按本表格式填写，不得自行更改。</w:t>
      </w:r>
    </w:p>
    <w:p>
      <w:pPr>
        <w:numPr>
          <w:ilvl w:val="0"/>
          <w:numId w:val="4"/>
        </w:numPr>
        <w:spacing w:line="360" w:lineRule="auto"/>
        <w:ind w:left="-2" w:leftChars="-1" w:firstLine="482" w:firstLineChars="200"/>
        <w:rPr>
          <w:rFonts w:ascii="仿宋" w:hAnsi="仿宋" w:eastAsia="仿宋" w:cs="仿宋"/>
          <w:b/>
          <w:color w:val="auto"/>
          <w:kern w:val="0"/>
          <w:sz w:val="24"/>
          <w:highlight w:val="none"/>
          <w:shd w:val="clear" w:color="auto" w:fill="auto"/>
          <w:lang w:val="zh-CN"/>
        </w:rPr>
      </w:pPr>
      <w:r>
        <w:rPr>
          <w:rFonts w:hint="eastAsia" w:ascii="仿宋" w:hAnsi="仿宋" w:eastAsia="仿宋" w:cs="仿宋"/>
          <w:b/>
          <w:bCs w:val="0"/>
          <w:color w:val="auto"/>
          <w:sz w:val="24"/>
          <w:highlight w:val="none"/>
          <w:shd w:val="clear" w:color="auto" w:fill="auto"/>
        </w:rPr>
        <w:t>▲报价折扣率100%（含临界值），超出报价范围的响应报价按无效标处理。</w:t>
      </w:r>
    </w:p>
    <w:p>
      <w:pPr>
        <w:tabs>
          <w:tab w:val="left" w:pos="540"/>
          <w:tab w:val="left" w:pos="992"/>
        </w:tabs>
        <w:autoSpaceDE w:val="0"/>
        <w:autoSpaceDN w:val="0"/>
        <w:spacing w:line="360" w:lineRule="auto"/>
        <w:ind w:firstLine="482" w:firstLineChars="200"/>
        <w:rPr>
          <w:rFonts w:ascii="仿宋" w:hAnsi="仿宋" w:eastAsia="仿宋" w:cs="仿宋"/>
          <w:b/>
          <w:bCs/>
          <w:color w:val="auto"/>
          <w:sz w:val="24"/>
          <w:highlight w:val="none"/>
          <w:u w:val="single"/>
          <w:shd w:val="clear" w:color="auto" w:fill="auto"/>
        </w:rPr>
      </w:pPr>
      <w:r>
        <w:rPr>
          <w:rFonts w:hint="eastAsia" w:ascii="仿宋" w:hAnsi="仿宋" w:eastAsia="仿宋" w:cs="仿宋"/>
          <w:b/>
          <w:bCs/>
          <w:color w:val="auto"/>
          <w:kern w:val="0"/>
          <w:sz w:val="24"/>
          <w:highlight w:val="none"/>
          <w:shd w:val="clear" w:color="auto" w:fill="auto"/>
        </w:rPr>
        <w:t>3</w:t>
      </w:r>
      <w:r>
        <w:rPr>
          <w:rFonts w:hint="eastAsia" w:ascii="仿宋" w:hAnsi="仿宋" w:eastAsia="仿宋" w:cs="仿宋"/>
          <w:b/>
          <w:bCs/>
          <w:color w:val="auto"/>
          <w:kern w:val="0"/>
          <w:sz w:val="24"/>
          <w:highlight w:val="none"/>
          <w:shd w:val="clear" w:color="auto" w:fill="auto"/>
          <w:lang w:val="zh-CN"/>
        </w:rPr>
        <w:t>、</w:t>
      </w:r>
      <w:r>
        <w:rPr>
          <w:rFonts w:hint="eastAsia" w:ascii="仿宋" w:hAnsi="仿宋" w:eastAsia="仿宋" w:cs="仿宋"/>
          <w:b/>
          <w:bCs/>
          <w:color w:val="auto"/>
          <w:sz w:val="24"/>
          <w:highlight w:val="none"/>
          <w:u w:val="none"/>
          <w:shd w:val="clear" w:color="auto" w:fill="auto"/>
        </w:rPr>
        <w:t>报价以固定市场折扣率进行报价，响应人应自行考虑所供货物物资的供货、税金、包装、运输、装卸、验收及其所有税费、相关工作人员费用等全部费用以及供货时间内所供货物的价格浮动因素谨慎报价，折扣率在合同过程中不得以任何理由进行调整。</w:t>
      </w:r>
    </w:p>
    <w:p>
      <w:pPr>
        <w:spacing w:line="360" w:lineRule="auto"/>
        <w:ind w:firstLine="482" w:firstLineChars="200"/>
        <w:rPr>
          <w:rFonts w:ascii="仿宋" w:hAnsi="仿宋" w:eastAsia="仿宋" w:cs="仿宋"/>
          <w:b/>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4、</w:t>
      </w:r>
      <w:r>
        <w:rPr>
          <w:rFonts w:hint="eastAsia" w:ascii="仿宋" w:hAnsi="仿宋" w:eastAsia="仿宋" w:cs="仿宋"/>
          <w:b/>
          <w:color w:val="auto"/>
          <w:kern w:val="0"/>
          <w:sz w:val="24"/>
          <w:highlight w:val="none"/>
          <w:shd w:val="clear" w:color="auto" w:fill="auto"/>
          <w:lang w:val="zh-CN"/>
        </w:rPr>
        <w:t>交易发起人将以合同形式有偿取得货物或服务，不接受响应人给予的赠品、回扣或者与采购无关的其他商品、服务</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b/>
          <w:color w:val="auto"/>
          <w:kern w:val="0"/>
          <w:sz w:val="24"/>
          <w:highlight w:val="none"/>
          <w:shd w:val="clear" w:color="auto" w:fill="auto"/>
          <w:lang w:val="zh-CN"/>
        </w:rPr>
        <w:t>不得出现“0元”、“</w:t>
      </w:r>
      <w:r>
        <w:rPr>
          <w:rFonts w:hint="eastAsia" w:ascii="仿宋" w:hAnsi="仿宋" w:eastAsia="仿宋" w:cs="仿宋"/>
          <w:b/>
          <w:color w:val="auto"/>
          <w:kern w:val="0"/>
          <w:sz w:val="24"/>
          <w:highlight w:val="none"/>
          <w:shd w:val="clear" w:color="auto" w:fill="auto"/>
        </w:rPr>
        <w:t>0%</w:t>
      </w:r>
      <w:r>
        <w:rPr>
          <w:rFonts w:hint="eastAsia" w:ascii="仿宋" w:hAnsi="仿宋" w:eastAsia="仿宋" w:cs="仿宋"/>
          <w:b/>
          <w:color w:val="auto"/>
          <w:kern w:val="0"/>
          <w:sz w:val="24"/>
          <w:highlight w:val="none"/>
          <w:shd w:val="clear" w:color="auto" w:fill="auto"/>
          <w:lang w:val="zh-CN"/>
        </w:rPr>
        <w:t>”、“免费赠送”等形式的无偿报价，</w:t>
      </w:r>
      <w:r>
        <w:rPr>
          <w:rFonts w:hint="eastAsia" w:ascii="仿宋" w:hAnsi="仿宋" w:eastAsia="仿宋" w:cs="仿宋"/>
          <w:b/>
          <w:color w:val="auto"/>
          <w:kern w:val="0"/>
          <w:sz w:val="24"/>
          <w:highlight w:val="none"/>
          <w:shd w:val="clear" w:color="auto" w:fill="auto"/>
        </w:rPr>
        <w:t>否则视为</w:t>
      </w:r>
      <w:r>
        <w:rPr>
          <w:rFonts w:hint="eastAsia" w:ascii="仿宋" w:hAnsi="仿宋" w:eastAsia="仿宋" w:cs="仿宋"/>
          <w:b/>
          <w:color w:val="auto"/>
          <w:sz w:val="24"/>
          <w:highlight w:val="none"/>
          <w:shd w:val="clear" w:color="auto" w:fill="auto"/>
        </w:rPr>
        <w:t>响应文件含有交易发起人不能接受的附加条件的，投标无效</w:t>
      </w:r>
      <w:r>
        <w:rPr>
          <w:rFonts w:hint="eastAsia" w:ascii="仿宋" w:hAnsi="仿宋" w:eastAsia="仿宋" w:cs="仿宋"/>
          <w:b/>
          <w:color w:val="auto"/>
          <w:kern w:val="0"/>
          <w:sz w:val="24"/>
          <w:highlight w:val="none"/>
          <w:shd w:val="clear" w:color="auto" w:fill="auto"/>
          <w:lang w:val="zh-CN"/>
        </w:rPr>
        <w:t>；采购内容未包含在《交易一览表（报价表）》名称栏中，响应人不能作出合理解释的，</w:t>
      </w:r>
      <w:r>
        <w:rPr>
          <w:rFonts w:hint="eastAsia" w:ascii="仿宋" w:hAnsi="仿宋" w:eastAsia="仿宋" w:cs="仿宋"/>
          <w:b/>
          <w:color w:val="auto"/>
          <w:kern w:val="0"/>
          <w:sz w:val="24"/>
          <w:highlight w:val="none"/>
          <w:shd w:val="clear" w:color="auto" w:fill="auto"/>
        </w:rPr>
        <w:t>视为</w:t>
      </w:r>
      <w:r>
        <w:rPr>
          <w:rFonts w:hint="eastAsia" w:ascii="仿宋" w:hAnsi="仿宋" w:eastAsia="仿宋" w:cs="仿宋"/>
          <w:b/>
          <w:color w:val="auto"/>
          <w:sz w:val="24"/>
          <w:highlight w:val="none"/>
          <w:shd w:val="clear" w:color="auto" w:fill="auto"/>
        </w:rPr>
        <w:t>响应文件含有交易发起人不能接受的附加条件的，投标无效</w:t>
      </w:r>
      <w:r>
        <w:rPr>
          <w:rFonts w:hint="eastAsia" w:ascii="仿宋" w:hAnsi="仿宋" w:eastAsia="仿宋" w:cs="仿宋"/>
          <w:b/>
          <w:color w:val="auto"/>
          <w:kern w:val="0"/>
          <w:sz w:val="24"/>
          <w:highlight w:val="none"/>
          <w:shd w:val="clear" w:color="auto" w:fill="auto"/>
          <w:lang w:val="zh-CN"/>
        </w:rPr>
        <w:t>。</w:t>
      </w:r>
    </w:p>
    <w:p>
      <w:pPr>
        <w:pStyle w:val="2"/>
        <w:rPr>
          <w:rFonts w:hint="eastAsia" w:ascii="仿宋" w:hAnsi="仿宋" w:eastAsia="仿宋" w:cs="仿宋"/>
          <w:b/>
          <w:color w:val="auto"/>
          <w:kern w:val="0"/>
          <w:sz w:val="32"/>
          <w:szCs w:val="32"/>
          <w:highlight w:val="none"/>
        </w:rPr>
      </w:pPr>
    </w:p>
    <w:p>
      <w:pP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lang w:eastAsia="zh-CN"/>
        </w:rPr>
        <w:t>交易发起人</w:t>
      </w:r>
      <w:r>
        <w:rPr>
          <w:rFonts w:hint="eastAsia" w:ascii="仿宋" w:hAnsi="仿宋" w:eastAsia="仿宋" w:cs="仿宋"/>
          <w:color w:val="auto"/>
          <w:sz w:val="24"/>
          <w:highlight w:val="none"/>
          <w:u w:val="dotted"/>
        </w:rPr>
        <w:t>/代理机构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s="仿宋"/>
          <w:b/>
          <w:color w:val="auto"/>
          <w:spacing w:val="6"/>
          <w:sz w:val="32"/>
          <w:szCs w:val="32"/>
          <w:highlight w:val="none"/>
        </w:rPr>
      </w:pPr>
    </w:p>
    <w:p>
      <w:pPr>
        <w:pStyle w:val="17"/>
        <w:rPr>
          <w:rFonts w:hint="eastAsia"/>
        </w:rPr>
      </w:pPr>
    </w:p>
    <w:p>
      <w:pPr>
        <w:autoSpaceDE w:val="0"/>
        <w:autoSpaceDN w:val="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p>
    <w:p>
      <w:pPr>
        <w:autoSpaceDE w:val="0"/>
        <w:autoSpaceDN w:val="0"/>
        <w:jc w:val="center"/>
        <w:rPr>
          <w:rFonts w:hint="eastAsia" w:ascii="仿宋" w:hAnsi="仿宋" w:eastAsia="仿宋" w:cs="仿宋"/>
          <w:b/>
          <w:bCs/>
          <w:color w:val="auto"/>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w:t>
      </w:r>
      <w:r>
        <w:rPr>
          <w:rFonts w:hint="eastAsia" w:ascii="仿宋" w:hAnsi="仿宋" w:eastAsia="仿宋" w:cs="仿宋"/>
          <w:color w:val="auto"/>
          <w:sz w:val="24"/>
          <w:highlight w:val="none"/>
          <w:u w:val="single"/>
          <w:lang w:eastAsia="zh-CN"/>
        </w:rPr>
        <w:t>交易编号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lang w:val="en-US" w:eastAsia="zh-CN"/>
        </w:rPr>
        <w:t>交易</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518410" cy="2253615"/>
                <wp:effectExtent l="5080" t="4445" r="1016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51841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198.3pt;z-index:-251656192;mso-width-relative:page;mso-height-relative:page;" fillcolor="#FFFFFF" filled="t" stroked="t" coordsize="21600,21600" o:gfxdata="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FGw2QAAAAoBAAAPAAAAAAAAAAEAIAAAACIAAABkcnMvZG93bnJldi54bWxQ&#10;SwECFAAUAAAACACHTuJAHVhTYi8CAAB/BAAADgAAAAAAAAABACAAAAAoAQAAZHJzL2Uyb0RvYy54&#10;bWxQSwUGAAAAAAYABgBZAQAAyQU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单位“XX专用章”（印模）</w:t>
      </w:r>
    </w:p>
    <w:p>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2947670</wp:posOffset>
                </wp:positionH>
                <wp:positionV relativeFrom="paragraph">
                  <wp:posOffset>93980</wp:posOffset>
                </wp:positionV>
                <wp:extent cx="2444750" cy="2226310"/>
                <wp:effectExtent l="4445" t="4445" r="8255" b="1714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444750" cy="2226310"/>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2.1pt;margin-top:7.4pt;height:175.3pt;width:192.5pt;z-index:-251657216;mso-width-relative:page;mso-height-relative:page;" fillcolor="#FFFFFF" filled="t" stroked="t" coordsize="21600,21600" o:gfxdata="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G5oQ2AAAAAoBAAAPAAAAAAAAAAEAIAAAACIAAABkcnMvZG93bnJldi54bWxQ&#10;SwECFAAUAAAACACHTuJAeOQeUTACAAB/BAAADgAAAAAAAAABACAAAAAnAQAAZHJzL2Uyb0RvYy54&#10;bWxQSwUGAAAAAAYABgBZAQAAyQUAAAAA&#10;">
                <v:fill on="t" focussize="0,0"/>
                <v:stroke color="#000000" miterlimit="2" joinstyle="miter"/>
                <v:imagedata o:title=""/>
                <o:lock v:ext="edit" aspectratio="f"/>
                <v:textbox>
                  <w:txbxContent>
                    <w:p>
                      <w:pPr>
                        <w:jc w:val="center"/>
                      </w:pPr>
                    </w:p>
                  </w:txbxContent>
                </v:textbox>
              </v:rect>
            </w:pict>
          </mc:Fallback>
        </mc:AlternateConten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sectPr>
      <w:headerReference r:id="rId10" w:type="default"/>
      <w:footerReference r:id="rId11" w:type="default"/>
      <w:pgSz w:w="11906" w:h="16838"/>
      <w:pgMar w:top="1440" w:right="1803" w:bottom="1440" w:left="1803"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36</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28</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eastAsia="宋体"/>
        <w:lang w:val="en-US" w:eastAsia="zh-CN"/>
      </w:rPr>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lang w:val="en-US" w:eastAsia="zh-CN"/>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1D8DA"/>
    <w:multiLevelType w:val="singleLevel"/>
    <w:tmpl w:val="A0B1D8DA"/>
    <w:lvl w:ilvl="0" w:tentative="0">
      <w:start w:val="2"/>
      <w:numFmt w:val="decimal"/>
      <w:suff w:val="nothing"/>
      <w:lvlText w:val="%1、"/>
      <w:lvlJc w:val="left"/>
    </w:lvl>
  </w:abstractNum>
  <w:abstractNum w:abstractNumId="1">
    <w:nsid w:val="3998A358"/>
    <w:multiLevelType w:val="singleLevel"/>
    <w:tmpl w:val="3998A358"/>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abstractNum w:abstractNumId="3">
    <w:nsid w:val="509341E5"/>
    <w:multiLevelType w:val="singleLevel"/>
    <w:tmpl w:val="509341E5"/>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B37585"/>
    <w:rsid w:val="01B5399D"/>
    <w:rsid w:val="01D55165"/>
    <w:rsid w:val="01DF6BF8"/>
    <w:rsid w:val="01EC2C57"/>
    <w:rsid w:val="02406594"/>
    <w:rsid w:val="025F0711"/>
    <w:rsid w:val="026B2E25"/>
    <w:rsid w:val="02824D4D"/>
    <w:rsid w:val="02B96B01"/>
    <w:rsid w:val="02CC76E8"/>
    <w:rsid w:val="02DC4B10"/>
    <w:rsid w:val="02DD76CE"/>
    <w:rsid w:val="02F36323"/>
    <w:rsid w:val="02F5619C"/>
    <w:rsid w:val="0326446A"/>
    <w:rsid w:val="032D5555"/>
    <w:rsid w:val="036634D2"/>
    <w:rsid w:val="03A360B3"/>
    <w:rsid w:val="03DD35E4"/>
    <w:rsid w:val="03FB7EC1"/>
    <w:rsid w:val="04076900"/>
    <w:rsid w:val="041A5A3B"/>
    <w:rsid w:val="042311BA"/>
    <w:rsid w:val="042B157A"/>
    <w:rsid w:val="0430208D"/>
    <w:rsid w:val="045D0D84"/>
    <w:rsid w:val="048F763B"/>
    <w:rsid w:val="049F330E"/>
    <w:rsid w:val="04AA775C"/>
    <w:rsid w:val="04AF1889"/>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50673F"/>
    <w:rsid w:val="0779354C"/>
    <w:rsid w:val="07FE18F3"/>
    <w:rsid w:val="08061376"/>
    <w:rsid w:val="08162EA7"/>
    <w:rsid w:val="083E6C36"/>
    <w:rsid w:val="08452D77"/>
    <w:rsid w:val="086401F8"/>
    <w:rsid w:val="08751CAA"/>
    <w:rsid w:val="087E4C40"/>
    <w:rsid w:val="08A871D0"/>
    <w:rsid w:val="08D66AD6"/>
    <w:rsid w:val="08DA33A3"/>
    <w:rsid w:val="08E80F13"/>
    <w:rsid w:val="08F8186C"/>
    <w:rsid w:val="091F062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F5E89"/>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B4E0F"/>
    <w:rsid w:val="0C5C1171"/>
    <w:rsid w:val="0C5E1CBC"/>
    <w:rsid w:val="0C615B50"/>
    <w:rsid w:val="0C7D67ED"/>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73674"/>
    <w:rsid w:val="0E5604B2"/>
    <w:rsid w:val="0E6D5D79"/>
    <w:rsid w:val="0E9D0089"/>
    <w:rsid w:val="0EB803EE"/>
    <w:rsid w:val="0EF94D4B"/>
    <w:rsid w:val="0F0B13B6"/>
    <w:rsid w:val="0F4958DC"/>
    <w:rsid w:val="0F515DF7"/>
    <w:rsid w:val="0F596BA8"/>
    <w:rsid w:val="0F6248D2"/>
    <w:rsid w:val="0F635421"/>
    <w:rsid w:val="0F693536"/>
    <w:rsid w:val="0F7B0511"/>
    <w:rsid w:val="0F7B76D9"/>
    <w:rsid w:val="0F816ACD"/>
    <w:rsid w:val="0F9832DB"/>
    <w:rsid w:val="0FBF3FD2"/>
    <w:rsid w:val="0FBF7FF3"/>
    <w:rsid w:val="0FDA406B"/>
    <w:rsid w:val="0FFC3E38"/>
    <w:rsid w:val="10646583"/>
    <w:rsid w:val="107D4B15"/>
    <w:rsid w:val="10841832"/>
    <w:rsid w:val="108A3C80"/>
    <w:rsid w:val="109649BA"/>
    <w:rsid w:val="10C26171"/>
    <w:rsid w:val="10F33360"/>
    <w:rsid w:val="10F4083A"/>
    <w:rsid w:val="10FC16EA"/>
    <w:rsid w:val="110F1D40"/>
    <w:rsid w:val="11266F33"/>
    <w:rsid w:val="118963A1"/>
    <w:rsid w:val="11C451D8"/>
    <w:rsid w:val="11C6522A"/>
    <w:rsid w:val="11E104CC"/>
    <w:rsid w:val="11E20309"/>
    <w:rsid w:val="12255233"/>
    <w:rsid w:val="123410EC"/>
    <w:rsid w:val="12530213"/>
    <w:rsid w:val="127723A9"/>
    <w:rsid w:val="12862074"/>
    <w:rsid w:val="12883966"/>
    <w:rsid w:val="129E45B4"/>
    <w:rsid w:val="12D21374"/>
    <w:rsid w:val="12D81596"/>
    <w:rsid w:val="13072A44"/>
    <w:rsid w:val="131A1B7F"/>
    <w:rsid w:val="135F4BE2"/>
    <w:rsid w:val="139B1A0A"/>
    <w:rsid w:val="139D25C7"/>
    <w:rsid w:val="13B354C7"/>
    <w:rsid w:val="13BF3CE4"/>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A8729C"/>
    <w:rsid w:val="16B33777"/>
    <w:rsid w:val="16BC70A7"/>
    <w:rsid w:val="16C6339E"/>
    <w:rsid w:val="16C730F7"/>
    <w:rsid w:val="16FE2244"/>
    <w:rsid w:val="172F2D79"/>
    <w:rsid w:val="17405BC3"/>
    <w:rsid w:val="17557BEF"/>
    <w:rsid w:val="17D349C1"/>
    <w:rsid w:val="1830729E"/>
    <w:rsid w:val="185134E3"/>
    <w:rsid w:val="1870062C"/>
    <w:rsid w:val="18817102"/>
    <w:rsid w:val="18830A15"/>
    <w:rsid w:val="18852B28"/>
    <w:rsid w:val="188B5321"/>
    <w:rsid w:val="18EE574D"/>
    <w:rsid w:val="19341F4D"/>
    <w:rsid w:val="1941239E"/>
    <w:rsid w:val="19932372"/>
    <w:rsid w:val="19A20DD5"/>
    <w:rsid w:val="19AE03F1"/>
    <w:rsid w:val="1A071A03"/>
    <w:rsid w:val="1A1F16AE"/>
    <w:rsid w:val="1A3B5C77"/>
    <w:rsid w:val="1A984BAD"/>
    <w:rsid w:val="1A9F38E3"/>
    <w:rsid w:val="1AB8220E"/>
    <w:rsid w:val="1AD841B9"/>
    <w:rsid w:val="1AE4166C"/>
    <w:rsid w:val="1AF06CFB"/>
    <w:rsid w:val="1AF11B8D"/>
    <w:rsid w:val="1B11359C"/>
    <w:rsid w:val="1B2A271F"/>
    <w:rsid w:val="1B530544"/>
    <w:rsid w:val="1B713184"/>
    <w:rsid w:val="1B825FBC"/>
    <w:rsid w:val="1B8A2DD3"/>
    <w:rsid w:val="1BA209CF"/>
    <w:rsid w:val="1BB4777D"/>
    <w:rsid w:val="1BD75AB8"/>
    <w:rsid w:val="1BE22A26"/>
    <w:rsid w:val="1C0459C2"/>
    <w:rsid w:val="1C1B3B4A"/>
    <w:rsid w:val="1C88086E"/>
    <w:rsid w:val="1CC47A8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8600C"/>
    <w:rsid w:val="1F0A0FF3"/>
    <w:rsid w:val="1F40228F"/>
    <w:rsid w:val="1F5771FF"/>
    <w:rsid w:val="1FE868A9"/>
    <w:rsid w:val="20034907"/>
    <w:rsid w:val="20173E4B"/>
    <w:rsid w:val="204E48BC"/>
    <w:rsid w:val="208921B3"/>
    <w:rsid w:val="2093370A"/>
    <w:rsid w:val="20973DEB"/>
    <w:rsid w:val="20B26522"/>
    <w:rsid w:val="20B44310"/>
    <w:rsid w:val="211116EB"/>
    <w:rsid w:val="211E01F0"/>
    <w:rsid w:val="216133FC"/>
    <w:rsid w:val="218944CA"/>
    <w:rsid w:val="21D56769"/>
    <w:rsid w:val="21D62C50"/>
    <w:rsid w:val="21E52EF3"/>
    <w:rsid w:val="21FB5D7B"/>
    <w:rsid w:val="220B1C3D"/>
    <w:rsid w:val="221D1D20"/>
    <w:rsid w:val="22334A87"/>
    <w:rsid w:val="22BE6801"/>
    <w:rsid w:val="23113F1A"/>
    <w:rsid w:val="231D13CF"/>
    <w:rsid w:val="233500BF"/>
    <w:rsid w:val="23377FF7"/>
    <w:rsid w:val="236B425F"/>
    <w:rsid w:val="23836192"/>
    <w:rsid w:val="23901F29"/>
    <w:rsid w:val="239C0061"/>
    <w:rsid w:val="23B908A4"/>
    <w:rsid w:val="23D81930"/>
    <w:rsid w:val="23E95BEF"/>
    <w:rsid w:val="23FD0064"/>
    <w:rsid w:val="245375B0"/>
    <w:rsid w:val="24642C0A"/>
    <w:rsid w:val="249307DC"/>
    <w:rsid w:val="24B22173"/>
    <w:rsid w:val="24B95AD9"/>
    <w:rsid w:val="24BE24DA"/>
    <w:rsid w:val="24CF5825"/>
    <w:rsid w:val="24D663E6"/>
    <w:rsid w:val="24D77F2B"/>
    <w:rsid w:val="250C1461"/>
    <w:rsid w:val="254F52B1"/>
    <w:rsid w:val="258B00E2"/>
    <w:rsid w:val="25A917A6"/>
    <w:rsid w:val="25BE27CC"/>
    <w:rsid w:val="25E92F53"/>
    <w:rsid w:val="25F74A5C"/>
    <w:rsid w:val="2628662C"/>
    <w:rsid w:val="262D45DE"/>
    <w:rsid w:val="266216DC"/>
    <w:rsid w:val="26871DC8"/>
    <w:rsid w:val="269B037E"/>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8F410E0"/>
    <w:rsid w:val="29345E77"/>
    <w:rsid w:val="294C65AD"/>
    <w:rsid w:val="29806583"/>
    <w:rsid w:val="298B3C4C"/>
    <w:rsid w:val="29F26D24"/>
    <w:rsid w:val="2A15033F"/>
    <w:rsid w:val="2A1662C1"/>
    <w:rsid w:val="2A1C7367"/>
    <w:rsid w:val="2A2815FA"/>
    <w:rsid w:val="2A351DE8"/>
    <w:rsid w:val="2A45764B"/>
    <w:rsid w:val="2A6D6092"/>
    <w:rsid w:val="2A7D76B4"/>
    <w:rsid w:val="2A8C1512"/>
    <w:rsid w:val="2AEE1B3B"/>
    <w:rsid w:val="2AF47F2E"/>
    <w:rsid w:val="2B255174"/>
    <w:rsid w:val="2B437463"/>
    <w:rsid w:val="2B7807EE"/>
    <w:rsid w:val="2BA50BF7"/>
    <w:rsid w:val="2BBF00EC"/>
    <w:rsid w:val="2BC37CFD"/>
    <w:rsid w:val="2BD5237F"/>
    <w:rsid w:val="2BE536CE"/>
    <w:rsid w:val="2BE758D9"/>
    <w:rsid w:val="2BEA7DD3"/>
    <w:rsid w:val="2C09049E"/>
    <w:rsid w:val="2C0A653C"/>
    <w:rsid w:val="2C191F85"/>
    <w:rsid w:val="2C9A20F1"/>
    <w:rsid w:val="2CE82D6F"/>
    <w:rsid w:val="2D2216DE"/>
    <w:rsid w:val="2D343236"/>
    <w:rsid w:val="2DCA2A1D"/>
    <w:rsid w:val="2DD15014"/>
    <w:rsid w:val="2DF72DE4"/>
    <w:rsid w:val="2E0220AF"/>
    <w:rsid w:val="2E4B082A"/>
    <w:rsid w:val="2E5D4E86"/>
    <w:rsid w:val="2E5D790B"/>
    <w:rsid w:val="2E776A61"/>
    <w:rsid w:val="2E9A3C18"/>
    <w:rsid w:val="2EBB0FEE"/>
    <w:rsid w:val="2EC63002"/>
    <w:rsid w:val="2F0A6B38"/>
    <w:rsid w:val="2F0E78D3"/>
    <w:rsid w:val="2F5D35DA"/>
    <w:rsid w:val="2F946CCB"/>
    <w:rsid w:val="2FD25781"/>
    <w:rsid w:val="2FFD7934"/>
    <w:rsid w:val="30733ACD"/>
    <w:rsid w:val="308C3862"/>
    <w:rsid w:val="309379D8"/>
    <w:rsid w:val="30A270F7"/>
    <w:rsid w:val="30AD57F1"/>
    <w:rsid w:val="30DF1478"/>
    <w:rsid w:val="30DF16B2"/>
    <w:rsid w:val="30EC586F"/>
    <w:rsid w:val="319C6071"/>
    <w:rsid w:val="31AC537E"/>
    <w:rsid w:val="31B420C4"/>
    <w:rsid w:val="31B82C24"/>
    <w:rsid w:val="31C549B6"/>
    <w:rsid w:val="31E3679B"/>
    <w:rsid w:val="31E732FD"/>
    <w:rsid w:val="323637B2"/>
    <w:rsid w:val="32517576"/>
    <w:rsid w:val="3262346C"/>
    <w:rsid w:val="32A64673"/>
    <w:rsid w:val="32BE5C2C"/>
    <w:rsid w:val="32FB6478"/>
    <w:rsid w:val="331E793D"/>
    <w:rsid w:val="33263B3F"/>
    <w:rsid w:val="33300D80"/>
    <w:rsid w:val="336963EB"/>
    <w:rsid w:val="33816EEB"/>
    <w:rsid w:val="338863E7"/>
    <w:rsid w:val="33EB55CD"/>
    <w:rsid w:val="33EC4C02"/>
    <w:rsid w:val="340D2360"/>
    <w:rsid w:val="3410665D"/>
    <w:rsid w:val="34211214"/>
    <w:rsid w:val="342E63AB"/>
    <w:rsid w:val="343A4CFB"/>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EC0CC9"/>
    <w:rsid w:val="371708EF"/>
    <w:rsid w:val="37390A8E"/>
    <w:rsid w:val="373F410B"/>
    <w:rsid w:val="37BD1A5A"/>
    <w:rsid w:val="37EE7094"/>
    <w:rsid w:val="38296C89"/>
    <w:rsid w:val="383002EB"/>
    <w:rsid w:val="38586797"/>
    <w:rsid w:val="38BC0149"/>
    <w:rsid w:val="38D87D1C"/>
    <w:rsid w:val="391F535F"/>
    <w:rsid w:val="39636459"/>
    <w:rsid w:val="396B7F6C"/>
    <w:rsid w:val="39B417A9"/>
    <w:rsid w:val="39F5707E"/>
    <w:rsid w:val="39FC5695"/>
    <w:rsid w:val="3A006D8E"/>
    <w:rsid w:val="3A3651E5"/>
    <w:rsid w:val="3A4E2342"/>
    <w:rsid w:val="3A744481"/>
    <w:rsid w:val="3A8C7BEF"/>
    <w:rsid w:val="3A906246"/>
    <w:rsid w:val="3AD96242"/>
    <w:rsid w:val="3B2349B7"/>
    <w:rsid w:val="3B616CFF"/>
    <w:rsid w:val="3B6259F6"/>
    <w:rsid w:val="3B8F6CEC"/>
    <w:rsid w:val="3B976654"/>
    <w:rsid w:val="3BC01EFC"/>
    <w:rsid w:val="3BCA786A"/>
    <w:rsid w:val="3BD31E2F"/>
    <w:rsid w:val="3BF15831"/>
    <w:rsid w:val="3C105946"/>
    <w:rsid w:val="3C4110FB"/>
    <w:rsid w:val="3C471448"/>
    <w:rsid w:val="3C5F759A"/>
    <w:rsid w:val="3C6C525A"/>
    <w:rsid w:val="3C906C85"/>
    <w:rsid w:val="3CCE23CB"/>
    <w:rsid w:val="3CD17D17"/>
    <w:rsid w:val="3CD346D4"/>
    <w:rsid w:val="3CEE6358"/>
    <w:rsid w:val="3D39681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6285"/>
    <w:rsid w:val="3F060E16"/>
    <w:rsid w:val="3F1D1096"/>
    <w:rsid w:val="3F2F0234"/>
    <w:rsid w:val="3F6363FE"/>
    <w:rsid w:val="3F756B8F"/>
    <w:rsid w:val="3F95482B"/>
    <w:rsid w:val="3FAF4907"/>
    <w:rsid w:val="4019356B"/>
    <w:rsid w:val="40592157"/>
    <w:rsid w:val="406E1CAE"/>
    <w:rsid w:val="40A0133A"/>
    <w:rsid w:val="40C31A53"/>
    <w:rsid w:val="40FF545D"/>
    <w:rsid w:val="410067C8"/>
    <w:rsid w:val="413C45E3"/>
    <w:rsid w:val="4147433B"/>
    <w:rsid w:val="418F0D2A"/>
    <w:rsid w:val="41D01505"/>
    <w:rsid w:val="423038C4"/>
    <w:rsid w:val="42474939"/>
    <w:rsid w:val="424C3C57"/>
    <w:rsid w:val="42613FF3"/>
    <w:rsid w:val="42660D96"/>
    <w:rsid w:val="428667D2"/>
    <w:rsid w:val="42CD1CE0"/>
    <w:rsid w:val="42E1381E"/>
    <w:rsid w:val="42ED6459"/>
    <w:rsid w:val="42FE58DD"/>
    <w:rsid w:val="43174B3D"/>
    <w:rsid w:val="434B790E"/>
    <w:rsid w:val="434D0521"/>
    <w:rsid w:val="4360274F"/>
    <w:rsid w:val="43977AB6"/>
    <w:rsid w:val="43A3342B"/>
    <w:rsid w:val="43C77C27"/>
    <w:rsid w:val="43CD6976"/>
    <w:rsid w:val="43DE09EE"/>
    <w:rsid w:val="44002FAD"/>
    <w:rsid w:val="4430589B"/>
    <w:rsid w:val="44356927"/>
    <w:rsid w:val="44472C01"/>
    <w:rsid w:val="448354A5"/>
    <w:rsid w:val="449101DD"/>
    <w:rsid w:val="449D00C3"/>
    <w:rsid w:val="44DE1391"/>
    <w:rsid w:val="44E72961"/>
    <w:rsid w:val="451B225C"/>
    <w:rsid w:val="452410C9"/>
    <w:rsid w:val="452E1696"/>
    <w:rsid w:val="45317DFB"/>
    <w:rsid w:val="456D3CE4"/>
    <w:rsid w:val="4579042C"/>
    <w:rsid w:val="457F0571"/>
    <w:rsid w:val="45851176"/>
    <w:rsid w:val="45C63B94"/>
    <w:rsid w:val="45F134FD"/>
    <w:rsid w:val="460E7DA5"/>
    <w:rsid w:val="461D7A96"/>
    <w:rsid w:val="46422483"/>
    <w:rsid w:val="4659254A"/>
    <w:rsid w:val="465B0637"/>
    <w:rsid w:val="465E3F0D"/>
    <w:rsid w:val="466A16E6"/>
    <w:rsid w:val="46893F2B"/>
    <w:rsid w:val="46C4686E"/>
    <w:rsid w:val="477B778F"/>
    <w:rsid w:val="478203EC"/>
    <w:rsid w:val="47B025FA"/>
    <w:rsid w:val="4809698F"/>
    <w:rsid w:val="4811697D"/>
    <w:rsid w:val="487A3E25"/>
    <w:rsid w:val="487B0FC2"/>
    <w:rsid w:val="48833F78"/>
    <w:rsid w:val="488B5503"/>
    <w:rsid w:val="48937E21"/>
    <w:rsid w:val="48975AF1"/>
    <w:rsid w:val="489A0361"/>
    <w:rsid w:val="48A563EE"/>
    <w:rsid w:val="48B94FF3"/>
    <w:rsid w:val="48E37AAB"/>
    <w:rsid w:val="48FD4B4C"/>
    <w:rsid w:val="490606C8"/>
    <w:rsid w:val="490A68E0"/>
    <w:rsid w:val="491055FE"/>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5052C4"/>
    <w:rsid w:val="4B555D27"/>
    <w:rsid w:val="4B707271"/>
    <w:rsid w:val="4B9739F7"/>
    <w:rsid w:val="4BE96C25"/>
    <w:rsid w:val="4BEE2503"/>
    <w:rsid w:val="4C245A30"/>
    <w:rsid w:val="4C676029"/>
    <w:rsid w:val="4CA903A1"/>
    <w:rsid w:val="4CAF7256"/>
    <w:rsid w:val="4CB6685F"/>
    <w:rsid w:val="4CC367FE"/>
    <w:rsid w:val="4D077F3C"/>
    <w:rsid w:val="4D123355"/>
    <w:rsid w:val="4D2A3B31"/>
    <w:rsid w:val="4D312C52"/>
    <w:rsid w:val="4D4B0F25"/>
    <w:rsid w:val="4D545A70"/>
    <w:rsid w:val="4D905305"/>
    <w:rsid w:val="4D964A72"/>
    <w:rsid w:val="4D9C1254"/>
    <w:rsid w:val="4E793892"/>
    <w:rsid w:val="4E800872"/>
    <w:rsid w:val="4E9A20A5"/>
    <w:rsid w:val="4EC569ED"/>
    <w:rsid w:val="4ED50EA1"/>
    <w:rsid w:val="4EEC050C"/>
    <w:rsid w:val="4F104EC3"/>
    <w:rsid w:val="4F47354A"/>
    <w:rsid w:val="4F5F42DF"/>
    <w:rsid w:val="4F6C7DAB"/>
    <w:rsid w:val="4F8D2991"/>
    <w:rsid w:val="4F911C54"/>
    <w:rsid w:val="4FE625E0"/>
    <w:rsid w:val="5021480F"/>
    <w:rsid w:val="505D15FC"/>
    <w:rsid w:val="50755E1B"/>
    <w:rsid w:val="50962ECB"/>
    <w:rsid w:val="50A42E38"/>
    <w:rsid w:val="50A4577F"/>
    <w:rsid w:val="50B73D1F"/>
    <w:rsid w:val="50BD5BC9"/>
    <w:rsid w:val="50C11EEE"/>
    <w:rsid w:val="50D73351"/>
    <w:rsid w:val="50E97CFC"/>
    <w:rsid w:val="50F1399D"/>
    <w:rsid w:val="50FA4028"/>
    <w:rsid w:val="510D65B7"/>
    <w:rsid w:val="511157AB"/>
    <w:rsid w:val="5142540C"/>
    <w:rsid w:val="518832C8"/>
    <w:rsid w:val="51A0432A"/>
    <w:rsid w:val="51A86090"/>
    <w:rsid w:val="51B7396D"/>
    <w:rsid w:val="51D07428"/>
    <w:rsid w:val="522E4CC3"/>
    <w:rsid w:val="5244713B"/>
    <w:rsid w:val="52615633"/>
    <w:rsid w:val="52977FD4"/>
    <w:rsid w:val="52A25790"/>
    <w:rsid w:val="52A96B6F"/>
    <w:rsid w:val="52B45975"/>
    <w:rsid w:val="52B85475"/>
    <w:rsid w:val="52D94AA4"/>
    <w:rsid w:val="52EA3A62"/>
    <w:rsid w:val="52F50BB8"/>
    <w:rsid w:val="53057E64"/>
    <w:rsid w:val="53097272"/>
    <w:rsid w:val="53544462"/>
    <w:rsid w:val="5397158E"/>
    <w:rsid w:val="54013861"/>
    <w:rsid w:val="54487265"/>
    <w:rsid w:val="544D6070"/>
    <w:rsid w:val="54605E1E"/>
    <w:rsid w:val="54B3506A"/>
    <w:rsid w:val="54CA0D16"/>
    <w:rsid w:val="54DD4057"/>
    <w:rsid w:val="54E071EC"/>
    <w:rsid w:val="54E7490F"/>
    <w:rsid w:val="55061018"/>
    <w:rsid w:val="550764A4"/>
    <w:rsid w:val="550B2BF6"/>
    <w:rsid w:val="55214EB5"/>
    <w:rsid w:val="552C2215"/>
    <w:rsid w:val="55364EFD"/>
    <w:rsid w:val="555D4828"/>
    <w:rsid w:val="557A4C8B"/>
    <w:rsid w:val="558931E1"/>
    <w:rsid w:val="55923347"/>
    <w:rsid w:val="55925180"/>
    <w:rsid w:val="55983B1B"/>
    <w:rsid w:val="55A8376B"/>
    <w:rsid w:val="55B10E8E"/>
    <w:rsid w:val="55C248FD"/>
    <w:rsid w:val="55DC29B6"/>
    <w:rsid w:val="55DD4241"/>
    <w:rsid w:val="55E07873"/>
    <w:rsid w:val="56135516"/>
    <w:rsid w:val="561C1BE8"/>
    <w:rsid w:val="566B6D1E"/>
    <w:rsid w:val="567F145A"/>
    <w:rsid w:val="569E129D"/>
    <w:rsid w:val="57032A2C"/>
    <w:rsid w:val="570F5219"/>
    <w:rsid w:val="575D12B5"/>
    <w:rsid w:val="57610A87"/>
    <w:rsid w:val="577B1140"/>
    <w:rsid w:val="577B7F21"/>
    <w:rsid w:val="577F181B"/>
    <w:rsid w:val="57885107"/>
    <w:rsid w:val="57921984"/>
    <w:rsid w:val="579737F0"/>
    <w:rsid w:val="57AB7B30"/>
    <w:rsid w:val="57AF5251"/>
    <w:rsid w:val="57B26373"/>
    <w:rsid w:val="57B3517E"/>
    <w:rsid w:val="57B63F04"/>
    <w:rsid w:val="57C00BDA"/>
    <w:rsid w:val="57CD20C2"/>
    <w:rsid w:val="57D675AB"/>
    <w:rsid w:val="57D95FDD"/>
    <w:rsid w:val="58917D2F"/>
    <w:rsid w:val="5894085C"/>
    <w:rsid w:val="58AE4F0C"/>
    <w:rsid w:val="58B85899"/>
    <w:rsid w:val="58C0702C"/>
    <w:rsid w:val="58E363A9"/>
    <w:rsid w:val="59272ECB"/>
    <w:rsid w:val="595E1678"/>
    <w:rsid w:val="596D5BD4"/>
    <w:rsid w:val="597E3DD8"/>
    <w:rsid w:val="59884A45"/>
    <w:rsid w:val="59AB1AC0"/>
    <w:rsid w:val="59F80043"/>
    <w:rsid w:val="5A09252F"/>
    <w:rsid w:val="5A0A7A74"/>
    <w:rsid w:val="5A0B2778"/>
    <w:rsid w:val="5A2A7C7B"/>
    <w:rsid w:val="5A3E2560"/>
    <w:rsid w:val="5A5D3B6E"/>
    <w:rsid w:val="5A637A76"/>
    <w:rsid w:val="5A6D33BA"/>
    <w:rsid w:val="5A792B1F"/>
    <w:rsid w:val="5A874767"/>
    <w:rsid w:val="5A9E49E8"/>
    <w:rsid w:val="5AA85BE2"/>
    <w:rsid w:val="5AAD6F28"/>
    <w:rsid w:val="5AD63A24"/>
    <w:rsid w:val="5AE51FB6"/>
    <w:rsid w:val="5B2E1A1D"/>
    <w:rsid w:val="5B843A1C"/>
    <w:rsid w:val="5B873E3F"/>
    <w:rsid w:val="5C02690E"/>
    <w:rsid w:val="5C196DA7"/>
    <w:rsid w:val="5C2A048C"/>
    <w:rsid w:val="5C7422AE"/>
    <w:rsid w:val="5C80234E"/>
    <w:rsid w:val="5C84336D"/>
    <w:rsid w:val="5C8A680C"/>
    <w:rsid w:val="5CE45C2B"/>
    <w:rsid w:val="5D0C4701"/>
    <w:rsid w:val="5D0F0395"/>
    <w:rsid w:val="5D221076"/>
    <w:rsid w:val="5D397964"/>
    <w:rsid w:val="5D5A391C"/>
    <w:rsid w:val="5D5F10C0"/>
    <w:rsid w:val="5D891B7B"/>
    <w:rsid w:val="5D8A5E82"/>
    <w:rsid w:val="5DAD38EE"/>
    <w:rsid w:val="5E006862"/>
    <w:rsid w:val="5E0207B9"/>
    <w:rsid w:val="5E093CEF"/>
    <w:rsid w:val="5E1834A1"/>
    <w:rsid w:val="5E261785"/>
    <w:rsid w:val="5E437B09"/>
    <w:rsid w:val="5E4A7017"/>
    <w:rsid w:val="5E552BBA"/>
    <w:rsid w:val="5E611C10"/>
    <w:rsid w:val="5E626095"/>
    <w:rsid w:val="5E7A0F3F"/>
    <w:rsid w:val="5EF50A1B"/>
    <w:rsid w:val="5EFC7377"/>
    <w:rsid w:val="5F012A1A"/>
    <w:rsid w:val="5F06174D"/>
    <w:rsid w:val="5F3A3602"/>
    <w:rsid w:val="5F45733B"/>
    <w:rsid w:val="5F6277C6"/>
    <w:rsid w:val="5F6D0B1D"/>
    <w:rsid w:val="5F762E3E"/>
    <w:rsid w:val="5F8D0B82"/>
    <w:rsid w:val="5FCC5339"/>
    <w:rsid w:val="5FE34A5B"/>
    <w:rsid w:val="5FFE1E36"/>
    <w:rsid w:val="60232584"/>
    <w:rsid w:val="6032709C"/>
    <w:rsid w:val="605864BB"/>
    <w:rsid w:val="607330CE"/>
    <w:rsid w:val="60821CE5"/>
    <w:rsid w:val="60825176"/>
    <w:rsid w:val="609F2AC4"/>
    <w:rsid w:val="60FA2EE8"/>
    <w:rsid w:val="61054A27"/>
    <w:rsid w:val="61065441"/>
    <w:rsid w:val="610A52BC"/>
    <w:rsid w:val="611D2366"/>
    <w:rsid w:val="61421856"/>
    <w:rsid w:val="615227C4"/>
    <w:rsid w:val="615D3432"/>
    <w:rsid w:val="61654E3F"/>
    <w:rsid w:val="6182292A"/>
    <w:rsid w:val="619F7F92"/>
    <w:rsid w:val="61C62DA4"/>
    <w:rsid w:val="61F94C26"/>
    <w:rsid w:val="62000E56"/>
    <w:rsid w:val="62244584"/>
    <w:rsid w:val="624D3A02"/>
    <w:rsid w:val="624F3E49"/>
    <w:rsid w:val="62632286"/>
    <w:rsid w:val="62775066"/>
    <w:rsid w:val="62885958"/>
    <w:rsid w:val="62F40B65"/>
    <w:rsid w:val="62FC2CFE"/>
    <w:rsid w:val="63021D17"/>
    <w:rsid w:val="63024505"/>
    <w:rsid w:val="63540CCD"/>
    <w:rsid w:val="635B1DB5"/>
    <w:rsid w:val="63711FED"/>
    <w:rsid w:val="63880DDC"/>
    <w:rsid w:val="638D750D"/>
    <w:rsid w:val="63AC52D2"/>
    <w:rsid w:val="63AC6CC0"/>
    <w:rsid w:val="63E938BD"/>
    <w:rsid w:val="63EB79D7"/>
    <w:rsid w:val="64055776"/>
    <w:rsid w:val="64175397"/>
    <w:rsid w:val="64240056"/>
    <w:rsid w:val="643065F5"/>
    <w:rsid w:val="643E143A"/>
    <w:rsid w:val="648B6EEF"/>
    <w:rsid w:val="64C158BF"/>
    <w:rsid w:val="64CE2EAA"/>
    <w:rsid w:val="653C3090"/>
    <w:rsid w:val="657664D0"/>
    <w:rsid w:val="65854376"/>
    <w:rsid w:val="658767BE"/>
    <w:rsid w:val="65892531"/>
    <w:rsid w:val="66153939"/>
    <w:rsid w:val="66195831"/>
    <w:rsid w:val="662E75B1"/>
    <w:rsid w:val="66342C2E"/>
    <w:rsid w:val="663E784C"/>
    <w:rsid w:val="66551A38"/>
    <w:rsid w:val="666D1F69"/>
    <w:rsid w:val="668B6A45"/>
    <w:rsid w:val="66C01B46"/>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627681"/>
    <w:rsid w:val="69685ABF"/>
    <w:rsid w:val="6977531D"/>
    <w:rsid w:val="69B51747"/>
    <w:rsid w:val="69CC2BFF"/>
    <w:rsid w:val="69D327F2"/>
    <w:rsid w:val="69FD55B8"/>
    <w:rsid w:val="6A0B1C62"/>
    <w:rsid w:val="6A0D3F4C"/>
    <w:rsid w:val="6A2406C8"/>
    <w:rsid w:val="6A4B328A"/>
    <w:rsid w:val="6A8F2B46"/>
    <w:rsid w:val="6ADE0BD1"/>
    <w:rsid w:val="6AE96859"/>
    <w:rsid w:val="6B147746"/>
    <w:rsid w:val="6B202795"/>
    <w:rsid w:val="6B24787C"/>
    <w:rsid w:val="6B573233"/>
    <w:rsid w:val="6B5B6274"/>
    <w:rsid w:val="6B694FD4"/>
    <w:rsid w:val="6B935D53"/>
    <w:rsid w:val="6C143B3B"/>
    <w:rsid w:val="6C196F71"/>
    <w:rsid w:val="6C226FCB"/>
    <w:rsid w:val="6C31226F"/>
    <w:rsid w:val="6C390C24"/>
    <w:rsid w:val="6C552F0B"/>
    <w:rsid w:val="6C8C67B7"/>
    <w:rsid w:val="6C9D744C"/>
    <w:rsid w:val="6CFE67A8"/>
    <w:rsid w:val="6D167928"/>
    <w:rsid w:val="6D261515"/>
    <w:rsid w:val="6D26299B"/>
    <w:rsid w:val="6D4772EC"/>
    <w:rsid w:val="6D651E7B"/>
    <w:rsid w:val="6D8007DE"/>
    <w:rsid w:val="6D9078AF"/>
    <w:rsid w:val="6DAA3FEF"/>
    <w:rsid w:val="6DC0172B"/>
    <w:rsid w:val="6DCB690C"/>
    <w:rsid w:val="6DD41A5B"/>
    <w:rsid w:val="6DE710ED"/>
    <w:rsid w:val="6DF43C2E"/>
    <w:rsid w:val="6DF51CA3"/>
    <w:rsid w:val="6E1171F6"/>
    <w:rsid w:val="6E8335BD"/>
    <w:rsid w:val="6E8E12EF"/>
    <w:rsid w:val="6E9045AA"/>
    <w:rsid w:val="6E972936"/>
    <w:rsid w:val="6EA041DE"/>
    <w:rsid w:val="6ED446C5"/>
    <w:rsid w:val="6F177B94"/>
    <w:rsid w:val="6F181CCC"/>
    <w:rsid w:val="6F234F02"/>
    <w:rsid w:val="6F2A7D94"/>
    <w:rsid w:val="6F8331F1"/>
    <w:rsid w:val="6FAE1A09"/>
    <w:rsid w:val="6FD75BF8"/>
    <w:rsid w:val="707723D0"/>
    <w:rsid w:val="70BD24E6"/>
    <w:rsid w:val="70DB77AC"/>
    <w:rsid w:val="70F5661B"/>
    <w:rsid w:val="70FF0D7D"/>
    <w:rsid w:val="71360107"/>
    <w:rsid w:val="713B688E"/>
    <w:rsid w:val="7153151E"/>
    <w:rsid w:val="71D43752"/>
    <w:rsid w:val="71D7083C"/>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A02113"/>
    <w:rsid w:val="75D20F1D"/>
    <w:rsid w:val="75DA2C18"/>
    <w:rsid w:val="75F54412"/>
    <w:rsid w:val="761969BC"/>
    <w:rsid w:val="761D08E0"/>
    <w:rsid w:val="76344654"/>
    <w:rsid w:val="765D347C"/>
    <w:rsid w:val="76826699"/>
    <w:rsid w:val="76A95933"/>
    <w:rsid w:val="76C87133"/>
    <w:rsid w:val="76CD08D5"/>
    <w:rsid w:val="76DB4B92"/>
    <w:rsid w:val="76FF4961"/>
    <w:rsid w:val="77052AA4"/>
    <w:rsid w:val="77136511"/>
    <w:rsid w:val="77340A39"/>
    <w:rsid w:val="77351FD0"/>
    <w:rsid w:val="77472422"/>
    <w:rsid w:val="775445DD"/>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4B137B"/>
    <w:rsid w:val="7A534B63"/>
    <w:rsid w:val="7A615382"/>
    <w:rsid w:val="7A67303B"/>
    <w:rsid w:val="7A735F53"/>
    <w:rsid w:val="7AAB1D04"/>
    <w:rsid w:val="7ABA4368"/>
    <w:rsid w:val="7AD05746"/>
    <w:rsid w:val="7B257FFD"/>
    <w:rsid w:val="7B343476"/>
    <w:rsid w:val="7B5A2978"/>
    <w:rsid w:val="7B5A7E4C"/>
    <w:rsid w:val="7B667AF9"/>
    <w:rsid w:val="7B7468F8"/>
    <w:rsid w:val="7BEE0103"/>
    <w:rsid w:val="7BF85B9A"/>
    <w:rsid w:val="7C0A0FE4"/>
    <w:rsid w:val="7C254906"/>
    <w:rsid w:val="7C5022FF"/>
    <w:rsid w:val="7C590818"/>
    <w:rsid w:val="7C6E0182"/>
    <w:rsid w:val="7C7C10F6"/>
    <w:rsid w:val="7C853BEA"/>
    <w:rsid w:val="7C881368"/>
    <w:rsid w:val="7CE02AA2"/>
    <w:rsid w:val="7CE27788"/>
    <w:rsid w:val="7D0357E5"/>
    <w:rsid w:val="7D0C32F1"/>
    <w:rsid w:val="7D0F408D"/>
    <w:rsid w:val="7D491C6C"/>
    <w:rsid w:val="7D5429C0"/>
    <w:rsid w:val="7D6E6D43"/>
    <w:rsid w:val="7D7069D2"/>
    <w:rsid w:val="7DB57A34"/>
    <w:rsid w:val="7DE60973"/>
    <w:rsid w:val="7DEF0916"/>
    <w:rsid w:val="7DF74D88"/>
    <w:rsid w:val="7E1D1536"/>
    <w:rsid w:val="7E1E5218"/>
    <w:rsid w:val="7E9A4E1F"/>
    <w:rsid w:val="7EA7723A"/>
    <w:rsid w:val="7EF56FBB"/>
    <w:rsid w:val="7F0768EB"/>
    <w:rsid w:val="7F143BEC"/>
    <w:rsid w:val="7F715AF2"/>
    <w:rsid w:val="7F793597"/>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0"/>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next w:val="18"/>
    <w:qFormat/>
    <w:uiPriority w:val="0"/>
    <w:pPr>
      <w:widowControl/>
      <w:tabs>
        <w:tab w:val="left" w:pos="390"/>
        <w:tab w:val="left" w:pos="454"/>
      </w:tabs>
      <w:adjustRightInd/>
      <w:spacing w:after="156" w:afterLines="50"/>
      <w:ind w:left="454" w:hanging="284"/>
      <w:jc w:val="left"/>
    </w:pPr>
    <w:rPr>
      <w:kern w:val="0"/>
      <w:sz w:val="24"/>
      <w:szCs w:val="20"/>
    </w:rPr>
  </w:style>
  <w:style w:type="paragraph" w:customStyle="1" w:styleId="18">
    <w:name w:val="节标题"/>
    <w:basedOn w:val="1"/>
    <w:next w:val="1"/>
    <w:qFormat/>
    <w:uiPriority w:val="0"/>
    <w:pPr>
      <w:autoSpaceDE w:val="0"/>
      <w:autoSpaceDN w:val="0"/>
      <w:spacing w:line="289" w:lineRule="atLeast"/>
      <w:ind w:firstLine="200" w:firstLineChars="200"/>
      <w:jc w:val="center"/>
    </w:pPr>
    <w:rPr>
      <w:color w:val="000000"/>
      <w:kern w:val="0"/>
      <w:sz w:val="28"/>
      <w:szCs w:val="28"/>
    </w:rPr>
  </w:style>
  <w:style w:type="paragraph" w:styleId="19">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4"/>
    <w:qFormat/>
    <w:uiPriority w:val="0"/>
    <w:rPr>
      <w:rFonts w:ascii="宋体" w:hAnsi="Courier New" w:cs="Arial"/>
      <w:snapToGrid w:val="0"/>
      <w:szCs w:val="21"/>
    </w:r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next w:val="2"/>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9"/>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5"/>
    <w:qFormat/>
    <w:uiPriority w:val="0"/>
    <w:rPr>
      <w:b/>
      <w:bCs/>
    </w:rPr>
  </w:style>
  <w:style w:type="paragraph" w:styleId="62">
    <w:name w:val="Body Text First Indent 2"/>
    <w:basedOn w:val="27"/>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9"/>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80"/>
    <w:link w:val="256"/>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3"/>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9"/>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2"/>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paragraph" w:customStyle="1" w:styleId="963">
    <w:name w:val="[Normal]"/>
    <w:qFormat/>
    <w:uiPriority w:val="0"/>
    <w:rPr>
      <w:rFonts w:ascii="宋体" w:hAnsi="宋体" w:eastAsia="宋体" w:cs="Times New Roman"/>
      <w:sz w:val="24"/>
      <w:lang w:val="zh-CN" w:eastAsia="zh-CN" w:bidi="ar-SA"/>
    </w:rPr>
  </w:style>
  <w:style w:type="character" w:customStyle="1" w:styleId="964">
    <w:name w:val="font101"/>
    <w:basedOn w:val="70"/>
    <w:qFormat/>
    <w:uiPriority w:val="0"/>
    <w:rPr>
      <w:rFonts w:hint="eastAsia" w:ascii="宋体" w:hAnsi="宋体" w:eastAsia="宋体" w:cs="宋体"/>
      <w:color w:val="FF0000"/>
      <w:sz w:val="20"/>
      <w:szCs w:val="20"/>
      <w:u w:val="none"/>
    </w:rPr>
  </w:style>
  <w:style w:type="paragraph" w:customStyle="1" w:styleId="965">
    <w:name w:val="封面编号"/>
    <w:basedOn w:val="1"/>
    <w:qFormat/>
    <w:uiPriority w:val="0"/>
    <w:pPr>
      <w:spacing w:line="360" w:lineRule="auto"/>
      <w:jc w:val="center"/>
    </w:pPr>
    <w:rPr>
      <w:rFonts w:ascii="黑体" w:hAnsi="宋体" w:eastAsia="黑体" w:cs="宋体"/>
      <w:b/>
      <w:bCs/>
      <w:sz w:val="38"/>
      <w:szCs w:val="20"/>
    </w:rPr>
  </w:style>
  <w:style w:type="paragraph" w:customStyle="1" w:styleId="966">
    <w:name w:val="宋11"/>
    <w:basedOn w:val="59"/>
    <w:qFormat/>
    <w:uiPriority w:val="0"/>
    <w:pPr>
      <w:widowControl/>
      <w:spacing w:before="75" w:beforeAutospacing="0" w:after="75" w:afterAutospacing="0"/>
      <w:jc w:val="center"/>
    </w:pPr>
    <w:rPr>
      <w:rFonts w:ascii="宋体" w:hAnsi="宋体"/>
      <w:sz w:val="22"/>
      <w:szCs w:val="22"/>
    </w:rPr>
  </w:style>
  <w:style w:type="paragraph" w:customStyle="1" w:styleId="9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19217</Words>
  <Characters>20370</Characters>
  <Lines>293</Lines>
  <Paragraphs>82</Paragraphs>
  <TotalTime>10</TotalTime>
  <ScaleCrop>false</ScaleCrop>
  <LinksUpToDate>false</LinksUpToDate>
  <CharactersWithSpaces>23769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莫小饼。</cp:lastModifiedBy>
  <cp:lastPrinted>2021-12-27T03:06:00Z</cp:lastPrinted>
  <dcterms:modified xsi:type="dcterms:W3CDTF">2023-01-09T06:34:47Z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1222299F2B3249AF9125BA862EFA061D</vt:lpwstr>
  </property>
  <property fmtid="{D5CDD505-2E9C-101B-9397-08002B2CF9AE}" pid="5" name="commondata">
    <vt:lpwstr>eyJoZGlkIjoiMzdkYTNjODAzOWEyZTBjZWI2OWE0Y2U2MTNhOGNiNmUifQ==</vt:lpwstr>
  </property>
</Properties>
</file>