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sz w:val="36"/>
          <w:szCs w:val="36"/>
        </w:rPr>
      </w:pPr>
      <w:r>
        <w:rPr>
          <w:rFonts w:hint="eastAsia" w:ascii="仿宋" w:hAnsi="仿宋" w:eastAsia="仿宋" w:cs="仿宋_GB2312"/>
          <w:sz w:val="36"/>
          <w:szCs w:val="36"/>
        </w:rPr>
        <w:t xml:space="preserve"> </w:t>
      </w: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富春江-新安江风景名胜区总体规划修编</w:t>
      </w: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项目招标文件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pPr>
        <w:snapToGrid w:val="0"/>
        <w:spacing w:line="360" w:lineRule="auto"/>
        <w:jc w:val="center"/>
        <w:rPr>
          <w:rFonts w:hint="eastAsia" w:ascii="仿宋" w:hAnsi="仿宋" w:eastAsia="仿宋" w:cs="仿宋_GB2312"/>
          <w:sz w:val="30"/>
          <w:szCs w:val="30"/>
          <w:highlight w:val="none"/>
          <w:lang w:eastAsia="zh-CN"/>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宋体"/>
          <w:sz w:val="28"/>
          <w:szCs w:val="28"/>
          <w:highlight w:val="none"/>
          <w:lang w:eastAsia="zh-CN"/>
        </w:rPr>
        <w:t>ZJHX-20220419</w:t>
      </w:r>
    </w:p>
    <w:p>
      <w:pPr>
        <w:adjustRightInd/>
        <w:spacing w:line="360" w:lineRule="auto"/>
        <w:rPr>
          <w:rFonts w:ascii="仿宋" w:hAnsi="仿宋" w:eastAsia="仿宋" w:cs="仿宋_GB2312"/>
          <w:sz w:val="28"/>
          <w:szCs w:val="20"/>
          <w:highlight w:val="none"/>
        </w:rPr>
      </w:pPr>
    </w:p>
    <w:p>
      <w:pPr>
        <w:spacing w:line="360" w:lineRule="auto"/>
        <w:jc w:val="center"/>
        <w:rPr>
          <w:rFonts w:ascii="仿宋" w:hAnsi="仿宋" w:eastAsia="仿宋" w:cs="仿宋_GB2312"/>
          <w:b/>
          <w:sz w:val="44"/>
          <w:szCs w:val="44"/>
          <w:highlight w:val="none"/>
        </w:rPr>
      </w:pPr>
    </w:p>
    <w:p>
      <w:pPr>
        <w:spacing w:line="360" w:lineRule="auto"/>
        <w:jc w:val="center"/>
        <w:rPr>
          <w:rFonts w:ascii="仿宋" w:hAnsi="仿宋" w:eastAsia="仿宋" w:cs="仿宋_GB2312"/>
          <w:sz w:val="24"/>
          <w:highlight w:val="none"/>
        </w:rPr>
      </w:pPr>
    </w:p>
    <w:p>
      <w:pPr>
        <w:pStyle w:val="5"/>
        <w:rPr>
          <w:rFonts w:ascii="仿宋" w:eastAsia="仿宋"/>
          <w:highlight w:val="none"/>
          <w:lang w:val="en-US"/>
        </w:rPr>
      </w:pPr>
    </w:p>
    <w:p>
      <w:pPr>
        <w:rPr>
          <w:rFonts w:ascii="仿宋" w:hAnsi="仿宋" w:eastAsia="仿宋"/>
          <w:highlight w:val="none"/>
        </w:rPr>
      </w:pPr>
    </w:p>
    <w:p>
      <w:pPr>
        <w:pStyle w:val="5"/>
        <w:rPr>
          <w:rFonts w:ascii="仿宋" w:eastAsia="仿宋"/>
          <w:highlight w:val="none"/>
          <w:lang w:val="en-US"/>
        </w:rPr>
      </w:pPr>
    </w:p>
    <w:p>
      <w:pPr>
        <w:rPr>
          <w:rFonts w:ascii="仿宋" w:eastAsia="仿宋"/>
          <w:highlight w:val="none"/>
        </w:rPr>
      </w:pPr>
    </w:p>
    <w:p>
      <w:pPr>
        <w:pStyle w:val="5"/>
        <w:rPr>
          <w:rFonts w:ascii="仿宋" w:eastAsia="仿宋"/>
          <w:highlight w:val="none"/>
          <w:lang w:val="en-US"/>
        </w:rPr>
      </w:pPr>
    </w:p>
    <w:p>
      <w:pPr>
        <w:rPr>
          <w:rFonts w:ascii="仿宋" w:eastAsia="仿宋"/>
          <w:highlight w:val="none"/>
        </w:rPr>
      </w:pPr>
    </w:p>
    <w:p>
      <w:pPr>
        <w:pStyle w:val="5"/>
        <w:rPr>
          <w:rFonts w:ascii="仿宋" w:eastAsia="仿宋"/>
          <w:highlight w:val="none"/>
          <w:lang w:val="en-US"/>
        </w:rPr>
      </w:pPr>
    </w:p>
    <w:p>
      <w:pPr>
        <w:rPr>
          <w:highlight w:val="none"/>
        </w:rPr>
      </w:pPr>
    </w:p>
    <w:p>
      <w:pPr>
        <w:snapToGrid w:val="0"/>
        <w:spacing w:line="360" w:lineRule="auto"/>
        <w:jc w:val="center"/>
        <w:rPr>
          <w:rFonts w:ascii="仿宋" w:hAnsi="仿宋" w:eastAsia="仿宋" w:cs="宋体"/>
          <w:sz w:val="32"/>
          <w:szCs w:val="32"/>
          <w:highlight w:val="none"/>
        </w:rPr>
      </w:pPr>
    </w:p>
    <w:p>
      <w:pPr>
        <w:snapToGrid w:val="0"/>
        <w:spacing w:line="360" w:lineRule="auto"/>
        <w:jc w:val="center"/>
        <w:rPr>
          <w:rFonts w:ascii="仿宋" w:hAnsi="仿宋" w:eastAsia="仿宋" w:cs="仿宋_GB2312"/>
          <w:sz w:val="32"/>
          <w:szCs w:val="32"/>
          <w:highlight w:val="none"/>
        </w:rPr>
      </w:pPr>
      <w:r>
        <w:rPr>
          <w:rFonts w:hint="eastAsia" w:ascii="仿宋" w:hAnsi="仿宋" w:eastAsia="仿宋" w:cs="宋体"/>
          <w:sz w:val="32"/>
          <w:szCs w:val="32"/>
          <w:highlight w:val="none"/>
        </w:rPr>
        <w:t>浙江省林业局</w:t>
      </w:r>
    </w:p>
    <w:p>
      <w:pPr>
        <w:spacing w:line="360" w:lineRule="auto"/>
        <w:jc w:val="center"/>
        <w:rPr>
          <w:rFonts w:ascii="仿宋" w:hAnsi="仿宋" w:eastAsia="仿宋" w:cs="仿宋_GB2312"/>
          <w:bCs/>
          <w:sz w:val="32"/>
          <w:szCs w:val="32"/>
          <w:highlight w:val="none"/>
        </w:rPr>
      </w:pPr>
      <w:r>
        <w:rPr>
          <w:rFonts w:hint="eastAsia" w:ascii="仿宋" w:hAnsi="仿宋" w:eastAsia="仿宋" w:cs="宋体"/>
          <w:sz w:val="32"/>
          <w:szCs w:val="32"/>
          <w:highlight w:val="none"/>
        </w:rPr>
        <w:t>浙江华夏工程管理有限公司</w:t>
      </w:r>
    </w:p>
    <w:p>
      <w:pPr>
        <w:snapToGrid w:val="0"/>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二〇二二年十</w:t>
      </w:r>
      <w:r>
        <w:rPr>
          <w:rFonts w:hint="eastAsia" w:ascii="仿宋" w:hAnsi="仿宋" w:eastAsia="仿宋" w:cs="宋体"/>
          <w:sz w:val="32"/>
          <w:szCs w:val="32"/>
          <w:highlight w:val="none"/>
          <w:lang w:val="en-US" w:eastAsia="zh-CN"/>
        </w:rPr>
        <w:t>一</w:t>
      </w:r>
      <w:r>
        <w:rPr>
          <w:rFonts w:hint="eastAsia" w:ascii="仿宋" w:hAnsi="仿宋" w:eastAsia="仿宋" w:cs="宋体"/>
          <w:sz w:val="32"/>
          <w:szCs w:val="32"/>
          <w:highlight w:val="none"/>
        </w:rPr>
        <w:t>月</w:t>
      </w:r>
    </w:p>
    <w:p>
      <w:pPr>
        <w:spacing w:line="360" w:lineRule="auto"/>
        <w:jc w:val="center"/>
        <w:rPr>
          <w:rFonts w:ascii="仿宋" w:hAnsi="仿宋" w:eastAsia="仿宋" w:cs="仿宋_GB2312"/>
          <w:sz w:val="24"/>
          <w:highlight w:val="none"/>
        </w:rPr>
      </w:pPr>
      <w:r>
        <w:rPr>
          <w:rFonts w:ascii="仿宋" w:hAnsi="仿宋" w:eastAsia="仿宋" w:cs="仿宋_GB2312"/>
          <w:sz w:val="24"/>
          <w:highlight w:val="none"/>
        </w:rPr>
        <w:br w:type="page"/>
      </w:r>
      <w:bookmarkStart w:id="0" w:name="_Hlt67893495"/>
      <w:bookmarkEnd w:id="0"/>
    </w:p>
    <w:p>
      <w:pPr>
        <w:spacing w:line="360" w:lineRule="auto"/>
        <w:jc w:val="center"/>
        <w:rPr>
          <w:rFonts w:ascii="仿宋" w:hAnsi="仿宋" w:eastAsia="仿宋" w:cs="仿宋_GB2312"/>
          <w:sz w:val="24"/>
          <w:highlight w:val="none"/>
        </w:rPr>
      </w:pPr>
    </w:p>
    <w:p>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目录</w:t>
      </w:r>
    </w:p>
    <w:p>
      <w:pPr>
        <w:spacing w:line="360" w:lineRule="auto"/>
        <w:rPr>
          <w:rFonts w:ascii="仿宋" w:hAnsi="仿宋" w:eastAsia="仿宋" w:cs="仿宋_GB2312"/>
          <w:sz w:val="32"/>
          <w:szCs w:val="32"/>
          <w:highlight w:val="none"/>
        </w:rPr>
      </w:pPr>
    </w:p>
    <w:p>
      <w:pPr>
        <w:spacing w:line="360" w:lineRule="auto"/>
        <w:rPr>
          <w:rFonts w:ascii="仿宋" w:hAnsi="仿宋" w:eastAsia="仿宋" w:cs="仿宋_GB2312"/>
          <w:sz w:val="32"/>
          <w:szCs w:val="32"/>
          <w:highlight w:val="none"/>
        </w:rPr>
      </w:pP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    招标公告</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    投标人须知</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    采购需求</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    评标办法</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    拟签订的合同文本</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    应提交的有关格式范例</w:t>
      </w:r>
    </w:p>
    <w:p>
      <w:pPr>
        <w:spacing w:line="360" w:lineRule="auto"/>
        <w:ind w:firstLine="549" w:firstLineChars="229"/>
        <w:rPr>
          <w:rFonts w:ascii="仿宋" w:hAnsi="仿宋" w:eastAsia="仿宋" w:cs="仿宋_GB2312"/>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p>
      <w:pPr>
        <w:adjustRightInd/>
        <w:spacing w:line="360" w:lineRule="auto"/>
        <w:jc w:val="center"/>
        <w:outlineLvl w:val="0"/>
        <w:rPr>
          <w:rFonts w:ascii="仿宋" w:hAnsi="仿宋" w:eastAsia="仿宋" w:cs="仿宋_GB2312"/>
          <w:b/>
          <w:sz w:val="36"/>
          <w:szCs w:val="20"/>
          <w:highlight w:val="none"/>
        </w:rPr>
      </w:pPr>
      <w:bookmarkStart w:id="3" w:name="第一部分"/>
      <w:r>
        <w:rPr>
          <w:rFonts w:ascii="仿宋" w:hAnsi="仿宋" w:eastAsia="仿宋" w:cs="仿宋_GB2312"/>
          <w:b/>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highlight w:val="none"/>
        </w:rPr>
      </w:pPr>
      <w:r>
        <w:rPr>
          <w:rFonts w:hint="eastAsia" w:ascii="仿宋" w:hAnsi="仿宋" w:eastAsia="仿宋"/>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highlight w:val="none"/>
          <w:u w:val="single"/>
        </w:rPr>
      </w:pPr>
      <w:r>
        <w:rPr>
          <w:rFonts w:hint="eastAsia" w:ascii="仿宋" w:hAnsi="仿宋" w:eastAsia="仿宋"/>
          <w:sz w:val="24"/>
          <w:highlight w:val="none"/>
        </w:rPr>
        <w:t>富春江-新安江风景名胜区总体规划修编项目招标项目的潜在投标人应在政采云平台（</w:t>
      </w:r>
      <w:r>
        <w:rPr>
          <w:highlight w:val="none"/>
        </w:rPr>
        <w:fldChar w:fldCharType="begin"/>
      </w:r>
      <w:r>
        <w:rPr>
          <w:highlight w:val="none"/>
        </w:rPr>
        <w:instrText xml:space="preserve"> HYPERLINK "https://www.zcygov.cn/）获取（下载）招标文件，并于2022年%20%20月%20%20日09:00" </w:instrText>
      </w:r>
      <w:r>
        <w:rPr>
          <w:highlight w:val="none"/>
        </w:rPr>
        <w:fldChar w:fldCharType="separate"/>
      </w:r>
      <w:r>
        <w:rPr>
          <w:rStyle w:val="76"/>
          <w:rFonts w:ascii="仿宋" w:hAnsi="仿宋" w:eastAsia="仿宋" w:cs="Times New Roman"/>
          <w:snapToGrid/>
          <w:kern w:val="2"/>
          <w:sz w:val="24"/>
          <w:szCs w:val="24"/>
          <w:highlight w:val="none"/>
        </w:rPr>
        <w:t>https://www.zcygov.cn/）获取（下载）招标文件，并于</w:t>
      </w:r>
      <w:r>
        <w:rPr>
          <w:rStyle w:val="76"/>
          <w:rFonts w:hint="eastAsia" w:ascii="仿宋" w:hAnsi="仿宋" w:eastAsia="仿宋" w:cs="Times New Roman"/>
          <w:snapToGrid/>
          <w:kern w:val="2"/>
          <w:sz w:val="24"/>
          <w:szCs w:val="24"/>
          <w:highlight w:val="none"/>
        </w:rPr>
        <w:t>2022</w:t>
      </w:r>
      <w:r>
        <w:rPr>
          <w:rStyle w:val="76"/>
          <w:rFonts w:ascii="仿宋" w:hAnsi="仿宋" w:eastAsia="仿宋" w:cs="Times New Roman"/>
          <w:snapToGrid/>
          <w:kern w:val="2"/>
          <w:sz w:val="24"/>
          <w:szCs w:val="24"/>
          <w:highlight w:val="none"/>
        </w:rPr>
        <w:t>年</w:t>
      </w:r>
      <w:r>
        <w:rPr>
          <w:rStyle w:val="76"/>
          <w:rFonts w:hint="eastAsia" w:ascii="仿宋" w:hAnsi="仿宋" w:eastAsia="仿宋" w:cs="Times New Roman"/>
          <w:snapToGrid/>
          <w:kern w:val="2"/>
          <w:sz w:val="24"/>
          <w:szCs w:val="24"/>
          <w:highlight w:val="none"/>
        </w:rPr>
        <w:t>11月</w:t>
      </w:r>
      <w:r>
        <w:rPr>
          <w:rStyle w:val="76"/>
          <w:rFonts w:hint="eastAsia" w:ascii="仿宋" w:hAnsi="仿宋" w:eastAsia="仿宋" w:cs="Times New Roman"/>
          <w:snapToGrid/>
          <w:kern w:val="2"/>
          <w:sz w:val="24"/>
          <w:szCs w:val="24"/>
          <w:highlight w:val="none"/>
          <w:lang w:val="en-US" w:eastAsia="zh-CN"/>
        </w:rPr>
        <w:t>29</w:t>
      </w:r>
      <w:r>
        <w:rPr>
          <w:rStyle w:val="76"/>
          <w:rFonts w:hint="eastAsia" w:ascii="仿宋" w:hAnsi="仿宋" w:eastAsia="仿宋" w:cs="Times New Roman"/>
          <w:snapToGrid/>
          <w:kern w:val="2"/>
          <w:sz w:val="24"/>
          <w:szCs w:val="24"/>
          <w:highlight w:val="none"/>
        </w:rPr>
        <w:t>日14:30</w:t>
      </w:r>
      <w:r>
        <w:rPr>
          <w:rStyle w:val="76"/>
          <w:rFonts w:hint="eastAsia" w:ascii="仿宋" w:hAnsi="仿宋" w:eastAsia="仿宋" w:cs="Times New Roman"/>
          <w:snapToGrid/>
          <w:kern w:val="2"/>
          <w:sz w:val="24"/>
          <w:szCs w:val="24"/>
          <w:highlight w:val="none"/>
        </w:rPr>
        <w:fldChar w:fldCharType="end"/>
      </w:r>
      <w:r>
        <w:rPr>
          <w:rFonts w:hint="eastAsia" w:ascii="仿宋" w:hAnsi="仿宋" w:eastAsia="仿宋"/>
          <w:bCs/>
          <w:sz w:val="24"/>
          <w:highlight w:val="none"/>
        </w:rPr>
        <w:t>（北京时间）前</w:t>
      </w:r>
      <w:r>
        <w:rPr>
          <w:rFonts w:hint="eastAsia" w:ascii="仿宋" w:hAnsi="仿宋" w:eastAsia="仿宋"/>
          <w:sz w:val="24"/>
          <w:highlight w:val="none"/>
        </w:rPr>
        <w:t>递交（上传）投标文件。</w:t>
      </w:r>
    </w:p>
    <w:p>
      <w:pPr>
        <w:snapToGrid w:val="0"/>
        <w:spacing w:line="360" w:lineRule="auto"/>
        <w:rPr>
          <w:rFonts w:ascii="仿宋" w:hAnsi="仿宋" w:eastAsia="仿宋"/>
          <w:b/>
          <w:sz w:val="24"/>
          <w:highlight w:val="none"/>
        </w:rPr>
      </w:pPr>
      <w:r>
        <w:rPr>
          <w:rFonts w:hint="eastAsia" w:ascii="仿宋" w:hAnsi="仿宋" w:eastAsia="仿宋"/>
          <w:b/>
          <w:sz w:val="24"/>
          <w:highlight w:val="none"/>
        </w:rPr>
        <w:t>一、项目基本情况</w:t>
      </w:r>
    </w:p>
    <w:p>
      <w:pPr>
        <w:snapToGrid w:val="0"/>
        <w:spacing w:line="360" w:lineRule="auto"/>
        <w:ind w:firstLine="480" w:firstLineChars="200"/>
        <w:rPr>
          <w:rFonts w:hint="eastAsia" w:ascii="仿宋" w:hAnsi="仿宋" w:eastAsia="仿宋"/>
          <w:sz w:val="24"/>
          <w:highlight w:val="none"/>
          <w:lang w:eastAsia="zh-CN"/>
        </w:rPr>
      </w:pPr>
      <w:r>
        <w:rPr>
          <w:rFonts w:hint="eastAsia" w:ascii="仿宋" w:hAnsi="仿宋" w:eastAsia="仿宋"/>
          <w:sz w:val="24"/>
          <w:highlight w:val="none"/>
        </w:rPr>
        <w:t>项目编号：</w:t>
      </w:r>
      <w:r>
        <w:rPr>
          <w:rFonts w:hint="eastAsia" w:ascii="仿宋" w:hAnsi="仿宋" w:eastAsia="仿宋"/>
          <w:sz w:val="24"/>
          <w:highlight w:val="none"/>
          <w:lang w:eastAsia="zh-CN"/>
        </w:rPr>
        <w:t>ZJHX-20220419</w:t>
      </w:r>
    </w:p>
    <w:p>
      <w:pPr>
        <w:snapToGrid w:val="0"/>
        <w:spacing w:line="360" w:lineRule="auto"/>
        <w:ind w:firstLine="465"/>
        <w:rPr>
          <w:rFonts w:ascii="仿宋" w:hAnsi="仿宋" w:eastAsia="仿宋"/>
          <w:sz w:val="24"/>
          <w:highlight w:val="none"/>
        </w:rPr>
      </w:pPr>
      <w:r>
        <w:rPr>
          <w:rFonts w:ascii="仿宋" w:hAnsi="仿宋" w:eastAsia="仿宋"/>
          <w:sz w:val="24"/>
          <w:highlight w:val="none"/>
        </w:rPr>
        <w:t>项目名称</w:t>
      </w:r>
      <w:r>
        <w:rPr>
          <w:rFonts w:hint="eastAsia" w:ascii="仿宋" w:hAnsi="仿宋" w:eastAsia="仿宋"/>
          <w:sz w:val="24"/>
          <w:highlight w:val="none"/>
        </w:rPr>
        <w:t>：富春江-新安江风景名胜区总体规划修编项目</w:t>
      </w:r>
    </w:p>
    <w:p>
      <w:pPr>
        <w:snapToGrid w:val="0"/>
        <w:spacing w:line="360" w:lineRule="auto"/>
        <w:ind w:firstLine="465"/>
        <w:rPr>
          <w:rFonts w:ascii="仿宋" w:hAnsi="仿宋" w:eastAsia="仿宋"/>
          <w:sz w:val="24"/>
          <w:highlight w:val="none"/>
        </w:rPr>
      </w:pPr>
      <w:r>
        <w:rPr>
          <w:rFonts w:ascii="仿宋" w:hAnsi="仿宋" w:eastAsia="仿宋"/>
          <w:sz w:val="24"/>
          <w:highlight w:val="none"/>
        </w:rPr>
        <w:t>预算金额（元）：</w:t>
      </w:r>
      <w:r>
        <w:rPr>
          <w:rFonts w:hint="eastAsia" w:ascii="仿宋" w:hAnsi="仿宋" w:eastAsia="仿宋"/>
          <w:sz w:val="24"/>
          <w:highlight w:val="none"/>
        </w:rPr>
        <w:t>7700000</w:t>
      </w:r>
    </w:p>
    <w:p>
      <w:pPr>
        <w:snapToGrid w:val="0"/>
        <w:spacing w:line="360" w:lineRule="auto"/>
        <w:ind w:firstLine="480"/>
        <w:rPr>
          <w:rFonts w:ascii="仿宋" w:hAnsi="仿宋" w:eastAsia="仿宋"/>
          <w:sz w:val="24"/>
          <w:highlight w:val="none"/>
        </w:rPr>
      </w:pPr>
      <w:r>
        <w:rPr>
          <w:rFonts w:hint="eastAsia" w:ascii="仿宋" w:hAnsi="仿宋" w:eastAsia="仿宋"/>
          <w:sz w:val="24"/>
          <w:highlight w:val="none"/>
        </w:rPr>
        <w:t>最高限价</w:t>
      </w:r>
      <w:r>
        <w:rPr>
          <w:rFonts w:ascii="仿宋" w:hAnsi="仿宋" w:eastAsia="仿宋"/>
          <w:sz w:val="24"/>
          <w:highlight w:val="none"/>
        </w:rPr>
        <w:t>（元）</w:t>
      </w:r>
      <w:r>
        <w:rPr>
          <w:rFonts w:hint="eastAsia" w:ascii="仿宋" w:hAnsi="仿宋" w:eastAsia="仿宋"/>
          <w:sz w:val="24"/>
          <w:highlight w:val="none"/>
        </w:rPr>
        <w:t>：7700000</w:t>
      </w:r>
    </w:p>
    <w:p>
      <w:pPr>
        <w:pStyle w:val="7"/>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采购需求：</w:t>
      </w:r>
    </w:p>
    <w:p>
      <w:pPr>
        <w:pStyle w:val="7"/>
        <w:spacing w:line="360" w:lineRule="auto"/>
        <w:ind w:firstLine="480"/>
        <w:rPr>
          <w:rFonts w:ascii="仿宋" w:hAnsi="仿宋" w:eastAsia="仿宋"/>
          <w:color w:val="auto"/>
          <w:sz w:val="24"/>
          <w:highlight w:val="none"/>
        </w:rPr>
      </w:pPr>
    </w:p>
    <w:p>
      <w:pPr>
        <w:pStyle w:val="7"/>
        <w:spacing w:line="360" w:lineRule="auto"/>
        <w:ind w:firstLine="480"/>
        <w:rPr>
          <w:rFonts w:ascii="仿宋" w:hAnsi="仿宋" w:eastAsia="仿宋"/>
          <w:snapToGrid/>
          <w:color w:val="auto"/>
          <w:kern w:val="2"/>
          <w:sz w:val="24"/>
          <w:szCs w:val="24"/>
          <w:highlight w:val="none"/>
        </w:rPr>
      </w:pPr>
      <w:r>
        <w:rPr>
          <w:rFonts w:ascii="仿宋" w:hAnsi="仿宋" w:eastAsia="仿宋"/>
          <w:snapToGrid/>
          <w:color w:val="auto"/>
          <w:kern w:val="2"/>
          <w:sz w:val="24"/>
          <w:szCs w:val="24"/>
          <w:highlight w:val="none"/>
        </w:rPr>
        <w:t>标项名称</w:t>
      </w:r>
      <w:r>
        <w:rPr>
          <w:rFonts w:hint="eastAsia" w:ascii="仿宋" w:hAnsi="仿宋" w:eastAsia="仿宋"/>
          <w:snapToGrid/>
          <w:color w:val="auto"/>
          <w:kern w:val="2"/>
          <w:sz w:val="24"/>
          <w:szCs w:val="24"/>
          <w:highlight w:val="none"/>
        </w:rPr>
        <w:t>：</w:t>
      </w:r>
      <w:r>
        <w:rPr>
          <w:rFonts w:hint="eastAsia" w:ascii="仿宋" w:hAnsi="仿宋" w:eastAsia="仿宋"/>
          <w:sz w:val="24"/>
          <w:highlight w:val="none"/>
        </w:rPr>
        <w:t>富春江-新安江风景名胜区总体规划修编项目</w:t>
      </w:r>
    </w:p>
    <w:p>
      <w:pPr>
        <w:pStyle w:val="7"/>
        <w:spacing w:line="360" w:lineRule="auto"/>
        <w:ind w:firstLine="480"/>
        <w:rPr>
          <w:rFonts w:ascii="仿宋" w:hAnsi="仿宋" w:eastAsia="仿宋"/>
          <w:snapToGrid/>
          <w:color w:val="auto"/>
          <w:kern w:val="2"/>
          <w:sz w:val="24"/>
          <w:szCs w:val="24"/>
          <w:highlight w:val="none"/>
        </w:rPr>
      </w:pPr>
      <w:r>
        <w:rPr>
          <w:rFonts w:ascii="仿宋" w:hAnsi="仿宋" w:eastAsia="仿宋"/>
          <w:snapToGrid/>
          <w:color w:val="auto"/>
          <w:kern w:val="2"/>
          <w:sz w:val="24"/>
          <w:szCs w:val="24"/>
          <w:highlight w:val="none"/>
        </w:rPr>
        <w:t>数量:</w:t>
      </w:r>
      <w:r>
        <w:rPr>
          <w:rFonts w:hint="eastAsia" w:ascii="仿宋" w:hAnsi="仿宋" w:eastAsia="仿宋"/>
          <w:snapToGrid/>
          <w:color w:val="auto"/>
          <w:kern w:val="2"/>
          <w:sz w:val="24"/>
          <w:szCs w:val="24"/>
          <w:highlight w:val="none"/>
        </w:rPr>
        <w:t>1</w:t>
      </w:r>
    </w:p>
    <w:p>
      <w:pPr>
        <w:pStyle w:val="7"/>
        <w:spacing w:line="360" w:lineRule="auto"/>
        <w:ind w:firstLine="480"/>
        <w:rPr>
          <w:rFonts w:ascii="仿宋" w:hAnsi="仿宋" w:eastAsia="仿宋"/>
          <w:snapToGrid/>
          <w:color w:val="auto"/>
          <w:kern w:val="2"/>
          <w:sz w:val="24"/>
          <w:szCs w:val="24"/>
          <w:highlight w:val="none"/>
        </w:rPr>
      </w:pPr>
      <w:r>
        <w:rPr>
          <w:rFonts w:ascii="仿宋" w:hAnsi="仿宋" w:eastAsia="仿宋"/>
          <w:snapToGrid/>
          <w:color w:val="auto"/>
          <w:kern w:val="2"/>
          <w:sz w:val="24"/>
          <w:szCs w:val="24"/>
          <w:highlight w:val="none"/>
        </w:rPr>
        <w:t>预算金额（元）:</w:t>
      </w:r>
      <w:r>
        <w:rPr>
          <w:rFonts w:hint="eastAsia" w:ascii="仿宋" w:hAnsi="仿宋" w:eastAsia="仿宋"/>
          <w:snapToGrid/>
          <w:color w:val="auto"/>
          <w:kern w:val="2"/>
          <w:sz w:val="24"/>
          <w:szCs w:val="24"/>
          <w:highlight w:val="none"/>
        </w:rPr>
        <w:t>7700000</w:t>
      </w:r>
    </w:p>
    <w:p>
      <w:pPr>
        <w:pStyle w:val="7"/>
        <w:spacing w:line="360" w:lineRule="auto"/>
        <w:ind w:firstLine="480"/>
        <w:rPr>
          <w:rFonts w:ascii="仿宋" w:hAnsi="仿宋" w:eastAsia="仿宋"/>
          <w:snapToGrid/>
          <w:color w:val="auto"/>
          <w:kern w:val="2"/>
          <w:sz w:val="24"/>
          <w:szCs w:val="24"/>
          <w:highlight w:val="none"/>
        </w:rPr>
      </w:pPr>
      <w:r>
        <w:rPr>
          <w:rFonts w:ascii="仿宋" w:hAnsi="仿宋" w:eastAsia="仿宋"/>
          <w:snapToGrid/>
          <w:color w:val="auto"/>
          <w:kern w:val="2"/>
          <w:sz w:val="24"/>
          <w:szCs w:val="24"/>
          <w:highlight w:val="none"/>
        </w:rPr>
        <w:t>简要规格描述或项目基本概况介绍、用途：详见采购文件</w:t>
      </w:r>
    </w:p>
    <w:p>
      <w:pPr>
        <w:pStyle w:val="7"/>
        <w:spacing w:line="360" w:lineRule="auto"/>
        <w:ind w:firstLine="480"/>
        <w:rPr>
          <w:rFonts w:ascii="仿宋" w:hAnsi="仿宋" w:eastAsia="仿宋"/>
          <w:color w:val="auto"/>
          <w:sz w:val="24"/>
          <w:highlight w:val="none"/>
        </w:rPr>
      </w:pPr>
      <w:r>
        <w:rPr>
          <w:rFonts w:ascii="仿宋" w:hAnsi="仿宋" w:eastAsia="仿宋"/>
          <w:snapToGrid/>
          <w:color w:val="auto"/>
          <w:kern w:val="2"/>
          <w:sz w:val="24"/>
          <w:szCs w:val="24"/>
          <w:highlight w:val="none"/>
        </w:rPr>
        <w:t>备注：</w:t>
      </w:r>
      <w:r>
        <w:rPr>
          <w:rFonts w:ascii="Calibri" w:hAnsi="Calibri" w:eastAsia="仿宋" w:cs="Calibri"/>
          <w:snapToGrid/>
          <w:color w:val="auto"/>
          <w:kern w:val="2"/>
          <w:sz w:val="24"/>
          <w:szCs w:val="24"/>
          <w:highlight w:val="none"/>
        </w:rPr>
        <w:t> </w:t>
      </w:r>
    </w:p>
    <w:p>
      <w:pPr>
        <w:pStyle w:val="128"/>
        <w:snapToGrid w:val="0"/>
        <w:spacing w:before="0"/>
        <w:ind w:firstLine="0" w:firstLineChars="0"/>
        <w:outlineLvl w:val="2"/>
        <w:rPr>
          <w:rFonts w:ascii="仿宋" w:hAnsi="仿宋" w:eastAsia="仿宋"/>
          <w:highlight w:val="none"/>
        </w:rPr>
      </w:pPr>
    </w:p>
    <w:p>
      <w:pPr>
        <w:pStyle w:val="7"/>
        <w:spacing w:line="360" w:lineRule="auto"/>
        <w:ind w:firstLine="480"/>
        <w:rPr>
          <w:rFonts w:ascii="仿宋" w:hAnsi="仿宋" w:eastAsia="仿宋"/>
          <w:snapToGrid/>
          <w:color w:val="auto"/>
          <w:kern w:val="2"/>
          <w:sz w:val="24"/>
          <w:szCs w:val="24"/>
          <w:highlight w:val="none"/>
        </w:rPr>
      </w:pPr>
      <w:r>
        <w:rPr>
          <w:rFonts w:ascii="仿宋" w:hAnsi="仿宋" w:eastAsia="仿宋"/>
          <w:snapToGrid/>
          <w:color w:val="auto"/>
          <w:kern w:val="2"/>
          <w:sz w:val="24"/>
          <w:szCs w:val="24"/>
          <w:highlight w:val="none"/>
        </w:rPr>
        <w:t>合同履约期限：标项 1，</w:t>
      </w:r>
      <w:r>
        <w:rPr>
          <w:rFonts w:hint="eastAsia" w:ascii="仿宋" w:hAnsi="仿宋" w:eastAsia="仿宋"/>
          <w:snapToGrid/>
          <w:color w:val="auto"/>
          <w:kern w:val="2"/>
          <w:sz w:val="24"/>
          <w:szCs w:val="24"/>
          <w:highlight w:val="none"/>
        </w:rPr>
        <w:t>项目服务期至2024年3月底，</w:t>
      </w:r>
      <w:r>
        <w:rPr>
          <w:rFonts w:hint="eastAsia" w:ascii="仿宋" w:hAnsi="仿宋" w:eastAsia="仿宋"/>
          <w:snapToGrid/>
          <w:color w:val="auto"/>
          <w:kern w:val="2"/>
          <w:sz w:val="24"/>
          <w:szCs w:val="24"/>
          <w:highlight w:val="none"/>
          <w:lang w:val="en-US" w:eastAsia="zh-CN"/>
        </w:rPr>
        <w:t>具体</w:t>
      </w:r>
      <w:r>
        <w:rPr>
          <w:rFonts w:hint="eastAsia" w:ascii="仿宋" w:hAnsi="仿宋" w:eastAsia="仿宋"/>
          <w:snapToGrid/>
          <w:color w:val="auto"/>
          <w:kern w:val="2"/>
          <w:sz w:val="24"/>
          <w:szCs w:val="24"/>
          <w:highlight w:val="none"/>
        </w:rPr>
        <w:t>以国务院批复时间为准</w:t>
      </w:r>
      <w:r>
        <w:rPr>
          <w:rFonts w:ascii="仿宋" w:hAnsi="仿宋" w:eastAsia="仿宋"/>
          <w:snapToGrid/>
          <w:color w:val="auto"/>
          <w:kern w:val="2"/>
          <w:sz w:val="24"/>
          <w:szCs w:val="24"/>
          <w:highlight w:val="none"/>
        </w:rPr>
        <w:t>。</w:t>
      </w:r>
    </w:p>
    <w:p>
      <w:pPr>
        <w:pStyle w:val="7"/>
        <w:spacing w:line="360" w:lineRule="auto"/>
        <w:ind w:firstLine="480"/>
        <w:rPr>
          <w:rFonts w:ascii="仿宋" w:hAnsi="仿宋" w:eastAsia="仿宋"/>
          <w:color w:val="auto"/>
          <w:sz w:val="24"/>
          <w:highlight w:val="none"/>
        </w:rPr>
      </w:pPr>
      <w:r>
        <w:rPr>
          <w:rFonts w:ascii="仿宋" w:hAnsi="仿宋" w:eastAsia="仿宋"/>
          <w:snapToGrid/>
          <w:color w:val="auto"/>
          <w:kern w:val="2"/>
          <w:sz w:val="24"/>
          <w:szCs w:val="24"/>
          <w:highlight w:val="none"/>
        </w:rPr>
        <w:t>本项目（</w:t>
      </w:r>
      <w:r>
        <w:rPr>
          <w:rFonts w:hint="eastAsia" w:ascii="仿宋" w:hAnsi="仿宋" w:eastAsia="仿宋"/>
          <w:snapToGrid/>
          <w:color w:val="auto"/>
          <w:kern w:val="2"/>
          <w:sz w:val="24"/>
          <w:szCs w:val="24"/>
          <w:highlight w:val="none"/>
        </w:rPr>
        <w:t>是</w:t>
      </w:r>
      <w:r>
        <w:rPr>
          <w:rFonts w:ascii="仿宋" w:hAnsi="仿宋" w:eastAsia="仿宋"/>
          <w:snapToGrid/>
          <w:color w:val="auto"/>
          <w:kern w:val="2"/>
          <w:sz w:val="24"/>
          <w:szCs w:val="24"/>
          <w:highlight w:val="none"/>
        </w:rPr>
        <w:t>）接受联合体投标。</w:t>
      </w:r>
    </w:p>
    <w:p>
      <w:pPr>
        <w:snapToGrid w:val="0"/>
        <w:spacing w:line="360" w:lineRule="auto"/>
        <w:rPr>
          <w:rFonts w:ascii="仿宋" w:hAnsi="仿宋" w:eastAsia="仿宋"/>
          <w:b/>
          <w:sz w:val="24"/>
          <w:highlight w:val="none"/>
        </w:rPr>
      </w:pPr>
      <w:r>
        <w:rPr>
          <w:rFonts w:hint="eastAsia" w:ascii="仿宋" w:hAnsi="仿宋" w:eastAsia="仿宋"/>
          <w:b/>
          <w:sz w:val="24"/>
          <w:highlight w:val="none"/>
        </w:rPr>
        <w:t>二、申请人的资格要求：</w:t>
      </w:r>
    </w:p>
    <w:p>
      <w:pPr>
        <w:snapToGrid w:val="0"/>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r>
        <w:rPr>
          <w:rFonts w:hint="eastAsia" w:ascii="仿宋" w:hAnsi="仿宋" w:eastAsia="仿宋" w:cs="Arial"/>
          <w:kern w:val="0"/>
          <w:sz w:val="24"/>
          <w:highlight w:val="none"/>
        </w:rPr>
        <w:t>无</w:t>
      </w:r>
      <w:r>
        <w:rPr>
          <w:rFonts w:hint="eastAsia" w:ascii="仿宋" w:hAnsi="仿宋" w:eastAsia="仿宋"/>
          <w:sz w:val="24"/>
          <w:highlight w:val="none"/>
        </w:rPr>
        <w:t>；</w:t>
      </w:r>
    </w:p>
    <w:p>
      <w:pPr>
        <w:snapToGrid w:val="0"/>
        <w:spacing w:line="360" w:lineRule="auto"/>
        <w:ind w:firstLine="480" w:firstLineChars="200"/>
        <w:rPr>
          <w:rFonts w:ascii="仿宋" w:hAnsi="仿宋" w:eastAsia="仿宋"/>
          <w:sz w:val="24"/>
          <w:highlight w:val="none"/>
        </w:rPr>
      </w:pPr>
      <w:r>
        <w:rPr>
          <w:rFonts w:ascii="仿宋" w:hAnsi="仿宋" w:eastAsia="仿宋"/>
          <w:sz w:val="24"/>
          <w:highlight w:val="none"/>
        </w:rPr>
        <w:t>3.本项目的特定资格要求：</w:t>
      </w:r>
      <w:r>
        <w:rPr>
          <w:rFonts w:hint="eastAsia" w:ascii="仿宋" w:hAnsi="仿宋" w:eastAsia="仿宋"/>
          <w:sz w:val="24"/>
          <w:highlight w:val="none"/>
        </w:rPr>
        <w:t>供应商同时具备城乡规划编制甲级、风景园林工程设计专项资质乙级和土地规划乙级及以上资质。</w:t>
      </w:r>
    </w:p>
    <w:p>
      <w:pPr>
        <w:snapToGrid w:val="0"/>
        <w:spacing w:line="360" w:lineRule="auto"/>
        <w:rPr>
          <w:rFonts w:ascii="仿宋" w:hAnsi="仿宋" w:eastAsia="仿宋"/>
          <w:b/>
          <w:sz w:val="24"/>
          <w:highlight w:val="none"/>
        </w:rPr>
      </w:pPr>
      <w:r>
        <w:rPr>
          <w:rFonts w:hint="eastAsia" w:ascii="仿宋" w:hAnsi="仿宋" w:eastAsia="仿宋"/>
          <w:b/>
          <w:sz w:val="24"/>
          <w:highlight w:val="none"/>
        </w:rPr>
        <w:t>三、获取招标文件</w:t>
      </w:r>
    </w:p>
    <w:p>
      <w:pPr>
        <w:snapToGrid w:val="0"/>
        <w:spacing w:line="360" w:lineRule="auto"/>
        <w:ind w:firstLine="482" w:firstLineChars="200"/>
        <w:rPr>
          <w:rFonts w:ascii="仿宋" w:hAnsi="仿宋" w:eastAsia="仿宋"/>
          <w:sz w:val="24"/>
          <w:highlight w:val="none"/>
        </w:rPr>
      </w:pPr>
      <w:r>
        <w:rPr>
          <w:rFonts w:hint="eastAsia" w:ascii="仿宋" w:hAnsi="仿宋" w:eastAsia="仿宋"/>
          <w:b/>
          <w:sz w:val="24"/>
          <w:highlight w:val="none"/>
        </w:rPr>
        <w:t>时间：</w:t>
      </w:r>
      <w:r>
        <w:rPr>
          <w:rFonts w:ascii="仿宋" w:hAnsi="仿宋" w:eastAsia="仿宋"/>
          <w:sz w:val="24"/>
          <w:highlight w:val="none"/>
        </w:rPr>
        <w:t>/至</w:t>
      </w:r>
      <w:r>
        <w:rPr>
          <w:rFonts w:hint="eastAsia" w:ascii="仿宋" w:hAnsi="仿宋" w:eastAsia="仿宋"/>
          <w:sz w:val="24"/>
          <w:highlight w:val="none"/>
          <w:u w:val="single"/>
        </w:rPr>
        <w:t>2022</w:t>
      </w:r>
      <w:r>
        <w:rPr>
          <w:rFonts w:ascii="仿宋" w:hAnsi="仿宋" w:eastAsia="仿宋"/>
          <w:sz w:val="24"/>
          <w:highlight w:val="none"/>
          <w:u w:val="single"/>
        </w:rPr>
        <w:t>年</w:t>
      </w:r>
      <w:r>
        <w:rPr>
          <w:rFonts w:hint="eastAsia" w:ascii="仿宋" w:hAnsi="仿宋" w:eastAsia="仿宋"/>
          <w:sz w:val="24"/>
          <w:highlight w:val="none"/>
          <w:u w:val="single"/>
        </w:rPr>
        <w:t>11</w:t>
      </w:r>
      <w:r>
        <w:rPr>
          <w:rFonts w:ascii="仿宋" w:hAnsi="仿宋" w:eastAsia="仿宋"/>
          <w:sz w:val="24"/>
          <w:highlight w:val="none"/>
          <w:u w:val="single"/>
        </w:rPr>
        <w:t>月</w:t>
      </w:r>
      <w:r>
        <w:rPr>
          <w:rFonts w:hint="eastAsia" w:ascii="仿宋" w:hAnsi="仿宋" w:eastAsia="仿宋"/>
          <w:sz w:val="24"/>
          <w:highlight w:val="none"/>
          <w:u w:val="single"/>
          <w:lang w:val="en-US" w:eastAsia="zh-CN"/>
        </w:rPr>
        <w:t>29</w:t>
      </w:r>
      <w:r>
        <w:rPr>
          <w:rFonts w:ascii="仿宋" w:hAnsi="仿宋" w:eastAsia="仿宋"/>
          <w:sz w:val="24"/>
          <w:highlight w:val="none"/>
          <w:u w:val="single"/>
        </w:rPr>
        <w:t>日</w:t>
      </w:r>
      <w:r>
        <w:rPr>
          <w:rFonts w:hint="eastAsia" w:ascii="仿宋" w:hAnsi="仿宋" w:eastAsia="仿宋"/>
          <w:sz w:val="24"/>
          <w:highlight w:val="none"/>
        </w:rPr>
        <w:t>，每天上午</w:t>
      </w:r>
      <w:r>
        <w:rPr>
          <w:rFonts w:ascii="仿宋" w:hAnsi="仿宋" w:eastAsia="仿宋"/>
          <w:sz w:val="24"/>
          <w:highlight w:val="none"/>
        </w:rPr>
        <w:t xml:space="preserve">00:00至12:00 </w:t>
      </w:r>
      <w:r>
        <w:rPr>
          <w:rFonts w:hint="eastAsia" w:ascii="仿宋" w:hAnsi="仿宋" w:eastAsia="仿宋"/>
          <w:sz w:val="24"/>
          <w:highlight w:val="none"/>
        </w:rPr>
        <w:t>，下午</w:t>
      </w:r>
      <w:r>
        <w:rPr>
          <w:rFonts w:ascii="仿宋" w:hAnsi="仿宋" w:eastAsia="仿宋"/>
          <w:sz w:val="24"/>
          <w:highlight w:val="none"/>
        </w:rPr>
        <w:t>12:00至23:59（北京时间，线上获取法定节假日均可，线下获取文件法定节假日除外）</w:t>
      </w:r>
    </w:p>
    <w:p>
      <w:pPr>
        <w:snapToGrid w:val="0"/>
        <w:spacing w:line="360" w:lineRule="auto"/>
        <w:ind w:firstLine="482" w:firstLineChars="200"/>
        <w:rPr>
          <w:rFonts w:ascii="仿宋" w:hAnsi="仿宋" w:eastAsia="仿宋"/>
          <w:sz w:val="24"/>
          <w:highlight w:val="none"/>
        </w:rPr>
      </w:pPr>
      <w:r>
        <w:rPr>
          <w:rFonts w:hint="eastAsia" w:ascii="仿宋" w:hAnsi="仿宋" w:eastAsia="仿宋"/>
          <w:b/>
          <w:sz w:val="24"/>
          <w:highlight w:val="none"/>
        </w:rPr>
        <w:t>地点（网址）：</w:t>
      </w:r>
      <w:r>
        <w:rPr>
          <w:rFonts w:hint="eastAsia" w:ascii="仿宋" w:hAnsi="仿宋" w:eastAsia="仿宋"/>
          <w:sz w:val="24"/>
          <w:highlight w:val="none"/>
        </w:rPr>
        <w:t>政采云平台（</w:t>
      </w:r>
      <w:r>
        <w:rPr>
          <w:rFonts w:ascii="仿宋" w:hAnsi="仿宋" w:eastAsia="仿宋"/>
          <w:sz w:val="24"/>
          <w:highlight w:val="none"/>
        </w:rPr>
        <w:t xml:space="preserve">https://www.zcygov.cn/） </w:t>
      </w:r>
    </w:p>
    <w:p>
      <w:pPr>
        <w:snapToGrid w:val="0"/>
        <w:spacing w:line="360" w:lineRule="auto"/>
        <w:ind w:firstLine="482" w:firstLineChars="200"/>
        <w:rPr>
          <w:rFonts w:ascii="仿宋" w:hAnsi="仿宋" w:eastAsia="仿宋"/>
          <w:sz w:val="24"/>
          <w:highlight w:val="none"/>
        </w:rPr>
      </w:pPr>
      <w:r>
        <w:rPr>
          <w:rFonts w:hint="eastAsia" w:ascii="仿宋" w:hAnsi="仿宋" w:eastAsia="仿宋"/>
          <w:b/>
          <w:sz w:val="24"/>
          <w:highlight w:val="none"/>
        </w:rPr>
        <w:t>方式：</w:t>
      </w:r>
      <w:r>
        <w:rPr>
          <w:rFonts w:hint="eastAsia" w:ascii="仿宋" w:hAnsi="仿宋" w:eastAsia="仿宋"/>
          <w:sz w:val="24"/>
          <w:highlight w:val="none"/>
        </w:rPr>
        <w:t>供应商登录政采云平台</w:t>
      </w:r>
      <w:r>
        <w:rPr>
          <w:rFonts w:ascii="仿宋" w:hAnsi="仿宋" w:eastAsia="仿宋"/>
          <w:sz w:val="24"/>
          <w:highlight w:val="none"/>
        </w:rPr>
        <w:t xml:space="preserve">https://www.zcygov.cn/在线申请获取采购文件（进入“项目采购”应用，在获取采购文件菜单中选择项目，申请获取采购文件）。 </w:t>
      </w:r>
    </w:p>
    <w:p>
      <w:pPr>
        <w:snapToGrid w:val="0"/>
        <w:spacing w:line="360" w:lineRule="auto"/>
        <w:ind w:firstLine="482" w:firstLineChars="200"/>
        <w:rPr>
          <w:rFonts w:ascii="仿宋" w:hAnsi="仿宋" w:eastAsia="仿宋"/>
          <w:sz w:val="24"/>
          <w:highlight w:val="none"/>
        </w:rPr>
      </w:pPr>
      <w:r>
        <w:rPr>
          <w:rFonts w:hint="eastAsia" w:ascii="仿宋" w:hAnsi="仿宋" w:eastAsia="仿宋"/>
          <w:b/>
          <w:sz w:val="24"/>
          <w:highlight w:val="none"/>
        </w:rPr>
        <w:t>售价（元）：</w:t>
      </w:r>
      <w:r>
        <w:rPr>
          <w:rFonts w:ascii="仿宋" w:hAnsi="仿宋" w:eastAsia="仿宋"/>
          <w:sz w:val="24"/>
          <w:highlight w:val="none"/>
        </w:rPr>
        <w:t xml:space="preserve">0 </w:t>
      </w:r>
      <w:r>
        <w:rPr>
          <w:rFonts w:ascii="仿宋" w:hAnsi="仿宋" w:eastAsia="仿宋"/>
          <w:sz w:val="24"/>
          <w:highlight w:val="none"/>
        </w:rPr>
        <w:tab/>
      </w:r>
    </w:p>
    <w:p>
      <w:pPr>
        <w:snapToGrid w:val="0"/>
        <w:spacing w:line="360" w:lineRule="auto"/>
        <w:rPr>
          <w:rFonts w:ascii="仿宋" w:hAnsi="仿宋" w:eastAsia="仿宋"/>
          <w:b/>
          <w:sz w:val="24"/>
          <w:highlight w:val="none"/>
        </w:rPr>
      </w:pPr>
      <w:r>
        <w:rPr>
          <w:rFonts w:hint="eastAsia" w:ascii="仿宋" w:hAnsi="仿宋" w:eastAsia="仿宋"/>
          <w:b/>
          <w:sz w:val="24"/>
          <w:highlight w:val="none"/>
        </w:rPr>
        <w:t>四、提交投标文件截止时间、开标时间和地点</w:t>
      </w:r>
    </w:p>
    <w:p>
      <w:pPr>
        <w:snapToGrid w:val="0"/>
        <w:spacing w:line="360" w:lineRule="auto"/>
        <w:ind w:firstLine="482" w:firstLineChars="200"/>
        <w:rPr>
          <w:rFonts w:ascii="仿宋" w:hAnsi="仿宋" w:eastAsia="仿宋"/>
          <w:sz w:val="24"/>
          <w:highlight w:val="none"/>
        </w:rPr>
      </w:pPr>
      <w:r>
        <w:rPr>
          <w:rFonts w:hint="eastAsia" w:ascii="仿宋" w:hAnsi="仿宋" w:eastAsia="仿宋"/>
          <w:b/>
          <w:sz w:val="24"/>
          <w:highlight w:val="none"/>
        </w:rPr>
        <w:t>提交投标文件截止时间：</w:t>
      </w:r>
      <w:r>
        <w:rPr>
          <w:rFonts w:hint="eastAsia" w:ascii="仿宋" w:hAnsi="仿宋" w:eastAsia="仿宋"/>
          <w:sz w:val="24"/>
          <w:highlight w:val="none"/>
        </w:rPr>
        <w:t>2022</w:t>
      </w:r>
      <w:r>
        <w:rPr>
          <w:rFonts w:ascii="仿宋" w:hAnsi="仿宋" w:eastAsia="仿宋"/>
          <w:sz w:val="24"/>
          <w:highlight w:val="none"/>
        </w:rPr>
        <w:t>年</w:t>
      </w:r>
      <w:r>
        <w:rPr>
          <w:rFonts w:hint="eastAsia" w:ascii="仿宋" w:hAnsi="仿宋" w:eastAsia="仿宋"/>
          <w:sz w:val="24"/>
          <w:highlight w:val="none"/>
        </w:rPr>
        <w:t>11月</w:t>
      </w:r>
      <w:r>
        <w:rPr>
          <w:rFonts w:hint="eastAsia" w:ascii="仿宋" w:hAnsi="仿宋" w:eastAsia="仿宋"/>
          <w:sz w:val="24"/>
          <w:highlight w:val="none"/>
          <w:lang w:val="en-US" w:eastAsia="zh-CN"/>
        </w:rPr>
        <w:t>29</w:t>
      </w:r>
      <w:r>
        <w:rPr>
          <w:rFonts w:hint="eastAsia" w:ascii="仿宋" w:hAnsi="仿宋" w:eastAsia="仿宋"/>
          <w:sz w:val="24"/>
          <w:highlight w:val="none"/>
        </w:rPr>
        <w:t>日14:30（北京时间）</w:t>
      </w:r>
    </w:p>
    <w:p>
      <w:pPr>
        <w:snapToGrid w:val="0"/>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投标地点（网址）：</w:t>
      </w:r>
      <w:r>
        <w:rPr>
          <w:rFonts w:hint="eastAsia" w:ascii="仿宋" w:hAnsi="仿宋" w:eastAsia="仿宋"/>
          <w:sz w:val="24"/>
          <w:highlight w:val="none"/>
        </w:rPr>
        <w:t>政采云平台（</w:t>
      </w:r>
      <w:r>
        <w:rPr>
          <w:rFonts w:ascii="仿宋" w:hAnsi="仿宋" w:eastAsia="仿宋"/>
          <w:sz w:val="24"/>
          <w:highlight w:val="none"/>
        </w:rPr>
        <w:t xml:space="preserve">https://www.zcygov.cn/） </w:t>
      </w:r>
    </w:p>
    <w:p>
      <w:pPr>
        <w:snapToGrid w:val="0"/>
        <w:spacing w:line="360" w:lineRule="auto"/>
        <w:ind w:firstLine="482" w:firstLineChars="200"/>
        <w:rPr>
          <w:rFonts w:ascii="仿宋" w:hAnsi="仿宋" w:eastAsia="仿宋"/>
          <w:bCs/>
          <w:sz w:val="24"/>
          <w:highlight w:val="none"/>
          <w:u w:val="single"/>
        </w:rPr>
      </w:pPr>
      <w:r>
        <w:rPr>
          <w:rFonts w:hint="eastAsia" w:ascii="仿宋" w:hAnsi="仿宋" w:eastAsia="仿宋"/>
          <w:b/>
          <w:sz w:val="24"/>
          <w:highlight w:val="none"/>
        </w:rPr>
        <w:t>开标时间：</w:t>
      </w:r>
      <w:r>
        <w:rPr>
          <w:rFonts w:hint="eastAsia" w:ascii="仿宋" w:hAnsi="仿宋" w:eastAsia="仿宋"/>
          <w:sz w:val="24"/>
          <w:highlight w:val="none"/>
        </w:rPr>
        <w:t>2022</w:t>
      </w:r>
      <w:r>
        <w:rPr>
          <w:rFonts w:ascii="仿宋" w:hAnsi="仿宋" w:eastAsia="仿宋"/>
          <w:sz w:val="24"/>
          <w:highlight w:val="none"/>
        </w:rPr>
        <w:t>年</w:t>
      </w:r>
      <w:r>
        <w:rPr>
          <w:rFonts w:hint="eastAsia" w:ascii="仿宋" w:hAnsi="仿宋" w:eastAsia="仿宋"/>
          <w:sz w:val="24"/>
          <w:highlight w:val="none"/>
        </w:rPr>
        <w:t>11月</w:t>
      </w:r>
      <w:r>
        <w:rPr>
          <w:rFonts w:hint="eastAsia" w:ascii="仿宋" w:hAnsi="仿宋" w:eastAsia="仿宋"/>
          <w:sz w:val="24"/>
          <w:highlight w:val="none"/>
          <w:lang w:val="en-US" w:eastAsia="zh-CN"/>
        </w:rPr>
        <w:t>29</w:t>
      </w:r>
      <w:r>
        <w:rPr>
          <w:rFonts w:hint="eastAsia" w:ascii="仿宋" w:hAnsi="仿宋" w:eastAsia="仿宋"/>
          <w:sz w:val="24"/>
          <w:highlight w:val="none"/>
        </w:rPr>
        <w:t>日14:30</w:t>
      </w:r>
    </w:p>
    <w:p>
      <w:pPr>
        <w:snapToGrid w:val="0"/>
        <w:spacing w:line="360" w:lineRule="auto"/>
        <w:ind w:firstLine="482" w:firstLineChars="200"/>
        <w:rPr>
          <w:rFonts w:ascii="仿宋" w:hAnsi="仿宋" w:eastAsia="仿宋"/>
          <w:sz w:val="24"/>
          <w:highlight w:val="none"/>
        </w:rPr>
      </w:pPr>
      <w:r>
        <w:rPr>
          <w:rFonts w:hint="eastAsia" w:ascii="仿宋" w:hAnsi="仿宋" w:eastAsia="仿宋"/>
          <w:b/>
          <w:sz w:val="24"/>
          <w:highlight w:val="none"/>
        </w:rPr>
        <w:t>开标地点（网址）：</w:t>
      </w:r>
      <w:r>
        <w:rPr>
          <w:rFonts w:ascii="仿宋" w:hAnsi="仿宋" w:eastAsia="仿宋"/>
          <w:sz w:val="24"/>
          <w:highlight w:val="none"/>
        </w:rPr>
        <w:t>政</w:t>
      </w:r>
      <w:r>
        <w:rPr>
          <w:rFonts w:hint="eastAsia" w:ascii="仿宋" w:hAnsi="仿宋" w:eastAsia="仿宋"/>
          <w:sz w:val="24"/>
          <w:highlight w:val="none"/>
        </w:rPr>
        <w:t>采云平台（</w:t>
      </w:r>
      <w:r>
        <w:rPr>
          <w:rFonts w:ascii="仿宋" w:hAnsi="仿宋" w:eastAsia="仿宋"/>
          <w:sz w:val="24"/>
          <w:highlight w:val="none"/>
        </w:rPr>
        <w:t>https://www.zcygov.cn/）</w:t>
      </w:r>
    </w:p>
    <w:p>
      <w:pPr>
        <w:snapToGrid w:val="0"/>
        <w:spacing w:line="360" w:lineRule="auto"/>
        <w:rPr>
          <w:rFonts w:ascii="仿宋" w:hAnsi="仿宋" w:eastAsia="仿宋"/>
          <w:sz w:val="24"/>
          <w:highlight w:val="none"/>
        </w:rPr>
      </w:pPr>
      <w:r>
        <w:rPr>
          <w:rFonts w:hint="eastAsia" w:ascii="仿宋" w:hAnsi="仿宋" w:eastAsia="仿宋"/>
          <w:b/>
          <w:sz w:val="24"/>
          <w:highlight w:val="none"/>
        </w:rPr>
        <w:t>五、公告期限</w:t>
      </w:r>
    </w:p>
    <w:p>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自本公告发布之日起</w:t>
      </w:r>
      <w:r>
        <w:rPr>
          <w:rFonts w:ascii="仿宋" w:hAnsi="仿宋" w:eastAsia="仿宋"/>
          <w:sz w:val="24"/>
          <w:highlight w:val="none"/>
        </w:rPr>
        <w:t>5个工作日。</w:t>
      </w:r>
    </w:p>
    <w:p>
      <w:pPr>
        <w:snapToGrid w:val="0"/>
        <w:spacing w:line="360" w:lineRule="auto"/>
        <w:rPr>
          <w:rFonts w:ascii="仿宋" w:hAnsi="仿宋" w:eastAsia="仿宋"/>
          <w:b/>
          <w:sz w:val="24"/>
          <w:highlight w:val="none"/>
        </w:rPr>
      </w:pPr>
      <w:r>
        <w:rPr>
          <w:rFonts w:hint="eastAsia" w:ascii="仿宋" w:hAnsi="仿宋" w:eastAsia="仿宋"/>
          <w:b/>
          <w:sz w:val="24"/>
          <w:highlight w:val="none"/>
        </w:rPr>
        <w:t>六、其他补充事宜</w:t>
      </w:r>
    </w:p>
    <w:p>
      <w:pPr>
        <w:snapToGrid w:val="0"/>
        <w:spacing w:line="360" w:lineRule="auto"/>
        <w:ind w:firstLine="480"/>
        <w:rPr>
          <w:rFonts w:ascii="仿宋" w:hAnsi="仿宋" w:eastAsia="仿宋"/>
          <w:sz w:val="24"/>
          <w:highlight w:val="none"/>
        </w:rPr>
      </w:pPr>
      <w:r>
        <w:rPr>
          <w:rFonts w:ascii="仿宋" w:hAnsi="仿宋" w:eastAsia="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rPr>
          <w:rFonts w:ascii="仿宋" w:hAnsi="仿宋" w:eastAsia="仿宋"/>
          <w:sz w:val="24"/>
          <w:highlight w:val="none"/>
        </w:rPr>
      </w:pPr>
      <w:r>
        <w:rPr>
          <w:rFonts w:ascii="仿宋" w:hAnsi="仿宋" w:eastAsia="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仿宋" w:hAnsi="仿宋" w:eastAsia="仿宋"/>
          <w:sz w:val="24"/>
          <w:highlight w:val="none"/>
        </w:rPr>
      </w:pPr>
      <w:r>
        <w:rPr>
          <w:rFonts w:ascii="仿宋" w:hAnsi="仿宋" w:eastAsia="仿宋"/>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s="仿宋_GB2312"/>
          <w:sz w:val="24"/>
          <w:highlight w:val="none"/>
        </w:rPr>
      </w:pPr>
      <w:r>
        <w:rPr>
          <w:rFonts w:ascii="仿宋" w:hAnsi="仿宋" w:eastAsia="仿宋"/>
          <w:sz w:val="24"/>
          <w:highlight w:val="none"/>
        </w:rPr>
        <w:t>4.其他事项：（1）需要落实的政府采购政策：包括节约资源、保护环境、支持创新、促进中小企业发展等。详见招标文件的第二部分总则。（2）电子招投标的说明：</w:t>
      </w:r>
      <w:r>
        <w:rPr>
          <w:rFonts w:hint="eastAsia" w:ascii="仿宋" w:hAnsi="仿宋" w:eastAsia="仿宋"/>
          <w:sz w:val="24"/>
          <w:highlight w:val="none"/>
        </w:rPr>
        <w:t>①</w:t>
      </w:r>
      <w:r>
        <w:rPr>
          <w:rFonts w:ascii="仿宋" w:hAnsi="仿宋" w:eastAsia="仿宋"/>
          <w:sz w:val="24"/>
          <w:highlight w:val="none"/>
        </w:rPr>
        <w:t>电子招投标：本项目以数据电文形式，依托“政府采购云平台（www.zcygov.cn）”进行招投标活动，不接受纸质投标文件；</w:t>
      </w:r>
      <w:r>
        <w:rPr>
          <w:rFonts w:hint="eastAsia" w:ascii="仿宋" w:hAnsi="仿宋" w:eastAsia="仿宋"/>
          <w:sz w:val="24"/>
          <w:highlight w:val="none"/>
        </w:rPr>
        <w:t>②</w:t>
      </w:r>
      <w:r>
        <w:rPr>
          <w:rFonts w:ascii="仿宋" w:hAnsi="仿宋" w:eastAsia="仿宋"/>
          <w:sz w:val="24"/>
          <w:highlight w:val="none"/>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sz w:val="24"/>
          <w:highlight w:val="none"/>
        </w:rPr>
        <w:t>③</w:t>
      </w:r>
      <w:r>
        <w:rPr>
          <w:rFonts w:ascii="仿宋" w:hAnsi="仿宋" w:eastAsia="仿宋"/>
          <w:sz w:val="24"/>
          <w:highlight w:val="none"/>
        </w:rPr>
        <w:t>招标文件的获取：使用账号登录或者使用CA登录政采云平台；进入“项目采购”应用，在获取采购文件菜单中选择项目，获取招标文件；</w:t>
      </w:r>
      <w:r>
        <w:rPr>
          <w:rFonts w:hint="eastAsia" w:ascii="仿宋" w:hAnsi="仿宋" w:eastAsia="仿宋"/>
          <w:sz w:val="24"/>
          <w:highlight w:val="none"/>
        </w:rPr>
        <w:t>④</w:t>
      </w:r>
      <w:r>
        <w:rPr>
          <w:rFonts w:ascii="仿宋" w:hAnsi="仿宋" w:eastAsia="仿宋"/>
          <w:sz w:val="24"/>
          <w:highlight w:val="none"/>
        </w:rPr>
        <w:t>投标文件的制作：在“政采云电子交易客户端”中完成“填写基本信息”、“导入投标文件”、“标书关联”、“标书检查”、“电子签名”、“生成电子标书”等操作；</w:t>
      </w:r>
      <w:r>
        <w:rPr>
          <w:rFonts w:hint="eastAsia" w:ascii="仿宋" w:hAnsi="仿宋" w:eastAsia="仿宋"/>
          <w:sz w:val="24"/>
          <w:highlight w:val="none"/>
        </w:rPr>
        <w:t>⑤</w:t>
      </w:r>
      <w:r>
        <w:rPr>
          <w:rFonts w:ascii="仿宋" w:hAnsi="仿宋" w:eastAsia="仿宋"/>
          <w:sz w:val="24"/>
          <w:highlight w:val="none"/>
        </w:rPr>
        <w:t xml:space="preserve">采购人、采购机构将依托政采云平台完成本项目的电子交易活动，平台不接受未按上述方式获取招标文件的供应商进行投标活动； </w:t>
      </w:r>
      <w:r>
        <w:rPr>
          <w:rFonts w:hint="eastAsia" w:ascii="仿宋" w:hAnsi="仿宋" w:eastAsia="仿宋"/>
          <w:sz w:val="24"/>
          <w:highlight w:val="none"/>
        </w:rPr>
        <w:t>⑥</w:t>
      </w:r>
      <w:r>
        <w:rPr>
          <w:rFonts w:ascii="仿宋" w:hAnsi="仿宋" w:eastAsia="仿宋"/>
          <w:sz w:val="24"/>
          <w:highlight w:val="none"/>
        </w:rPr>
        <w:t>对未按上述方式获取招标文件的供应商对该文件提出的质疑，采购人或采购代理机构将不予处理；</w:t>
      </w:r>
      <w:r>
        <w:rPr>
          <w:rFonts w:hint="eastAsia" w:ascii="仿宋" w:hAnsi="仿宋" w:eastAsia="仿宋"/>
          <w:sz w:val="24"/>
          <w:highlight w:val="none"/>
        </w:rPr>
        <w:t>⑦</w:t>
      </w:r>
      <w:r>
        <w:rPr>
          <w:rFonts w:ascii="仿宋" w:hAnsi="仿宋" w:eastAsia="仿宋"/>
          <w:sz w:val="24"/>
          <w:highlight w:val="none"/>
        </w:rPr>
        <w:t>不提供招标文件纸质版；</w:t>
      </w:r>
      <w:r>
        <w:rPr>
          <w:rFonts w:hint="eastAsia" w:ascii="仿宋" w:hAnsi="仿宋" w:eastAsia="仿宋"/>
          <w:sz w:val="24"/>
          <w:highlight w:val="none"/>
        </w:rPr>
        <w:t>⑧</w:t>
      </w:r>
      <w:r>
        <w:rPr>
          <w:rFonts w:ascii="仿宋" w:hAnsi="仿宋" w:eastAsia="仿宋"/>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sz w:val="24"/>
          <w:highlight w:val="none"/>
        </w:rPr>
        <w:t>⑨</w:t>
      </w:r>
      <w:r>
        <w:rPr>
          <w:rFonts w:ascii="仿宋" w:hAnsi="仿宋" w:eastAsia="仿宋"/>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 w:hAnsi="仿宋" w:eastAsia="仿宋"/>
          <w:sz w:val="24"/>
          <w:highlight w:val="none"/>
        </w:rPr>
        <w:t>⑩</w:t>
      </w:r>
      <w:r>
        <w:rPr>
          <w:rFonts w:ascii="仿宋" w:hAnsi="仿宋" w:eastAsia="仿宋"/>
          <w:sz w:val="24"/>
          <w:highlight w:val="none"/>
        </w:rPr>
        <w:t>具体操作指南：详见政采云平台“服务中心-帮助文档-项目采购-操作流程-电子招投标-政府采购项目电子交易管理操作指南-供应商”。</w:t>
      </w:r>
    </w:p>
    <w:p>
      <w:pPr>
        <w:snapToGrid w:val="0"/>
        <w:spacing w:line="360" w:lineRule="auto"/>
        <w:rPr>
          <w:rFonts w:ascii="仿宋" w:hAnsi="仿宋" w:eastAsia="仿宋"/>
          <w:b/>
          <w:sz w:val="24"/>
          <w:highlight w:val="none"/>
        </w:rPr>
      </w:pPr>
      <w:r>
        <w:rPr>
          <w:rFonts w:hint="eastAsia" w:ascii="仿宋" w:hAnsi="仿宋" w:eastAsia="仿宋"/>
          <w:b/>
          <w:sz w:val="24"/>
          <w:highlight w:val="none"/>
        </w:rPr>
        <w:t>七、对本次采购提出询问、质疑、投诉，请按以下方式联系</w:t>
      </w:r>
    </w:p>
    <w:p>
      <w:pPr>
        <w:snapToGrid w:val="0"/>
        <w:spacing w:line="360" w:lineRule="auto"/>
        <w:ind w:firstLine="480" w:firstLineChars="200"/>
        <w:rPr>
          <w:rFonts w:ascii="仿宋" w:hAnsi="仿宋" w:eastAsia="仿宋"/>
          <w:sz w:val="24"/>
          <w:highlight w:val="none"/>
        </w:rPr>
      </w:pPr>
      <w:r>
        <w:rPr>
          <w:rFonts w:ascii="仿宋" w:hAnsi="仿宋" w:eastAsia="仿宋"/>
          <w:sz w:val="24"/>
          <w:highlight w:val="none"/>
        </w:rPr>
        <w:t>1.采购人信息</w:t>
      </w:r>
    </w:p>
    <w:p>
      <w:pPr>
        <w:snapToGrid w:val="0"/>
        <w:spacing w:line="360" w:lineRule="auto"/>
        <w:rPr>
          <w:rFonts w:ascii="仿宋" w:hAnsi="仿宋" w:eastAsia="仿宋"/>
          <w:sz w:val="24"/>
          <w:highlight w:val="none"/>
        </w:rPr>
      </w:pPr>
      <w:r>
        <w:rPr>
          <w:rFonts w:ascii="仿宋" w:hAnsi="仿宋" w:eastAsia="仿宋"/>
          <w:sz w:val="24"/>
          <w:highlight w:val="none"/>
        </w:rPr>
        <w:t xml:space="preserve">    名    称：</w:t>
      </w:r>
      <w:r>
        <w:rPr>
          <w:rFonts w:hint="eastAsia" w:ascii="仿宋" w:hAnsi="仿宋" w:eastAsia="仿宋"/>
          <w:sz w:val="24"/>
          <w:highlight w:val="none"/>
        </w:rPr>
        <w:t>浙江省林业局</w:t>
      </w:r>
    </w:p>
    <w:p>
      <w:pPr>
        <w:snapToGrid w:val="0"/>
        <w:spacing w:line="360" w:lineRule="auto"/>
        <w:ind w:firstLine="480"/>
        <w:rPr>
          <w:rFonts w:ascii="仿宋" w:hAnsi="仿宋" w:eastAsia="仿宋"/>
          <w:sz w:val="24"/>
          <w:highlight w:val="none"/>
        </w:rPr>
      </w:pPr>
      <w:r>
        <w:rPr>
          <w:rFonts w:ascii="仿宋" w:hAnsi="仿宋" w:eastAsia="仿宋"/>
          <w:sz w:val="24"/>
          <w:highlight w:val="none"/>
        </w:rPr>
        <w:t>地    址：</w:t>
      </w:r>
      <w:r>
        <w:rPr>
          <w:rFonts w:hint="eastAsia" w:ascii="仿宋" w:hAnsi="仿宋" w:eastAsia="仿宋"/>
          <w:sz w:val="24"/>
          <w:highlight w:val="none"/>
        </w:rPr>
        <w:t>杭州市上城区凯旋路226号</w:t>
      </w:r>
    </w:p>
    <w:p>
      <w:pPr>
        <w:snapToGrid w:val="0"/>
        <w:spacing w:line="360" w:lineRule="auto"/>
        <w:ind w:firstLine="480"/>
        <w:rPr>
          <w:rFonts w:ascii="仿宋" w:hAnsi="仿宋" w:eastAsia="仿宋"/>
          <w:sz w:val="24"/>
          <w:highlight w:val="none"/>
        </w:rPr>
      </w:pPr>
      <w:r>
        <w:rPr>
          <w:rFonts w:hint="eastAsia" w:ascii="仿宋" w:hAnsi="仿宋" w:eastAsia="仿宋"/>
          <w:sz w:val="24"/>
          <w:highlight w:val="none"/>
        </w:rPr>
        <w:t>传    真：/</w:t>
      </w:r>
    </w:p>
    <w:p>
      <w:pPr>
        <w:snapToGrid w:val="0"/>
        <w:spacing w:line="360" w:lineRule="auto"/>
        <w:ind w:firstLine="480"/>
        <w:rPr>
          <w:rFonts w:ascii="仿宋" w:hAnsi="仿宋" w:eastAsia="仿宋"/>
          <w:sz w:val="24"/>
          <w:highlight w:val="none"/>
        </w:rPr>
      </w:pPr>
      <w:r>
        <w:rPr>
          <w:rFonts w:hint="eastAsia" w:ascii="仿宋" w:hAnsi="仿宋" w:eastAsia="仿宋"/>
          <w:sz w:val="24"/>
          <w:highlight w:val="none"/>
        </w:rPr>
        <w:t xml:space="preserve">项目联系人（询问）：陈工 </w:t>
      </w:r>
    </w:p>
    <w:p>
      <w:pPr>
        <w:snapToGrid w:val="0"/>
        <w:spacing w:line="360" w:lineRule="auto"/>
        <w:rPr>
          <w:rFonts w:ascii="仿宋" w:hAnsi="仿宋" w:eastAsia="仿宋"/>
          <w:sz w:val="24"/>
          <w:highlight w:val="none"/>
        </w:rPr>
      </w:pPr>
      <w:r>
        <w:rPr>
          <w:rFonts w:hint="eastAsia" w:ascii="仿宋" w:hAnsi="仿宋" w:eastAsia="仿宋"/>
          <w:sz w:val="24"/>
          <w:highlight w:val="none"/>
        </w:rPr>
        <w:t xml:space="preserve">    项目联系方式（询问）：0571-87399028 </w:t>
      </w:r>
    </w:p>
    <w:p>
      <w:pPr>
        <w:snapToGrid w:val="0"/>
        <w:spacing w:line="360" w:lineRule="auto"/>
        <w:rPr>
          <w:rFonts w:ascii="仿宋" w:hAnsi="仿宋" w:eastAsia="仿宋"/>
          <w:sz w:val="24"/>
          <w:highlight w:val="none"/>
        </w:rPr>
      </w:pPr>
      <w:r>
        <w:rPr>
          <w:rFonts w:hint="eastAsia" w:ascii="仿宋" w:hAnsi="仿宋" w:eastAsia="仿宋"/>
          <w:sz w:val="24"/>
          <w:highlight w:val="none"/>
        </w:rPr>
        <w:t xml:space="preserve">    质疑联系人：郑工  </w:t>
      </w:r>
    </w:p>
    <w:p>
      <w:pPr>
        <w:snapToGrid w:val="0"/>
        <w:spacing w:line="360" w:lineRule="auto"/>
        <w:rPr>
          <w:rFonts w:ascii="仿宋" w:hAnsi="仿宋" w:eastAsia="仿宋"/>
          <w:sz w:val="24"/>
          <w:highlight w:val="none"/>
        </w:rPr>
      </w:pPr>
      <w:r>
        <w:rPr>
          <w:rFonts w:hint="eastAsia" w:ascii="仿宋" w:hAnsi="仿宋" w:eastAsia="仿宋"/>
          <w:sz w:val="24"/>
          <w:highlight w:val="none"/>
        </w:rPr>
        <w:t xml:space="preserve">    质疑联系方式：0571-87399031 </w:t>
      </w:r>
    </w:p>
    <w:p>
      <w:pPr>
        <w:snapToGrid w:val="0"/>
        <w:spacing w:line="360" w:lineRule="auto"/>
        <w:rPr>
          <w:rFonts w:ascii="仿宋" w:hAnsi="仿宋" w:eastAsia="仿宋"/>
          <w:sz w:val="24"/>
          <w:highlight w:val="none"/>
        </w:rPr>
      </w:pPr>
      <w:r>
        <w:rPr>
          <w:rFonts w:ascii="仿宋" w:hAnsi="仿宋" w:eastAsia="仿宋"/>
          <w:sz w:val="24"/>
          <w:highlight w:val="none"/>
        </w:rPr>
        <w:t xml:space="preserve">    2.采购代理机构信息            </w:t>
      </w:r>
    </w:p>
    <w:p>
      <w:pPr>
        <w:snapToGrid w:val="0"/>
        <w:spacing w:line="360" w:lineRule="auto"/>
        <w:ind w:firstLine="480"/>
        <w:rPr>
          <w:rFonts w:ascii="仿宋" w:hAnsi="仿宋" w:eastAsia="仿宋"/>
          <w:sz w:val="24"/>
          <w:highlight w:val="none"/>
        </w:rPr>
      </w:pPr>
      <w:r>
        <w:rPr>
          <w:rFonts w:hint="eastAsia" w:ascii="仿宋" w:hAnsi="仿宋" w:eastAsia="仿宋"/>
          <w:sz w:val="24"/>
          <w:highlight w:val="none"/>
        </w:rPr>
        <w:t>名称：浙江华夏工程管理有限公司</w:t>
      </w:r>
    </w:p>
    <w:p>
      <w:pPr>
        <w:snapToGrid w:val="0"/>
        <w:spacing w:line="360" w:lineRule="auto"/>
        <w:ind w:firstLine="480"/>
        <w:rPr>
          <w:rFonts w:ascii="仿宋" w:hAnsi="仿宋" w:eastAsia="仿宋"/>
          <w:sz w:val="24"/>
          <w:highlight w:val="none"/>
        </w:rPr>
      </w:pPr>
      <w:r>
        <w:rPr>
          <w:rFonts w:hint="eastAsia" w:ascii="仿宋" w:hAnsi="仿宋" w:eastAsia="仿宋"/>
          <w:sz w:val="24"/>
          <w:highlight w:val="none"/>
        </w:rPr>
        <w:t>地址：杭州市西湖区振华路298号西港发展中心西3幢B座8楼</w:t>
      </w:r>
    </w:p>
    <w:p>
      <w:pPr>
        <w:snapToGrid w:val="0"/>
        <w:spacing w:line="360" w:lineRule="auto"/>
        <w:rPr>
          <w:rFonts w:ascii="仿宋" w:hAnsi="仿宋" w:eastAsia="仿宋"/>
          <w:sz w:val="24"/>
          <w:highlight w:val="none"/>
        </w:rPr>
      </w:pPr>
      <w:r>
        <w:rPr>
          <w:rFonts w:ascii="仿宋" w:hAnsi="仿宋" w:eastAsia="仿宋"/>
          <w:sz w:val="24"/>
          <w:highlight w:val="none"/>
        </w:rPr>
        <w:t xml:space="preserve">    传    真：</w:t>
      </w:r>
      <w:r>
        <w:rPr>
          <w:rFonts w:hint="eastAsia" w:ascii="仿宋" w:hAnsi="仿宋" w:eastAsia="仿宋"/>
          <w:sz w:val="24"/>
          <w:highlight w:val="none"/>
        </w:rPr>
        <w:t>/</w:t>
      </w:r>
    </w:p>
    <w:p>
      <w:pPr>
        <w:snapToGrid w:val="0"/>
        <w:spacing w:line="360" w:lineRule="auto"/>
        <w:rPr>
          <w:rFonts w:ascii="仿宋" w:hAnsi="仿宋" w:eastAsia="仿宋"/>
          <w:sz w:val="24"/>
          <w:highlight w:val="none"/>
        </w:rPr>
      </w:pPr>
      <w:r>
        <w:rPr>
          <w:rFonts w:ascii="仿宋" w:hAnsi="仿宋" w:eastAsia="仿宋"/>
          <w:sz w:val="24"/>
          <w:highlight w:val="none"/>
        </w:rPr>
        <w:t xml:space="preserve">    项目联系人（询问）：</w:t>
      </w:r>
      <w:r>
        <w:rPr>
          <w:rFonts w:hint="eastAsia" w:ascii="仿宋" w:hAnsi="仿宋" w:eastAsia="仿宋"/>
          <w:sz w:val="24"/>
          <w:highlight w:val="none"/>
        </w:rPr>
        <w:t>邵璐</w:t>
      </w:r>
    </w:p>
    <w:p>
      <w:pPr>
        <w:snapToGrid w:val="0"/>
        <w:spacing w:line="360" w:lineRule="auto"/>
        <w:rPr>
          <w:rFonts w:ascii="仿宋" w:hAnsi="仿宋" w:eastAsia="仿宋"/>
          <w:sz w:val="24"/>
          <w:highlight w:val="none"/>
        </w:rPr>
      </w:pPr>
      <w:r>
        <w:rPr>
          <w:rFonts w:ascii="仿宋" w:hAnsi="仿宋" w:eastAsia="仿宋"/>
          <w:sz w:val="24"/>
          <w:highlight w:val="none"/>
        </w:rPr>
        <w:t xml:space="preserve">    项目联系方式（询问）：</w:t>
      </w:r>
      <w:r>
        <w:rPr>
          <w:rFonts w:hint="eastAsia" w:ascii="仿宋" w:hAnsi="仿宋" w:eastAsia="仿宋"/>
          <w:sz w:val="24"/>
          <w:highlight w:val="none"/>
        </w:rPr>
        <w:t>15215879512</w:t>
      </w:r>
    </w:p>
    <w:p>
      <w:pPr>
        <w:snapToGrid w:val="0"/>
        <w:spacing w:line="360" w:lineRule="auto"/>
        <w:rPr>
          <w:rFonts w:ascii="仿宋" w:hAnsi="仿宋" w:eastAsia="仿宋"/>
          <w:sz w:val="24"/>
          <w:highlight w:val="none"/>
        </w:rPr>
      </w:pPr>
      <w:r>
        <w:rPr>
          <w:rFonts w:ascii="仿宋" w:hAnsi="仿宋" w:eastAsia="仿宋"/>
          <w:sz w:val="24"/>
          <w:highlight w:val="none"/>
        </w:rPr>
        <w:t xml:space="preserve">    质疑联系人：</w:t>
      </w:r>
      <w:r>
        <w:rPr>
          <w:rFonts w:hint="eastAsia" w:ascii="仿宋" w:hAnsi="仿宋" w:eastAsia="仿宋"/>
          <w:sz w:val="24"/>
          <w:highlight w:val="none"/>
        </w:rPr>
        <w:t>吴龙飞</w:t>
      </w:r>
    </w:p>
    <w:p>
      <w:pPr>
        <w:snapToGrid w:val="0"/>
        <w:spacing w:line="360" w:lineRule="auto"/>
        <w:rPr>
          <w:rFonts w:ascii="仿宋" w:hAnsi="仿宋" w:eastAsia="仿宋"/>
          <w:sz w:val="24"/>
          <w:highlight w:val="none"/>
        </w:rPr>
      </w:pPr>
      <w:r>
        <w:rPr>
          <w:rFonts w:ascii="仿宋" w:hAnsi="仿宋" w:eastAsia="仿宋"/>
          <w:sz w:val="24"/>
          <w:highlight w:val="none"/>
        </w:rPr>
        <w:t xml:space="preserve">    质疑联系方式：</w:t>
      </w:r>
      <w:r>
        <w:rPr>
          <w:rFonts w:hint="eastAsia" w:ascii="仿宋" w:hAnsi="仿宋" w:eastAsia="仿宋"/>
          <w:sz w:val="24"/>
          <w:highlight w:val="none"/>
        </w:rPr>
        <w:t xml:space="preserve">0571-86080328 </w:t>
      </w:r>
    </w:p>
    <w:p>
      <w:pPr>
        <w:snapToGrid w:val="0"/>
        <w:spacing w:line="360" w:lineRule="auto"/>
        <w:rPr>
          <w:rFonts w:ascii="仿宋" w:hAnsi="仿宋" w:eastAsia="仿宋"/>
          <w:sz w:val="24"/>
          <w:highlight w:val="none"/>
        </w:rPr>
      </w:pPr>
      <w:r>
        <w:rPr>
          <w:rFonts w:ascii="仿宋" w:hAnsi="仿宋" w:eastAsia="仿宋"/>
          <w:sz w:val="24"/>
          <w:highlight w:val="none"/>
        </w:rPr>
        <w:t xml:space="preserve">    3.同级政府采购监督管理部门            </w:t>
      </w:r>
    </w:p>
    <w:p>
      <w:pPr>
        <w:snapToGrid w:val="0"/>
        <w:spacing w:line="360" w:lineRule="auto"/>
        <w:rPr>
          <w:rFonts w:ascii="仿宋" w:hAnsi="仿宋" w:eastAsia="仿宋"/>
          <w:sz w:val="24"/>
          <w:highlight w:val="none"/>
        </w:rPr>
      </w:pPr>
      <w:r>
        <w:rPr>
          <w:rFonts w:ascii="仿宋" w:hAnsi="仿宋" w:eastAsia="仿宋"/>
          <w:sz w:val="24"/>
          <w:highlight w:val="none"/>
        </w:rPr>
        <w:t xml:space="preserve">    名    称：</w:t>
      </w:r>
      <w:r>
        <w:rPr>
          <w:rFonts w:hint="eastAsia" w:ascii="仿宋" w:hAnsi="仿宋" w:eastAsia="仿宋"/>
          <w:sz w:val="24"/>
          <w:highlight w:val="none"/>
        </w:rPr>
        <w:t>浙江省财政厅政府采购监管处</w:t>
      </w:r>
    </w:p>
    <w:p>
      <w:pPr>
        <w:snapToGrid w:val="0"/>
        <w:spacing w:line="360" w:lineRule="auto"/>
        <w:ind w:firstLine="480"/>
        <w:rPr>
          <w:rFonts w:ascii="仿宋" w:hAnsi="仿宋" w:eastAsia="仿宋"/>
          <w:sz w:val="24"/>
          <w:highlight w:val="none"/>
        </w:rPr>
      </w:pPr>
      <w:r>
        <w:rPr>
          <w:rFonts w:ascii="仿宋" w:hAnsi="仿宋" w:eastAsia="仿宋"/>
          <w:sz w:val="24"/>
          <w:highlight w:val="none"/>
        </w:rPr>
        <w:t>地    址：</w:t>
      </w:r>
      <w:r>
        <w:rPr>
          <w:rFonts w:hint="eastAsia" w:ascii="仿宋" w:hAnsi="仿宋" w:eastAsia="仿宋"/>
          <w:sz w:val="24"/>
          <w:highlight w:val="none"/>
        </w:rPr>
        <w:t>杭州市环城西路37号</w:t>
      </w:r>
    </w:p>
    <w:p>
      <w:pPr>
        <w:snapToGrid w:val="0"/>
        <w:spacing w:line="360" w:lineRule="auto"/>
        <w:ind w:firstLine="480"/>
        <w:rPr>
          <w:rFonts w:ascii="仿宋" w:hAnsi="仿宋" w:eastAsia="仿宋"/>
          <w:sz w:val="24"/>
          <w:highlight w:val="none"/>
        </w:rPr>
      </w:pPr>
      <w:r>
        <w:rPr>
          <w:rFonts w:ascii="仿宋" w:hAnsi="仿宋" w:eastAsia="仿宋"/>
          <w:sz w:val="24"/>
          <w:highlight w:val="none"/>
        </w:rPr>
        <w:t>传    真：</w:t>
      </w:r>
      <w:r>
        <w:rPr>
          <w:rFonts w:hint="eastAsia" w:ascii="仿宋" w:hAnsi="仿宋" w:eastAsia="仿宋"/>
          <w:sz w:val="24"/>
          <w:highlight w:val="none"/>
        </w:rPr>
        <w:t xml:space="preserve">/ </w:t>
      </w:r>
    </w:p>
    <w:p>
      <w:pPr>
        <w:snapToGrid w:val="0"/>
        <w:spacing w:line="360" w:lineRule="auto"/>
        <w:ind w:firstLine="480"/>
        <w:rPr>
          <w:rFonts w:ascii="仿宋" w:hAnsi="仿宋" w:eastAsia="仿宋"/>
          <w:sz w:val="24"/>
          <w:highlight w:val="none"/>
        </w:rPr>
      </w:pPr>
      <w:r>
        <w:rPr>
          <w:rFonts w:ascii="仿宋" w:hAnsi="仿宋" w:eastAsia="仿宋"/>
          <w:sz w:val="24"/>
          <w:highlight w:val="none"/>
        </w:rPr>
        <w:t>联系人 ：</w:t>
      </w:r>
      <w:r>
        <w:rPr>
          <w:rFonts w:hint="eastAsia" w:ascii="仿宋" w:hAnsi="仿宋" w:eastAsia="仿宋"/>
          <w:sz w:val="24"/>
          <w:highlight w:val="none"/>
        </w:rPr>
        <w:t>倪文良、吴聪瑜</w:t>
      </w:r>
    </w:p>
    <w:p>
      <w:pPr>
        <w:snapToGrid w:val="0"/>
        <w:spacing w:line="360" w:lineRule="auto"/>
        <w:ind w:firstLine="480"/>
        <w:rPr>
          <w:rFonts w:ascii="仿宋" w:hAnsi="仿宋" w:eastAsia="仿宋"/>
          <w:sz w:val="24"/>
          <w:highlight w:val="none"/>
        </w:rPr>
      </w:pPr>
      <w:r>
        <w:rPr>
          <w:rFonts w:hint="eastAsia" w:ascii="仿宋" w:hAnsi="仿宋" w:eastAsia="仿宋"/>
          <w:sz w:val="24"/>
          <w:highlight w:val="none"/>
        </w:rPr>
        <w:t>政策咨询：何一平、冯华，0571-87058424、87055741</w:t>
      </w:r>
    </w:p>
    <w:p>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若对项目采购电子交易系统操作有疑问，可登录政采云（</w:t>
      </w:r>
      <w:r>
        <w:rPr>
          <w:rFonts w:ascii="仿宋" w:hAnsi="仿宋" w:eastAsia="仿宋"/>
          <w:sz w:val="24"/>
          <w:highlight w:val="none"/>
        </w:rPr>
        <w:t>https://www.zcygov.cn/），点击右侧咨询小采，获取采小蜜智能服务管家帮助，或拨打政</w:t>
      </w:r>
      <w:r>
        <w:rPr>
          <w:rFonts w:hint="eastAsia" w:ascii="仿宋" w:hAnsi="仿宋" w:eastAsia="仿宋"/>
          <w:sz w:val="24"/>
          <w:highlight w:val="none"/>
        </w:rPr>
        <w:t>采云服务热线</w:t>
      </w:r>
      <w:r>
        <w:rPr>
          <w:rFonts w:ascii="仿宋" w:hAnsi="仿宋" w:eastAsia="仿宋"/>
          <w:sz w:val="24"/>
          <w:highlight w:val="none"/>
        </w:rPr>
        <w:t>400-881-7190获取热线服务帮助。</w:t>
      </w:r>
    </w:p>
    <w:p>
      <w:pPr>
        <w:snapToGrid w:val="0"/>
        <w:spacing w:line="360" w:lineRule="auto"/>
        <w:ind w:firstLine="480" w:firstLineChars="200"/>
        <w:rPr>
          <w:rFonts w:ascii="仿宋" w:hAnsi="仿宋" w:eastAsia="仿宋"/>
          <w:sz w:val="24"/>
          <w:highlight w:val="none"/>
        </w:rPr>
      </w:pPr>
      <w:r>
        <w:rPr>
          <w:rFonts w:ascii="仿宋" w:hAnsi="仿宋" w:eastAsia="仿宋"/>
          <w:sz w:val="24"/>
          <w:highlight w:val="none"/>
        </w:rPr>
        <w:t>CA问题联系电话（人工）：</w:t>
      </w:r>
      <w:r>
        <w:rPr>
          <w:rFonts w:hint="eastAsia" w:ascii="仿宋" w:hAnsi="仿宋" w:eastAsia="仿宋"/>
          <w:sz w:val="24"/>
          <w:highlight w:val="none"/>
        </w:rPr>
        <w:t>汇信</w:t>
      </w:r>
      <w:r>
        <w:rPr>
          <w:rFonts w:ascii="仿宋" w:hAnsi="仿宋" w:eastAsia="仿宋"/>
          <w:sz w:val="24"/>
          <w:highlight w:val="none"/>
        </w:rPr>
        <w:t>CA 400-888-4636；天谷CA 400-087-8198。</w:t>
      </w:r>
    </w:p>
    <w:p>
      <w:pPr>
        <w:pStyle w:val="9"/>
        <w:spacing w:line="360" w:lineRule="auto"/>
        <w:ind w:firstLine="480" w:firstLineChars="200"/>
        <w:rPr>
          <w:rFonts w:ascii="仿宋" w:hAnsi="仿宋" w:eastAsia="仿宋" w:cs="仿宋_GB2312"/>
          <w:sz w:val="24"/>
          <w:szCs w:val="24"/>
          <w:highlight w:val="none"/>
        </w:rPr>
      </w:pPr>
    </w:p>
    <w:p>
      <w:pPr>
        <w:adjustRightInd/>
        <w:spacing w:line="360" w:lineRule="auto"/>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8"/>
      <w:r>
        <w:rPr>
          <w:rFonts w:ascii="仿宋" w:hAnsi="仿宋" w:eastAsia="仿宋" w:cs="仿宋_GB2312"/>
          <w:b/>
          <w:sz w:val="36"/>
          <w:szCs w:val="20"/>
          <w:highlight w:val="none"/>
        </w:rPr>
        <w:t xml:space="preserve"> 投标人须知</w:t>
      </w:r>
      <w:bookmarkEnd w:id="9"/>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835"/>
        <w:gridCol w:w="55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序号</w:t>
            </w:r>
          </w:p>
        </w:tc>
        <w:tc>
          <w:tcPr>
            <w:tcW w:w="2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事项</w:t>
            </w:r>
          </w:p>
        </w:tc>
        <w:tc>
          <w:tcPr>
            <w:tcW w:w="552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t>1</w:t>
            </w:r>
          </w:p>
        </w:tc>
        <w:tc>
          <w:tcPr>
            <w:tcW w:w="2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报价要求</w:t>
            </w:r>
          </w:p>
        </w:tc>
        <w:tc>
          <w:tcPr>
            <w:tcW w:w="552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ascii="仿宋" w:hAnsi="仿宋" w:eastAsia="仿宋" w:cs="仿宋_GB2312"/>
                <w:b/>
                <w:kern w:val="0"/>
                <w:sz w:val="24"/>
                <w:highlight w:val="none"/>
                <w:lang w:val="zh-CN"/>
              </w:rPr>
            </w:pPr>
            <w:r>
              <w:rPr>
                <w:rFonts w:hint="eastAsia" w:ascii="仿宋" w:hAnsi="仿宋" w:eastAsia="仿宋"/>
                <w:kern w:val="0"/>
                <w:sz w:val="24"/>
                <w:highlight w:val="none"/>
                <w:lang w:val="zh-CN"/>
              </w:rPr>
              <w:t>有关本项目实施所需的所有费用（含税费）均计入报价。</w:t>
            </w:r>
            <w:r>
              <w:rPr>
                <w:rFonts w:hint="eastAsia" w:ascii="仿宋" w:hAnsi="仿宋" w:eastAsia="仿宋" w:cs="仿宋_GB2312"/>
                <w:sz w:val="24"/>
                <w:highlight w:val="none"/>
              </w:rPr>
              <w:t>开标一览表（报价表）</w:t>
            </w:r>
            <w:r>
              <w:rPr>
                <w:rFonts w:hint="eastAsia" w:ascii="仿宋" w:hAnsi="仿宋" w:eastAsia="仿宋"/>
                <w:sz w:val="24"/>
                <w:highlight w:val="none"/>
              </w:rPr>
              <w:t>是报价的唯一载体</w:t>
            </w:r>
            <w:r>
              <w:rPr>
                <w:rFonts w:hint="eastAsia" w:ascii="仿宋" w:hAnsi="仿宋" w:eastAsia="仿宋" w:cs="仿宋_GB2312"/>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投标报价出现下列情形的，投标无效：</w:t>
            </w:r>
          </w:p>
          <w:p>
            <w:pPr>
              <w:snapToGrid w:val="0"/>
              <w:spacing w:line="360" w:lineRule="auto"/>
              <w:ind w:firstLine="241" w:firstLineChars="100"/>
              <w:jc w:val="left"/>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投标文件出现不是唯一的、有选择性投标报价的；</w:t>
            </w:r>
          </w:p>
          <w:p>
            <w:pPr>
              <w:snapToGrid w:val="0"/>
              <w:spacing w:line="360" w:lineRule="auto"/>
              <w:ind w:firstLine="241" w:firstLineChars="100"/>
              <w:jc w:val="left"/>
              <w:rPr>
                <w:rFonts w:ascii="仿宋" w:hAnsi="仿宋" w:eastAsia="仿宋"/>
                <w:kern w:val="0"/>
                <w:sz w:val="24"/>
                <w:highlight w:val="none"/>
                <w:lang w:val="zh-CN"/>
              </w:rPr>
            </w:pPr>
            <w:r>
              <w:rPr>
                <w:rFonts w:hint="eastAsia" w:ascii="仿宋" w:hAnsi="仿宋" w:eastAsia="仿宋" w:cs="仿宋_GB2312"/>
                <w:b/>
                <w:kern w:val="0"/>
                <w:sz w:val="24"/>
                <w:highlight w:val="none"/>
                <w:lang w:val="zh-CN"/>
              </w:rPr>
              <w:t>投标报价超过招标文件中规定的预算金额或者最高限价的</w:t>
            </w:r>
            <w:r>
              <w:rPr>
                <w:rFonts w:ascii="仿宋" w:hAnsi="仿宋" w:eastAsia="仿宋"/>
                <w:b/>
                <w:kern w:val="0"/>
                <w:sz w:val="24"/>
                <w:highlight w:val="none"/>
                <w:lang w:val="zh-CN"/>
              </w:rPr>
              <w:t>;</w:t>
            </w:r>
          </w:p>
          <w:p>
            <w:pPr>
              <w:spacing w:line="360" w:lineRule="auto"/>
              <w:ind w:firstLine="241" w:firstLineChars="100"/>
              <w:rPr>
                <w:rFonts w:ascii="仿宋" w:hAnsi="仿宋" w:eastAsia="仿宋" w:cs="仿宋_GB2312"/>
                <w:b/>
                <w:sz w:val="24"/>
                <w:highlight w:val="none"/>
              </w:rPr>
            </w:pPr>
            <w:r>
              <w:rPr>
                <w:rFonts w:hint="eastAsia" w:ascii="仿宋" w:hAnsi="仿宋" w:eastAsia="仿宋" w:cs="Arial"/>
                <w:b/>
                <w:kern w:val="0"/>
                <w:sz w:val="24"/>
                <w:highlight w:val="none"/>
              </w:rPr>
              <w:t>报价明显低于其他通过符合性审查投标人的报价，有可能不能诚信履约的，未能按要求提供书面说明或者提交相关证明材料证明其报价合理性的</w:t>
            </w:r>
            <w:r>
              <w:rPr>
                <w:rFonts w:ascii="仿宋" w:hAnsi="仿宋" w:eastAsia="仿宋" w:cs="仿宋_GB2312"/>
                <w:b/>
                <w:sz w:val="24"/>
                <w:szCs w:val="21"/>
                <w:highlight w:val="none"/>
              </w:rPr>
              <w:t>;</w:t>
            </w:r>
          </w:p>
          <w:p>
            <w:pPr>
              <w:spacing w:line="360" w:lineRule="auto"/>
              <w:ind w:firstLine="241" w:firstLineChars="100"/>
              <w:rPr>
                <w:rFonts w:ascii="仿宋" w:hAnsi="仿宋" w:eastAsia="仿宋"/>
                <w:sz w:val="24"/>
                <w:highlight w:val="none"/>
              </w:rPr>
            </w:pPr>
            <w:r>
              <w:rPr>
                <w:rFonts w:hint="eastAsia" w:ascii="仿宋" w:hAnsi="仿宋" w:eastAsia="仿宋" w:cs="Arial"/>
                <w:b/>
                <w:kern w:val="0"/>
                <w:sz w:val="24"/>
                <w:highlight w:val="none"/>
              </w:rPr>
              <w:t>投标人对根据修正原则修正后的报价不确认的</w:t>
            </w:r>
            <w:r>
              <w:rPr>
                <w:rFonts w:hint="eastAsia" w:ascii="仿宋" w:hAnsi="仿宋" w:eastAsia="仿宋"/>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t>2</w:t>
            </w:r>
          </w:p>
        </w:tc>
        <w:tc>
          <w:tcPr>
            <w:tcW w:w="2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分包</w:t>
            </w:r>
          </w:p>
        </w:tc>
        <w:tc>
          <w:tcPr>
            <w:tcW w:w="552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sz w:val="24"/>
                <w:highlight w:val="none"/>
              </w:rPr>
            </w:pPr>
            <w:r>
              <w:rPr>
                <w:rFonts w:ascii="仿宋_GB2312" w:hAnsi="仿宋" w:eastAsia="仿宋_GB2312" w:cs="Arial"/>
                <w:kern w:val="0"/>
                <w:sz w:val="24"/>
                <w:highlight w:val="none"/>
              </w:rPr>
              <w:sym w:font="Wingdings" w:char="F0FE"/>
            </w:r>
            <w:r>
              <w:rPr>
                <w:rFonts w:hint="eastAsia" w:ascii="仿宋_GB2312" w:hAnsi="仿宋" w:eastAsia="仿宋_GB2312" w:cs="Arial"/>
                <w:kern w:val="0"/>
                <w:sz w:val="24"/>
                <w:highlight w:val="none"/>
              </w:rPr>
              <w:t>B不</w:t>
            </w:r>
            <w:r>
              <w:rPr>
                <w:rFonts w:hint="eastAsia" w:ascii="仿宋" w:hAnsi="仿宋" w:eastAsia="仿宋" w:cs="仿宋"/>
                <w:sz w:val="24"/>
                <w:highlight w:val="none"/>
              </w:rPr>
              <w:t>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t>3</w:t>
            </w:r>
          </w:p>
        </w:tc>
        <w:tc>
          <w:tcPr>
            <w:tcW w:w="2835"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投标人应当提供的资格、资信证明文件</w:t>
            </w:r>
          </w:p>
        </w:tc>
        <w:tc>
          <w:tcPr>
            <w:tcW w:w="5528"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1）资格证明文件：见招标文件第二部分11.1。</w:t>
            </w:r>
          </w:p>
          <w:p>
            <w:pPr>
              <w:spacing w:line="360" w:lineRule="auto"/>
              <w:rPr>
                <w:rFonts w:ascii="仿宋" w:hAnsi="仿宋" w:eastAsia="仿宋" w:cs="Arial"/>
                <w:snapToGrid w:val="0"/>
                <w:kern w:val="0"/>
                <w:szCs w:val="21"/>
                <w:highlight w:val="none"/>
              </w:rPr>
            </w:pPr>
            <w:r>
              <w:rPr>
                <w:rFonts w:hint="eastAsia" w:ascii="仿宋" w:hAnsi="仿宋" w:eastAsia="仿宋"/>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4"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sz w:val="24"/>
                <w:highlight w:val="none"/>
              </w:rPr>
            </w:pPr>
          </w:p>
        </w:tc>
        <w:tc>
          <w:tcPr>
            <w:tcW w:w="2835"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highlight w:val="none"/>
              </w:rPr>
            </w:pPr>
          </w:p>
        </w:tc>
        <w:tc>
          <w:tcPr>
            <w:tcW w:w="5528"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t>4</w:t>
            </w:r>
          </w:p>
        </w:tc>
        <w:tc>
          <w:tcPr>
            <w:tcW w:w="2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开标前答疑会或现场考察</w:t>
            </w:r>
          </w:p>
        </w:tc>
        <w:tc>
          <w:tcPr>
            <w:tcW w:w="552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0"/>
                <w:highlight w:val="none"/>
              </w:rPr>
            </w:pPr>
            <w:r>
              <w:rPr>
                <w:rFonts w:hint="eastAsia" w:ascii="仿宋" w:hAnsi="仿宋" w:eastAsia="仿宋"/>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5</w:t>
            </w:r>
          </w:p>
        </w:tc>
        <w:tc>
          <w:tcPr>
            <w:tcW w:w="283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sz w:val="24"/>
                <w:highlight w:val="none"/>
              </w:rPr>
            </w:pPr>
            <w:r>
              <w:rPr>
                <w:rFonts w:hint="eastAsia" w:ascii="仿宋" w:hAnsi="仿宋" w:eastAsia="仿宋" w:cs="仿宋_GB2312"/>
                <w:b/>
                <w:sz w:val="24"/>
                <w:highlight w:val="none"/>
              </w:rPr>
              <w:t>方案讲解演示</w:t>
            </w:r>
          </w:p>
        </w:tc>
        <w:tc>
          <w:tcPr>
            <w:tcW w:w="552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_GB2312"/>
                <w:b/>
                <w:kern w:val="0"/>
                <w:sz w:val="24"/>
                <w:highlight w:val="none"/>
                <w:lang w:val="zh-CN"/>
              </w:rPr>
            </w:pPr>
            <w:r>
              <w:rPr>
                <w:rFonts w:hint="eastAsia" w:ascii="仿宋" w:hAnsi="仿宋" w:eastAsia="仿宋"/>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6</w:t>
            </w:r>
          </w:p>
        </w:tc>
        <w:tc>
          <w:tcPr>
            <w:tcW w:w="283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采购标的对应的中小企业划分标准所属行业</w:t>
            </w:r>
          </w:p>
        </w:tc>
        <w:tc>
          <w:tcPr>
            <w:tcW w:w="552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Arial"/>
                <w:kern w:val="0"/>
                <w:sz w:val="24"/>
                <w:highlight w:val="none"/>
                <w:u w:val="single"/>
              </w:rPr>
            </w:pPr>
            <w:r>
              <w:rPr>
                <w:rFonts w:hint="eastAsia" w:ascii="仿宋" w:hAnsi="仿宋" w:eastAsia="仿宋"/>
                <w:sz w:val="24"/>
                <w:highlight w:val="none"/>
              </w:rPr>
              <w:t>标的：富春江-新安江风景名胜区总体规划修编项目，属于</w:t>
            </w:r>
            <w:r>
              <w:rPr>
                <w:rFonts w:hint="eastAsia" w:ascii="仿宋" w:hAnsi="仿宋" w:eastAsia="仿宋"/>
                <w:b/>
                <w:bCs/>
                <w:sz w:val="24"/>
                <w:highlight w:val="none"/>
              </w:rPr>
              <w:t>其他未列明行业</w:t>
            </w:r>
            <w:r>
              <w:rPr>
                <w:rFonts w:hint="eastAsia"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7</w:t>
            </w:r>
          </w:p>
        </w:tc>
        <w:tc>
          <w:tcPr>
            <w:tcW w:w="2835"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中小企业信用融资</w:t>
            </w:r>
          </w:p>
        </w:tc>
        <w:tc>
          <w:tcPr>
            <w:tcW w:w="5528" w:type="dxa"/>
            <w:tcBorders>
              <w:top w:val="single" w:color="000000" w:sz="8" w:space="0"/>
              <w:left w:val="single" w:color="000000" w:sz="2" w:space="0"/>
              <w:bottom w:val="single" w:color="000000" w:sz="8" w:space="0"/>
              <w:right w:val="single" w:color="000000" w:sz="8" w:space="0"/>
            </w:tcBorders>
            <w:vAlign w:val="center"/>
          </w:tcPr>
          <w:p>
            <w:pPr>
              <w:spacing w:before="1" w:line="359" w:lineRule="auto"/>
              <w:ind w:right="1" w:firstLine="418"/>
              <w:rPr>
                <w:rFonts w:ascii="仿宋" w:hAnsi="仿宋" w:eastAsia="仿宋"/>
                <w:sz w:val="24"/>
                <w:highlight w:val="none"/>
              </w:rPr>
            </w:pPr>
            <w:r>
              <w:rPr>
                <w:rFonts w:hint="eastAsia" w:ascii="仿宋" w:hAnsi="仿宋" w:eastAsia="仿宋"/>
                <w:snapToGrid w:val="0"/>
                <w:kern w:val="28"/>
                <w:sz w:val="24"/>
                <w:highlight w:val="none"/>
              </w:rPr>
              <w:t>为支持和促进中小企业发展，进一步发挥政府采购政策功能，</w:t>
            </w:r>
            <w:r>
              <w:rPr>
                <w:rFonts w:ascii="仿宋" w:hAnsi="仿宋" w:eastAsia="仿宋" w:cs="仿宋"/>
                <w:sz w:val="24"/>
                <w:highlight w:val="none"/>
              </w:rPr>
              <w:t>省财政厅</w:t>
            </w:r>
            <w:r>
              <w:rPr>
                <w:rFonts w:ascii="仿宋" w:hAnsi="仿宋" w:eastAsia="仿宋" w:cs="仿宋"/>
                <w:spacing w:val="-46"/>
                <w:sz w:val="24"/>
                <w:highlight w:val="none"/>
              </w:rPr>
              <w:t>、</w:t>
            </w:r>
            <w:r>
              <w:rPr>
                <w:rFonts w:ascii="仿宋" w:hAnsi="仿宋" w:eastAsia="仿宋" w:cs="仿宋"/>
                <w:sz w:val="24"/>
                <w:highlight w:val="none"/>
              </w:rPr>
              <w:t>浙江银监局</w:t>
            </w:r>
            <w:r>
              <w:rPr>
                <w:rFonts w:ascii="仿宋" w:hAnsi="仿宋" w:eastAsia="仿宋" w:cs="仿宋"/>
                <w:spacing w:val="-46"/>
                <w:sz w:val="24"/>
                <w:highlight w:val="none"/>
              </w:rPr>
              <w:t>、</w:t>
            </w:r>
            <w:r>
              <w:rPr>
                <w:rFonts w:ascii="仿宋" w:hAnsi="仿宋" w:eastAsia="仿宋" w:cs="仿宋"/>
                <w:sz w:val="24"/>
                <w:highlight w:val="none"/>
              </w:rPr>
              <w:t>省金融办制定了《浙江省政府采购支持中小企业信用融资试点办法》（浙财采监[2012]13号</w:t>
            </w:r>
            <w:r>
              <w:rPr>
                <w:rFonts w:ascii="仿宋" w:hAnsi="仿宋" w:eastAsia="仿宋" w:cs="仿宋"/>
                <w:spacing w:val="-21"/>
                <w:sz w:val="24"/>
                <w:highlight w:val="none"/>
              </w:rPr>
              <w:t>）</w:t>
            </w:r>
            <w:r>
              <w:rPr>
                <w:rFonts w:ascii="仿宋" w:hAnsi="仿宋" w:eastAsia="仿宋" w:cs="仿宋"/>
                <w:spacing w:val="-120"/>
                <w:sz w:val="24"/>
                <w:highlight w:val="none"/>
              </w:rPr>
              <w:t xml:space="preserve"> </w:t>
            </w:r>
            <w:r>
              <w:rPr>
                <w:rFonts w:ascii="仿宋" w:hAnsi="仿宋" w:eastAsia="仿宋" w:cs="仿宋"/>
                <w:spacing w:val="-21"/>
                <w:sz w:val="24"/>
                <w:highlight w:val="none"/>
              </w:rPr>
              <w:t>，</w:t>
            </w:r>
            <w:r>
              <w:rPr>
                <w:rFonts w:ascii="仿宋" w:hAnsi="仿宋" w:eastAsia="仿宋" w:cs="仿宋"/>
                <w:sz w:val="24"/>
                <w:highlight w:val="none"/>
              </w:rPr>
              <w:t>所称的政府采购信用融资</w:t>
            </w:r>
            <w:r>
              <w:rPr>
                <w:rFonts w:ascii="仿宋" w:hAnsi="仿宋" w:eastAsia="仿宋" w:cs="仿宋"/>
                <w:spacing w:val="-21"/>
                <w:sz w:val="24"/>
                <w:highlight w:val="none"/>
              </w:rPr>
              <w:t>，</w:t>
            </w:r>
            <w:r>
              <w:rPr>
                <w:rFonts w:ascii="仿宋" w:hAnsi="仿宋" w:eastAsia="仿宋" w:cs="仿宋"/>
                <w:spacing w:val="-120"/>
                <w:sz w:val="24"/>
                <w:highlight w:val="none"/>
              </w:rPr>
              <w:t xml:space="preserve"> </w:t>
            </w:r>
            <w:r>
              <w:rPr>
                <w:rFonts w:ascii="仿宋" w:hAnsi="仿宋" w:eastAsia="仿宋" w:cs="仿宋"/>
                <w:sz w:val="24"/>
                <w:highlight w:val="none"/>
              </w:rPr>
              <w:t>是指银行业金融机构（以下简称银行</w:t>
            </w:r>
            <w:r>
              <w:rPr>
                <w:rFonts w:ascii="仿宋" w:hAnsi="仿宋" w:eastAsia="仿宋" w:cs="仿宋"/>
                <w:spacing w:val="-22"/>
                <w:sz w:val="24"/>
                <w:highlight w:val="none"/>
              </w:rPr>
              <w:t>）</w:t>
            </w:r>
            <w:r>
              <w:rPr>
                <w:rFonts w:ascii="仿宋" w:hAnsi="仿宋" w:eastAsia="仿宋" w:cs="仿宋"/>
                <w:spacing w:val="-120"/>
                <w:sz w:val="24"/>
                <w:highlight w:val="none"/>
              </w:rPr>
              <w:t xml:space="preserve"> </w:t>
            </w:r>
            <w:r>
              <w:rPr>
                <w:rFonts w:ascii="仿宋" w:hAnsi="仿宋" w:eastAsia="仿宋" w:cs="仿宋"/>
                <w:sz w:val="24"/>
                <w:highlight w:val="none"/>
              </w:rPr>
              <w:t>以政府采购诚信考核和信用审查为基础</w:t>
            </w:r>
            <w:r>
              <w:rPr>
                <w:rFonts w:ascii="仿宋" w:hAnsi="仿宋" w:eastAsia="仿宋" w:cs="仿宋"/>
                <w:spacing w:val="-21"/>
                <w:sz w:val="24"/>
                <w:highlight w:val="none"/>
              </w:rPr>
              <w:t>，</w:t>
            </w:r>
            <w:r>
              <w:rPr>
                <w:rFonts w:ascii="仿宋" w:hAnsi="仿宋" w:eastAsia="仿宋" w:cs="仿宋"/>
                <w:spacing w:val="-120"/>
                <w:sz w:val="24"/>
                <w:highlight w:val="none"/>
              </w:rPr>
              <w:t xml:space="preserve"> </w:t>
            </w:r>
            <w:r>
              <w:rPr>
                <w:rFonts w:ascii="仿宋" w:hAnsi="仿宋" w:eastAsia="仿宋" w:cs="仿宋"/>
                <w:sz w:val="24"/>
                <w:highlight w:val="none"/>
              </w:rPr>
              <w:t>凭借政府采购合同</w:t>
            </w:r>
            <w:r>
              <w:rPr>
                <w:rFonts w:ascii="仿宋" w:hAnsi="仿宋" w:eastAsia="仿宋" w:cs="仿宋"/>
                <w:spacing w:val="-21"/>
                <w:sz w:val="24"/>
                <w:highlight w:val="none"/>
              </w:rPr>
              <w:t>，</w:t>
            </w:r>
            <w:r>
              <w:rPr>
                <w:rFonts w:ascii="仿宋" w:hAnsi="仿宋" w:eastAsia="仿宋" w:cs="仿宋"/>
                <w:spacing w:val="-120"/>
                <w:sz w:val="24"/>
                <w:highlight w:val="none"/>
              </w:rPr>
              <w:t xml:space="preserve"> </w:t>
            </w:r>
            <w:r>
              <w:rPr>
                <w:rFonts w:ascii="仿宋" w:hAnsi="仿宋" w:eastAsia="仿宋" w:cs="仿宋"/>
                <w:sz w:val="24"/>
                <w:highlight w:val="none"/>
              </w:rPr>
              <w:t>按优于一般中小企业的贷款利率直接向申请贷款的供应商发放贷款的一种融资方式</w:t>
            </w:r>
            <w:r>
              <w:rPr>
                <w:rFonts w:ascii="仿宋" w:hAnsi="仿宋" w:eastAsia="仿宋" w:cs="仿宋"/>
                <w:spacing w:val="-64"/>
                <w:sz w:val="24"/>
                <w:highlight w:val="none"/>
              </w:rPr>
              <w:t>。</w:t>
            </w:r>
            <w:r>
              <w:rPr>
                <w:rFonts w:ascii="仿宋" w:hAnsi="仿宋" w:eastAsia="仿宋" w:cs="仿宋"/>
                <w:sz w:val="24"/>
                <w:highlight w:val="none"/>
              </w:rPr>
              <w:t>供应商可登陆浙江政府采购（</w:t>
            </w:r>
            <w:r>
              <w:rPr>
                <w:highlight w:val="none"/>
              </w:rPr>
              <w:fldChar w:fldCharType="begin"/>
            </w:r>
            <w:r>
              <w:rPr>
                <w:highlight w:val="none"/>
              </w:rPr>
              <w:instrText xml:space="preserve"> HYPERLINK "http://zfcg.czt.zj.gov.cn/" </w:instrText>
            </w:r>
            <w:r>
              <w:rPr>
                <w:highlight w:val="none"/>
              </w:rPr>
              <w:fldChar w:fldCharType="separate"/>
            </w:r>
            <w:r>
              <w:rPr>
                <w:rFonts w:ascii="仿宋" w:hAnsi="仿宋" w:eastAsia="仿宋" w:cs="仿宋"/>
                <w:sz w:val="24"/>
                <w:highlight w:val="none"/>
              </w:rPr>
              <w:t>http://zfcg.czt.zj.gov.cn/</w:t>
            </w:r>
            <w:r>
              <w:rPr>
                <w:rFonts w:ascii="仿宋" w:hAnsi="仿宋" w:eastAsia="仿宋" w:cs="仿宋"/>
                <w:sz w:val="24"/>
                <w:highlight w:val="none"/>
              </w:rPr>
              <w:fldChar w:fldCharType="end"/>
            </w:r>
            <w:r>
              <w:rPr>
                <w:rFonts w:ascii="仿宋" w:hAnsi="仿宋" w:eastAsia="仿宋" w:cs="仿宋"/>
                <w:spacing w:val="-63"/>
                <w:sz w:val="24"/>
                <w:highlight w:val="none"/>
              </w:rPr>
              <w:t>）</w:t>
            </w:r>
            <w:r>
              <w:rPr>
                <w:rFonts w:ascii="仿宋" w:hAnsi="仿宋" w:eastAsia="仿宋" w:cs="仿宋"/>
                <w:sz w:val="24"/>
                <w:highlight w:val="none"/>
              </w:rPr>
              <w:t>中小企业信用融资栏目了解相关信息</w:t>
            </w:r>
            <w:r>
              <w:rPr>
                <w:rFonts w:ascii="仿宋" w:hAnsi="仿宋" w:eastAsia="仿宋" w:cs="仿宋"/>
                <w:spacing w:val="-3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仿宋" w:hAnsi="仿宋" w:eastAsia="仿宋"/>
                <w:highlight w:val="none"/>
              </w:rPr>
            </w:pPr>
          </w:p>
        </w:tc>
        <w:tc>
          <w:tcPr>
            <w:tcW w:w="2835"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highlight w:val="none"/>
              </w:rPr>
            </w:pPr>
          </w:p>
        </w:tc>
        <w:tc>
          <w:tcPr>
            <w:tcW w:w="552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kern w:val="28"/>
                <w:sz w:val="24"/>
                <w:highlight w:val="none"/>
              </w:rPr>
            </w:pPr>
            <w:r>
              <w:rPr>
                <w:rFonts w:hint="eastAsia" w:ascii="仿宋" w:hAnsi="仿宋" w:eastAsia="仿宋"/>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8</w:t>
            </w:r>
          </w:p>
        </w:tc>
        <w:tc>
          <w:tcPr>
            <w:tcW w:w="283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备份投标文件送达地点和签收人员</w:t>
            </w:r>
          </w:p>
        </w:tc>
        <w:tc>
          <w:tcPr>
            <w:tcW w:w="5528" w:type="dxa"/>
            <w:tcBorders>
              <w:top w:val="single" w:color="000000" w:sz="8" w:space="0"/>
              <w:left w:val="single" w:color="000000" w:sz="2" w:space="0"/>
              <w:bottom w:val="single" w:color="000000" w:sz="8" w:space="0"/>
              <w:right w:val="single" w:color="000000" w:sz="8" w:space="0"/>
            </w:tcBorders>
            <w:vAlign w:val="center"/>
          </w:tcPr>
          <w:p>
            <w:pPr>
              <w:pStyle w:val="9"/>
              <w:spacing w:line="360" w:lineRule="auto"/>
              <w:rPr>
                <w:rFonts w:ascii="仿宋" w:hAnsi="仿宋" w:eastAsia="仿宋"/>
                <w:kern w:val="28"/>
                <w:sz w:val="24"/>
                <w:highlight w:val="none"/>
              </w:rPr>
            </w:pPr>
            <w:r>
              <w:rPr>
                <w:rFonts w:hint="eastAsia" w:ascii="仿宋" w:hAnsi="仿宋" w:eastAsia="仿宋" w:cs="Times New Roman"/>
                <w:kern w:val="28"/>
                <w:sz w:val="24"/>
                <w:szCs w:val="24"/>
                <w:highlight w:val="none"/>
              </w:rPr>
              <w:t>备份投标文件送达地点：</w:t>
            </w:r>
            <w:r>
              <w:rPr>
                <w:rFonts w:hint="eastAsia" w:ascii="仿宋" w:hAnsi="仿宋" w:eastAsia="仿宋" w:cs="Times New Roman"/>
                <w:kern w:val="28"/>
                <w:sz w:val="24"/>
                <w:szCs w:val="24"/>
                <w:highlight w:val="none"/>
                <w:u w:val="single"/>
              </w:rPr>
              <w:t>杭州市西湖区振华路298号西港发展中心西3幢B座8楼</w:t>
            </w:r>
            <w:r>
              <w:rPr>
                <w:rFonts w:hint="eastAsia" w:ascii="仿宋" w:hAnsi="仿宋" w:eastAsia="仿宋" w:cs="Times New Roman"/>
                <w:kern w:val="28"/>
                <w:sz w:val="24"/>
                <w:szCs w:val="24"/>
                <w:highlight w:val="none"/>
              </w:rPr>
              <w:t>；备份投标文件签收人员联系电话：</w:t>
            </w:r>
            <w:r>
              <w:rPr>
                <w:rFonts w:hint="eastAsia" w:ascii="仿宋" w:hAnsi="仿宋" w:eastAsia="仿宋"/>
                <w:sz w:val="24"/>
                <w:highlight w:val="none"/>
                <w:u w:val="single"/>
              </w:rPr>
              <w:t>15215879512</w:t>
            </w:r>
            <w:r>
              <w:rPr>
                <w:rFonts w:hint="eastAsia" w:ascii="仿宋" w:hAnsi="仿宋" w:eastAsia="仿宋" w:cs="仿宋_GB2312"/>
                <w:sz w:val="24"/>
                <w:szCs w:val="24"/>
                <w:highlight w:val="none"/>
              </w:rPr>
              <w:t>。</w:t>
            </w:r>
            <w:r>
              <w:rPr>
                <w:rFonts w:hint="eastAsia" w:ascii="仿宋" w:hAnsi="仿宋" w:eastAsia="仿宋" w:cs="仿宋_GB2312"/>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9</w:t>
            </w:r>
          </w:p>
        </w:tc>
        <w:tc>
          <w:tcPr>
            <w:tcW w:w="283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highlight w:val="none"/>
              </w:rPr>
            </w:pPr>
            <w:r>
              <w:rPr>
                <w:rFonts w:hint="eastAsia" w:ascii="仿宋" w:hAnsi="仿宋" w:eastAsia="仿宋" w:cs="仿宋_GB2312"/>
                <w:b/>
                <w:sz w:val="24"/>
                <w:highlight w:val="none"/>
              </w:rPr>
              <w:t>特别说明</w:t>
            </w:r>
          </w:p>
        </w:tc>
        <w:tc>
          <w:tcPr>
            <w:tcW w:w="552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kern w:val="28"/>
                <w:sz w:val="24"/>
                <w:highlight w:val="none"/>
              </w:rPr>
            </w:pPr>
            <w:r>
              <w:rPr>
                <w:rFonts w:ascii="仿宋" w:hAnsi="仿宋" w:eastAsia="仿宋"/>
                <w:snapToGrid w:val="0"/>
                <w:kern w:val="28"/>
                <w:sz w:val="24"/>
                <w:highlight w:val="none"/>
              </w:rPr>
              <w:t>本项目由采购代理机构负责采购代理工作，采购活动结束后中标单位在领取中标通知书需向采购代理机构支付代理服务费，费用按中</w:t>
            </w:r>
            <w:r>
              <w:rPr>
                <w:rFonts w:hint="eastAsia" w:ascii="仿宋" w:hAnsi="仿宋" w:eastAsia="仿宋"/>
                <w:snapToGrid w:val="0"/>
                <w:kern w:val="28"/>
                <w:sz w:val="24"/>
                <w:highlight w:val="none"/>
              </w:rPr>
              <w:t>标金额的0.7%</w:t>
            </w:r>
            <w:r>
              <w:rPr>
                <w:rFonts w:ascii="仿宋" w:hAnsi="仿宋" w:eastAsia="仿宋"/>
                <w:snapToGrid w:val="0"/>
                <w:kern w:val="28"/>
                <w:sz w:val="24"/>
                <w:highlight w:val="none"/>
              </w:rPr>
              <w:t>计取,该费用考虑在投标总报价中，不必单列。</w:t>
            </w:r>
          </w:p>
        </w:tc>
      </w:tr>
      <w:bookmarkEnd w:id="10"/>
    </w:tbl>
    <w:p>
      <w:pPr>
        <w:adjustRightInd/>
        <w:spacing w:line="360" w:lineRule="auto"/>
        <w:ind w:firstLine="3845" w:firstLineChars="1197"/>
        <w:outlineLvl w:val="0"/>
        <w:rPr>
          <w:rFonts w:ascii="仿宋" w:hAnsi="仿宋" w:eastAsia="仿宋" w:cs="仿宋_GB2312"/>
          <w:b/>
          <w:sz w:val="32"/>
          <w:szCs w:val="20"/>
          <w:highlight w:val="none"/>
        </w:rPr>
      </w:pPr>
      <w:bookmarkStart w:id="11" w:name="第三部分"/>
      <w:bookmarkStart w:id="12" w:name="_Toc164416483"/>
    </w:p>
    <w:p>
      <w:pPr>
        <w:adjustRightInd/>
        <w:spacing w:line="360" w:lineRule="auto"/>
        <w:ind w:firstLine="3845" w:firstLineChars="1197"/>
        <w:outlineLvl w:val="0"/>
        <w:rPr>
          <w:rFonts w:ascii="仿宋" w:hAnsi="仿宋" w:eastAsia="仿宋" w:cs="仿宋_GB2312"/>
          <w:b/>
          <w:sz w:val="32"/>
          <w:szCs w:val="20"/>
          <w:highlight w:val="none"/>
        </w:rPr>
      </w:pPr>
    </w:p>
    <w:p>
      <w:pPr>
        <w:adjustRightInd/>
        <w:spacing w:line="360" w:lineRule="auto"/>
        <w:ind w:firstLine="3845" w:firstLineChars="1197"/>
        <w:outlineLvl w:val="0"/>
        <w:rPr>
          <w:rFonts w:ascii="仿宋" w:hAnsi="仿宋" w:eastAsia="仿宋" w:cs="仿宋_GB2312"/>
          <w:b/>
          <w:sz w:val="32"/>
          <w:szCs w:val="20"/>
          <w:highlight w:val="none"/>
        </w:rPr>
      </w:pPr>
    </w:p>
    <w:p>
      <w:pPr>
        <w:adjustRightInd/>
        <w:spacing w:line="360" w:lineRule="auto"/>
        <w:ind w:firstLine="3845" w:firstLineChars="1197"/>
        <w:outlineLvl w:val="0"/>
        <w:rPr>
          <w:rFonts w:ascii="仿宋" w:hAnsi="仿宋" w:eastAsia="仿宋" w:cs="仿宋_GB2312"/>
          <w:b/>
          <w:sz w:val="32"/>
          <w:szCs w:val="20"/>
          <w:highlight w:val="none"/>
        </w:rPr>
      </w:pPr>
    </w:p>
    <w:p>
      <w:pPr>
        <w:adjustRightInd/>
        <w:spacing w:line="360" w:lineRule="auto"/>
        <w:ind w:firstLine="3845" w:firstLineChars="1197"/>
        <w:outlineLvl w:val="0"/>
        <w:rPr>
          <w:rFonts w:ascii="仿宋" w:hAnsi="仿宋" w:eastAsia="仿宋" w:cs="仿宋_GB2312"/>
          <w:b/>
          <w:sz w:val="32"/>
          <w:szCs w:val="20"/>
          <w:highlight w:val="none"/>
        </w:rPr>
      </w:pPr>
    </w:p>
    <w:p>
      <w:pPr>
        <w:adjustRightInd/>
        <w:spacing w:line="360" w:lineRule="auto"/>
        <w:ind w:firstLine="3845" w:firstLineChars="1197"/>
        <w:outlineLvl w:val="0"/>
        <w:rPr>
          <w:rFonts w:ascii="仿宋" w:hAnsi="仿宋" w:eastAsia="仿宋" w:cs="仿宋_GB2312"/>
          <w:b/>
          <w:sz w:val="32"/>
          <w:szCs w:val="20"/>
          <w:highlight w:val="none"/>
        </w:rPr>
      </w:pPr>
      <w:r>
        <w:rPr>
          <w:rFonts w:hint="eastAsia" w:ascii="仿宋" w:hAnsi="仿宋" w:eastAsia="仿宋" w:cs="仿宋_GB2312"/>
          <w:b/>
          <w:sz w:val="32"/>
          <w:szCs w:val="20"/>
          <w:highlight w:val="none"/>
        </w:rPr>
        <w:t>一、总则</w:t>
      </w:r>
    </w:p>
    <w:p>
      <w:pPr>
        <w:snapToGrid w:val="0"/>
        <w:spacing w:line="360" w:lineRule="auto"/>
        <w:ind w:firstLine="482" w:firstLineChars="200"/>
        <w:jc w:val="left"/>
        <w:outlineLvl w:val="1"/>
        <w:rPr>
          <w:rFonts w:ascii="仿宋" w:hAnsi="仿宋" w:eastAsia="仿宋"/>
          <w:b/>
          <w:sz w:val="24"/>
          <w:highlight w:val="none"/>
        </w:rPr>
      </w:pPr>
      <w:r>
        <w:rPr>
          <w:rFonts w:ascii="仿宋" w:hAnsi="仿宋" w:eastAsia="仿宋"/>
          <w:b/>
          <w:sz w:val="24"/>
          <w:highlight w:val="none"/>
        </w:rPr>
        <w:t>1.</w:t>
      </w:r>
      <w:r>
        <w:rPr>
          <w:rFonts w:hint="eastAsia" w:ascii="仿宋" w:hAnsi="仿宋" w:eastAsia="仿宋"/>
          <w:b/>
          <w:sz w:val="24"/>
          <w:highlight w:val="none"/>
        </w:rPr>
        <w:t>适用范围</w:t>
      </w:r>
    </w:p>
    <w:p>
      <w:pPr>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本招标文件适用于该项目的招标、投标、开标、资格审查及信用信息查询、评标、定标、合同、验收等行为（法律、法规另有规定的，从其规定）。</w:t>
      </w:r>
    </w:p>
    <w:p>
      <w:pPr>
        <w:adjustRightInd/>
        <w:spacing w:line="360" w:lineRule="auto"/>
        <w:ind w:firstLine="482" w:firstLineChars="200"/>
        <w:outlineLvl w:val="0"/>
        <w:rPr>
          <w:rFonts w:ascii="仿宋" w:hAnsi="仿宋" w:eastAsia="仿宋" w:cs="仿宋_GB2312"/>
          <w:b/>
          <w:sz w:val="24"/>
          <w:highlight w:val="none"/>
        </w:rPr>
      </w:pPr>
      <w:r>
        <w:rPr>
          <w:rFonts w:ascii="仿宋" w:hAnsi="仿宋" w:eastAsia="仿宋" w:cs="仿宋_GB2312"/>
          <w:b/>
          <w:sz w:val="24"/>
          <w:highlight w:val="none"/>
        </w:rPr>
        <w:t>2.定义</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2.1</w:t>
      </w:r>
      <w:r>
        <w:rPr>
          <w:rFonts w:hint="eastAsia" w:ascii="仿宋" w:hAnsi="仿宋" w:eastAsia="仿宋"/>
          <w:sz w:val="24"/>
          <w:highlight w:val="none"/>
        </w:rPr>
        <w:t>“采购人”系指招标公告中载明的本项目的采购人。</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“采购机构”系指招标公告中载明的本项目的采购机构。</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2.3</w:t>
      </w:r>
      <w:r>
        <w:rPr>
          <w:rFonts w:hint="eastAsia" w:ascii="仿宋" w:hAnsi="仿宋" w:eastAsia="仿宋"/>
          <w:sz w:val="24"/>
          <w:highlight w:val="none"/>
        </w:rPr>
        <w:t>“投标人”系指是指响应招标、参加投标竞争的法人、其他组织或者自然人。</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2.4</w:t>
      </w:r>
      <w:r>
        <w:rPr>
          <w:rFonts w:hint="eastAsia" w:ascii="仿宋" w:hAnsi="仿宋" w:eastAsia="仿宋"/>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2.7</w:t>
      </w:r>
      <w:r>
        <w:rPr>
          <w:rFonts w:hint="eastAsia" w:ascii="仿宋" w:hAnsi="仿宋" w:eastAsia="仿宋"/>
          <w:sz w:val="24"/>
          <w:highlight w:val="none"/>
        </w:rPr>
        <w:t>“▲”系指实质性要求条款。</w:t>
      </w:r>
    </w:p>
    <w:p>
      <w:pPr>
        <w:spacing w:line="360" w:lineRule="auto"/>
        <w:ind w:firstLine="482" w:firstLineChars="200"/>
        <w:rPr>
          <w:rFonts w:ascii="仿宋" w:hAnsi="仿宋" w:eastAsia="仿宋"/>
          <w:b/>
          <w:sz w:val="24"/>
          <w:highlight w:val="none"/>
        </w:rPr>
      </w:pPr>
      <w:r>
        <w:rPr>
          <w:rFonts w:ascii="仿宋" w:hAnsi="仿宋" w:eastAsia="仿宋"/>
          <w:b/>
          <w:sz w:val="24"/>
          <w:highlight w:val="none"/>
        </w:rPr>
        <w:t>3.</w:t>
      </w:r>
      <w:r>
        <w:rPr>
          <w:rFonts w:hint="eastAsia" w:ascii="仿宋" w:hAnsi="仿宋" w:eastAsia="仿宋"/>
          <w:b/>
          <w:sz w:val="24"/>
          <w:highlight w:val="none"/>
        </w:rPr>
        <w:t>采购项目需要落实的政府采购政策</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1</w:t>
      </w:r>
      <w:r>
        <w:rPr>
          <w:rFonts w:ascii="仿宋" w:hAnsi="仿宋" w:eastAsia="仿宋"/>
          <w:sz w:val="24"/>
          <w:highlight w:val="none"/>
        </w:rPr>
        <w:t>支持中小企业发展</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1</w:t>
      </w:r>
      <w:r>
        <w:rPr>
          <w:rFonts w:ascii="仿宋" w:hAnsi="仿宋" w:eastAsia="仿宋"/>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highlight w:val="none"/>
        </w:rPr>
      </w:pPr>
      <w:r>
        <w:rPr>
          <w:rFonts w:ascii="仿宋" w:hAnsi="仿宋" w:eastAsia="仿宋"/>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bCs/>
          <w:sz w:val="24"/>
          <w:highlight w:val="none"/>
        </w:rPr>
        <w:t>3.</w:t>
      </w:r>
      <w:r>
        <w:rPr>
          <w:rFonts w:hint="eastAsia" w:ascii="仿宋" w:hAnsi="仿宋" w:eastAsia="仿宋"/>
          <w:bCs/>
          <w:sz w:val="24"/>
          <w:highlight w:val="none"/>
        </w:rPr>
        <w:t>1</w:t>
      </w:r>
      <w:r>
        <w:rPr>
          <w:rFonts w:ascii="仿宋" w:hAnsi="仿宋" w:eastAsia="仿宋"/>
          <w:bCs/>
          <w:sz w:val="24"/>
          <w:highlight w:val="none"/>
        </w:rPr>
        <w:t>.2</w:t>
      </w:r>
      <w:r>
        <w:rPr>
          <w:rFonts w:hint="eastAsia" w:ascii="仿宋" w:hAnsi="仿宋" w:eastAsia="仿宋" w:cs="宋体"/>
          <w:kern w:val="0"/>
          <w:sz w:val="24"/>
          <w:highlight w:val="none"/>
        </w:rPr>
        <w:t>在政府采购活动中，投标人提供的服务符合下列情形的，享受中小企业扶持政策：</w:t>
      </w:r>
    </w:p>
    <w:p>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cs="宋体"/>
          <w:kern w:val="0"/>
          <w:sz w:val="24"/>
          <w:highlight w:val="none"/>
        </w:rPr>
        <w:t>3.</w:t>
      </w:r>
      <w:r>
        <w:rPr>
          <w:rFonts w:hint="eastAsia" w:ascii="仿宋" w:hAnsi="仿宋" w:eastAsia="仿宋" w:cs="宋体"/>
          <w:kern w:val="0"/>
          <w:sz w:val="24"/>
          <w:highlight w:val="none"/>
        </w:rPr>
        <w:t>1</w:t>
      </w:r>
      <w:r>
        <w:rPr>
          <w:rFonts w:ascii="仿宋" w:hAnsi="仿宋" w:eastAsia="仿宋" w:cs="宋体"/>
          <w:kern w:val="0"/>
          <w:sz w:val="24"/>
          <w:highlight w:val="none"/>
        </w:rPr>
        <w:t>.2.</w:t>
      </w:r>
      <w:r>
        <w:rPr>
          <w:rFonts w:hint="eastAsia" w:ascii="仿宋" w:hAnsi="仿宋" w:eastAsia="仿宋" w:cs="宋体"/>
          <w:kern w:val="0"/>
          <w:sz w:val="24"/>
          <w:highlight w:val="none"/>
        </w:rPr>
        <w:t>1</w:t>
      </w:r>
      <w:r>
        <w:rPr>
          <w:rFonts w:ascii="仿宋" w:hAnsi="仿宋" w:eastAsia="仿宋" w:cs="宋体"/>
          <w:kern w:val="0"/>
          <w:sz w:val="24"/>
          <w:highlight w:val="none"/>
        </w:rPr>
        <w:t>在服务采购项目中，服务由中小企业承接，即提供服务的人员为中小企业依照《中华人民共和国</w:t>
      </w:r>
      <w:r>
        <w:rPr>
          <w:rFonts w:hint="eastAsia" w:ascii="仿宋" w:hAnsi="仿宋" w:eastAsia="仿宋" w:cs="宋体"/>
          <w:kern w:val="0"/>
          <w:sz w:val="24"/>
          <w:highlight w:val="none"/>
        </w:rPr>
        <w:t>民法典</w:t>
      </w:r>
      <w:r>
        <w:rPr>
          <w:rFonts w:ascii="仿宋" w:hAnsi="仿宋" w:eastAsia="仿宋" w:cs="宋体"/>
          <w:kern w:val="0"/>
          <w:sz w:val="24"/>
          <w:highlight w:val="none"/>
        </w:rPr>
        <w:t>》订立劳动合同的从业人员。</w:t>
      </w:r>
    </w:p>
    <w:p>
      <w:pPr>
        <w:spacing w:line="360" w:lineRule="auto"/>
        <w:ind w:firstLine="480" w:firstLineChars="200"/>
        <w:rPr>
          <w:rFonts w:ascii="仿宋" w:hAnsi="仿宋" w:eastAsia="仿宋"/>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highlight w:val="none"/>
        </w:rPr>
      </w:pPr>
      <w:r>
        <w:rPr>
          <w:rFonts w:ascii="仿宋_GB2312" w:hAnsi="仿宋" w:eastAsia="仿宋_GB2312"/>
          <w:sz w:val="24"/>
          <w:highlight w:val="none"/>
        </w:rPr>
        <w:t>3.</w:t>
      </w:r>
      <w:r>
        <w:rPr>
          <w:rFonts w:hint="eastAsia" w:ascii="仿宋_GB2312" w:hAnsi="仿宋" w:eastAsia="仿宋_GB2312"/>
          <w:sz w:val="24"/>
          <w:highlight w:val="none"/>
        </w:rPr>
        <w:t>1</w:t>
      </w:r>
      <w:r>
        <w:rPr>
          <w:rFonts w:ascii="仿宋_GB2312" w:hAnsi="仿宋" w:eastAsia="仿宋_GB2312"/>
          <w:sz w:val="24"/>
          <w:highlight w:val="none"/>
        </w:rPr>
        <w:t>.3</w:t>
      </w:r>
      <w:r>
        <w:rPr>
          <w:rFonts w:hint="eastAsia" w:ascii="仿宋_GB2312" w:hAnsi="仿宋" w:eastAsia="仿宋_GB2312"/>
          <w:sz w:val="24"/>
          <w:highlight w:val="none"/>
        </w:rPr>
        <w:t>对于未预留份额专门面向中小企业的政府采购服务项目，以及预留份额政府采购服务项目中的非预留部分标项，对小型和微型企业的投标报价给予2</w:t>
      </w:r>
      <w:r>
        <w:rPr>
          <w:rFonts w:ascii="仿宋_GB2312" w:hAnsi="仿宋" w:eastAsia="仿宋_GB2312"/>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rPr>
        <w:t>6</w:t>
      </w:r>
      <w:r>
        <w:rPr>
          <w:rFonts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1</w:t>
      </w:r>
      <w:r>
        <w:rPr>
          <w:rFonts w:ascii="仿宋" w:hAnsi="仿宋" w:eastAsia="仿宋"/>
          <w:sz w:val="24"/>
          <w:highlight w:val="none"/>
        </w:rPr>
        <w:t>.</w:t>
      </w:r>
      <w:r>
        <w:rPr>
          <w:rFonts w:hint="eastAsia" w:ascii="仿宋" w:hAnsi="仿宋" w:eastAsia="仿宋"/>
          <w:sz w:val="24"/>
          <w:highlight w:val="none"/>
        </w:rPr>
        <w:t>4</w:t>
      </w:r>
      <w:r>
        <w:rPr>
          <w:rFonts w:ascii="仿宋" w:hAnsi="仿宋" w:eastAsia="仿宋"/>
          <w:sz w:val="24"/>
          <w:highlight w:val="none"/>
        </w:rPr>
        <w:t>符合《关于促进残疾人就业政府采购政策的通知》（财库〔2017〕141号）规定的条件并提供《残疾人福利性单位声明函》（附件1）的残疾人福利性单位视同小型、微型企业</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1</w:t>
      </w:r>
      <w:r>
        <w:rPr>
          <w:rFonts w:ascii="仿宋" w:hAnsi="仿宋" w:eastAsia="仿宋"/>
          <w:sz w:val="24"/>
          <w:highlight w:val="none"/>
        </w:rPr>
        <w:t>.</w:t>
      </w:r>
      <w:r>
        <w:rPr>
          <w:rFonts w:hint="eastAsia" w:ascii="仿宋" w:hAnsi="仿宋" w:eastAsia="仿宋"/>
          <w:sz w:val="24"/>
          <w:highlight w:val="none"/>
        </w:rPr>
        <w:t>5</w:t>
      </w:r>
      <w:r>
        <w:rPr>
          <w:rFonts w:ascii="仿宋" w:hAnsi="仿宋" w:eastAsia="仿宋"/>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1</w:t>
      </w:r>
      <w:r>
        <w:rPr>
          <w:rFonts w:ascii="仿宋" w:hAnsi="仿宋" w:eastAsia="仿宋"/>
          <w:sz w:val="24"/>
          <w:highlight w:val="none"/>
        </w:rPr>
        <w:t>.</w:t>
      </w:r>
      <w:r>
        <w:rPr>
          <w:rFonts w:hint="eastAsia" w:ascii="仿宋" w:hAnsi="仿宋" w:eastAsia="仿宋"/>
          <w:sz w:val="24"/>
          <w:highlight w:val="none"/>
        </w:rPr>
        <w:t>6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1</w:t>
      </w:r>
      <w:r>
        <w:rPr>
          <w:rFonts w:ascii="仿宋" w:hAnsi="仿宋" w:eastAsia="仿宋"/>
          <w:sz w:val="24"/>
          <w:highlight w:val="none"/>
        </w:rPr>
        <w:t>.</w:t>
      </w:r>
      <w:r>
        <w:rPr>
          <w:rFonts w:hint="eastAsia" w:ascii="仿宋" w:hAnsi="仿宋" w:eastAsia="仿宋"/>
          <w:sz w:val="24"/>
          <w:highlight w:val="none"/>
        </w:rPr>
        <w:t>7</w:t>
      </w:r>
      <w:r>
        <w:rPr>
          <w:rFonts w:ascii="仿宋" w:hAnsi="仿宋" w:eastAsia="仿宋"/>
          <w:sz w:val="24"/>
          <w:highlight w:val="none"/>
        </w:rPr>
        <w:t>中小企业享受扶持政策获得政府采购合同的，小微企业不得将合同分包给大中型企业，中型企业不得将合同分包给大型企业</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2省财政厅、浙江银监局、省金融办制定了《浙江省政府采购支持中小企业信用融资试点办法》（浙财采监[2012]13号） ，所称的政府采购信用融资， 是指银行业金融机构（以下简称银行） 以政府采购诚信考核和信用审查为基础， 凭借政府采购合同， 按优于一般中小企业的贷款利率直接向申请贷款的供应商发放贷款的一种融资方式。供应商可登陆浙江政府采购（http://zfcg.czt.zj.gov.cn/）中小企业信用融资栏目了解相关信息</w:t>
      </w:r>
      <w:r>
        <w:rPr>
          <w:rFonts w:ascii="仿宋" w:hAnsi="仿宋" w:eastAsia="仿宋"/>
          <w:sz w:val="24"/>
          <w:highlight w:val="none"/>
        </w:rPr>
        <w:t>。</w:t>
      </w:r>
      <w:r>
        <w:rPr>
          <w:rFonts w:hint="eastAsia" w:ascii="仿宋" w:hAnsi="仿宋" w:eastAsia="仿宋"/>
          <w:sz w:val="24"/>
          <w:highlight w:val="none"/>
        </w:rPr>
        <w:t xml:space="preserve"> </w:t>
      </w:r>
      <w:r>
        <w:rPr>
          <w:rFonts w:ascii="仿宋" w:hAnsi="仿宋" w:eastAsia="仿宋"/>
          <w:sz w:val="24"/>
          <w:highlight w:val="none"/>
        </w:rPr>
        <w:cr/>
      </w:r>
      <w:r>
        <w:rPr>
          <w:rFonts w:hint="eastAsia" w:ascii="仿宋" w:hAnsi="仿宋" w:eastAsia="仿宋"/>
          <w:sz w:val="24"/>
          <w:highlight w:val="none"/>
        </w:rPr>
        <w:t xml:space="preserve">    </w:t>
      </w:r>
      <w:r>
        <w:rPr>
          <w:rFonts w:ascii="仿宋" w:hAnsi="仿宋" w:eastAsia="仿宋"/>
          <w:b/>
          <w:sz w:val="24"/>
          <w:highlight w:val="none"/>
        </w:rPr>
        <w:t>4.</w:t>
      </w:r>
      <w:r>
        <w:rPr>
          <w:rFonts w:hint="eastAsia" w:ascii="仿宋" w:hAnsi="仿宋" w:eastAsia="仿宋"/>
          <w:b/>
          <w:sz w:val="24"/>
          <w:highlight w:val="none"/>
        </w:rPr>
        <w:t>询问、质疑、投诉</w:t>
      </w:r>
    </w:p>
    <w:p>
      <w:pPr>
        <w:autoSpaceDE w:val="0"/>
        <w:autoSpaceDN w:val="0"/>
        <w:spacing w:line="360" w:lineRule="auto"/>
        <w:ind w:firstLine="480" w:firstLineChars="200"/>
        <w:jc w:val="left"/>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4.1供应商询问</w:t>
      </w:r>
    </w:p>
    <w:p>
      <w:pPr>
        <w:autoSpaceDE w:val="0"/>
        <w:autoSpaceDN w:val="0"/>
        <w:spacing w:line="360" w:lineRule="auto"/>
        <w:ind w:firstLine="480" w:firstLineChars="200"/>
        <w:jc w:val="left"/>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供应商对政府采购活动事项有疑问的，可以提出询问，采购人或者采购代理机构应当在</w:t>
      </w:r>
      <w:r>
        <w:rPr>
          <w:rFonts w:ascii="仿宋" w:hAnsi="仿宋" w:eastAsia="仿宋" w:cs="微软雅黑"/>
          <w:kern w:val="0"/>
          <w:sz w:val="24"/>
          <w:highlight w:val="none"/>
          <w:lang w:val="zh-CN"/>
        </w:rPr>
        <w:t>3个工作日内对供应</w:t>
      </w:r>
      <w:r>
        <w:rPr>
          <w:rFonts w:hint="eastAsia" w:ascii="仿宋" w:hAnsi="仿宋" w:eastAsia="仿宋"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4.2供应商质疑</w:t>
      </w:r>
    </w:p>
    <w:p>
      <w:pPr>
        <w:pStyle w:val="9"/>
        <w:spacing w:line="360" w:lineRule="auto"/>
        <w:ind w:firstLine="480" w:firstLineChars="200"/>
        <w:rPr>
          <w:rFonts w:ascii="仿宋" w:hAnsi="仿宋" w:eastAsia="仿宋"/>
          <w:sz w:val="24"/>
          <w:highlight w:val="none"/>
        </w:rPr>
      </w:pPr>
      <w:r>
        <w:rPr>
          <w:rFonts w:ascii="仿宋" w:hAnsi="仿宋" w:eastAsia="仿宋" w:cs="微软雅黑"/>
          <w:kern w:val="0"/>
          <w:sz w:val="24"/>
          <w:highlight w:val="none"/>
          <w:lang w:val="zh-CN"/>
        </w:rPr>
        <w:t>4.2</w:t>
      </w:r>
      <w:r>
        <w:rPr>
          <w:rFonts w:ascii="仿宋" w:hAnsi="仿宋" w:eastAsia="仿宋"/>
          <w:sz w:val="24"/>
          <w:highlight w:val="none"/>
        </w:rPr>
        <w:t>.1提出质疑的供应商应当是参与所质疑项目采购活动的供应商。潜在供应商已依法获取其可质疑的招标文件的，可以对该文件提出质疑。</w:t>
      </w:r>
    </w:p>
    <w:p>
      <w:pPr>
        <w:pStyle w:val="9"/>
        <w:spacing w:line="360" w:lineRule="auto"/>
        <w:ind w:firstLine="480" w:firstLineChars="200"/>
        <w:rPr>
          <w:rFonts w:ascii="仿宋" w:hAnsi="仿宋" w:eastAsia="仿宋"/>
          <w:sz w:val="24"/>
          <w:highlight w:val="none"/>
        </w:rPr>
      </w:pPr>
      <w:r>
        <w:rPr>
          <w:rFonts w:ascii="仿宋" w:hAnsi="仿宋" w:eastAsia="仿宋" w:cs="微软雅黑"/>
          <w:kern w:val="0"/>
          <w:sz w:val="24"/>
          <w:highlight w:val="none"/>
          <w:lang w:val="zh-CN"/>
        </w:rPr>
        <w:t>4.2</w:t>
      </w:r>
      <w:r>
        <w:rPr>
          <w:rFonts w:ascii="仿宋" w:hAnsi="仿宋" w:eastAsia="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 w:hAnsi="仿宋" w:eastAsia="仿宋"/>
          <w:snapToGrid/>
          <w:color w:val="auto"/>
          <w:kern w:val="2"/>
          <w:sz w:val="24"/>
          <w:highlight w:val="none"/>
        </w:rPr>
      </w:pPr>
      <w:r>
        <w:rPr>
          <w:rFonts w:ascii="仿宋" w:hAnsi="仿宋" w:eastAsia="仿宋"/>
          <w:snapToGrid/>
          <w:color w:val="auto"/>
          <w:kern w:val="2"/>
          <w:sz w:val="24"/>
          <w:highlight w:val="none"/>
        </w:rPr>
        <w:t>4.2.2.1对招标文件提出质疑的，质疑期限为供应商获得招标文件之日或者招标文件公告期限届满之日起计算。</w:t>
      </w:r>
    </w:p>
    <w:p>
      <w:pPr>
        <w:pStyle w:val="9"/>
        <w:spacing w:line="360" w:lineRule="auto"/>
        <w:ind w:firstLine="480" w:firstLineChars="200"/>
        <w:rPr>
          <w:rFonts w:ascii="仿宋" w:hAnsi="仿宋" w:eastAsia="仿宋"/>
          <w:sz w:val="24"/>
          <w:highlight w:val="none"/>
        </w:rPr>
      </w:pPr>
      <w:r>
        <w:rPr>
          <w:rFonts w:ascii="仿宋" w:hAnsi="仿宋" w:eastAsia="仿宋"/>
          <w:sz w:val="24"/>
          <w:highlight w:val="none"/>
        </w:rPr>
        <w:t>4.2.2.2对采购过程提出质疑的，质疑期限为各采购程序环节结束之日起计算。对同一采购程序环节的质疑，供应商须一次性提出。</w:t>
      </w:r>
    </w:p>
    <w:p>
      <w:pPr>
        <w:pStyle w:val="9"/>
        <w:spacing w:line="360" w:lineRule="auto"/>
        <w:ind w:firstLine="480" w:firstLineChars="200"/>
        <w:rPr>
          <w:rFonts w:ascii="仿宋" w:hAnsi="仿宋" w:eastAsia="仿宋"/>
          <w:sz w:val="24"/>
          <w:highlight w:val="none"/>
        </w:rPr>
      </w:pPr>
      <w:r>
        <w:rPr>
          <w:rFonts w:ascii="仿宋" w:hAnsi="仿宋" w:eastAsia="仿宋"/>
          <w:sz w:val="24"/>
          <w:highlight w:val="none"/>
        </w:rPr>
        <w:t>4.2.2.3对采购结果提出质疑的，质疑期限自采购结果公告期限届满之日起计算。</w:t>
      </w:r>
    </w:p>
    <w:p>
      <w:pPr>
        <w:pStyle w:val="9"/>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w:t>
      </w:r>
      <w:r>
        <w:rPr>
          <w:rFonts w:hint="eastAsia" w:ascii="仿宋" w:hAnsi="仿宋" w:eastAsia="仿宋"/>
          <w:sz w:val="24"/>
          <w:highlight w:val="none"/>
        </w:rPr>
        <w:t>供应商提出质疑应当提交质疑函和必要的证明材料。质疑函应当包括下列内容：</w:t>
      </w:r>
    </w:p>
    <w:p>
      <w:pPr>
        <w:pStyle w:val="9"/>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4.2.3.1</w:t>
      </w:r>
      <w:r>
        <w:rPr>
          <w:rFonts w:hint="eastAsia" w:ascii="仿宋" w:hAnsi="仿宋" w:eastAsia="仿宋" w:cs="微软雅黑"/>
          <w:kern w:val="0"/>
          <w:sz w:val="24"/>
          <w:highlight w:val="none"/>
          <w:lang w:val="zh-CN"/>
        </w:rPr>
        <w:t>供应商的姓名或者名称、地址、邮编、联系人及联系电话；</w:t>
      </w:r>
    </w:p>
    <w:p>
      <w:pPr>
        <w:pStyle w:val="9"/>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4.2.3.2</w:t>
      </w:r>
      <w:r>
        <w:rPr>
          <w:rFonts w:hint="eastAsia" w:ascii="仿宋" w:hAnsi="仿宋" w:eastAsia="仿宋" w:cs="微软雅黑"/>
          <w:kern w:val="0"/>
          <w:sz w:val="24"/>
          <w:highlight w:val="none"/>
          <w:lang w:val="zh-CN"/>
        </w:rPr>
        <w:t>质疑项目的名称、编号；</w:t>
      </w:r>
    </w:p>
    <w:p>
      <w:pPr>
        <w:pStyle w:val="9"/>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4.2.3.3</w:t>
      </w:r>
      <w:r>
        <w:rPr>
          <w:rFonts w:hint="eastAsia" w:ascii="仿宋" w:hAnsi="仿宋" w:eastAsia="仿宋" w:cs="微软雅黑"/>
          <w:kern w:val="0"/>
          <w:sz w:val="24"/>
          <w:highlight w:val="none"/>
          <w:lang w:val="zh-CN"/>
        </w:rPr>
        <w:t>具体、明确的质疑事项和与质疑事项相关的请求；</w:t>
      </w:r>
    </w:p>
    <w:p>
      <w:pPr>
        <w:pStyle w:val="9"/>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4.2.3.4</w:t>
      </w:r>
      <w:r>
        <w:rPr>
          <w:rFonts w:hint="eastAsia" w:ascii="仿宋" w:hAnsi="仿宋" w:eastAsia="仿宋" w:cs="微软雅黑"/>
          <w:kern w:val="0"/>
          <w:sz w:val="24"/>
          <w:highlight w:val="none"/>
          <w:lang w:val="zh-CN"/>
        </w:rPr>
        <w:t>事实依据；</w:t>
      </w:r>
    </w:p>
    <w:p>
      <w:pPr>
        <w:pStyle w:val="9"/>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4.2.3.5</w:t>
      </w:r>
      <w:r>
        <w:rPr>
          <w:rFonts w:hint="eastAsia" w:ascii="仿宋" w:hAnsi="仿宋" w:eastAsia="仿宋" w:cs="微软雅黑"/>
          <w:kern w:val="0"/>
          <w:sz w:val="24"/>
          <w:highlight w:val="none"/>
          <w:lang w:val="zh-CN"/>
        </w:rPr>
        <w:t>必要的法律依据；</w:t>
      </w:r>
    </w:p>
    <w:p>
      <w:pPr>
        <w:pStyle w:val="9"/>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4.2.3.6</w:t>
      </w:r>
      <w:r>
        <w:rPr>
          <w:rFonts w:hint="eastAsia" w:ascii="仿宋" w:hAnsi="仿宋" w:eastAsia="仿宋" w:cs="微软雅黑"/>
          <w:kern w:val="0"/>
          <w:sz w:val="24"/>
          <w:highlight w:val="none"/>
          <w:lang w:val="zh-CN"/>
        </w:rPr>
        <w:t>提出质疑的日期。</w:t>
      </w:r>
    </w:p>
    <w:p>
      <w:pPr>
        <w:pStyle w:val="9"/>
        <w:spacing w:line="360" w:lineRule="auto"/>
        <w:ind w:firstLine="480" w:firstLineChars="200"/>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9"/>
        <w:spacing w:line="360" w:lineRule="auto"/>
        <w:ind w:firstLine="480" w:firstLineChars="200"/>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质疑函范本及制作说明详见附件</w:t>
      </w:r>
      <w:r>
        <w:rPr>
          <w:rFonts w:ascii="仿宋" w:hAnsi="仿宋" w:eastAsia="仿宋" w:cs="微软雅黑"/>
          <w:kern w:val="0"/>
          <w:sz w:val="24"/>
          <w:highlight w:val="none"/>
          <w:lang w:val="zh-CN"/>
        </w:rPr>
        <w:t>2。</w:t>
      </w:r>
    </w:p>
    <w:p>
      <w:pPr>
        <w:pStyle w:val="9"/>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4.2.4</w:t>
      </w:r>
      <w:r>
        <w:rPr>
          <w:rFonts w:hint="eastAsia" w:ascii="仿宋" w:hAnsi="仿宋" w:eastAsia="仿宋" w:cs="微软雅黑"/>
          <w:kern w:val="0"/>
          <w:sz w:val="24"/>
          <w:highlight w:val="none"/>
          <w:lang w:val="zh-CN"/>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 w:hAnsi="仿宋" w:eastAsia="仿宋" w:cs="微软雅黑"/>
          <w:kern w:val="0"/>
          <w:sz w:val="24"/>
          <w:highlight w:val="none"/>
          <w:lang w:val="zh-CN"/>
        </w:rPr>
        <w:t>5个工作日内，在浙江政府采购网的“其他公告”栏目公开质疑答复，答复内容应当完整。质疑</w:t>
      </w:r>
      <w:r>
        <w:rPr>
          <w:rFonts w:hint="eastAsia" w:ascii="仿宋" w:hAnsi="仿宋" w:eastAsia="仿宋" w:cs="微软雅黑"/>
          <w:kern w:val="0"/>
          <w:sz w:val="24"/>
          <w:highlight w:val="none"/>
          <w:lang w:val="zh-CN"/>
        </w:rPr>
        <w:t>函作为附件上传。</w:t>
      </w:r>
    </w:p>
    <w:p>
      <w:pPr>
        <w:pStyle w:val="9"/>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4.2.5询问或者质疑事项可能影响采购结果的，采购人应当暂停签订合同，已经签订合同的，应当中止履行合同。</w:t>
      </w:r>
    </w:p>
    <w:p>
      <w:pPr>
        <w:pStyle w:val="9"/>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4.3供应商投诉</w:t>
      </w:r>
    </w:p>
    <w:p>
      <w:pPr>
        <w:pStyle w:val="9"/>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4.3.1质疑供应商对采购人、采购机构的答复不满意或者采购人、采购机构未在规定的时间内</w:t>
      </w:r>
      <w:r>
        <w:rPr>
          <w:rFonts w:hint="eastAsia" w:ascii="仿宋" w:hAnsi="仿宋" w:eastAsia="仿宋" w:cs="微软雅黑"/>
          <w:kern w:val="0"/>
          <w:sz w:val="24"/>
          <w:highlight w:val="none"/>
          <w:lang w:val="zh-CN"/>
        </w:rPr>
        <w:t>作出答复的，可以在答复期满后十五个工作日内向同级政府采购监督管理部门提出投诉。</w:t>
      </w:r>
    </w:p>
    <w:p>
      <w:pPr>
        <w:pStyle w:val="9"/>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4.3.2</w:t>
      </w:r>
      <w:r>
        <w:rPr>
          <w:rFonts w:hint="eastAsia" w:ascii="仿宋" w:hAnsi="仿宋" w:eastAsia="仿宋" w:cs="微软雅黑"/>
          <w:kern w:val="0"/>
          <w:sz w:val="24"/>
          <w:highlight w:val="none"/>
          <w:lang w:val="zh-CN"/>
        </w:rPr>
        <w:t>供应商投诉的事项不得超出已质疑事项的范围，基于质疑答复内容提出的投诉事项除外。</w:t>
      </w:r>
    </w:p>
    <w:p>
      <w:pPr>
        <w:pStyle w:val="9"/>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4.3.3供应</w:t>
      </w:r>
      <w:r>
        <w:rPr>
          <w:rFonts w:hint="eastAsia" w:ascii="仿宋" w:hAnsi="仿宋" w:eastAsia="仿宋" w:cs="微软雅黑"/>
          <w:kern w:val="0"/>
          <w:sz w:val="24"/>
          <w:highlight w:val="none"/>
          <w:lang w:val="zh-CN"/>
        </w:rPr>
        <w:t>商投诉应当有明确的请求和必要的证明材料。</w:t>
      </w:r>
    </w:p>
    <w:p>
      <w:pPr>
        <w:pStyle w:val="9"/>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4.3.</w:t>
      </w:r>
      <w:r>
        <w:rPr>
          <w:rFonts w:hint="eastAsia" w:ascii="仿宋" w:hAnsi="仿宋" w:eastAsia="仿宋" w:cs="微软雅黑"/>
          <w:kern w:val="0"/>
          <w:sz w:val="24"/>
          <w:highlight w:val="none"/>
          <w:lang w:val="zh-CN"/>
        </w:rPr>
        <w:t>4以联合体形式参加政府采购活动的，其投诉应当由组成联合体的所有供应商共同提出。</w:t>
      </w:r>
    </w:p>
    <w:p>
      <w:pPr>
        <w:pStyle w:val="9"/>
        <w:spacing w:line="360" w:lineRule="auto"/>
        <w:ind w:firstLine="480" w:firstLineChars="200"/>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投诉书范本及制作说明详见附件</w:t>
      </w:r>
      <w:r>
        <w:rPr>
          <w:rFonts w:ascii="仿宋" w:hAnsi="仿宋" w:eastAsia="仿宋" w:cs="微软雅黑"/>
          <w:kern w:val="0"/>
          <w:sz w:val="24"/>
          <w:highlight w:val="none"/>
          <w:lang w:val="zh-CN"/>
        </w:rPr>
        <w:t>3。</w:t>
      </w:r>
    </w:p>
    <w:p>
      <w:pPr>
        <w:pStyle w:val="26"/>
        <w:rPr>
          <w:rFonts w:ascii="仿宋" w:hAnsi="仿宋" w:eastAsia="仿宋" w:cs="仿宋_GB2312"/>
          <w:sz w:val="18"/>
          <w:szCs w:val="18"/>
          <w:highlight w:val="none"/>
          <w:lang w:val="en-US"/>
        </w:rPr>
      </w:pPr>
      <w:r>
        <w:rPr>
          <w:rFonts w:ascii="仿宋" w:hAnsi="仿宋" w:eastAsia="仿宋" w:cs="仿宋_GB2312"/>
          <w:b/>
          <w:sz w:val="32"/>
          <w:szCs w:val="20"/>
          <w:highlight w:val="none"/>
        </w:rPr>
        <w:t xml:space="preserve">  </w:t>
      </w:r>
      <w:r>
        <w:rPr>
          <w:rFonts w:ascii="仿宋" w:hAnsi="仿宋" w:eastAsia="仿宋" w:cs="仿宋_GB2312"/>
          <w:sz w:val="18"/>
          <w:szCs w:val="18"/>
          <w:highlight w:val="none"/>
          <w:lang w:val="en-US"/>
        </w:rPr>
        <w:t xml:space="preserve">    </w:t>
      </w:r>
    </w:p>
    <w:p>
      <w:pPr>
        <w:adjustRightInd/>
        <w:spacing w:line="360" w:lineRule="auto"/>
        <w:jc w:val="center"/>
        <w:outlineLvl w:val="0"/>
        <w:rPr>
          <w:rFonts w:ascii="仿宋" w:hAnsi="仿宋" w:eastAsia="仿宋" w:cs="仿宋_GB2312"/>
          <w:b/>
          <w:sz w:val="32"/>
          <w:szCs w:val="20"/>
          <w:highlight w:val="none"/>
        </w:rPr>
      </w:pPr>
      <w:r>
        <w:rPr>
          <w:rFonts w:ascii="仿宋" w:hAnsi="仿宋" w:eastAsia="仿宋" w:cs="仿宋_GB2312"/>
          <w:b/>
          <w:sz w:val="32"/>
          <w:szCs w:val="20"/>
          <w:highlight w:val="none"/>
        </w:rPr>
        <w:t>二、招标文件的构成、澄清、修改</w:t>
      </w:r>
    </w:p>
    <w:p>
      <w:pPr>
        <w:pStyle w:val="9"/>
        <w:spacing w:line="360" w:lineRule="auto"/>
        <w:ind w:firstLine="482" w:firstLineChars="200"/>
        <w:rPr>
          <w:rFonts w:ascii="仿宋" w:hAnsi="仿宋" w:eastAsia="仿宋" w:cs="仿宋_GB2312"/>
          <w:b/>
          <w:sz w:val="24"/>
          <w:szCs w:val="24"/>
          <w:highlight w:val="none"/>
        </w:rPr>
      </w:pPr>
      <w:r>
        <w:rPr>
          <w:rFonts w:ascii="仿宋" w:hAnsi="仿宋" w:eastAsia="仿宋" w:cs="仿宋_GB2312"/>
          <w:b/>
          <w:sz w:val="24"/>
          <w:szCs w:val="24"/>
          <w:highlight w:val="none"/>
        </w:rPr>
        <w:t>5</w:t>
      </w:r>
      <w:r>
        <w:rPr>
          <w:rFonts w:hint="eastAsia" w:ascii="仿宋" w:hAnsi="仿宋" w:eastAsia="仿宋" w:cs="仿宋_GB2312"/>
          <w:b/>
          <w:sz w:val="24"/>
          <w:szCs w:val="24"/>
          <w:highlight w:val="none"/>
        </w:rPr>
        <w:t>.</w:t>
      </w:r>
      <w:r>
        <w:rPr>
          <w:rFonts w:ascii="仿宋" w:hAnsi="仿宋" w:eastAsia="仿宋" w:cs="仿宋_GB2312"/>
          <w:b/>
          <w:sz w:val="24"/>
          <w:szCs w:val="24"/>
          <w:highlight w:val="none"/>
        </w:rPr>
        <w:t>招标文件的构成</w:t>
      </w:r>
    </w:p>
    <w:p>
      <w:pPr>
        <w:pStyle w:val="9"/>
        <w:spacing w:line="360" w:lineRule="auto"/>
        <w:ind w:firstLine="480" w:firstLineChars="200"/>
        <w:rPr>
          <w:rFonts w:ascii="仿宋" w:hAnsi="仿宋" w:eastAsia="仿宋" w:cs="仿宋_GB2312"/>
          <w:sz w:val="24"/>
          <w:szCs w:val="24"/>
          <w:highlight w:val="none"/>
        </w:rPr>
      </w:pPr>
      <w:r>
        <w:rPr>
          <w:rFonts w:ascii="仿宋" w:hAnsi="仿宋" w:eastAsia="仿宋" w:cs="仿宋_GB2312"/>
          <w:sz w:val="24"/>
          <w:szCs w:val="24"/>
          <w:highlight w:val="none"/>
        </w:rPr>
        <w:t xml:space="preserve">5.1 </w:t>
      </w:r>
      <w:r>
        <w:rPr>
          <w:rFonts w:hint="eastAsia" w:ascii="仿宋" w:hAnsi="仿宋" w:eastAsia="仿宋" w:cs="仿宋_GB2312"/>
          <w:sz w:val="24"/>
          <w:szCs w:val="24"/>
          <w:highlight w:val="none"/>
        </w:rPr>
        <w:t>招标文件包括下列文件及附件：</w:t>
      </w:r>
    </w:p>
    <w:p>
      <w:pPr>
        <w:pStyle w:val="9"/>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5.1.1招标公告；</w:t>
      </w:r>
    </w:p>
    <w:p>
      <w:pPr>
        <w:pStyle w:val="9"/>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5.1.2投标人须知；</w:t>
      </w:r>
    </w:p>
    <w:p>
      <w:pPr>
        <w:pStyle w:val="9"/>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5.1.3采购需求；</w:t>
      </w:r>
    </w:p>
    <w:p>
      <w:pPr>
        <w:pStyle w:val="9"/>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5.1.4评标</w:t>
      </w:r>
      <w:r>
        <w:rPr>
          <w:rFonts w:hint="eastAsia" w:ascii="仿宋" w:hAnsi="仿宋" w:eastAsia="仿宋" w:cs="仿宋_GB2312"/>
          <w:sz w:val="24"/>
          <w:szCs w:val="24"/>
          <w:highlight w:val="none"/>
        </w:rPr>
        <w:t>办</w:t>
      </w:r>
      <w:r>
        <w:rPr>
          <w:rFonts w:ascii="仿宋" w:hAnsi="仿宋" w:eastAsia="仿宋" w:cs="仿宋_GB2312"/>
          <w:sz w:val="24"/>
          <w:szCs w:val="24"/>
          <w:highlight w:val="none"/>
        </w:rPr>
        <w:t>法；</w:t>
      </w:r>
    </w:p>
    <w:p>
      <w:pPr>
        <w:pStyle w:val="9"/>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5.1.5</w:t>
      </w:r>
      <w:r>
        <w:rPr>
          <w:rFonts w:hint="eastAsia" w:ascii="仿宋" w:hAnsi="仿宋" w:eastAsia="仿宋" w:cs="仿宋_GB2312"/>
          <w:sz w:val="24"/>
          <w:szCs w:val="24"/>
          <w:highlight w:val="none"/>
        </w:rPr>
        <w:t>拟签订的合同文本；</w:t>
      </w:r>
    </w:p>
    <w:p>
      <w:pPr>
        <w:pStyle w:val="9"/>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highlight w:val="none"/>
        </w:rPr>
        <w:t>5.1.6</w:t>
      </w:r>
      <w:r>
        <w:rPr>
          <w:rFonts w:hint="eastAsia" w:ascii="仿宋" w:hAnsi="仿宋" w:eastAsia="仿宋" w:cs="仿宋_GB2312"/>
          <w:sz w:val="24"/>
          <w:szCs w:val="24"/>
          <w:highlight w:val="none"/>
        </w:rPr>
        <w:t>应提交的有关格式范例。</w:t>
      </w:r>
    </w:p>
    <w:p>
      <w:pPr>
        <w:spacing w:line="360" w:lineRule="auto"/>
        <w:ind w:firstLine="480" w:firstLineChars="200"/>
        <w:rPr>
          <w:rFonts w:ascii="仿宋" w:hAnsi="仿宋" w:eastAsia="仿宋" w:cs="仿宋_GB2312"/>
          <w:sz w:val="24"/>
          <w:highlight w:val="none"/>
        </w:rPr>
      </w:pPr>
      <w:r>
        <w:rPr>
          <w:rFonts w:ascii="仿宋" w:hAnsi="仿宋" w:eastAsia="仿宋"/>
          <w:sz w:val="24"/>
          <w:highlight w:val="none"/>
        </w:rPr>
        <w:t>5.2与本项目有关的</w:t>
      </w:r>
      <w:r>
        <w:rPr>
          <w:rFonts w:hint="eastAsia" w:ascii="仿宋" w:hAnsi="仿宋" w:eastAsia="仿宋"/>
          <w:bCs/>
          <w:sz w:val="24"/>
          <w:highlight w:val="none"/>
        </w:rPr>
        <w:t>澄清或者修改的内容为招标文件的组成部分</w:t>
      </w:r>
      <w:r>
        <w:rPr>
          <w:rFonts w:hint="eastAsia" w:ascii="仿宋" w:hAnsi="仿宋" w:eastAsia="仿宋" w:cs="仿宋_GB2312"/>
          <w:sz w:val="24"/>
          <w:highlight w:val="none"/>
        </w:rPr>
        <w:t>。</w:t>
      </w:r>
    </w:p>
    <w:p>
      <w:pPr>
        <w:pStyle w:val="9"/>
        <w:spacing w:line="360" w:lineRule="auto"/>
        <w:ind w:firstLine="482" w:firstLineChars="200"/>
        <w:rPr>
          <w:rFonts w:ascii="仿宋" w:hAnsi="仿宋" w:eastAsia="仿宋" w:cs="仿宋_GB2312"/>
          <w:b/>
          <w:sz w:val="24"/>
          <w:szCs w:val="24"/>
          <w:highlight w:val="none"/>
        </w:rPr>
      </w:pPr>
      <w:r>
        <w:rPr>
          <w:rFonts w:ascii="仿宋" w:hAnsi="仿宋" w:eastAsia="仿宋" w:cs="仿宋_GB2312"/>
          <w:b/>
          <w:sz w:val="24"/>
          <w:szCs w:val="24"/>
          <w:highlight w:val="none"/>
        </w:rPr>
        <w:t>6.</w:t>
      </w:r>
      <w:r>
        <w:rPr>
          <w:rFonts w:hint="eastAsia" w:ascii="仿宋" w:hAnsi="仿宋" w:eastAsia="仿宋" w:cs="仿宋_GB2312"/>
          <w:b/>
          <w:sz w:val="24"/>
          <w:szCs w:val="24"/>
          <w:highlight w:val="none"/>
        </w:rPr>
        <w:t>招标文件的澄清、修改</w:t>
      </w:r>
    </w:p>
    <w:p>
      <w:pPr>
        <w:pStyle w:val="128"/>
        <w:snapToGrid w:val="0"/>
        <w:spacing w:before="0"/>
        <w:ind w:firstLine="480"/>
        <w:rPr>
          <w:rFonts w:ascii="仿宋" w:hAnsi="仿宋" w:eastAsia="仿宋" w:cs="仿宋_GB2312"/>
          <w:highlight w:val="none"/>
        </w:rPr>
      </w:pPr>
      <w:r>
        <w:rPr>
          <w:rFonts w:ascii="仿宋" w:hAnsi="仿宋" w:eastAsia="仿宋" w:cs="仿宋_GB2312"/>
          <w:highlight w:val="none"/>
        </w:rPr>
        <w:t>6.1已获取招标文件的潜在投标人，若有问题需要澄清，应于投标截止时间前，以书面形式向采购机构提出。</w:t>
      </w:r>
    </w:p>
    <w:p>
      <w:pPr>
        <w:pStyle w:val="128"/>
        <w:snapToGrid w:val="0"/>
        <w:spacing w:before="0"/>
        <w:ind w:firstLine="480"/>
        <w:rPr>
          <w:rFonts w:ascii="仿宋" w:hAnsi="仿宋" w:eastAsia="仿宋"/>
          <w:highlight w:val="none"/>
        </w:rPr>
      </w:pPr>
      <w:r>
        <w:rPr>
          <w:rFonts w:ascii="仿宋" w:hAnsi="仿宋" w:eastAsia="仿宋"/>
          <w:highlight w:val="none"/>
        </w:rPr>
        <w:t xml:space="preserve">6.2 </w:t>
      </w:r>
      <w:r>
        <w:rPr>
          <w:rFonts w:hint="eastAsia" w:ascii="仿宋" w:hAnsi="仿宋" w:eastAsia="仿宋"/>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ascii="仿宋" w:hAnsi="仿宋" w:eastAsia="仿宋" w:cs="仿宋_GB2312"/>
          <w:sz w:val="18"/>
          <w:szCs w:val="18"/>
          <w:highlight w:val="none"/>
          <w:lang w:val="en-US"/>
        </w:rPr>
      </w:pPr>
    </w:p>
    <w:p>
      <w:pPr>
        <w:adjustRightInd/>
        <w:spacing w:line="360" w:lineRule="auto"/>
        <w:jc w:val="center"/>
        <w:outlineLvl w:val="0"/>
        <w:rPr>
          <w:rFonts w:ascii="仿宋" w:hAnsi="仿宋" w:eastAsia="仿宋" w:cs="仿宋_GB2312"/>
          <w:b/>
          <w:sz w:val="30"/>
          <w:szCs w:val="20"/>
          <w:highlight w:val="none"/>
        </w:rPr>
      </w:pPr>
      <w:r>
        <w:rPr>
          <w:rFonts w:hint="eastAsia" w:ascii="仿宋" w:hAnsi="仿宋" w:eastAsia="仿宋" w:cs="仿宋_GB2312"/>
          <w:b/>
          <w:sz w:val="30"/>
          <w:szCs w:val="20"/>
          <w:highlight w:val="none"/>
        </w:rPr>
        <w:t>三、投标</w:t>
      </w:r>
    </w:p>
    <w:p>
      <w:pPr>
        <w:pStyle w:val="9"/>
        <w:spacing w:line="360" w:lineRule="auto"/>
        <w:ind w:firstLine="482" w:firstLineChars="200"/>
        <w:rPr>
          <w:rFonts w:ascii="仿宋" w:hAnsi="仿宋" w:eastAsia="仿宋" w:cs="仿宋_GB2312"/>
          <w:b/>
          <w:sz w:val="24"/>
          <w:szCs w:val="24"/>
          <w:highlight w:val="none"/>
        </w:rPr>
      </w:pPr>
      <w:r>
        <w:rPr>
          <w:rFonts w:ascii="仿宋" w:hAnsi="仿宋" w:eastAsia="仿宋" w:cs="仿宋_GB2312"/>
          <w:b/>
          <w:sz w:val="24"/>
          <w:szCs w:val="24"/>
          <w:highlight w:val="none"/>
        </w:rPr>
        <w:t>7.</w:t>
      </w:r>
      <w:r>
        <w:rPr>
          <w:rFonts w:hint="eastAsia" w:ascii="仿宋" w:hAnsi="仿宋" w:eastAsia="仿宋" w:cs="仿宋_GB2312"/>
          <w:b/>
          <w:sz w:val="24"/>
          <w:szCs w:val="24"/>
          <w:highlight w:val="none"/>
        </w:rPr>
        <w:t>招标文件的获取</w:t>
      </w:r>
    </w:p>
    <w:p>
      <w:pPr>
        <w:spacing w:line="360" w:lineRule="auto"/>
        <w:ind w:firstLine="480" w:firstLineChars="200"/>
        <w:rPr>
          <w:rFonts w:ascii="仿宋" w:hAnsi="仿宋" w:eastAsia="仿宋" w:cs="仿宋_GB2312"/>
          <w:snapToGrid w:val="0"/>
          <w:kern w:val="28"/>
          <w:sz w:val="24"/>
          <w:highlight w:val="none"/>
        </w:rPr>
      </w:pPr>
      <w:r>
        <w:rPr>
          <w:rFonts w:hint="eastAsia" w:ascii="仿宋" w:hAnsi="仿宋" w:eastAsia="仿宋" w:cs="仿宋_GB2312"/>
          <w:snapToGrid w:val="0"/>
          <w:kern w:val="28"/>
          <w:sz w:val="24"/>
          <w:highlight w:val="none"/>
        </w:rPr>
        <w:t>详见招标公告中获取招标文件的时间期限、地点、方式及招标文件售价。</w:t>
      </w:r>
    </w:p>
    <w:p>
      <w:pPr>
        <w:pStyle w:val="9"/>
        <w:spacing w:line="360" w:lineRule="auto"/>
        <w:ind w:firstLine="482" w:firstLineChars="200"/>
        <w:rPr>
          <w:rFonts w:ascii="仿宋" w:hAnsi="仿宋" w:eastAsia="仿宋" w:cs="仿宋_GB2312"/>
          <w:b/>
          <w:sz w:val="24"/>
          <w:szCs w:val="24"/>
          <w:highlight w:val="none"/>
        </w:rPr>
      </w:pPr>
      <w:r>
        <w:rPr>
          <w:rFonts w:ascii="仿宋" w:hAnsi="仿宋" w:eastAsia="仿宋" w:cs="仿宋_GB2312"/>
          <w:b/>
          <w:sz w:val="24"/>
          <w:szCs w:val="24"/>
          <w:highlight w:val="none"/>
        </w:rPr>
        <w:t>8.开标前答疑会或现场考察</w:t>
      </w:r>
    </w:p>
    <w:p>
      <w:pPr>
        <w:pStyle w:val="9"/>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采购人组织潜在投标人现场考察或者召开开标前答疑会的，潜在投标人按第二部分投标人须知前附表的规定参加现场考察或者开标前答疑会。</w:t>
      </w:r>
    </w:p>
    <w:p>
      <w:pPr>
        <w:pStyle w:val="9"/>
        <w:spacing w:line="360" w:lineRule="auto"/>
        <w:ind w:firstLine="482" w:firstLineChars="200"/>
        <w:rPr>
          <w:rFonts w:ascii="仿宋" w:hAnsi="仿宋" w:eastAsia="仿宋" w:cs="仿宋_GB2312"/>
          <w:b/>
          <w:szCs w:val="24"/>
          <w:highlight w:val="none"/>
        </w:rPr>
      </w:pPr>
      <w:r>
        <w:rPr>
          <w:rFonts w:ascii="仿宋" w:hAnsi="仿宋" w:eastAsia="仿宋"/>
          <w:b/>
          <w:kern w:val="28"/>
          <w:sz w:val="24"/>
          <w:szCs w:val="24"/>
          <w:highlight w:val="none"/>
        </w:rPr>
        <w:t>9.投标保证金</w:t>
      </w:r>
    </w:p>
    <w:p>
      <w:pPr>
        <w:pStyle w:val="7"/>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pPr>
        <w:pStyle w:val="9"/>
        <w:spacing w:line="360" w:lineRule="auto"/>
        <w:ind w:firstLine="482" w:firstLineChars="200"/>
        <w:rPr>
          <w:rFonts w:ascii="仿宋" w:hAnsi="仿宋" w:eastAsia="仿宋" w:cs="仿宋_GB2312"/>
          <w:b/>
          <w:sz w:val="24"/>
          <w:szCs w:val="24"/>
          <w:highlight w:val="none"/>
        </w:rPr>
      </w:pPr>
      <w:r>
        <w:rPr>
          <w:rFonts w:ascii="仿宋" w:hAnsi="仿宋" w:eastAsia="仿宋" w:cs="仿宋_GB2312"/>
          <w:b/>
          <w:sz w:val="24"/>
          <w:szCs w:val="24"/>
          <w:highlight w:val="none"/>
        </w:rPr>
        <w:t>10.</w:t>
      </w:r>
      <w:r>
        <w:rPr>
          <w:rFonts w:hint="eastAsia" w:ascii="仿宋" w:hAnsi="仿宋" w:eastAsia="仿宋" w:cs="仿宋_GB2312"/>
          <w:b/>
          <w:sz w:val="24"/>
          <w:szCs w:val="24"/>
          <w:highlight w:val="none"/>
        </w:rPr>
        <w:t>投标文件的语言</w:t>
      </w:r>
    </w:p>
    <w:p>
      <w:pPr>
        <w:autoSpaceDE w:val="0"/>
        <w:autoSpaceDN w:val="0"/>
        <w:spacing w:line="360" w:lineRule="auto"/>
        <w:ind w:firstLine="480" w:firstLineChars="200"/>
        <w:rPr>
          <w:rFonts w:ascii="仿宋" w:hAnsi="仿宋" w:eastAsia="仿宋" w:cs="仿宋_GB2312"/>
          <w:sz w:val="24"/>
          <w:highlight w:val="none"/>
          <w:lang w:val="zh-CN"/>
        </w:rPr>
      </w:pPr>
      <w:r>
        <w:rPr>
          <w:rFonts w:hint="eastAsia" w:ascii="仿宋" w:hAnsi="仿宋" w:eastAsia="仿宋" w:cs="仿宋_GB2312"/>
          <w:sz w:val="24"/>
          <w:highlight w:val="none"/>
        </w:rPr>
        <w:t>投标文件及投标人与采购有关的来往通知、函件和文件均应使用中文。</w:t>
      </w:r>
    </w:p>
    <w:p>
      <w:pPr>
        <w:pStyle w:val="9"/>
        <w:spacing w:line="360" w:lineRule="auto"/>
        <w:ind w:firstLine="482" w:firstLineChars="200"/>
        <w:rPr>
          <w:rFonts w:ascii="仿宋" w:hAnsi="仿宋" w:eastAsia="仿宋" w:cs="仿宋_GB2312"/>
          <w:b/>
          <w:sz w:val="24"/>
          <w:szCs w:val="24"/>
          <w:highlight w:val="none"/>
        </w:rPr>
      </w:pPr>
      <w:r>
        <w:rPr>
          <w:rFonts w:ascii="仿宋" w:hAnsi="仿宋" w:eastAsia="仿宋" w:cs="仿宋_GB2312"/>
          <w:b/>
          <w:sz w:val="24"/>
          <w:szCs w:val="24"/>
          <w:highlight w:val="none"/>
        </w:rPr>
        <w:t>11.</w:t>
      </w:r>
      <w:r>
        <w:rPr>
          <w:rFonts w:hint="eastAsia" w:ascii="仿宋" w:hAnsi="仿宋" w:eastAsia="仿宋" w:cs="仿宋_GB2312"/>
          <w:b/>
          <w:sz w:val="24"/>
          <w:szCs w:val="24"/>
          <w:highlight w:val="none"/>
        </w:rPr>
        <w:t>投标文件的组成</w:t>
      </w:r>
    </w:p>
    <w:p>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11.1</w:t>
      </w:r>
      <w:r>
        <w:rPr>
          <w:rFonts w:hint="eastAsia" w:ascii="仿宋" w:hAnsi="仿宋" w:eastAsia="仿宋" w:cs="仿宋_GB2312"/>
          <w:b/>
          <w:sz w:val="24"/>
          <w:highlight w:val="none"/>
        </w:rPr>
        <w:t>资格文件</w:t>
      </w:r>
      <w:r>
        <w:rPr>
          <w:rFonts w:hint="eastAsia" w:ascii="仿宋" w:hAnsi="仿宋" w:eastAsia="仿宋" w:cs="仿宋_GB2312"/>
          <w:sz w:val="24"/>
          <w:highlight w:val="none"/>
        </w:rPr>
        <w:t>：</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11.1.2落实政府采购政策需满足的资格要求</w:t>
      </w:r>
      <w:r>
        <w:rPr>
          <w:rFonts w:hint="eastAsia" w:ascii="仿宋" w:hAnsi="仿宋" w:eastAsia="仿宋" w:cs="仿宋_GB2312"/>
          <w:sz w:val="24"/>
          <w:highlight w:val="none"/>
        </w:rPr>
        <w:t>（如果有）</w:t>
      </w:r>
      <w:r>
        <w:rPr>
          <w:rFonts w:ascii="仿宋" w:hAnsi="仿宋" w:eastAsia="仿宋" w:cs="仿宋_GB2312"/>
          <w:sz w:val="24"/>
          <w:highlight w:val="none"/>
        </w:rPr>
        <w:t>；</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11.1.3本项目的特定资格要求</w:t>
      </w:r>
      <w:r>
        <w:rPr>
          <w:rFonts w:hint="eastAsia" w:ascii="仿宋" w:hAnsi="仿宋" w:eastAsia="仿宋" w:cs="仿宋_GB2312"/>
          <w:sz w:val="24"/>
          <w:highlight w:val="none"/>
        </w:rPr>
        <w:t>；</w:t>
      </w:r>
    </w:p>
    <w:p>
      <w:pPr>
        <w:snapToGrid w:val="0"/>
        <w:spacing w:line="360" w:lineRule="auto"/>
        <w:ind w:firstLine="960" w:firstLineChars="400"/>
        <w:rPr>
          <w:highlight w:val="none"/>
        </w:rPr>
      </w:pPr>
      <w:r>
        <w:rPr>
          <w:rFonts w:hint="eastAsia" w:ascii="仿宋" w:eastAsia="仿宋" w:cs="仿宋_GB2312"/>
          <w:sz w:val="24"/>
          <w:highlight w:val="none"/>
        </w:rPr>
        <w:t>11.1.4</w:t>
      </w:r>
      <w:r>
        <w:rPr>
          <w:rFonts w:ascii="仿宋_GB2312" w:hAnsi="仿宋" w:eastAsia="仿宋_GB2312" w:cs="仿宋_GB2312"/>
          <w:sz w:val="24"/>
          <w:highlight w:val="none"/>
        </w:rPr>
        <w:t>联合协议</w:t>
      </w:r>
      <w:r>
        <w:rPr>
          <w:rFonts w:hint="eastAsia" w:ascii="仿宋_GB2312" w:hAnsi="仿宋" w:eastAsia="仿宋_GB2312" w:cs="仿宋_GB2312"/>
          <w:sz w:val="24"/>
          <w:highlight w:val="none"/>
        </w:rPr>
        <w:t>（如果有）。</w:t>
      </w:r>
    </w:p>
    <w:p>
      <w:pPr>
        <w:snapToGrid w:val="0"/>
        <w:spacing w:line="360" w:lineRule="auto"/>
        <w:ind w:firstLine="480" w:firstLineChars="200"/>
        <w:rPr>
          <w:rFonts w:ascii="仿宋" w:hAnsi="仿宋" w:eastAsia="仿宋" w:cs="仿宋_GB2312"/>
          <w:sz w:val="24"/>
          <w:highlight w:val="none"/>
          <w:lang w:val="zh-CN"/>
        </w:rPr>
      </w:pPr>
      <w:r>
        <w:rPr>
          <w:rFonts w:ascii="仿宋" w:hAnsi="仿宋" w:eastAsia="仿宋" w:cs="仿宋_GB2312"/>
          <w:sz w:val="24"/>
          <w:highlight w:val="none"/>
          <w:lang w:val="zh-CN"/>
        </w:rPr>
        <w:t>11.</w:t>
      </w:r>
      <w:r>
        <w:rPr>
          <w:rFonts w:ascii="仿宋" w:hAnsi="仿宋" w:eastAsia="仿宋" w:cs="仿宋_GB2312"/>
          <w:sz w:val="24"/>
          <w:highlight w:val="none"/>
        </w:rPr>
        <w:t>2</w:t>
      </w:r>
      <w:r>
        <w:rPr>
          <w:rFonts w:hint="eastAsia" w:ascii="仿宋" w:hAnsi="仿宋" w:eastAsia="仿宋" w:cs="仿宋_GB2312"/>
          <w:b/>
          <w:sz w:val="24"/>
          <w:highlight w:val="none"/>
        </w:rPr>
        <w:t>商务技术</w:t>
      </w:r>
      <w:r>
        <w:rPr>
          <w:rFonts w:hint="eastAsia" w:ascii="仿宋" w:hAnsi="仿宋" w:eastAsia="仿宋" w:cs="仿宋_GB2312"/>
          <w:b/>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3</w:t>
      </w:r>
      <w:r>
        <w:rPr>
          <w:rFonts w:ascii="仿宋_GB2312" w:hAnsi="仿宋" w:eastAsia="仿宋_GB2312" w:cs="仿宋_GB2312"/>
          <w:sz w:val="24"/>
          <w:highlight w:val="none"/>
        </w:rPr>
        <w:t>分包意向协议</w:t>
      </w:r>
      <w:r>
        <w:rPr>
          <w:rFonts w:hint="eastAsia" w:ascii="仿宋_GB2312" w:hAnsi="仿宋" w:eastAsia="仿宋_GB2312" w:cs="仿宋_GB2312"/>
          <w:sz w:val="24"/>
          <w:highlight w:val="none"/>
        </w:rPr>
        <w:t>（如果有）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4</w:t>
      </w:r>
      <w:r>
        <w:rPr>
          <w:rFonts w:ascii="仿宋_GB2312" w:hAnsi="仿宋" w:eastAsia="仿宋_GB2312" w:cs="仿宋_GB2312"/>
          <w:sz w:val="24"/>
          <w:highlight w:val="none"/>
        </w:rPr>
        <w:t>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5</w:t>
      </w:r>
      <w:r>
        <w:rPr>
          <w:rFonts w:ascii="仿宋_GB2312" w:hAnsi="仿宋" w:eastAsia="仿宋_GB2312" w:cs="仿宋_GB2312"/>
          <w:sz w:val="24"/>
          <w:highlight w:val="none"/>
        </w:rPr>
        <w:t>评标标准相应的商务技术资料；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6</w:t>
      </w:r>
      <w:r>
        <w:rPr>
          <w:rFonts w:ascii="仿宋_GB2312" w:hAnsi="仿宋" w:eastAsia="仿宋_GB2312" w:cs="仿宋_GB2312"/>
          <w:sz w:val="24"/>
          <w:highlight w:val="none"/>
        </w:rPr>
        <w:t>商务技术偏离表；</w:t>
      </w:r>
    </w:p>
    <w:p>
      <w:pPr>
        <w:snapToGrid w:val="0"/>
        <w:spacing w:line="360" w:lineRule="auto"/>
        <w:ind w:firstLine="960" w:firstLineChars="400"/>
        <w:rPr>
          <w:rFonts w:ascii="仿宋" w:hAnsi="仿宋" w:eastAsia="仿宋"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rPr>
        <w:t>7</w:t>
      </w:r>
      <w:r>
        <w:rPr>
          <w:rFonts w:hint="eastAsia" w:ascii="仿宋_GB2312" w:hAnsi="仿宋" w:eastAsia="仿宋_GB2312" w:cs="仿宋_GB2312"/>
          <w:sz w:val="24"/>
          <w:highlight w:val="none"/>
          <w:lang w:val="zh-CN"/>
        </w:rPr>
        <w:t>政府采购供应商廉洁自律承诺书。</w:t>
      </w:r>
    </w:p>
    <w:p>
      <w:pPr>
        <w:snapToGrid w:val="0"/>
        <w:spacing w:line="360" w:lineRule="auto"/>
        <w:ind w:firstLine="480" w:firstLineChars="200"/>
        <w:rPr>
          <w:rFonts w:ascii="仿宋" w:hAnsi="仿宋" w:eastAsia="仿宋" w:cs="仿宋_GB2312"/>
          <w:sz w:val="24"/>
          <w:highlight w:val="none"/>
          <w:u w:val="single"/>
          <w:lang w:val="zh-CN"/>
        </w:rPr>
      </w:pPr>
      <w:r>
        <w:rPr>
          <w:rFonts w:ascii="仿宋" w:hAnsi="仿宋" w:eastAsia="仿宋" w:cs="仿宋_GB2312"/>
          <w:kern w:val="0"/>
          <w:sz w:val="24"/>
          <w:highlight w:val="none"/>
          <w:lang w:val="zh-CN"/>
        </w:rPr>
        <w:t>11.</w:t>
      </w:r>
      <w:r>
        <w:rPr>
          <w:rFonts w:ascii="仿宋" w:hAnsi="仿宋" w:eastAsia="仿宋" w:cs="仿宋_GB2312"/>
          <w:kern w:val="0"/>
          <w:sz w:val="24"/>
          <w:highlight w:val="none"/>
        </w:rPr>
        <w:t>3</w:t>
      </w:r>
      <w:r>
        <w:rPr>
          <w:rFonts w:hint="eastAsia" w:ascii="仿宋" w:hAnsi="仿宋" w:eastAsia="仿宋" w:cs="仿宋_GB2312"/>
          <w:b/>
          <w:sz w:val="24"/>
          <w:highlight w:val="none"/>
        </w:rPr>
        <w:t>报价文件：</w:t>
      </w:r>
    </w:p>
    <w:p>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11.3.1开标一览表（报价表）</w:t>
      </w:r>
      <w:r>
        <w:rPr>
          <w:rFonts w:hint="eastAsia" w:ascii="仿宋" w:hAnsi="仿宋" w:eastAsia="仿宋" w:cs="仿宋_GB2312"/>
          <w:sz w:val="24"/>
          <w:highlight w:val="none"/>
        </w:rPr>
        <w:t>；</w:t>
      </w:r>
    </w:p>
    <w:p>
      <w:pPr>
        <w:snapToGrid w:val="0"/>
        <w:spacing w:line="360" w:lineRule="auto"/>
        <w:ind w:firstLine="960" w:firstLineChars="400"/>
        <w:rPr>
          <w:rFonts w:ascii="仿宋" w:hAnsi="仿宋" w:eastAsia="仿宋" w:cs="仿宋_GB2312"/>
          <w:sz w:val="24"/>
          <w:highlight w:val="none"/>
          <w:lang w:val="zh-CN"/>
        </w:rPr>
      </w:pPr>
      <w:r>
        <w:rPr>
          <w:rFonts w:hint="eastAsia" w:ascii="仿宋" w:hAnsi="仿宋" w:eastAsia="仿宋" w:cs="仿宋_GB2312"/>
          <w:sz w:val="24"/>
          <w:highlight w:val="none"/>
        </w:rPr>
        <w:t>11.3.2中小</w:t>
      </w:r>
      <w:r>
        <w:rPr>
          <w:rFonts w:hint="eastAsia" w:ascii="仿宋" w:hAnsi="仿宋" w:eastAsia="仿宋" w:cs="仿宋_GB2312"/>
          <w:sz w:val="24"/>
          <w:highlight w:val="none"/>
          <w:lang w:val="zh-CN"/>
        </w:rPr>
        <w:t>企业声明函（如果有）。</w:t>
      </w:r>
    </w:p>
    <w:p>
      <w:pPr>
        <w:spacing w:line="360" w:lineRule="auto"/>
        <w:ind w:firstLine="723" w:firstLineChars="300"/>
        <w:rPr>
          <w:rFonts w:ascii="仿宋" w:hAnsi="仿宋" w:eastAsia="仿宋"/>
          <w:b/>
          <w:sz w:val="24"/>
          <w:highlight w:val="none"/>
        </w:rPr>
      </w:pPr>
      <w:r>
        <w:rPr>
          <w:rFonts w:hint="eastAsia" w:ascii="仿宋" w:hAnsi="仿宋" w:eastAsia="仿宋"/>
          <w:b/>
          <w:sz w:val="24"/>
          <w:highlight w:val="none"/>
        </w:rPr>
        <w:t>投标文件含有采购人不能接受的附加条件的，投标无效；</w:t>
      </w:r>
    </w:p>
    <w:p>
      <w:pPr>
        <w:spacing w:line="360" w:lineRule="auto"/>
        <w:ind w:firstLine="723" w:firstLineChars="300"/>
        <w:rPr>
          <w:rFonts w:ascii="仿宋" w:hAnsi="仿宋" w:eastAsia="仿宋" w:cs="仿宋_GB2312"/>
          <w:b/>
          <w:sz w:val="24"/>
          <w:szCs w:val="21"/>
          <w:highlight w:val="none"/>
        </w:rPr>
      </w:pPr>
      <w:r>
        <w:rPr>
          <w:rFonts w:hint="eastAsia" w:ascii="仿宋" w:hAnsi="仿宋" w:eastAsia="仿宋"/>
          <w:b/>
          <w:sz w:val="24"/>
          <w:highlight w:val="none"/>
        </w:rPr>
        <w:t>投标人提供虚假材料投标的，投标无效。</w:t>
      </w:r>
    </w:p>
    <w:p>
      <w:pPr>
        <w:pStyle w:val="128"/>
        <w:snapToGrid w:val="0"/>
        <w:spacing w:before="0"/>
        <w:ind w:firstLine="482"/>
        <w:outlineLvl w:val="0"/>
        <w:rPr>
          <w:rFonts w:ascii="仿宋" w:hAnsi="仿宋" w:eastAsia="仿宋" w:cs="仿宋_GB2312"/>
          <w:b/>
          <w:szCs w:val="24"/>
          <w:highlight w:val="none"/>
        </w:rPr>
      </w:pPr>
      <w:r>
        <w:rPr>
          <w:rFonts w:ascii="仿宋" w:hAnsi="仿宋" w:eastAsia="仿宋" w:cs="仿宋_GB2312"/>
          <w:b/>
          <w:szCs w:val="24"/>
          <w:highlight w:val="none"/>
        </w:rPr>
        <w:t>12</w:t>
      </w:r>
      <w:r>
        <w:rPr>
          <w:rFonts w:ascii="仿宋" w:hAnsi="仿宋" w:eastAsia="仿宋" w:cs="仿宋_GB2312"/>
          <w:b/>
          <w:kern w:val="0"/>
          <w:szCs w:val="24"/>
          <w:highlight w:val="none"/>
          <w:lang w:val="zh-CN"/>
        </w:rPr>
        <w:t>.</w:t>
      </w:r>
      <w:r>
        <w:rPr>
          <w:rFonts w:hint="eastAsia" w:ascii="仿宋" w:hAnsi="仿宋" w:eastAsia="仿宋" w:cs="仿宋_GB2312"/>
          <w:b/>
          <w:szCs w:val="24"/>
          <w:highlight w:val="none"/>
        </w:rPr>
        <w:t>投标文件的编制</w:t>
      </w:r>
    </w:p>
    <w:p>
      <w:pPr>
        <w:spacing w:line="360" w:lineRule="auto"/>
        <w:ind w:firstLine="480" w:firstLineChars="200"/>
        <w:rPr>
          <w:rFonts w:ascii="仿宋" w:hAnsi="仿宋" w:eastAsia="仿宋" w:cs="仿宋_GB2312"/>
          <w:b/>
          <w:sz w:val="24"/>
          <w:highlight w:val="none"/>
        </w:rPr>
      </w:pPr>
      <w:r>
        <w:rPr>
          <w:rFonts w:ascii="仿宋" w:hAnsi="仿宋" w:eastAsia="仿宋" w:cs="仿宋_GB2312"/>
          <w:kern w:val="0"/>
          <w:sz w:val="24"/>
          <w:highlight w:val="none"/>
          <w:lang w:val="zh-CN"/>
        </w:rPr>
        <w:t>12.1投标文件分为资格文件、商务技术文件、报价文件三部分。各投标人在编制投标文件时请按照招标文件第六部</w:t>
      </w:r>
      <w:r>
        <w:rPr>
          <w:rFonts w:hint="eastAsia" w:ascii="仿宋" w:hAnsi="仿宋" w:eastAsia="仿宋" w:cs="仿宋_GB2312"/>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12.2投标人进行电子投标应安装客户端软件—“政</w:t>
      </w:r>
      <w:r>
        <w:rPr>
          <w:rFonts w:hint="eastAsia" w:ascii="仿宋" w:hAnsi="仿宋" w:eastAsia="仿宋" w:cs="仿宋_GB2312"/>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12.3使用“政</w:t>
      </w:r>
      <w:r>
        <w:rPr>
          <w:rFonts w:hint="eastAsia" w:ascii="仿宋" w:hAnsi="仿宋" w:eastAsia="仿宋" w:cs="仿宋_GB2312"/>
          <w:kern w:val="0"/>
          <w:sz w:val="24"/>
          <w:highlight w:val="none"/>
          <w:lang w:val="zh-CN"/>
        </w:rPr>
        <w:t>采云电子交易客户端”需要提前申领</w:t>
      </w:r>
      <w:r>
        <w:rPr>
          <w:rFonts w:ascii="仿宋" w:hAnsi="仿宋" w:eastAsia="仿宋" w:cs="仿宋_GB2312"/>
          <w:kern w:val="0"/>
          <w:sz w:val="24"/>
          <w:highlight w:val="none"/>
          <w:lang w:val="zh-CN"/>
        </w:rPr>
        <w:t>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b/>
          <w:sz w:val="24"/>
          <w:highlight w:val="none"/>
        </w:rPr>
      </w:pPr>
      <w:r>
        <w:rPr>
          <w:rFonts w:ascii="仿宋" w:hAnsi="仿宋" w:eastAsia="仿宋"/>
          <w:b/>
          <w:sz w:val="24"/>
          <w:highlight w:val="none"/>
        </w:rPr>
        <w:t>13.投标文件的签署、盖章</w:t>
      </w:r>
    </w:p>
    <w:p>
      <w:pPr>
        <w:pStyle w:val="128"/>
        <w:snapToGrid w:val="0"/>
        <w:spacing w:before="0"/>
        <w:ind w:firstLine="480"/>
        <w:rPr>
          <w:rFonts w:ascii="仿宋" w:hAnsi="仿宋" w:eastAsia="仿宋" w:cs="仿宋_GB2312"/>
          <w:b/>
          <w:highlight w:val="none"/>
        </w:rPr>
      </w:pPr>
      <w:r>
        <w:rPr>
          <w:rFonts w:ascii="仿宋" w:hAnsi="仿宋" w:eastAsia="仿宋" w:cs="仿宋_GB2312"/>
          <w:szCs w:val="24"/>
          <w:highlight w:val="none"/>
        </w:rPr>
        <w:t>13.1投标文件按照招标文件第六部分格式要</w:t>
      </w:r>
      <w:r>
        <w:rPr>
          <w:rFonts w:hint="eastAsia" w:ascii="仿宋" w:hAnsi="仿宋" w:eastAsia="仿宋" w:cs="仿宋_GB2312"/>
          <w:highlight w:val="none"/>
        </w:rPr>
        <w:t>求进行签署、盖章。</w:t>
      </w:r>
      <w:r>
        <w:rPr>
          <w:rFonts w:hint="eastAsia" w:ascii="仿宋" w:hAnsi="仿宋" w:eastAsia="仿宋"/>
          <w:b/>
          <w:highlight w:val="none"/>
        </w:rPr>
        <w:t>▲</w:t>
      </w:r>
      <w:r>
        <w:rPr>
          <w:rFonts w:hint="eastAsia" w:ascii="仿宋" w:hAnsi="仿宋" w:eastAsia="仿宋" w:cs="仿宋_GB2312"/>
          <w:b/>
          <w:highlight w:val="none"/>
        </w:rPr>
        <w:t>投标人的投标文件未按照招标文件要求签署、盖章的，其投标无效</w:t>
      </w:r>
      <w:r>
        <w:rPr>
          <w:rFonts w:hint="eastAsia" w:ascii="仿宋" w:hAnsi="仿宋" w:eastAsia="仿宋" w:cs="仿宋_GB2312"/>
          <w:szCs w:val="24"/>
          <w:highlight w:val="none"/>
        </w:rPr>
        <w:t>。</w:t>
      </w:r>
    </w:p>
    <w:p>
      <w:pPr>
        <w:pStyle w:val="128"/>
        <w:snapToGrid w:val="0"/>
        <w:spacing w:before="0"/>
        <w:ind w:firstLine="480"/>
        <w:rPr>
          <w:rFonts w:ascii="仿宋" w:hAnsi="仿宋" w:eastAsia="仿宋" w:cs="仿宋_GB2312"/>
          <w:highlight w:val="none"/>
        </w:rPr>
      </w:pPr>
      <w:r>
        <w:rPr>
          <w:rFonts w:ascii="仿宋" w:hAnsi="仿宋" w:eastAsia="仿宋" w:cs="仿宋_GB2312"/>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仿宋_GB2312"/>
          <w:szCs w:val="24"/>
          <w:highlight w:val="none"/>
        </w:rPr>
      </w:pPr>
      <w:r>
        <w:rPr>
          <w:rFonts w:ascii="仿宋" w:hAnsi="仿宋" w:eastAsia="仿宋" w:cs="仿宋_GB2312"/>
          <w:highlight w:val="none"/>
        </w:rPr>
        <w:t>13.3招标文件对投标文件签署、盖章的要求适用于电子签名。</w:t>
      </w:r>
    </w:p>
    <w:p>
      <w:pPr>
        <w:pStyle w:val="128"/>
        <w:snapToGrid w:val="0"/>
        <w:spacing w:before="0"/>
        <w:ind w:firstLine="482"/>
        <w:rPr>
          <w:rFonts w:ascii="仿宋" w:hAnsi="仿宋" w:eastAsia="仿宋" w:cs="仿宋_GB2312"/>
          <w:b/>
          <w:szCs w:val="24"/>
          <w:highlight w:val="none"/>
        </w:rPr>
      </w:pPr>
      <w:r>
        <w:rPr>
          <w:rFonts w:ascii="仿宋" w:hAnsi="仿宋" w:eastAsia="仿宋" w:cs="仿宋_GB2312"/>
          <w:b/>
          <w:szCs w:val="24"/>
          <w:highlight w:val="none"/>
        </w:rPr>
        <w:t>14.</w:t>
      </w:r>
      <w:r>
        <w:rPr>
          <w:rFonts w:hint="eastAsia" w:ascii="仿宋" w:hAnsi="仿宋" w:eastAsia="仿宋" w:cs="仿宋_GB2312"/>
          <w:b/>
          <w:szCs w:val="24"/>
          <w:highlight w:val="none"/>
        </w:rPr>
        <w:t>投标文件的提交、补充、修改、撤回</w:t>
      </w:r>
    </w:p>
    <w:p>
      <w:pPr>
        <w:pStyle w:val="128"/>
        <w:snapToGrid w:val="0"/>
        <w:spacing w:before="0"/>
        <w:ind w:firstLine="480"/>
        <w:rPr>
          <w:rFonts w:ascii="仿宋" w:hAnsi="仿宋" w:eastAsia="仿宋" w:cs="仿宋_GB2312"/>
          <w:szCs w:val="24"/>
          <w:highlight w:val="none"/>
        </w:rPr>
      </w:pPr>
      <w:r>
        <w:rPr>
          <w:rFonts w:ascii="仿宋" w:hAnsi="仿宋" w:eastAsia="仿宋" w:cs="仿宋_GB2312"/>
          <w:szCs w:val="24"/>
          <w:highlight w:val="none"/>
        </w:rPr>
        <w:t>14.1</w:t>
      </w:r>
      <w:r>
        <w:rPr>
          <w:rFonts w:hint="eastAsia" w:ascii="仿宋" w:hAnsi="仿宋" w:eastAsia="仿宋"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napToGrid w:val="0"/>
        <w:spacing w:before="0"/>
        <w:ind w:firstLine="480"/>
        <w:rPr>
          <w:rFonts w:ascii="仿宋" w:hAnsi="仿宋" w:eastAsia="仿宋" w:cs="仿宋_GB2312"/>
          <w:szCs w:val="24"/>
          <w:highlight w:val="none"/>
        </w:rPr>
      </w:pPr>
      <w:r>
        <w:rPr>
          <w:rFonts w:ascii="仿宋" w:hAnsi="仿宋" w:eastAsia="仿宋"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napToGrid w:val="0"/>
        <w:spacing w:before="0"/>
        <w:ind w:firstLine="480"/>
        <w:rPr>
          <w:rFonts w:ascii="仿宋" w:hAnsi="仿宋" w:eastAsia="仿宋" w:cs="仿宋_GB2312"/>
          <w:szCs w:val="24"/>
          <w:highlight w:val="none"/>
        </w:rPr>
      </w:pPr>
      <w:r>
        <w:rPr>
          <w:rFonts w:ascii="仿宋" w:hAnsi="仿宋" w:eastAsia="仿宋"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9"/>
        <w:snapToGrid w:val="0"/>
        <w:spacing w:line="360" w:lineRule="auto"/>
        <w:ind w:firstLine="482" w:firstLineChars="200"/>
        <w:rPr>
          <w:rFonts w:ascii="仿宋" w:hAnsi="仿宋" w:eastAsia="仿宋" w:cs="仿宋_GB2312"/>
          <w:b/>
          <w:sz w:val="24"/>
          <w:szCs w:val="24"/>
          <w:highlight w:val="none"/>
        </w:rPr>
      </w:pPr>
      <w:r>
        <w:rPr>
          <w:rFonts w:ascii="仿宋" w:hAnsi="仿宋" w:eastAsia="仿宋" w:cs="仿宋_GB2312"/>
          <w:b/>
          <w:sz w:val="24"/>
          <w:szCs w:val="24"/>
          <w:highlight w:val="none"/>
        </w:rPr>
        <w:t>15.备份投标文件</w:t>
      </w:r>
    </w:p>
    <w:p>
      <w:pPr>
        <w:pStyle w:val="9"/>
        <w:snapToGrid w:val="0"/>
        <w:spacing w:line="360" w:lineRule="auto"/>
        <w:ind w:firstLine="360" w:firstLineChars="150"/>
        <w:rPr>
          <w:rFonts w:ascii="仿宋" w:hAnsi="仿宋" w:eastAsia="仿宋" w:cs="仿宋_GB2312"/>
          <w:b/>
          <w:sz w:val="24"/>
          <w:szCs w:val="24"/>
          <w:highlight w:val="none"/>
        </w:rPr>
      </w:pPr>
      <w:r>
        <w:rPr>
          <w:rFonts w:ascii="仿宋" w:hAnsi="仿宋" w:eastAsia="仿宋" w:cs="仿宋_GB2312"/>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sz w:val="24"/>
          <w:szCs w:val="24"/>
          <w:highlight w:val="none"/>
        </w:rPr>
        <w:t>但采购人、采购机构不强制或变相强制投标人提交备份投标文件。</w:t>
      </w:r>
    </w:p>
    <w:p>
      <w:pPr>
        <w:pStyle w:val="9"/>
        <w:snapToGrid w:val="0"/>
        <w:spacing w:line="360" w:lineRule="auto"/>
        <w:ind w:firstLine="480" w:firstLineChars="200"/>
        <w:rPr>
          <w:rFonts w:ascii="仿宋" w:hAnsi="仿宋" w:eastAsia="仿宋" w:cs="仿宋_GB2312"/>
          <w:b/>
          <w:sz w:val="24"/>
          <w:szCs w:val="24"/>
          <w:highlight w:val="none"/>
        </w:rPr>
      </w:pPr>
      <w:r>
        <w:rPr>
          <w:rFonts w:ascii="仿宋" w:hAnsi="仿宋" w:eastAsia="仿宋" w:cs="仿宋_GB2312"/>
          <w:sz w:val="24"/>
          <w:szCs w:val="24"/>
          <w:highlight w:val="none"/>
        </w:rPr>
        <w:t>15.2</w:t>
      </w:r>
      <w:r>
        <w:rPr>
          <w:rFonts w:ascii="仿宋_GB2312" w:hAnsi="仿宋" w:eastAsia="仿宋_GB2312" w:cs="仿宋_GB2312"/>
          <w:sz w:val="24"/>
          <w:szCs w:val="24"/>
          <w:highlight w:val="none"/>
        </w:rPr>
        <w:t>备份投标文件须在“政</w:t>
      </w:r>
      <w:r>
        <w:rPr>
          <w:rFonts w:hint="eastAsia" w:ascii="仿宋_GB2312" w:hAnsi="仿宋" w:eastAsia="仿宋_GB2312" w:cs="仿宋_GB2312"/>
          <w:sz w:val="24"/>
          <w:szCs w:val="24"/>
          <w:highlight w:val="none"/>
        </w:rPr>
        <w:t>采云投标客户端”制作生成，并储存在</w:t>
      </w:r>
      <w:r>
        <w:rPr>
          <w:rFonts w:ascii="仿宋_GB2312" w:hAnsi="仿宋" w:eastAsia="仿宋_GB2312"/>
          <w:sz w:val="24"/>
          <w:highlight w:val="none"/>
        </w:rPr>
        <w:t>DVD光盘</w:t>
      </w:r>
      <w:r>
        <w:rPr>
          <w:rFonts w:hint="eastAsia" w:ascii="仿宋_GB2312" w:hAnsi="仿宋" w:eastAsia="仿宋_GB2312" w:cs="仿宋_GB2312"/>
          <w:sz w:val="24"/>
          <w:szCs w:val="24"/>
          <w:highlight w:val="none"/>
        </w:rPr>
        <w:t>中。备份投标文件应当密封包装并在包装上加盖公章并注明投标项目名称，投标人名称</w:t>
      </w:r>
      <w:r>
        <w:rPr>
          <w:rFonts w:ascii="仿宋_GB2312" w:hAnsi="仿宋" w:eastAsia="仿宋_GB2312" w:cs="仿宋_GB2312"/>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sz w:val="24"/>
          <w:highlight w:val="none"/>
        </w:rPr>
        <w:t>不符合上述制作、</w:t>
      </w:r>
      <w:r>
        <w:rPr>
          <w:rFonts w:hint="eastAsia" w:ascii="仿宋_GB2312" w:hAnsi="仿宋" w:eastAsia="仿宋_GB2312" w:cs="仿宋_GB2312"/>
          <w:b/>
          <w:sz w:val="24"/>
          <w:szCs w:val="24"/>
          <w:highlight w:val="none"/>
        </w:rPr>
        <w:t>存储、密封规定的备份投标文件将被视为无效或者被拒绝接收。</w:t>
      </w:r>
    </w:p>
    <w:p>
      <w:pPr>
        <w:pStyle w:val="9"/>
        <w:snapToGrid w:val="0"/>
        <w:spacing w:line="360" w:lineRule="auto"/>
        <w:ind w:firstLine="480" w:firstLineChars="200"/>
        <w:rPr>
          <w:rFonts w:ascii="仿宋" w:hAnsi="仿宋" w:eastAsia="仿宋" w:cs="仿宋_GB2312"/>
          <w:sz w:val="24"/>
          <w:szCs w:val="24"/>
          <w:highlight w:val="none"/>
        </w:rPr>
      </w:pPr>
      <w:r>
        <w:rPr>
          <w:rFonts w:ascii="仿宋" w:hAnsi="仿宋" w:eastAsia="仿宋" w:cs="仿宋_GB2312"/>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9"/>
        <w:snapToGrid w:val="0"/>
        <w:spacing w:line="360" w:lineRule="auto"/>
        <w:ind w:firstLine="480" w:firstLineChars="200"/>
        <w:rPr>
          <w:rFonts w:ascii="仿宋" w:hAnsi="仿宋" w:eastAsia="仿宋" w:cs="仿宋_GB2312"/>
          <w:sz w:val="24"/>
          <w:szCs w:val="24"/>
          <w:highlight w:val="none"/>
        </w:rPr>
      </w:pPr>
      <w:r>
        <w:rPr>
          <w:rFonts w:ascii="仿宋" w:hAnsi="仿宋" w:eastAsia="仿宋" w:cs="仿宋_GB2312"/>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napToGrid/>
          <w:sz w:val="24"/>
          <w:szCs w:val="24"/>
          <w:highlight w:val="none"/>
        </w:rPr>
        <w:t>招标文件第二部分投标人须知前附表规定的备份投标文件送达地点；</w:t>
      </w:r>
      <w:r>
        <w:rPr>
          <w:rFonts w:hint="eastAsia" w:ascii="仿宋" w:hAnsi="仿宋" w:eastAsia="仿宋" w:cs="仿宋_GB2312"/>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9"/>
        <w:snapToGrid w:val="0"/>
        <w:spacing w:line="360" w:lineRule="auto"/>
        <w:ind w:firstLine="479" w:firstLineChars="199"/>
        <w:rPr>
          <w:rFonts w:ascii="仿宋" w:hAnsi="仿宋" w:eastAsia="仿宋" w:cs="仿宋_GB2312"/>
          <w:b/>
          <w:sz w:val="24"/>
          <w:szCs w:val="24"/>
          <w:highlight w:val="none"/>
        </w:rPr>
      </w:pPr>
      <w:r>
        <w:rPr>
          <w:rFonts w:ascii="仿宋" w:hAnsi="仿宋" w:eastAsia="仿宋" w:cs="仿宋_GB2312"/>
          <w:b/>
          <w:sz w:val="24"/>
          <w:szCs w:val="24"/>
          <w:highlight w:val="none"/>
        </w:rPr>
        <w:t>15.5投标人仅提交备份投标文件，没有在电子交易平台传输递交投标文件的，投标无效。</w:t>
      </w:r>
    </w:p>
    <w:p>
      <w:pPr>
        <w:pStyle w:val="128"/>
        <w:snapToGrid w:val="0"/>
        <w:spacing w:before="0"/>
        <w:ind w:firstLine="482"/>
        <w:rPr>
          <w:rFonts w:ascii="仿宋" w:hAnsi="仿宋" w:eastAsia="仿宋" w:cs="仿宋_GB2312"/>
          <w:b/>
          <w:szCs w:val="24"/>
          <w:highlight w:val="none"/>
        </w:rPr>
      </w:pPr>
      <w:r>
        <w:rPr>
          <w:rFonts w:ascii="仿宋" w:hAnsi="仿宋" w:eastAsia="仿宋" w:cs="仿宋_GB2312"/>
          <w:b/>
          <w:szCs w:val="24"/>
          <w:highlight w:val="none"/>
        </w:rPr>
        <w:t>16.投标文件的无效处理</w:t>
      </w:r>
    </w:p>
    <w:p>
      <w:pPr>
        <w:pStyle w:val="3"/>
        <w:snapToGrid w:val="0"/>
        <w:spacing w:line="360" w:lineRule="auto"/>
        <w:rPr>
          <w:rFonts w:ascii="仿宋" w:hAnsi="仿宋" w:eastAsia="仿宋" w:cs="仿宋_GB2312"/>
          <w:szCs w:val="21"/>
          <w:highlight w:val="none"/>
        </w:rPr>
      </w:pPr>
      <w:r>
        <w:rPr>
          <w:rFonts w:hint="eastAsia" w:ascii="仿宋" w:hAnsi="仿宋" w:eastAsia="仿宋" w:cs="仿宋_GB2312"/>
          <w:szCs w:val="21"/>
          <w:highlight w:val="none"/>
        </w:rPr>
        <w:t>有招标文件第四部分</w:t>
      </w:r>
      <w:r>
        <w:rPr>
          <w:rFonts w:hint="eastAsia" w:ascii="仿宋" w:hAnsi="仿宋" w:eastAsia="仿宋"/>
          <w:highlight w:val="none"/>
        </w:rPr>
        <w:t>第</w:t>
      </w:r>
      <w:r>
        <w:rPr>
          <w:rFonts w:ascii="仿宋" w:hAnsi="仿宋" w:eastAsia="仿宋"/>
          <w:highlight w:val="none"/>
        </w:rPr>
        <w:t>13项规定</w:t>
      </w:r>
      <w:r>
        <w:rPr>
          <w:rFonts w:hint="eastAsia" w:ascii="仿宋" w:hAnsi="仿宋" w:eastAsia="仿宋" w:cs="仿宋_GB2312"/>
          <w:szCs w:val="21"/>
          <w:highlight w:val="none"/>
        </w:rPr>
        <w:t>的情形之一的，投标无效。</w:t>
      </w:r>
    </w:p>
    <w:p>
      <w:pPr>
        <w:pStyle w:val="128"/>
        <w:snapToGrid w:val="0"/>
        <w:spacing w:before="0"/>
        <w:ind w:firstLine="482"/>
        <w:rPr>
          <w:rFonts w:ascii="仿宋" w:hAnsi="仿宋" w:eastAsia="仿宋" w:cs="仿宋_GB2312"/>
          <w:b/>
          <w:szCs w:val="24"/>
          <w:highlight w:val="none"/>
        </w:rPr>
      </w:pPr>
      <w:r>
        <w:rPr>
          <w:rFonts w:ascii="仿宋" w:hAnsi="仿宋" w:eastAsia="仿宋" w:cs="仿宋_GB2312"/>
          <w:b/>
          <w:szCs w:val="24"/>
          <w:highlight w:val="none"/>
        </w:rPr>
        <w:t>17.投标有效期</w:t>
      </w:r>
    </w:p>
    <w:p>
      <w:pPr>
        <w:snapToGrid w:val="0"/>
        <w:spacing w:line="360" w:lineRule="auto"/>
        <w:ind w:firstLine="480" w:firstLineChars="200"/>
        <w:rPr>
          <w:rFonts w:ascii="仿宋" w:hAnsi="仿宋" w:eastAsia="仿宋" w:cs="仿宋_GB2312"/>
          <w:b/>
          <w:sz w:val="24"/>
          <w:szCs w:val="21"/>
          <w:highlight w:val="none"/>
        </w:rPr>
      </w:pPr>
      <w:r>
        <w:rPr>
          <w:rFonts w:ascii="仿宋" w:hAnsi="仿宋" w:eastAsia="仿宋" w:cs="仿宋_GB2312"/>
          <w:sz w:val="24"/>
          <w:szCs w:val="20"/>
          <w:highlight w:val="none"/>
        </w:rPr>
        <w:t>17.1投标有效期为从提交投标文件的截止之日起90天。▲</w:t>
      </w:r>
      <w:r>
        <w:rPr>
          <w:rFonts w:hint="eastAsia" w:ascii="仿宋" w:hAnsi="仿宋" w:eastAsia="仿宋" w:cs="仿宋_GB2312"/>
          <w:b/>
          <w:sz w:val="24"/>
          <w:szCs w:val="20"/>
          <w:highlight w:val="none"/>
        </w:rPr>
        <w:t>投标人的投标文件中承</w:t>
      </w:r>
      <w:r>
        <w:rPr>
          <w:rFonts w:hint="eastAsia" w:ascii="仿宋" w:hAnsi="仿宋" w:eastAsia="仿宋" w:cs="仿宋_GB2312"/>
          <w:b/>
          <w:sz w:val="24"/>
          <w:szCs w:val="21"/>
          <w:highlight w:val="none"/>
        </w:rPr>
        <w:t>诺的投标有效期少于招标文件中载明的投标有效期的，投标无效。</w:t>
      </w:r>
    </w:p>
    <w:p>
      <w:pPr>
        <w:pStyle w:val="128"/>
        <w:snapToGrid w:val="0"/>
        <w:spacing w:before="0"/>
        <w:ind w:firstLine="480"/>
        <w:rPr>
          <w:rFonts w:ascii="仿宋" w:hAnsi="仿宋" w:eastAsia="仿宋" w:cs="仿宋_GB2312"/>
          <w:highlight w:val="none"/>
        </w:rPr>
      </w:pPr>
      <w:r>
        <w:rPr>
          <w:rFonts w:ascii="仿宋" w:hAnsi="仿宋" w:eastAsia="仿宋" w:cs="仿宋_GB2312"/>
          <w:highlight w:val="none"/>
        </w:rPr>
        <w:t>17.2投标文件合格投递后，自投标截止日期起，在投标有效期内有效。</w:t>
      </w:r>
    </w:p>
    <w:p>
      <w:pPr>
        <w:pStyle w:val="128"/>
        <w:snapToGrid w:val="0"/>
        <w:spacing w:before="0"/>
        <w:ind w:firstLine="480"/>
        <w:rPr>
          <w:rFonts w:ascii="仿宋" w:hAnsi="仿宋" w:eastAsia="仿宋" w:cs="仿宋_GB2312"/>
          <w:highlight w:val="none"/>
        </w:rPr>
      </w:pPr>
      <w:r>
        <w:rPr>
          <w:rFonts w:ascii="仿宋" w:hAnsi="仿宋" w:eastAsia="仿宋"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26"/>
        <w:rPr>
          <w:rFonts w:ascii="仿宋" w:hAnsi="仿宋" w:eastAsia="仿宋" w:cs="仿宋_GB2312"/>
          <w:sz w:val="18"/>
          <w:szCs w:val="18"/>
          <w:highlight w:val="none"/>
          <w:lang w:val="en-US"/>
        </w:rPr>
      </w:pPr>
    </w:p>
    <w:p>
      <w:pPr>
        <w:pStyle w:val="128"/>
        <w:spacing w:before="0"/>
        <w:ind w:firstLine="1928" w:firstLineChars="600"/>
        <w:rPr>
          <w:rFonts w:ascii="仿宋" w:hAnsi="仿宋" w:eastAsia="仿宋" w:cs="仿宋_GB2312"/>
          <w:b/>
          <w:sz w:val="32"/>
          <w:highlight w:val="none"/>
        </w:rPr>
      </w:pPr>
      <w:r>
        <w:rPr>
          <w:rFonts w:hint="eastAsia" w:ascii="仿宋" w:hAnsi="仿宋" w:eastAsia="仿宋" w:cs="仿宋_GB2312"/>
          <w:b/>
          <w:sz w:val="32"/>
          <w:highlight w:val="none"/>
        </w:rPr>
        <w:t>四、开标、资格审查与信用信息查询</w:t>
      </w:r>
    </w:p>
    <w:p>
      <w:pPr>
        <w:pStyle w:val="554"/>
        <w:snapToGrid w:val="0"/>
        <w:spacing w:before="0" w:line="360" w:lineRule="auto"/>
        <w:ind w:left="0" w:firstLine="482" w:firstLineChars="200"/>
        <w:rPr>
          <w:rFonts w:ascii="仿宋" w:hAnsi="仿宋" w:eastAsia="仿宋"/>
          <w:sz w:val="24"/>
          <w:highlight w:val="none"/>
        </w:rPr>
      </w:pPr>
      <w:r>
        <w:rPr>
          <w:rFonts w:ascii="仿宋" w:hAnsi="仿宋" w:eastAsia="仿宋" w:cs="仿宋_GB2312"/>
          <w:b/>
          <w:sz w:val="24"/>
          <w:szCs w:val="24"/>
          <w:highlight w:val="none"/>
        </w:rPr>
        <w:t>18.开标</w:t>
      </w:r>
    </w:p>
    <w:p>
      <w:pPr>
        <w:pStyle w:val="554"/>
        <w:snapToGrid w:val="0"/>
        <w:spacing w:before="0" w:line="360" w:lineRule="auto"/>
        <w:ind w:left="0" w:firstLine="480" w:firstLineChars="200"/>
        <w:rPr>
          <w:rFonts w:ascii="仿宋" w:hAnsi="仿宋" w:eastAsia="仿宋" w:cs="仿宋_GB2312"/>
          <w:sz w:val="24"/>
          <w:highlight w:val="none"/>
        </w:rPr>
      </w:pPr>
      <w:r>
        <w:rPr>
          <w:rFonts w:ascii="仿宋" w:hAnsi="仿宋" w:eastAsia="仿宋" w:cs="仿宋_GB2312"/>
          <w:sz w:val="24"/>
          <w:highlight w:val="none"/>
        </w:rPr>
        <w:t>18.1采购机构按照招标文件规定的时间通过电子交易平台组织开标，所有投标人均应当准时在线参加。投标人不足3家的，不得开标。</w:t>
      </w:r>
    </w:p>
    <w:p>
      <w:pPr>
        <w:pStyle w:val="554"/>
        <w:snapToGrid w:val="0"/>
        <w:spacing w:before="0" w:line="360" w:lineRule="auto"/>
        <w:ind w:left="0" w:firstLine="240" w:firstLineChars="100"/>
        <w:rPr>
          <w:rFonts w:ascii="仿宋" w:hAnsi="仿宋" w:eastAsia="仿宋" w:cs="仿宋_GB2312"/>
          <w:sz w:val="24"/>
          <w:highlight w:val="none"/>
        </w:rPr>
      </w:pPr>
      <w:r>
        <w:rPr>
          <w:rFonts w:hint="eastAsia" w:ascii="仿宋" w:hAnsi="仿宋" w:eastAsia="仿宋" w:cs="仿宋_GB2312"/>
          <w:sz w:val="24"/>
          <w:highlight w:val="none"/>
        </w:rPr>
        <w:t>　</w:t>
      </w:r>
      <w:r>
        <w:rPr>
          <w:rFonts w:ascii="仿宋" w:hAnsi="仿宋" w:eastAsia="仿宋"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4"/>
        <w:snapToGrid w:val="0"/>
        <w:spacing w:before="0" w:line="360" w:lineRule="auto"/>
        <w:ind w:left="0" w:firstLine="240" w:firstLineChars="100"/>
        <w:rPr>
          <w:rFonts w:ascii="仿宋" w:hAnsi="仿宋" w:eastAsia="仿宋" w:cs="仿宋_GB2312"/>
          <w:b/>
          <w:sz w:val="24"/>
          <w:highlight w:val="none"/>
        </w:rPr>
      </w:pPr>
      <w:r>
        <w:rPr>
          <w:rFonts w:hint="eastAsia" w:ascii="仿宋" w:hAnsi="仿宋" w:eastAsia="仿宋" w:cs="仿宋_GB2312"/>
          <w:sz w:val="24"/>
          <w:highlight w:val="none"/>
        </w:rPr>
        <w:t>　</w:t>
      </w:r>
      <w:r>
        <w:rPr>
          <w:rFonts w:ascii="仿宋" w:hAnsi="仿宋" w:eastAsia="仿宋" w:cs="仿宋_GB2312"/>
          <w:sz w:val="24"/>
          <w:highlight w:val="none"/>
        </w:rPr>
        <w:t>18.3</w:t>
      </w:r>
      <w:r>
        <w:rPr>
          <w:rFonts w:hint="eastAsia" w:ascii="仿宋" w:hAnsi="仿宋" w:eastAsia="仿宋" w:cs="仿宋_GB2312"/>
          <w:b/>
          <w:sz w:val="24"/>
          <w:highlight w:val="none"/>
        </w:rPr>
        <w:t>投标文件未按时解密，投标人提供了备份投标文件的，以备份投标文件作为依据，否则视为投标文件撤回。投标文件已按时解密的，备份投标文件自动失效。</w:t>
      </w:r>
    </w:p>
    <w:p>
      <w:pPr>
        <w:widowControl/>
        <w:snapToGrid w:val="0"/>
        <w:spacing w:line="360" w:lineRule="auto"/>
        <w:ind w:firstLine="482" w:firstLineChars="200"/>
        <w:jc w:val="left"/>
        <w:rPr>
          <w:rFonts w:ascii="仿宋" w:hAnsi="仿宋" w:eastAsia="仿宋" w:cs="仿宋_GB2312"/>
          <w:b/>
          <w:sz w:val="24"/>
          <w:szCs w:val="20"/>
          <w:highlight w:val="none"/>
        </w:rPr>
      </w:pPr>
      <w:r>
        <w:rPr>
          <w:rFonts w:ascii="仿宋" w:hAnsi="仿宋" w:eastAsia="仿宋" w:cs="仿宋_GB2312"/>
          <w:b/>
          <w:sz w:val="24"/>
          <w:szCs w:val="20"/>
          <w:highlight w:val="none"/>
        </w:rPr>
        <w:t>19</w:t>
      </w:r>
      <w:r>
        <w:rPr>
          <w:rFonts w:hint="eastAsia" w:ascii="仿宋" w:hAnsi="仿宋" w:eastAsia="仿宋" w:cs="仿宋_GB2312"/>
          <w:b/>
          <w:sz w:val="24"/>
          <w:szCs w:val="20"/>
          <w:highlight w:val="none"/>
        </w:rPr>
        <w:t>.</w:t>
      </w:r>
      <w:r>
        <w:rPr>
          <w:rFonts w:ascii="仿宋" w:hAnsi="仿宋" w:eastAsia="仿宋" w:cs="仿宋_GB2312"/>
          <w:b/>
          <w:sz w:val="24"/>
          <w:szCs w:val="20"/>
          <w:highlight w:val="none"/>
        </w:rPr>
        <w:t>资格审查</w:t>
      </w:r>
    </w:p>
    <w:p>
      <w:pPr>
        <w:pStyle w:val="128"/>
        <w:snapToGrid w:val="0"/>
        <w:spacing w:before="0"/>
        <w:ind w:firstLine="480"/>
        <w:rPr>
          <w:rFonts w:ascii="仿宋" w:hAnsi="仿宋" w:eastAsia="仿宋" w:cs="Arial"/>
          <w:kern w:val="0"/>
          <w:szCs w:val="24"/>
          <w:highlight w:val="none"/>
        </w:rPr>
      </w:pPr>
      <w:r>
        <w:rPr>
          <w:rFonts w:ascii="仿宋" w:hAnsi="仿宋" w:eastAsia="仿宋" w:cs="Arial"/>
          <w:kern w:val="0"/>
          <w:szCs w:val="24"/>
          <w:highlight w:val="none"/>
        </w:rPr>
        <w:t>19.1开标后，采购人或采购机构将依法对投标人的资格进行审查。</w:t>
      </w:r>
    </w:p>
    <w:p>
      <w:pPr>
        <w:snapToGrid w:val="0"/>
        <w:spacing w:line="360" w:lineRule="auto"/>
        <w:ind w:firstLine="480" w:firstLineChars="200"/>
        <w:rPr>
          <w:rFonts w:ascii="仿宋" w:hAnsi="仿宋" w:eastAsia="仿宋" w:cs="仿宋_GB2312"/>
          <w:sz w:val="24"/>
          <w:highlight w:val="none"/>
        </w:rPr>
      </w:pPr>
      <w:r>
        <w:rPr>
          <w:rFonts w:ascii="仿宋" w:hAnsi="仿宋" w:eastAsia="仿宋" w:cs="Arial"/>
          <w:kern w:val="0"/>
          <w:sz w:val="24"/>
          <w:highlight w:val="none"/>
        </w:rPr>
        <w:t>19.2</w:t>
      </w:r>
      <w:r>
        <w:rPr>
          <w:rFonts w:hint="eastAsia" w:ascii="仿宋" w:hAnsi="仿宋" w:eastAsia="仿宋" w:cs="仿宋_GB2312"/>
          <w:sz w:val="24"/>
          <w:highlight w:val="none"/>
        </w:rPr>
        <w:t>采购人或采购机构依据法律法规和招标文件的规定，对投标人的基本资格条件、特定资格条件进行审查。</w:t>
      </w:r>
    </w:p>
    <w:p>
      <w:pPr>
        <w:pStyle w:val="128"/>
        <w:snapToGrid w:val="0"/>
        <w:spacing w:before="0"/>
        <w:ind w:firstLine="480"/>
        <w:rPr>
          <w:rFonts w:ascii="仿宋" w:hAnsi="仿宋" w:eastAsia="仿宋" w:cs="仿宋_GB2312"/>
          <w:highlight w:val="none"/>
        </w:rPr>
      </w:pPr>
      <w:r>
        <w:rPr>
          <w:rFonts w:ascii="仿宋" w:hAnsi="仿宋" w:eastAsia="仿宋" w:cs="Arial"/>
          <w:kern w:val="0"/>
          <w:szCs w:val="24"/>
          <w:highlight w:val="none"/>
        </w:rPr>
        <w:t>19.3投标人未按照招标文件要求提供与</w:t>
      </w:r>
      <w:r>
        <w:rPr>
          <w:rFonts w:hint="eastAsia" w:ascii="仿宋" w:hAnsi="仿宋" w:eastAsia="仿宋" w:cs="仿宋_GB2312"/>
          <w:highlight w:val="none"/>
        </w:rPr>
        <w:t>基本资格条件、特定资格条件相应的</w:t>
      </w:r>
      <w:r>
        <w:rPr>
          <w:rFonts w:hint="eastAsia" w:ascii="仿宋" w:hAnsi="仿宋" w:eastAsia="仿宋" w:cs="Arial"/>
          <w:kern w:val="0"/>
          <w:szCs w:val="24"/>
          <w:highlight w:val="none"/>
        </w:rPr>
        <w:t>有效资格证明材料的，视为</w:t>
      </w:r>
      <w:r>
        <w:rPr>
          <w:rFonts w:hint="eastAsia" w:ascii="仿宋" w:hAnsi="仿宋" w:eastAsia="仿宋" w:cs="仿宋_GB2312"/>
          <w:highlight w:val="none"/>
        </w:rPr>
        <w:t>投标人不具备招标文件中规定的资格要求，其投标无效。</w:t>
      </w:r>
    </w:p>
    <w:p>
      <w:pPr>
        <w:pStyle w:val="128"/>
        <w:snapToGrid w:val="0"/>
        <w:spacing w:before="0"/>
        <w:ind w:firstLine="480"/>
        <w:rPr>
          <w:rFonts w:ascii="仿宋" w:hAnsi="仿宋" w:eastAsia="仿宋" w:cs="仿宋_GB2312"/>
          <w:highlight w:val="none"/>
        </w:rPr>
      </w:pPr>
      <w:r>
        <w:rPr>
          <w:rFonts w:ascii="仿宋" w:hAnsi="仿宋" w:eastAsia="仿宋" w:cs="Arial"/>
          <w:kern w:val="0"/>
          <w:szCs w:val="24"/>
          <w:highlight w:val="none"/>
        </w:rPr>
        <w:t>19.</w:t>
      </w:r>
      <w:r>
        <w:rPr>
          <w:rFonts w:ascii="仿宋" w:hAnsi="仿宋" w:eastAsia="仿宋" w:cs="仿宋_GB2312"/>
          <w:highlight w:val="none"/>
        </w:rPr>
        <w:t>4对未通过资格审查的投标人，采购人或采购机构告知其未通过的原因。</w:t>
      </w:r>
    </w:p>
    <w:p>
      <w:pPr>
        <w:pStyle w:val="128"/>
        <w:snapToGrid w:val="0"/>
        <w:spacing w:before="0"/>
        <w:ind w:firstLine="480"/>
        <w:rPr>
          <w:rFonts w:ascii="仿宋" w:hAnsi="仿宋" w:eastAsia="仿宋" w:cs="仿宋_GB2312"/>
          <w:highlight w:val="none"/>
        </w:rPr>
      </w:pPr>
      <w:r>
        <w:rPr>
          <w:rFonts w:ascii="仿宋" w:hAnsi="仿宋" w:eastAsia="仿宋" w:cs="Arial"/>
          <w:kern w:val="0"/>
          <w:szCs w:val="24"/>
          <w:highlight w:val="none"/>
        </w:rPr>
        <w:t>19.</w:t>
      </w:r>
      <w:r>
        <w:rPr>
          <w:rFonts w:ascii="仿宋" w:hAnsi="仿宋" w:eastAsia="仿宋" w:cs="仿宋_GB2312"/>
          <w:highlight w:val="none"/>
        </w:rPr>
        <w:t>5合格投标人不足3家的，不再评标。</w:t>
      </w:r>
    </w:p>
    <w:p>
      <w:pPr>
        <w:pStyle w:val="128"/>
        <w:snapToGrid w:val="0"/>
        <w:spacing w:before="0"/>
        <w:ind w:firstLine="482"/>
        <w:rPr>
          <w:rFonts w:ascii="仿宋" w:hAnsi="仿宋" w:eastAsia="仿宋" w:cs="仿宋_GB2312"/>
          <w:b/>
          <w:szCs w:val="24"/>
          <w:highlight w:val="none"/>
        </w:rPr>
      </w:pPr>
      <w:r>
        <w:rPr>
          <w:rFonts w:ascii="仿宋" w:hAnsi="仿宋" w:eastAsia="仿宋" w:cs="仿宋_GB2312"/>
          <w:b/>
          <w:szCs w:val="24"/>
          <w:highlight w:val="none"/>
        </w:rPr>
        <w:t>20</w:t>
      </w:r>
      <w:r>
        <w:rPr>
          <w:rFonts w:hint="eastAsia" w:ascii="仿宋" w:hAnsi="仿宋" w:eastAsia="仿宋" w:cs="仿宋_GB2312"/>
          <w:b/>
          <w:szCs w:val="24"/>
          <w:highlight w:val="none"/>
        </w:rPr>
        <w:t>.</w:t>
      </w:r>
      <w:r>
        <w:rPr>
          <w:rFonts w:ascii="仿宋" w:hAnsi="仿宋" w:eastAsia="仿宋" w:cs="仿宋_GB2312"/>
          <w:b/>
          <w:szCs w:val="24"/>
          <w:highlight w:val="none"/>
        </w:rPr>
        <w:t>信用信息查询</w:t>
      </w:r>
    </w:p>
    <w:p>
      <w:pPr>
        <w:pStyle w:val="128"/>
        <w:snapToGrid w:val="0"/>
        <w:spacing w:before="0"/>
        <w:ind w:firstLine="495" w:firstLineChars="0"/>
        <w:rPr>
          <w:rFonts w:ascii="仿宋" w:hAnsi="仿宋" w:eastAsia="仿宋" w:cs="Arial"/>
          <w:kern w:val="0"/>
          <w:szCs w:val="24"/>
          <w:highlight w:val="none"/>
        </w:rPr>
      </w:pPr>
      <w:r>
        <w:rPr>
          <w:rFonts w:ascii="仿宋" w:hAnsi="仿宋" w:eastAsia="仿宋" w:cs="Arial"/>
          <w:kern w:val="0"/>
          <w:szCs w:val="24"/>
          <w:highlight w:val="none"/>
        </w:rPr>
        <w:t>20.</w:t>
      </w:r>
      <w:r>
        <w:rPr>
          <w:rFonts w:hint="eastAsia" w:ascii="仿宋" w:hAnsi="仿宋" w:eastAsia="仿宋" w:cs="Arial"/>
          <w:kern w:val="0"/>
          <w:szCs w:val="24"/>
          <w:highlight w:val="none"/>
        </w:rPr>
        <w:t>1</w:t>
      </w:r>
      <w:r>
        <w:rPr>
          <w:rFonts w:ascii="仿宋" w:hAnsi="仿宋" w:eastAsia="仿宋" w:cs="Arial"/>
          <w:kern w:val="0"/>
          <w:szCs w:val="24"/>
          <w:highlight w:val="none"/>
        </w:rPr>
        <w:t>信用信息查询渠道及截止时间：采购机构将通过“信用中国”网站(www.creditchina.gov.cn)、中国政府采购网(www.ccgp.gov.cn)渠道查询投标人投标截止时间当天的信用记录。</w:t>
      </w:r>
    </w:p>
    <w:p>
      <w:pPr>
        <w:pStyle w:val="128"/>
        <w:snapToGrid w:val="0"/>
        <w:spacing w:before="0"/>
        <w:ind w:firstLine="495" w:firstLineChars="0"/>
        <w:rPr>
          <w:rFonts w:ascii="仿宋" w:hAnsi="仿宋" w:eastAsia="仿宋" w:cs="Arial"/>
          <w:kern w:val="0"/>
          <w:szCs w:val="24"/>
          <w:highlight w:val="none"/>
        </w:rPr>
      </w:pPr>
      <w:r>
        <w:rPr>
          <w:rFonts w:ascii="仿宋" w:hAnsi="仿宋" w:eastAsia="仿宋" w:cs="Arial"/>
          <w:kern w:val="0"/>
          <w:szCs w:val="24"/>
          <w:highlight w:val="none"/>
        </w:rPr>
        <w:t>20.2信用信息查询记录和证据留存的具体方式：现场查询的投标人的信用记录、查询结果经确认后将与采购文件一起存档。</w:t>
      </w:r>
    </w:p>
    <w:p>
      <w:pPr>
        <w:pStyle w:val="128"/>
        <w:snapToGrid w:val="0"/>
        <w:spacing w:before="0"/>
        <w:ind w:firstLine="495" w:firstLineChars="0"/>
        <w:rPr>
          <w:rFonts w:ascii="仿宋" w:hAnsi="仿宋" w:eastAsia="仿宋" w:cs="Arial"/>
          <w:kern w:val="0"/>
          <w:szCs w:val="24"/>
          <w:highlight w:val="none"/>
        </w:rPr>
      </w:pPr>
      <w:r>
        <w:rPr>
          <w:rFonts w:ascii="仿宋" w:hAnsi="仿宋" w:eastAsia="仿宋" w:cs="Arial"/>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napToGrid w:val="0"/>
        <w:spacing w:before="0"/>
        <w:ind w:firstLine="495" w:firstLineChars="0"/>
        <w:rPr>
          <w:rFonts w:ascii="仿宋" w:hAnsi="仿宋" w:eastAsia="仿宋" w:cs="Arial"/>
          <w:kern w:val="0"/>
          <w:szCs w:val="24"/>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pPr>
        <w:pStyle w:val="128"/>
        <w:spacing w:before="0"/>
        <w:ind w:firstLine="0" w:firstLineChars="0"/>
        <w:rPr>
          <w:rFonts w:ascii="仿宋" w:hAnsi="仿宋" w:eastAsia="仿宋" w:cs="Arial"/>
          <w:kern w:val="0"/>
          <w:szCs w:val="24"/>
          <w:highlight w:val="none"/>
        </w:rPr>
      </w:pPr>
    </w:p>
    <w:p>
      <w:pPr>
        <w:snapToGrid w:val="0"/>
        <w:spacing w:line="360" w:lineRule="auto"/>
        <w:jc w:val="center"/>
        <w:outlineLvl w:val="0"/>
        <w:rPr>
          <w:rFonts w:ascii="仿宋" w:hAnsi="仿宋" w:eastAsia="仿宋" w:cs="仿宋_GB2312"/>
          <w:b/>
          <w:sz w:val="36"/>
          <w:szCs w:val="36"/>
          <w:highlight w:val="none"/>
        </w:rPr>
      </w:pPr>
      <w:r>
        <w:rPr>
          <w:rFonts w:hint="eastAsia" w:ascii="仿宋" w:hAnsi="仿宋" w:eastAsia="仿宋" w:cs="仿宋_GB2312"/>
          <w:b/>
          <w:sz w:val="36"/>
          <w:szCs w:val="36"/>
          <w:highlight w:val="none"/>
        </w:rPr>
        <w:t>五、评标</w:t>
      </w:r>
    </w:p>
    <w:p>
      <w:pPr>
        <w:spacing w:line="360" w:lineRule="auto"/>
        <w:ind w:firstLine="482" w:firstLineChars="200"/>
        <w:rPr>
          <w:rFonts w:ascii="仿宋" w:hAnsi="仿宋" w:eastAsia="仿宋" w:cs="仿宋_GB2312"/>
          <w:b/>
          <w:sz w:val="24"/>
          <w:highlight w:val="none"/>
        </w:rPr>
      </w:pPr>
      <w:bookmarkStart w:id="13" w:name="_Toc91899903"/>
      <w:r>
        <w:rPr>
          <w:rFonts w:ascii="仿宋" w:hAnsi="仿宋" w:eastAsia="仿宋" w:cs="仿宋_GB2312"/>
          <w:b/>
          <w:sz w:val="24"/>
          <w:highlight w:val="none"/>
        </w:rPr>
        <w:t>21.</w:t>
      </w:r>
      <w:r>
        <w:rPr>
          <w:rFonts w:hint="eastAsia" w:ascii="仿宋" w:hAnsi="仿宋" w:eastAsia="仿宋"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highlight w:val="none"/>
        </w:rPr>
        <w:t>详见招标文件第四部分评标办法。</w:t>
      </w:r>
    </w:p>
    <w:p>
      <w:pPr>
        <w:pStyle w:val="128"/>
        <w:spacing w:before="0"/>
        <w:ind w:firstLine="0" w:firstLineChars="0"/>
        <w:rPr>
          <w:rFonts w:ascii="仿宋" w:hAnsi="仿宋" w:eastAsia="仿宋" w:cs="Arial"/>
          <w:kern w:val="0"/>
          <w:szCs w:val="24"/>
          <w:highlight w:val="none"/>
        </w:rPr>
      </w:pPr>
    </w:p>
    <w:p>
      <w:pPr>
        <w:snapToGrid w:val="0"/>
        <w:spacing w:line="360" w:lineRule="auto"/>
        <w:jc w:val="center"/>
        <w:outlineLvl w:val="0"/>
        <w:rPr>
          <w:rFonts w:ascii="仿宋" w:hAnsi="仿宋" w:eastAsia="仿宋" w:cs="仿宋_GB2312"/>
          <w:b/>
          <w:sz w:val="36"/>
          <w:szCs w:val="36"/>
          <w:highlight w:val="none"/>
        </w:rPr>
      </w:pPr>
      <w:r>
        <w:rPr>
          <w:rFonts w:hint="eastAsia" w:ascii="仿宋" w:hAnsi="仿宋" w:eastAsia="仿宋" w:cs="仿宋_GB2312"/>
          <w:b/>
          <w:sz w:val="36"/>
          <w:szCs w:val="36"/>
          <w:highlight w:val="none"/>
        </w:rPr>
        <w:t>六、定标</w:t>
      </w:r>
    </w:p>
    <w:p>
      <w:pPr>
        <w:pStyle w:val="3"/>
        <w:spacing w:line="360" w:lineRule="auto"/>
        <w:ind w:left="315" w:leftChars="150" w:firstLine="120" w:firstLineChars="50"/>
        <w:rPr>
          <w:rFonts w:ascii="仿宋" w:hAnsi="仿宋" w:eastAsia="仿宋" w:cs="仿宋_GB2312"/>
          <w:b/>
          <w:highlight w:val="none"/>
        </w:rPr>
      </w:pPr>
      <w:r>
        <w:rPr>
          <w:rFonts w:ascii="仿宋" w:hAnsi="仿宋" w:eastAsia="仿宋" w:cs="仿宋_GB2312"/>
          <w:b/>
          <w:highlight w:val="none"/>
        </w:rPr>
        <w:t>22.</w:t>
      </w:r>
      <w:r>
        <w:rPr>
          <w:rFonts w:hint="eastAsia" w:ascii="仿宋" w:hAnsi="仿宋" w:eastAsia="仿宋" w:cs="仿宋_GB2312"/>
          <w:b/>
          <w:highlight w:val="none"/>
        </w:rPr>
        <w:t>确定中标供应商</w:t>
      </w:r>
    </w:p>
    <w:p>
      <w:pPr>
        <w:pStyle w:val="128"/>
        <w:snapToGrid w:val="0"/>
        <w:spacing w:before="0"/>
        <w:ind w:firstLine="480"/>
        <w:rPr>
          <w:rFonts w:ascii="仿宋" w:hAnsi="仿宋" w:eastAsia="仿宋" w:cs="仿宋_GB2312"/>
          <w:b/>
          <w:szCs w:val="24"/>
          <w:highlight w:val="none"/>
        </w:rPr>
      </w:pPr>
      <w:r>
        <w:rPr>
          <w:rFonts w:hint="eastAsia" w:ascii="仿宋" w:hAnsi="仿宋" w:eastAsia="仿宋" w:cs="仿宋_GB2312"/>
          <w:szCs w:val="24"/>
          <w:highlight w:val="none"/>
        </w:rPr>
        <w:t>采购人将自收到评审报告之日起</w:t>
      </w:r>
      <w:r>
        <w:rPr>
          <w:rFonts w:ascii="仿宋" w:hAnsi="仿宋" w:eastAsia="仿宋" w:cs="仿宋_GB2312"/>
          <w:szCs w:val="24"/>
          <w:highlight w:val="none"/>
        </w:rPr>
        <w:t>5个工作日内通过电子交易平台在评审报告推荐的中标候选人中按顺序确定中标供应商。</w:t>
      </w:r>
    </w:p>
    <w:p>
      <w:pPr>
        <w:pStyle w:val="128"/>
        <w:snapToGrid w:val="0"/>
        <w:spacing w:before="0"/>
        <w:ind w:firstLine="482"/>
        <w:rPr>
          <w:rFonts w:ascii="仿宋" w:hAnsi="仿宋" w:eastAsia="仿宋" w:cs="仿宋_GB2312"/>
          <w:b/>
          <w:szCs w:val="24"/>
          <w:highlight w:val="none"/>
        </w:rPr>
      </w:pPr>
      <w:r>
        <w:rPr>
          <w:rFonts w:ascii="仿宋" w:hAnsi="仿宋" w:eastAsia="仿宋" w:cs="仿宋_GB2312"/>
          <w:b/>
          <w:szCs w:val="24"/>
          <w:highlight w:val="none"/>
        </w:rPr>
        <w:t>23.</w:t>
      </w:r>
      <w:r>
        <w:rPr>
          <w:rFonts w:hint="eastAsia" w:ascii="仿宋" w:hAnsi="仿宋" w:eastAsia="仿宋" w:cs="仿宋_GB2312"/>
          <w:b/>
          <w:szCs w:val="24"/>
          <w:highlight w:val="none"/>
        </w:rPr>
        <w:t>中标通知与中标结果公告</w:t>
      </w:r>
    </w:p>
    <w:p>
      <w:pPr>
        <w:widowControl/>
        <w:shd w:val="clear" w:color="auto" w:fill="FFFFFF"/>
        <w:spacing w:line="360" w:lineRule="auto"/>
        <w:ind w:firstLine="480"/>
        <w:jc w:val="left"/>
        <w:rPr>
          <w:rFonts w:ascii="仿宋" w:hAnsi="仿宋" w:eastAsia="仿宋" w:cs="仿宋_GB2312"/>
          <w:sz w:val="24"/>
          <w:highlight w:val="none"/>
        </w:rPr>
      </w:pPr>
      <w:r>
        <w:rPr>
          <w:rFonts w:ascii="仿宋" w:hAnsi="仿宋" w:eastAsia="仿宋" w:cs="仿宋_GB2312"/>
          <w:sz w:val="24"/>
          <w:highlight w:val="none"/>
        </w:rPr>
        <w:t>23.1自中标人确定之日起2个工作日内，采购机构通过电子交易平台向中标人发出中标通知书，</w:t>
      </w:r>
      <w:r>
        <w:rPr>
          <w:rFonts w:hint="eastAsia" w:ascii="仿宋" w:hAnsi="仿宋" w:eastAsia="仿宋"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sz w:val="24"/>
          <w:highlight w:val="none"/>
        </w:rPr>
      </w:pPr>
      <w:r>
        <w:rPr>
          <w:rFonts w:ascii="仿宋" w:hAnsi="仿宋" w:eastAsia="仿宋"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 w:hAnsi="仿宋" w:eastAsia="仿宋" w:cs="仿宋_GB2312"/>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_GB2312"/>
          <w:sz w:val="24"/>
          <w:highlight w:val="none"/>
        </w:rPr>
      </w:pPr>
      <w:r>
        <w:rPr>
          <w:rFonts w:ascii="仿宋" w:hAnsi="仿宋" w:eastAsia="仿宋" w:cs="仿宋_GB2312"/>
          <w:sz w:val="24"/>
          <w:highlight w:val="none"/>
        </w:rPr>
        <w:t>23.3公告期限为1个工作日。</w:t>
      </w:r>
    </w:p>
    <w:p>
      <w:pPr>
        <w:adjustRightInd/>
        <w:spacing w:line="360" w:lineRule="auto"/>
        <w:ind w:left="120" w:leftChars="57" w:firstLine="482" w:firstLineChars="150"/>
        <w:jc w:val="center"/>
        <w:rPr>
          <w:rFonts w:ascii="仿宋" w:hAnsi="仿宋" w:eastAsia="仿宋" w:cs="仿宋_GB2312"/>
          <w:b/>
          <w:sz w:val="32"/>
          <w:highlight w:val="none"/>
        </w:rPr>
      </w:pPr>
    </w:p>
    <w:p>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七、合同授予</w:t>
      </w:r>
    </w:p>
    <w:p>
      <w:pPr>
        <w:pStyle w:val="3"/>
        <w:snapToGrid w:val="0"/>
        <w:spacing w:line="360" w:lineRule="auto"/>
        <w:ind w:firstLine="479" w:firstLineChars="199"/>
        <w:rPr>
          <w:rFonts w:ascii="仿宋" w:hAnsi="仿宋" w:eastAsia="仿宋" w:cs="仿宋_GB2312"/>
          <w:b/>
          <w:highlight w:val="none"/>
        </w:rPr>
      </w:pPr>
      <w:r>
        <w:rPr>
          <w:rFonts w:ascii="仿宋" w:hAnsi="仿宋" w:eastAsia="仿宋" w:cs="仿宋_GB2312"/>
          <w:b/>
          <w:highlight w:val="none"/>
        </w:rPr>
        <w:t>24.</w:t>
      </w:r>
      <w:r>
        <w:rPr>
          <w:rFonts w:hint="eastAsia" w:ascii="仿宋" w:hAnsi="仿宋" w:eastAsia="仿宋" w:cs="仿宋_GB2312"/>
          <w:highlight w:val="none"/>
        </w:rPr>
        <w:t>合同主要条款详见第五部分拟签订的合同文本。</w:t>
      </w:r>
    </w:p>
    <w:p>
      <w:pPr>
        <w:pStyle w:val="3"/>
        <w:snapToGrid w:val="0"/>
        <w:spacing w:line="360" w:lineRule="auto"/>
        <w:ind w:firstLine="482"/>
        <w:rPr>
          <w:rFonts w:ascii="仿宋" w:hAnsi="仿宋" w:eastAsia="仿宋" w:cs="仿宋_GB2312"/>
          <w:b/>
          <w:highlight w:val="none"/>
        </w:rPr>
      </w:pPr>
      <w:r>
        <w:rPr>
          <w:rFonts w:ascii="仿宋" w:hAnsi="仿宋" w:eastAsia="仿宋" w:cs="仿宋_GB2312"/>
          <w:b/>
          <w:highlight w:val="none"/>
        </w:rPr>
        <w:t>25.</w:t>
      </w:r>
      <w:r>
        <w:rPr>
          <w:rFonts w:hint="eastAsia" w:ascii="仿宋" w:hAnsi="仿宋" w:eastAsia="仿宋" w:cs="仿宋_GB2312"/>
          <w:b/>
          <w:highlight w:val="none"/>
        </w:rPr>
        <w:t>合同的签订</w:t>
      </w:r>
    </w:p>
    <w:p>
      <w:pPr>
        <w:shd w:val="clear" w:color="auto" w:fill="FFFFFF"/>
        <w:snapToGrid w:val="0"/>
        <w:spacing w:line="360" w:lineRule="auto"/>
        <w:ind w:firstLine="480"/>
        <w:jc w:val="left"/>
        <w:rPr>
          <w:rFonts w:ascii="仿宋" w:hAnsi="仿宋" w:eastAsia="仿宋" w:cs="Arial"/>
          <w:kern w:val="0"/>
          <w:sz w:val="24"/>
          <w:highlight w:val="none"/>
        </w:rPr>
      </w:pPr>
      <w:r>
        <w:rPr>
          <w:rFonts w:ascii="仿宋" w:hAnsi="仿宋" w:eastAsia="仿宋" w:cs="仿宋_GB2312"/>
          <w:sz w:val="24"/>
          <w:highlight w:val="none"/>
        </w:rPr>
        <w:t>25.1</w:t>
      </w:r>
      <w:r>
        <w:rPr>
          <w:rFonts w:ascii="仿宋" w:hAnsi="仿宋" w:eastAsia="仿宋" w:cs="Arial"/>
          <w:kern w:val="0"/>
          <w:sz w:val="24"/>
          <w:highlight w:val="none"/>
        </w:rPr>
        <w:t xml:space="preserve"> 采购人与中标人应当通过电子交易平台在中标通知书发出之日起三十日内，按照招标文件确定的事项签订政府采购合同，并在</w:t>
      </w:r>
      <w:r>
        <w:rPr>
          <w:rFonts w:hint="eastAsia" w:ascii="仿宋" w:hAnsi="仿宋" w:eastAsia="仿宋" w:cs="Arial"/>
          <w:kern w:val="0"/>
          <w:sz w:val="24"/>
          <w:highlight w:val="none"/>
        </w:rPr>
        <w:t>合同签订之日起2个工作日</w:t>
      </w:r>
      <w:r>
        <w:rPr>
          <w:rFonts w:ascii="仿宋" w:hAnsi="仿宋" w:eastAsia="仿宋" w:cs="Arial"/>
          <w:kern w:val="0"/>
          <w:sz w:val="24"/>
          <w:highlight w:val="none"/>
        </w:rPr>
        <w:t>内依法发布合同公告。</w:t>
      </w:r>
    </w:p>
    <w:p>
      <w:pPr>
        <w:pStyle w:val="128"/>
        <w:snapToGrid w:val="0"/>
        <w:spacing w:before="0"/>
        <w:ind w:firstLine="480"/>
        <w:rPr>
          <w:rFonts w:ascii="仿宋" w:hAnsi="仿宋" w:eastAsia="仿宋"/>
          <w:kern w:val="0"/>
          <w:highlight w:val="none"/>
        </w:rPr>
      </w:pPr>
      <w:r>
        <w:rPr>
          <w:rFonts w:ascii="仿宋" w:hAnsi="仿宋" w:eastAsia="仿宋"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仿宋_GB2312"/>
          <w:highlight w:val="none"/>
        </w:rPr>
      </w:pPr>
      <w:r>
        <w:rPr>
          <w:rFonts w:ascii="仿宋" w:hAnsi="仿宋" w:eastAsia="仿宋" w:cs="仿宋_GB2312"/>
          <w:highlight w:val="none"/>
        </w:rPr>
        <w:t>25.3如签订合同并生效后，供应商无故拒绝或延期，除按照合同条款处理外，列入不良行为记录一次，并给予通报。</w:t>
      </w:r>
    </w:p>
    <w:p>
      <w:pPr>
        <w:pStyle w:val="128"/>
        <w:snapToGrid w:val="0"/>
        <w:spacing w:before="0"/>
        <w:ind w:firstLine="480"/>
        <w:rPr>
          <w:rFonts w:ascii="仿宋" w:hAnsi="仿宋" w:eastAsia="仿宋" w:cs="仿宋_GB2312"/>
          <w:highlight w:val="none"/>
        </w:rPr>
      </w:pPr>
      <w:r>
        <w:rPr>
          <w:rFonts w:ascii="仿宋" w:hAnsi="仿宋" w:eastAsia="仿宋" w:cs="仿宋_GB2312"/>
          <w:highlight w:val="none"/>
        </w:rPr>
        <w:t>25.4中标供应</w:t>
      </w:r>
      <w:r>
        <w:rPr>
          <w:rFonts w:hint="eastAsia" w:ascii="仿宋" w:hAnsi="仿宋" w:eastAsia="仿宋" w:cs="仿宋_GB2312"/>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ind w:firstLine="480"/>
        <w:rPr>
          <w:rFonts w:ascii="仿宋" w:hAnsi="仿宋" w:eastAsia="仿宋" w:cs="仿宋_GB2312"/>
          <w:highlight w:val="none"/>
        </w:rPr>
      </w:pPr>
      <w:r>
        <w:rPr>
          <w:rFonts w:ascii="仿宋" w:hAnsi="仿宋" w:eastAsia="仿宋" w:cs="仿宋_GB2312"/>
          <w:highlight w:val="none"/>
        </w:rPr>
        <w:t>25.5采购合同由采购人与中标供应商根据</w:t>
      </w:r>
      <w:r>
        <w:rPr>
          <w:rFonts w:hint="eastAsia" w:ascii="仿宋" w:hAnsi="仿宋" w:eastAsia="仿宋" w:cs="仿宋_GB2312"/>
          <w:highlight w:val="none"/>
        </w:rPr>
        <w:t>招标文件、投标文件等内容通过政府采购电子交易平台在线签订，自动备案。</w:t>
      </w:r>
    </w:p>
    <w:p>
      <w:pPr>
        <w:pStyle w:val="128"/>
        <w:snapToGrid w:val="0"/>
        <w:spacing w:before="0"/>
        <w:ind w:firstLine="482"/>
        <w:rPr>
          <w:rFonts w:ascii="仿宋" w:hAnsi="仿宋" w:eastAsia="仿宋" w:cs="仿宋_GB2312"/>
          <w:b/>
          <w:highlight w:val="none"/>
        </w:rPr>
      </w:pPr>
      <w:r>
        <w:rPr>
          <w:rFonts w:ascii="仿宋" w:hAnsi="仿宋" w:eastAsia="仿宋" w:cs="仿宋_GB2312"/>
          <w:b/>
          <w:highlight w:val="none"/>
        </w:rPr>
        <w:t>26.</w:t>
      </w:r>
      <w:r>
        <w:rPr>
          <w:rFonts w:hint="eastAsia" w:ascii="仿宋" w:hAnsi="仿宋" w:eastAsia="仿宋" w:cs="仿宋_GB2312"/>
          <w:b/>
          <w:highlight w:val="none"/>
        </w:rPr>
        <w:t>履约保证金</w:t>
      </w:r>
    </w:p>
    <w:p>
      <w:pPr>
        <w:pStyle w:val="128"/>
        <w:snapToGrid w:val="0"/>
        <w:spacing w:before="0"/>
        <w:ind w:firstLine="480"/>
        <w:rPr>
          <w:rFonts w:ascii="仿宋" w:hAnsi="仿宋" w:eastAsia="仿宋" w:cs="仿宋_GB2312"/>
          <w:highlight w:val="none"/>
        </w:rPr>
      </w:pPr>
      <w:r>
        <w:rPr>
          <w:rFonts w:hint="eastAsia" w:ascii="仿宋" w:hAnsi="仿宋" w:eastAsia="仿宋" w:cs="仿宋_GB2312"/>
          <w:highlight w:val="none"/>
        </w:rPr>
        <w:t>本项目不收履约保证金。</w:t>
      </w:r>
    </w:p>
    <w:p>
      <w:pPr>
        <w:snapToGrid w:val="0"/>
        <w:spacing w:line="360" w:lineRule="auto"/>
        <w:ind w:firstLine="3357" w:firstLineChars="1045"/>
        <w:rPr>
          <w:rFonts w:ascii="仿宋" w:hAnsi="仿宋" w:eastAsia="仿宋" w:cs="仿宋_GB2312"/>
          <w:b/>
          <w:sz w:val="32"/>
          <w:highlight w:val="none"/>
        </w:rPr>
      </w:pPr>
    </w:p>
    <w:p>
      <w:pPr>
        <w:snapToGrid w:val="0"/>
        <w:spacing w:line="360" w:lineRule="auto"/>
        <w:ind w:firstLine="3357" w:firstLineChars="1045"/>
        <w:rPr>
          <w:rFonts w:ascii="仿宋" w:hAnsi="仿宋" w:eastAsia="仿宋"/>
          <w:b/>
          <w:sz w:val="24"/>
          <w:highlight w:val="none"/>
        </w:rPr>
      </w:pPr>
      <w:r>
        <w:rPr>
          <w:rFonts w:hint="eastAsia" w:ascii="仿宋" w:hAnsi="仿宋" w:eastAsia="仿宋" w:cs="仿宋_GB2312"/>
          <w:b/>
          <w:sz w:val="32"/>
          <w:highlight w:val="none"/>
        </w:rPr>
        <w:t>八、电子交易活动的中止</w:t>
      </w:r>
    </w:p>
    <w:p>
      <w:pPr>
        <w:pStyle w:val="128"/>
        <w:snapToGrid w:val="0"/>
        <w:spacing w:before="0"/>
        <w:ind w:firstLine="482"/>
        <w:rPr>
          <w:rFonts w:ascii="仿宋" w:hAnsi="仿宋" w:eastAsia="仿宋" w:cs="仿宋_GB2312"/>
          <w:highlight w:val="none"/>
        </w:rPr>
      </w:pPr>
      <w:r>
        <w:rPr>
          <w:rFonts w:ascii="仿宋" w:hAnsi="仿宋" w:eastAsia="仿宋" w:cs="仿宋_GB2312"/>
          <w:b/>
          <w:highlight w:val="none"/>
        </w:rPr>
        <w:t>2</w:t>
      </w:r>
      <w:r>
        <w:rPr>
          <w:rFonts w:ascii="仿宋" w:hAnsi="仿宋" w:eastAsia="仿宋" w:cs="仿宋_GB2312"/>
          <w:b/>
          <w:szCs w:val="24"/>
          <w:highlight w:val="none"/>
        </w:rPr>
        <w:t>7.</w:t>
      </w:r>
      <w:r>
        <w:rPr>
          <w:rFonts w:hint="eastAsia" w:ascii="仿宋" w:hAnsi="仿宋" w:eastAsia="仿宋" w:cs="仿宋_GB2312"/>
          <w:b/>
          <w:szCs w:val="24"/>
          <w:highlight w:val="none"/>
        </w:rPr>
        <w:t>电子交易活动的中止。</w:t>
      </w:r>
      <w:r>
        <w:rPr>
          <w:rFonts w:hint="eastAsia" w:ascii="仿宋" w:hAnsi="仿宋" w:eastAsia="仿宋" w:cs="仿宋_GB2312"/>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 w:hAnsi="仿宋" w:eastAsia="仿宋" w:cs="仿宋_GB2312"/>
          <w:highlight w:val="none"/>
        </w:rPr>
      </w:pPr>
      <w:r>
        <w:rPr>
          <w:rFonts w:ascii="仿宋" w:hAnsi="仿宋" w:eastAsia="仿宋" w:cs="仿宋_GB2312"/>
          <w:highlight w:val="none"/>
        </w:rPr>
        <w:t xml:space="preserve">27.1电子交易平台发生故障而无法登录访问的； </w:t>
      </w:r>
    </w:p>
    <w:p>
      <w:pPr>
        <w:pStyle w:val="128"/>
        <w:snapToGrid w:val="0"/>
        <w:spacing w:before="0"/>
        <w:ind w:firstLine="480"/>
        <w:rPr>
          <w:rFonts w:ascii="仿宋" w:hAnsi="仿宋" w:eastAsia="仿宋" w:cs="仿宋_GB2312"/>
          <w:highlight w:val="none"/>
        </w:rPr>
      </w:pPr>
      <w:r>
        <w:rPr>
          <w:rFonts w:ascii="仿宋" w:hAnsi="仿宋" w:eastAsia="仿宋" w:cs="仿宋_GB2312"/>
          <w:highlight w:val="none"/>
        </w:rPr>
        <w:t>27.2电子交易平台应用或数据库出现错误，不能进行正常操作的；</w:t>
      </w:r>
    </w:p>
    <w:p>
      <w:pPr>
        <w:pStyle w:val="128"/>
        <w:snapToGrid w:val="0"/>
        <w:spacing w:before="0"/>
        <w:ind w:firstLine="480"/>
        <w:rPr>
          <w:rFonts w:ascii="仿宋" w:hAnsi="仿宋" w:eastAsia="仿宋" w:cs="仿宋_GB2312"/>
          <w:highlight w:val="none"/>
        </w:rPr>
      </w:pPr>
      <w:r>
        <w:rPr>
          <w:rFonts w:ascii="仿宋" w:hAnsi="仿宋" w:eastAsia="仿宋" w:cs="仿宋_GB2312"/>
          <w:highlight w:val="none"/>
        </w:rPr>
        <w:t>27.3电子交易平台发现严重安全漏洞，有潜在泄密危险的；</w:t>
      </w:r>
    </w:p>
    <w:p>
      <w:pPr>
        <w:pStyle w:val="128"/>
        <w:snapToGrid w:val="0"/>
        <w:spacing w:before="0"/>
        <w:ind w:firstLine="480"/>
        <w:rPr>
          <w:rFonts w:ascii="仿宋" w:hAnsi="仿宋" w:eastAsia="仿宋" w:cs="仿宋_GB2312"/>
          <w:highlight w:val="none"/>
        </w:rPr>
      </w:pPr>
      <w:r>
        <w:rPr>
          <w:rFonts w:ascii="仿宋" w:hAnsi="仿宋" w:eastAsia="仿宋" w:cs="仿宋_GB2312"/>
          <w:highlight w:val="none"/>
        </w:rPr>
        <w:t xml:space="preserve">27.4病毒发作导致不能进行正常操作的； </w:t>
      </w:r>
    </w:p>
    <w:p>
      <w:pPr>
        <w:pStyle w:val="128"/>
        <w:snapToGrid w:val="0"/>
        <w:spacing w:before="0"/>
        <w:ind w:firstLine="480"/>
        <w:rPr>
          <w:rFonts w:ascii="仿宋" w:hAnsi="仿宋" w:eastAsia="仿宋" w:cs="仿宋_GB2312"/>
          <w:highlight w:val="none"/>
        </w:rPr>
      </w:pPr>
      <w:r>
        <w:rPr>
          <w:rFonts w:ascii="仿宋" w:hAnsi="仿宋" w:eastAsia="仿宋" w:cs="仿宋_GB2312"/>
          <w:highlight w:val="none"/>
        </w:rPr>
        <w:t>27.5其他无法保证电子交易的公平、公正和安全的情况。</w:t>
      </w:r>
    </w:p>
    <w:p>
      <w:pPr>
        <w:pStyle w:val="128"/>
        <w:snapToGrid w:val="0"/>
        <w:spacing w:before="0"/>
        <w:ind w:firstLine="480"/>
        <w:rPr>
          <w:rFonts w:ascii="仿宋" w:hAnsi="仿宋" w:eastAsia="仿宋" w:cs="仿宋_GB2312"/>
          <w:highlight w:val="none"/>
        </w:rPr>
      </w:pPr>
      <w:r>
        <w:rPr>
          <w:rFonts w:ascii="仿宋" w:hAnsi="仿宋" w:eastAsia="仿宋" w:cs="仿宋_GB2312"/>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sz w:val="24"/>
          <w:highlight w:val="none"/>
        </w:rPr>
      </w:pPr>
    </w:p>
    <w:p>
      <w:pPr>
        <w:snapToGrid w:val="0"/>
        <w:spacing w:line="360" w:lineRule="auto"/>
        <w:ind w:left="120" w:leftChars="57" w:firstLine="482" w:firstLineChars="150"/>
        <w:jc w:val="center"/>
        <w:rPr>
          <w:rFonts w:ascii="仿宋" w:hAnsi="仿宋" w:eastAsia="仿宋" w:cs="仿宋_GB2312"/>
          <w:b/>
          <w:sz w:val="32"/>
          <w:highlight w:val="none"/>
        </w:rPr>
      </w:pPr>
      <w:r>
        <w:rPr>
          <w:rFonts w:hint="eastAsia" w:ascii="仿宋" w:hAnsi="仿宋" w:eastAsia="仿宋" w:cs="仿宋_GB2312"/>
          <w:b/>
          <w:sz w:val="32"/>
          <w:highlight w:val="none"/>
        </w:rPr>
        <w:t>九、验收</w:t>
      </w:r>
    </w:p>
    <w:p>
      <w:pPr>
        <w:pStyle w:val="3"/>
        <w:spacing w:line="360" w:lineRule="auto"/>
        <w:ind w:firstLine="482"/>
        <w:rPr>
          <w:rFonts w:ascii="仿宋" w:hAnsi="仿宋" w:eastAsia="仿宋" w:cs="仿宋_GB2312"/>
          <w:b/>
          <w:highlight w:val="none"/>
        </w:rPr>
      </w:pPr>
      <w:r>
        <w:rPr>
          <w:rFonts w:ascii="仿宋" w:hAnsi="仿宋" w:eastAsia="仿宋" w:cs="仿宋_GB2312"/>
          <w:b/>
          <w:highlight w:val="none"/>
        </w:rPr>
        <w:t>29.验收</w:t>
      </w:r>
    </w:p>
    <w:p>
      <w:pPr>
        <w:tabs>
          <w:tab w:val="left" w:pos="0"/>
        </w:tabs>
        <w:spacing w:line="360" w:lineRule="auto"/>
        <w:ind w:firstLine="480"/>
        <w:jc w:val="left"/>
        <w:rPr>
          <w:rFonts w:ascii="仿宋" w:hAnsi="仿宋" w:eastAsia="仿宋" w:cs="Helvetica"/>
          <w:kern w:val="0"/>
          <w:sz w:val="24"/>
          <w:highlight w:val="none"/>
        </w:rPr>
      </w:pPr>
      <w:r>
        <w:rPr>
          <w:rFonts w:ascii="仿宋" w:hAnsi="仿宋" w:eastAsia="仿宋" w:cs="Helvetica"/>
          <w:kern w:val="0"/>
          <w:sz w:val="24"/>
          <w:highlight w:val="none"/>
        </w:rPr>
        <w:t>29.</w:t>
      </w:r>
      <w:r>
        <w:rPr>
          <w:rFonts w:hint="eastAsia" w:ascii="仿宋" w:hAnsi="仿宋" w:eastAsia="仿宋" w:cs="Helvetica"/>
          <w:kern w:val="0"/>
          <w:sz w:val="24"/>
          <w:highlight w:val="none"/>
        </w:rPr>
        <w:t>1</w:t>
      </w:r>
      <w:r>
        <w:rPr>
          <w:rFonts w:ascii="仿宋" w:hAnsi="仿宋" w:eastAsia="仿宋" w:cs="Helvetica"/>
          <w:kern w:val="0"/>
          <w:sz w:val="24"/>
          <w:highlight w:val="none"/>
        </w:rPr>
        <w:t>严格按照采购合同开展履约验收。验收时，按照采购合同的约定对每一项技术、服务、安全标准的履约情况进行确认。验收结束后，</w:t>
      </w:r>
      <w:r>
        <w:rPr>
          <w:rFonts w:hint="eastAsia" w:ascii="仿宋" w:hAnsi="仿宋" w:eastAsia="仿宋" w:cs="Helvetica"/>
          <w:kern w:val="0"/>
          <w:sz w:val="24"/>
          <w:highlight w:val="none"/>
        </w:rPr>
        <w:t>采购人</w:t>
      </w:r>
      <w:r>
        <w:rPr>
          <w:rFonts w:ascii="仿宋" w:hAnsi="仿宋" w:eastAsia="仿宋" w:cs="Helvetica"/>
          <w:kern w:val="0"/>
          <w:sz w:val="24"/>
          <w:highlight w:val="none"/>
        </w:rPr>
        <w:t>应当出具验收书，验收结果与采购合同约定的资金支付条件挂钩。履约验收的各项资料应当存档备查。</w:t>
      </w:r>
    </w:p>
    <w:p>
      <w:pPr>
        <w:tabs>
          <w:tab w:val="left" w:pos="0"/>
        </w:tabs>
        <w:spacing w:line="360" w:lineRule="auto"/>
        <w:ind w:firstLine="480"/>
        <w:rPr>
          <w:rFonts w:ascii="仿宋" w:hAnsi="仿宋" w:eastAsia="仿宋" w:cs="Helvetica"/>
          <w:kern w:val="0"/>
          <w:sz w:val="24"/>
          <w:highlight w:val="none"/>
        </w:rPr>
      </w:pPr>
      <w:r>
        <w:rPr>
          <w:rFonts w:ascii="仿宋" w:hAnsi="仿宋" w:eastAsia="仿宋" w:cs="Helvetica"/>
          <w:kern w:val="0"/>
          <w:sz w:val="24"/>
          <w:highlight w:val="none"/>
        </w:rPr>
        <w:t>29.</w:t>
      </w:r>
      <w:r>
        <w:rPr>
          <w:rFonts w:hint="eastAsia" w:ascii="仿宋" w:hAnsi="仿宋" w:eastAsia="仿宋" w:cs="Helvetica"/>
          <w:kern w:val="0"/>
          <w:sz w:val="24"/>
          <w:highlight w:val="none"/>
        </w:rPr>
        <w:t>2</w:t>
      </w:r>
      <w:r>
        <w:rPr>
          <w:rFonts w:ascii="仿宋" w:hAnsi="仿宋" w:eastAsia="仿宋" w:cs="Helvetica"/>
          <w:kern w:val="0"/>
          <w:sz w:val="24"/>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Helvetica"/>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74707468"/>
      <w:bookmarkEnd w:id="15"/>
      <w:bookmarkStart w:id="16" w:name="_Hlt68072998"/>
      <w:bookmarkEnd w:id="16"/>
      <w:bookmarkStart w:id="17" w:name="_Hlt75236101"/>
      <w:bookmarkEnd w:id="17"/>
      <w:bookmarkStart w:id="18" w:name="_Hlt74714665"/>
      <w:bookmarkEnd w:id="18"/>
      <w:bookmarkStart w:id="19" w:name="_Hlt75236290"/>
      <w:bookmarkEnd w:id="19"/>
      <w:bookmarkStart w:id="20" w:name="_Hlt74730295"/>
      <w:bookmarkEnd w:id="20"/>
      <w:bookmarkStart w:id="21" w:name="_Hlt68072990"/>
      <w:bookmarkEnd w:id="21"/>
      <w:bookmarkStart w:id="22" w:name="_Hlt68073093"/>
      <w:bookmarkEnd w:id="22"/>
      <w:bookmarkStart w:id="23" w:name="_Hlt68403820"/>
      <w:bookmarkEnd w:id="23"/>
      <w:bookmarkStart w:id="24" w:name="_Hlt74729768"/>
      <w:bookmarkEnd w:id="24"/>
      <w:bookmarkStart w:id="25" w:name="_Hlt75236011"/>
      <w:bookmarkEnd w:id="25"/>
    </w:p>
    <w:bookmarkEnd w:id="11"/>
    <w:bookmarkEnd w:id="12"/>
    <w:p>
      <w:pPr>
        <w:spacing w:line="360" w:lineRule="auto"/>
        <w:jc w:val="center"/>
        <w:outlineLvl w:val="0"/>
        <w:rPr>
          <w:rFonts w:ascii="仿宋" w:hAnsi="仿宋" w:eastAsia="仿宋" w:cs="仿宋_GB2312"/>
          <w:b/>
          <w:sz w:val="36"/>
          <w:szCs w:val="36"/>
          <w:highlight w:val="none"/>
        </w:rPr>
      </w:pPr>
      <w:bookmarkStart w:id="26" w:name="第四部分"/>
      <w:r>
        <w:rPr>
          <w:rFonts w:hint="eastAsia" w:ascii="仿宋" w:hAnsi="仿宋" w:eastAsia="仿宋" w:cs="仿宋_GB2312"/>
          <w:b/>
          <w:sz w:val="36"/>
          <w:szCs w:val="36"/>
          <w:highlight w:val="none"/>
        </w:rPr>
        <w:t>第三部分采购需求</w:t>
      </w:r>
    </w:p>
    <w:p>
      <w:pPr>
        <w:snapToGrid w:val="0"/>
        <w:spacing w:line="360" w:lineRule="auto"/>
        <w:rPr>
          <w:rFonts w:ascii="仿宋" w:hAnsi="仿宋" w:eastAsia="仿宋" w:cs="宋体"/>
          <w:kern w:val="0"/>
          <w:sz w:val="24"/>
          <w:highlight w:val="none"/>
        </w:rPr>
      </w:pPr>
      <w:bookmarkStart w:id="27" w:name="_Toc28246325"/>
      <w:bookmarkStart w:id="28" w:name="_Toc3083_WPSOffice_Level2"/>
      <w:bookmarkStart w:id="29" w:name="_Toc86846769"/>
      <w:r>
        <w:rPr>
          <w:rFonts w:hint="eastAsia" w:ascii="仿宋" w:hAnsi="仿宋" w:eastAsia="仿宋" w:cs="宋体"/>
          <w:b/>
          <w:bCs/>
          <w:kern w:val="0"/>
          <w:sz w:val="24"/>
          <w:highlight w:val="none"/>
        </w:rPr>
        <w:t>一、项目概况</w:t>
      </w:r>
    </w:p>
    <w:p>
      <w:pPr>
        <w:snapToGrid w:val="0"/>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富春江-新安江风景名胜区是1982年国务院批准设立的首批国家级风景名胜区之一。风景名胜区范围涉及淳安、建德、桐庐、富阳、临安等5个县（市、区），总面积约1423平方公里，是目前我省面积最大的自然保护地。</w:t>
      </w:r>
    </w:p>
    <w:p>
      <w:pPr>
        <w:snapToGrid w:val="0"/>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富春江-新安江风景名胜区是以“碧湖千岛、锦山秀水、文丰史悠、生态优良”为特色，以观光、度假、科教为主要功能的湖川型国家级风景名胜区。风景名胜区内资源丰富、类型多样，具有高质量的自然山水生态环境，在植被、水系和生态环境方面生态价值突出；在喀斯特岩溶地貌、山水地质、水文、景观研究方面有较高的科学价值；同时，历史遗迹丰富，古建筑、牌坊、古村落、民居宗祠和文化遗址大量遗存。基于此，风景名胜区成为杭州西湖-安徽黄山“黄金旅游线”上重要的生态景观与休闲旅游走廊，对沿线各地及杭州大都市圈的生态维育起到了不可替代的作用。</w:t>
      </w:r>
    </w:p>
    <w:p>
      <w:pPr>
        <w:snapToGrid w:val="0"/>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富春江-新安江风景名胜区总体规划（2011-2025年）》（以下简称《总体规划》）于2011年经国务院批复实施，将于2025年到期。该规划在过去十多年中，指导风景名胜区资源保护、设施建设、展示利用、旅游服务等方面发挥了重要作用，但随着社会经济快速发展、外部交通条件变化、市政基础设施走廊的建设、城镇化快速发展,该规划已难以有效指导新时期风景名胜区的保护、利用和管理。且受技术手段等因素制约，《总体规划》编制深度不足，特别是风景名胜区、核心景区范围未精准界定，近年来，风景名胜区保护管理与城乡发展建设、重大基础设施项目建设等矛盾问题日益凸显，需要根据《风景名胜区条例》、《浙江省风景名胜区条例》、《国家级风景名胜区规划编制审批办法》、《浙江省风景名胜区规划实施评估办法（试行）》进行修编。</w:t>
      </w:r>
    </w:p>
    <w:p>
      <w:pPr>
        <w:snapToGrid w:val="0"/>
        <w:spacing w:line="360" w:lineRule="auto"/>
        <w:rPr>
          <w:rFonts w:ascii="仿宋" w:hAnsi="仿宋" w:eastAsia="仿宋" w:cs="宋体"/>
          <w:b/>
          <w:bCs/>
          <w:kern w:val="0"/>
          <w:sz w:val="24"/>
          <w:highlight w:val="none"/>
        </w:rPr>
      </w:pPr>
      <w:r>
        <w:rPr>
          <w:rFonts w:hint="eastAsia" w:ascii="仿宋" w:hAnsi="仿宋" w:eastAsia="仿宋" w:cs="宋体"/>
          <w:b/>
          <w:bCs/>
          <w:kern w:val="0"/>
          <w:sz w:val="24"/>
          <w:highlight w:val="none"/>
        </w:rPr>
        <w:t>二、规划范围与期限</w:t>
      </w:r>
    </w:p>
    <w:bookmarkEnd w:id="27"/>
    <w:bookmarkEnd w:id="28"/>
    <w:bookmarkEnd w:id="29"/>
    <w:p>
      <w:pPr>
        <w:snapToGrid w:val="0"/>
        <w:spacing w:line="360" w:lineRule="auto"/>
        <w:ind w:firstLine="480" w:firstLineChars="200"/>
        <w:outlineLvl w:val="0"/>
        <w:rPr>
          <w:rFonts w:ascii="仿宋" w:hAnsi="仿宋" w:eastAsia="仿宋" w:cs="宋体"/>
          <w:kern w:val="0"/>
          <w:sz w:val="24"/>
          <w:highlight w:val="none"/>
        </w:rPr>
      </w:pPr>
      <w:r>
        <w:rPr>
          <w:rFonts w:hint="eastAsia" w:ascii="仿宋" w:hAnsi="仿宋" w:eastAsia="仿宋" w:cs="宋体"/>
          <w:kern w:val="0"/>
          <w:sz w:val="24"/>
          <w:highlight w:val="none"/>
        </w:rPr>
        <w:t>风景区</w:t>
      </w:r>
      <w:r>
        <w:rPr>
          <w:rFonts w:hint="eastAsia" w:ascii="仿宋" w:hAnsi="仿宋" w:eastAsia="仿宋" w:cs="宋体"/>
          <w:kern w:val="0"/>
          <w:sz w:val="24"/>
          <w:highlight w:val="none"/>
          <w:lang w:val="en-US" w:eastAsia="zh-CN"/>
        </w:rPr>
        <w:t>总规划面积约</w:t>
      </w:r>
      <w:r>
        <w:rPr>
          <w:rFonts w:hint="eastAsia" w:ascii="仿宋" w:hAnsi="仿宋" w:eastAsia="仿宋" w:cs="宋体"/>
          <w:kern w:val="0"/>
          <w:sz w:val="24"/>
          <w:highlight w:val="none"/>
        </w:rPr>
        <w:t>1423平方千米，其中陆域面积837平方千米，水域面积586平方千米，风景区外围保护地带范围2750平方千米。本次总规修编规划期限为2022-2035年。（注：根据整合优化方案，临安区大明山片区将整体纳入大明山省级地质公园，拟在《总体规划》修编中调出风景名胜区范围，本次修编工作不涉及临安区）。</w:t>
      </w:r>
    </w:p>
    <w:p>
      <w:pPr>
        <w:snapToGrid w:val="0"/>
        <w:spacing w:line="360" w:lineRule="auto"/>
        <w:outlineLvl w:val="0"/>
        <w:rPr>
          <w:rFonts w:ascii="仿宋" w:hAnsi="仿宋" w:eastAsia="仿宋" w:cs="宋体"/>
          <w:b/>
          <w:bCs/>
          <w:sz w:val="24"/>
          <w:highlight w:val="none"/>
        </w:rPr>
      </w:pPr>
      <w:r>
        <w:rPr>
          <w:rFonts w:hint="eastAsia" w:ascii="仿宋" w:hAnsi="仿宋" w:eastAsia="仿宋" w:cs="宋体"/>
          <w:b/>
          <w:bCs/>
          <w:sz w:val="24"/>
          <w:highlight w:val="none"/>
        </w:rPr>
        <w:t>三、规划内容要求</w:t>
      </w:r>
    </w:p>
    <w:p>
      <w:pPr>
        <w:snapToGrid w:val="0"/>
        <w:spacing w:line="360" w:lineRule="auto"/>
        <w:ind w:firstLine="480" w:firstLineChars="200"/>
        <w:outlineLvl w:val="0"/>
        <w:rPr>
          <w:rFonts w:ascii="仿宋" w:hAnsi="仿宋" w:eastAsia="仿宋" w:cs="宋体"/>
          <w:kern w:val="0"/>
          <w:sz w:val="24"/>
          <w:highlight w:val="none"/>
        </w:rPr>
      </w:pPr>
      <w:r>
        <w:rPr>
          <w:rFonts w:hint="eastAsia" w:ascii="仿宋" w:hAnsi="仿宋" w:eastAsia="仿宋" w:cs="宋体"/>
          <w:kern w:val="0"/>
          <w:sz w:val="24"/>
          <w:highlight w:val="none"/>
        </w:rPr>
        <w:t>根据《中华人民共和国城乡规划法》《风景名胜区条例》《浙江省风景名胜区条例》《国家级风景名胜区规划编制审批办法》《风景名胜区总体规划标准》《浙江省风景名胜区规划实施评估办法（试行）》等相关规定，本次总规修编应对上版总规进行风景名胜区综合评价，并结合十四五发展规划和国土空间总体规划，推进富春江-新安江风景名胜区总规修编工作。</w:t>
      </w:r>
      <w:bookmarkStart w:id="30" w:name="_Hlk116465359"/>
      <w:r>
        <w:rPr>
          <w:rFonts w:hint="eastAsia" w:ascii="仿宋" w:hAnsi="仿宋" w:eastAsia="仿宋" w:cs="宋体"/>
          <w:b/>
          <w:bCs/>
          <w:kern w:val="0"/>
          <w:sz w:val="24"/>
          <w:highlight w:val="none"/>
        </w:rPr>
        <w:t>本次总规修编应当在开展或衔接上版总规实施评估、范围优化调整、重大建设项目等专题研究的基础上形成《千岛湖风景名胜区总体规划》、《富春江-新安江风景名胜区总体规划》两套成果</w:t>
      </w:r>
      <w:r>
        <w:rPr>
          <w:rFonts w:hint="eastAsia" w:ascii="仿宋" w:hAnsi="仿宋" w:eastAsia="仿宋" w:cs="宋体"/>
          <w:b/>
          <w:bCs/>
          <w:kern w:val="0"/>
          <w:sz w:val="24"/>
          <w:highlight w:val="none"/>
          <w:lang w:eastAsia="zh-CN"/>
        </w:rPr>
        <w:t>（</w:t>
      </w:r>
      <w:r>
        <w:rPr>
          <w:rFonts w:hint="eastAsia" w:ascii="仿宋" w:hAnsi="仿宋" w:eastAsia="仿宋" w:cs="宋体"/>
          <w:b/>
          <w:bCs/>
          <w:kern w:val="0"/>
          <w:sz w:val="24"/>
          <w:highlight w:val="none"/>
          <w:lang w:val="en-US" w:eastAsia="zh-CN"/>
        </w:rPr>
        <w:t>其中，富阳区、桐庐县、建德市还应以行政区划为界各形成一套成果</w:t>
      </w:r>
      <w:r>
        <w:rPr>
          <w:rFonts w:hint="eastAsia" w:ascii="仿宋" w:hAnsi="仿宋" w:eastAsia="仿宋" w:cs="宋体"/>
          <w:b/>
          <w:bCs/>
          <w:kern w:val="0"/>
          <w:sz w:val="24"/>
          <w:highlight w:val="none"/>
          <w:lang w:eastAsia="zh-CN"/>
        </w:rPr>
        <w:t>）</w:t>
      </w:r>
      <w:r>
        <w:rPr>
          <w:rFonts w:hint="eastAsia" w:ascii="仿宋" w:hAnsi="仿宋" w:eastAsia="仿宋" w:cs="宋体"/>
          <w:b/>
          <w:bCs/>
          <w:kern w:val="0"/>
          <w:sz w:val="24"/>
          <w:highlight w:val="none"/>
        </w:rPr>
        <w:t>，并根据国家林草局要求，形成《富春江-新安江风景名胜区总体规划》汇总成果。各县市专题研究以县市区林业相关部门为主体单位，委托有资质机构进行单独编制，并衔接好本轮总规修编时间进度。</w:t>
      </w:r>
      <w:bookmarkEnd w:id="30"/>
    </w:p>
    <w:p>
      <w:pPr>
        <w:snapToGrid w:val="0"/>
        <w:spacing w:line="360" w:lineRule="auto"/>
        <w:ind w:firstLine="480" w:firstLineChars="200"/>
        <w:outlineLvl w:val="0"/>
        <w:rPr>
          <w:rFonts w:ascii="仿宋" w:hAnsi="仿宋" w:eastAsia="仿宋" w:cs="宋体"/>
          <w:kern w:val="0"/>
          <w:sz w:val="24"/>
          <w:highlight w:val="none"/>
        </w:rPr>
      </w:pPr>
      <w:r>
        <w:rPr>
          <w:rFonts w:hint="eastAsia" w:ascii="仿宋" w:hAnsi="仿宋" w:eastAsia="仿宋" w:cs="宋体"/>
          <w:kern w:val="0"/>
          <w:sz w:val="24"/>
          <w:highlight w:val="none"/>
          <w:lang w:val="en-US" w:eastAsia="zh-CN"/>
        </w:rPr>
        <w:t>根据</w:t>
      </w:r>
      <w:r>
        <w:rPr>
          <w:rFonts w:hint="eastAsia" w:ascii="仿宋" w:hAnsi="仿宋" w:eastAsia="仿宋" w:cs="宋体"/>
          <w:kern w:val="0"/>
          <w:sz w:val="24"/>
          <w:highlight w:val="none"/>
        </w:rPr>
        <w:t>《国家级风景名胜区规划编制审批办法》</w:t>
      </w:r>
      <w:r>
        <w:rPr>
          <w:rFonts w:hint="eastAsia" w:ascii="仿宋" w:hAnsi="仿宋" w:eastAsia="仿宋" w:cs="宋体"/>
          <w:kern w:val="0"/>
          <w:sz w:val="24"/>
          <w:highlight w:val="none"/>
          <w:lang w:eastAsia="zh-CN"/>
        </w:rPr>
        <w:t>、</w:t>
      </w:r>
      <w:r>
        <w:rPr>
          <w:rFonts w:hint="eastAsia" w:ascii="仿宋" w:hAnsi="仿宋" w:eastAsia="仿宋" w:cs="宋体"/>
          <w:kern w:val="0"/>
          <w:sz w:val="24"/>
          <w:highlight w:val="none"/>
          <w:lang w:val="en-US" w:eastAsia="zh-CN"/>
        </w:rPr>
        <w:t>《风景名胜区总体规划标准》（GBT 50298-2018）等要求，</w:t>
      </w:r>
      <w:r>
        <w:rPr>
          <w:rFonts w:hint="eastAsia" w:ascii="仿宋" w:hAnsi="仿宋" w:eastAsia="仿宋" w:cs="宋体"/>
          <w:kern w:val="0"/>
          <w:sz w:val="24"/>
          <w:highlight w:val="none"/>
        </w:rPr>
        <w:t>总体规划修编内容应当包括：风景名胜资源评价；明确风景名胜区范围、性质、发展目标和空间布局；明确</w:t>
      </w:r>
      <w:r>
        <w:rPr>
          <w:rFonts w:hint="eastAsia" w:ascii="仿宋" w:hAnsi="仿宋" w:eastAsia="仿宋" w:cs="宋体"/>
          <w:kern w:val="0"/>
          <w:sz w:val="24"/>
          <w:highlight w:val="none"/>
          <w:lang w:eastAsia="zh-CN"/>
        </w:rPr>
        <w:t>三级</w:t>
      </w:r>
      <w:r>
        <w:rPr>
          <w:rFonts w:hint="eastAsia" w:ascii="仿宋" w:hAnsi="仿宋" w:eastAsia="仿宋" w:cs="宋体"/>
          <w:kern w:val="0"/>
          <w:sz w:val="24"/>
          <w:highlight w:val="none"/>
        </w:rPr>
        <w:t>管控分区范围及保护要求，按</w:t>
      </w:r>
      <w:r>
        <w:rPr>
          <w:rFonts w:hint="eastAsia" w:ascii="仿宋" w:hAnsi="仿宋" w:eastAsia="仿宋" w:cs="宋体"/>
          <w:kern w:val="0"/>
          <w:sz w:val="24"/>
          <w:highlight w:val="none"/>
          <w:lang w:eastAsia="zh-CN"/>
        </w:rPr>
        <w:t>三级</w:t>
      </w:r>
      <w:r>
        <w:rPr>
          <w:rFonts w:hint="eastAsia" w:ascii="仿宋" w:hAnsi="仿宋" w:eastAsia="仿宋" w:cs="宋体"/>
          <w:kern w:val="0"/>
          <w:sz w:val="24"/>
          <w:highlight w:val="none"/>
        </w:rPr>
        <w:t>分区确定建设项目和人类活动准入正负面清单；提出风景名胜资源保护措施和生态环境影响评价；确定风景名胜区游客容量，编制游赏、设施、居民点协调规划；划定编制详细规划的区域，提出详细规划编制应当遵从的重要控制指标或者要求；相关规划协调等。</w:t>
      </w:r>
    </w:p>
    <w:p>
      <w:pPr>
        <w:snapToGrid w:val="0"/>
        <w:spacing w:line="360" w:lineRule="auto"/>
        <w:outlineLvl w:val="0"/>
        <w:rPr>
          <w:rFonts w:ascii="仿宋" w:hAnsi="仿宋" w:eastAsia="仿宋" w:cs="宋体"/>
          <w:b/>
          <w:bCs/>
          <w:sz w:val="24"/>
          <w:highlight w:val="none"/>
        </w:rPr>
      </w:pPr>
      <w:r>
        <w:rPr>
          <w:rFonts w:hint="eastAsia" w:ascii="仿宋" w:hAnsi="仿宋" w:eastAsia="仿宋" w:cs="宋体"/>
          <w:b/>
          <w:bCs/>
          <w:sz w:val="24"/>
          <w:highlight w:val="none"/>
        </w:rPr>
        <w:t>四、规划成果要求</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规划成果应当包括规划文本、规划图纸、规划说明书、基础资料汇编、遥感影像图和范围界限、分区界限</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三级</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等矢量数据，以纸质和电子文件两种形式表达。</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规划成果纳入国土空间基础信息平台，叠加到国土空间信息“一张图”。</w:t>
      </w:r>
    </w:p>
    <w:p>
      <w:pPr>
        <w:snapToGrid w:val="0"/>
        <w:spacing w:line="360" w:lineRule="auto"/>
        <w:ind w:firstLine="480" w:firstLineChars="200"/>
        <w:rPr>
          <w:rFonts w:ascii="仿宋" w:hAnsi="仿宋" w:eastAsia="仿宋" w:cs="宋体"/>
          <w:kern w:val="0"/>
          <w:sz w:val="24"/>
          <w:highlight w:val="none"/>
        </w:rPr>
      </w:pPr>
      <w:r>
        <w:rPr>
          <w:rFonts w:hint="eastAsia" w:ascii="仿宋" w:hAnsi="仿宋" w:eastAsia="仿宋" w:cs="仿宋"/>
          <w:bCs/>
          <w:sz w:val="24"/>
          <w:highlight w:val="none"/>
        </w:rPr>
        <w:t>征求意见及意见采纳的情况、专题论证材料、部门和专家评审意见、公示情况等，纳入基础资料汇编。</w:t>
      </w:r>
    </w:p>
    <w:p>
      <w:pPr>
        <w:numPr>
          <w:ilvl w:val="0"/>
          <w:numId w:val="1"/>
        </w:numPr>
        <w:snapToGrid w:val="0"/>
        <w:spacing w:line="360" w:lineRule="auto"/>
        <w:outlineLvl w:val="0"/>
        <w:rPr>
          <w:rFonts w:ascii="仿宋" w:hAnsi="仿宋" w:eastAsia="仿宋" w:cs="宋体"/>
          <w:b/>
          <w:bCs/>
          <w:sz w:val="24"/>
          <w:highlight w:val="none"/>
        </w:rPr>
      </w:pPr>
      <w:r>
        <w:rPr>
          <w:rFonts w:hint="eastAsia" w:ascii="仿宋" w:hAnsi="仿宋" w:eastAsia="仿宋" w:cs="宋体"/>
          <w:b/>
          <w:bCs/>
          <w:sz w:val="24"/>
          <w:highlight w:val="none"/>
        </w:rPr>
        <w:t>规划编制进度要求</w:t>
      </w:r>
    </w:p>
    <w:p>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按照四个阶段安排工作计划，要求在</w:t>
      </w:r>
      <w:r>
        <w:rPr>
          <w:rFonts w:hint="eastAsia" w:ascii="仿宋" w:hAnsi="仿宋" w:eastAsia="仿宋" w:cs="仿宋"/>
          <w:bCs/>
          <w:sz w:val="24"/>
          <w:highlight w:val="none"/>
          <w:lang w:eastAsia="zh-CN"/>
        </w:rPr>
        <w:t>合同签订后按</w:t>
      </w:r>
      <w:r>
        <w:rPr>
          <w:rFonts w:hint="eastAsia" w:ascii="仿宋" w:hAnsi="仿宋" w:eastAsia="仿宋" w:cs="仿宋"/>
          <w:bCs/>
          <w:sz w:val="24"/>
          <w:highlight w:val="none"/>
          <w:lang w:val="en-US" w:eastAsia="zh-CN"/>
        </w:rPr>
        <w:t>要求</w:t>
      </w:r>
      <w:r>
        <w:rPr>
          <w:rFonts w:hint="eastAsia" w:ascii="仿宋" w:hAnsi="仿宋" w:eastAsia="仿宋" w:cs="仿宋"/>
          <w:bCs/>
          <w:sz w:val="24"/>
          <w:highlight w:val="none"/>
        </w:rPr>
        <w:t>完成本轮风景区总规修编报批工作。</w:t>
      </w:r>
    </w:p>
    <w:p>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1.综合评价及相关专题衔接研究阶段（</w:t>
      </w:r>
      <w:r>
        <w:rPr>
          <w:rFonts w:ascii="仿宋" w:hAnsi="仿宋" w:eastAsia="仿宋" w:cs="仿宋"/>
          <w:bCs/>
          <w:sz w:val="24"/>
          <w:highlight w:val="none"/>
        </w:rPr>
        <w:t>4</w:t>
      </w:r>
      <w:r>
        <w:rPr>
          <w:rFonts w:hint="eastAsia" w:ascii="仿宋" w:hAnsi="仿宋" w:eastAsia="仿宋" w:cs="仿宋"/>
          <w:bCs/>
          <w:sz w:val="24"/>
          <w:highlight w:val="none"/>
        </w:rPr>
        <w:t>个月</w:t>
      </w:r>
      <w:r>
        <w:rPr>
          <w:rFonts w:hint="eastAsia" w:ascii="仿宋" w:hAnsi="仿宋" w:eastAsia="仿宋" w:cs="仿宋"/>
          <w:bCs/>
          <w:sz w:val="24"/>
          <w:highlight w:val="none"/>
          <w:lang w:eastAsia="zh-CN"/>
        </w:rPr>
        <w:t>以内</w:t>
      </w:r>
      <w:r>
        <w:rPr>
          <w:rFonts w:hint="eastAsia" w:ascii="仿宋" w:hAnsi="仿宋" w:eastAsia="仿宋" w:cs="仿宋"/>
          <w:bCs/>
          <w:sz w:val="24"/>
          <w:highlight w:val="none"/>
        </w:rPr>
        <w:t>）</w:t>
      </w:r>
    </w:p>
    <w:p>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完成基础资料收集、前期调研与部门座谈。开展风景名胜区综合评价、范围优化调整专题研究、景区交通组织和旅游设施专题研究衔接等并形成报告。</w:t>
      </w:r>
    </w:p>
    <w:p>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2.规划方案阶段（4个月</w:t>
      </w:r>
      <w:r>
        <w:rPr>
          <w:rFonts w:hint="eastAsia" w:ascii="仿宋" w:hAnsi="仿宋" w:eastAsia="仿宋" w:cs="仿宋"/>
          <w:bCs/>
          <w:sz w:val="24"/>
          <w:highlight w:val="none"/>
          <w:lang w:eastAsia="zh-CN"/>
        </w:rPr>
        <w:t>以内</w:t>
      </w:r>
      <w:r>
        <w:rPr>
          <w:rFonts w:hint="eastAsia" w:ascii="仿宋" w:hAnsi="仿宋" w:eastAsia="仿宋" w:cs="仿宋"/>
          <w:bCs/>
          <w:sz w:val="24"/>
          <w:highlight w:val="none"/>
        </w:rPr>
        <w:t xml:space="preserve">） </w:t>
      </w:r>
    </w:p>
    <w:p>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完成总规修编规划纲要，并充分征求主管部门和有关专家意见，并在此过程中，不断更新和对接规划内容、建设项目和反馈意见。</w:t>
      </w:r>
    </w:p>
    <w:p>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3.规划成果阶段（4个月</w:t>
      </w:r>
      <w:r>
        <w:rPr>
          <w:rFonts w:hint="eastAsia" w:ascii="仿宋" w:hAnsi="仿宋" w:eastAsia="仿宋" w:cs="仿宋"/>
          <w:bCs/>
          <w:sz w:val="24"/>
          <w:highlight w:val="none"/>
          <w:lang w:eastAsia="zh-CN"/>
        </w:rPr>
        <w:t>以内</w:t>
      </w:r>
      <w:r>
        <w:rPr>
          <w:rFonts w:hint="eastAsia" w:ascii="仿宋" w:hAnsi="仿宋" w:eastAsia="仿宋" w:cs="仿宋"/>
          <w:bCs/>
          <w:sz w:val="24"/>
          <w:highlight w:val="none"/>
        </w:rPr>
        <w:t xml:space="preserve">） </w:t>
      </w:r>
    </w:p>
    <w:p>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根据纲要及有关意见深化形成规划成果，并与《杭州市国土空间总体规划》成果进行对接，叠合国土空间信息“一张图”。报杭州市人民政府进行规划成果审查。</w:t>
      </w:r>
    </w:p>
    <w:p>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4.规划审批阶段（</w:t>
      </w:r>
      <w:r>
        <w:rPr>
          <w:rFonts w:hint="eastAsia" w:ascii="仿宋" w:hAnsi="仿宋" w:eastAsia="仿宋" w:cs="仿宋"/>
          <w:b/>
          <w:sz w:val="24"/>
          <w:highlight w:val="none"/>
        </w:rPr>
        <w:t>4</w:t>
      </w:r>
      <w:r>
        <w:rPr>
          <w:rFonts w:hint="eastAsia" w:ascii="仿宋" w:hAnsi="仿宋" w:eastAsia="仿宋" w:cs="仿宋"/>
          <w:bCs/>
          <w:sz w:val="24"/>
          <w:highlight w:val="none"/>
        </w:rPr>
        <w:t>个月</w:t>
      </w:r>
      <w:r>
        <w:rPr>
          <w:rFonts w:hint="eastAsia" w:ascii="仿宋" w:hAnsi="仿宋" w:eastAsia="仿宋" w:cs="仿宋"/>
          <w:bCs/>
          <w:sz w:val="24"/>
          <w:highlight w:val="none"/>
          <w:lang w:eastAsia="zh-CN"/>
        </w:rPr>
        <w:t>以内</w:t>
      </w:r>
      <w:r>
        <w:rPr>
          <w:rFonts w:hint="eastAsia" w:ascii="仿宋" w:hAnsi="仿宋" w:eastAsia="仿宋" w:cs="仿宋"/>
          <w:bCs/>
          <w:sz w:val="24"/>
          <w:highlight w:val="none"/>
        </w:rPr>
        <w:t>）</w:t>
      </w:r>
    </w:p>
    <w:p>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根据省市区各级审查会议相关要求，进行规划汇报、修改、调整、优化和报批，提交各阶段需要的规划送审稿，完成省林业局牵头组织的省级部门、专家审查会，并根据省级会审纪要修改，并提交正式报批稿经省政府同意转报至国务院。</w:t>
      </w:r>
    </w:p>
    <w:p>
      <w:pPr>
        <w:numPr>
          <w:ilvl w:val="0"/>
          <w:numId w:val="1"/>
        </w:numPr>
        <w:snapToGrid w:val="0"/>
        <w:spacing w:line="360" w:lineRule="auto"/>
        <w:outlineLvl w:val="0"/>
        <w:rPr>
          <w:rFonts w:ascii="仿宋" w:hAnsi="仿宋" w:eastAsia="仿宋" w:cs="宋体"/>
          <w:b/>
          <w:bCs/>
          <w:sz w:val="24"/>
          <w:highlight w:val="none"/>
        </w:rPr>
      </w:pPr>
      <w:r>
        <w:rPr>
          <w:rFonts w:hint="eastAsia" w:ascii="仿宋" w:hAnsi="仿宋" w:eastAsia="仿宋" w:cs="宋体"/>
          <w:b/>
          <w:bCs/>
          <w:sz w:val="24"/>
          <w:highlight w:val="none"/>
        </w:rPr>
        <w:t>规划编制团队要求</w:t>
      </w:r>
    </w:p>
    <w:p>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项目团队构成:▲整体团队不少于10人构成，项目负责人有负责编制国家级风景名胜区总体规划经验，具有正高级工程师职称以上。其余团队人员高级工程师职称不少于</w:t>
      </w:r>
      <w:r>
        <w:rPr>
          <w:rFonts w:ascii="仿宋" w:hAnsi="仿宋" w:eastAsia="仿宋" w:cs="仿宋"/>
          <w:bCs/>
          <w:sz w:val="24"/>
          <w:highlight w:val="none"/>
        </w:rPr>
        <w:t>5</w:t>
      </w:r>
      <w:r>
        <w:rPr>
          <w:rFonts w:hint="eastAsia" w:ascii="仿宋" w:hAnsi="仿宋" w:eastAsia="仿宋" w:cs="仿宋"/>
          <w:bCs/>
          <w:sz w:val="24"/>
          <w:highlight w:val="none"/>
        </w:rPr>
        <w:t>人（包含项目负责人），团队城乡规划、土地管理、风景园林、建筑设计、道路交通、市政等各类专业人才至少一名，配备完善，经验丰富，工作效率高。</w:t>
      </w:r>
    </w:p>
    <w:p>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项目团队50%以上团队成员参加不少于两周的现状调研工作，摸清富春江-新安江风景名胜区现状发展情况，并与杭州市、富阳区、桐庐县、建德市、淳安县林业主管部门及相关各部门和主体单位进行沟通交流。当采购人有质询或讨论需求时，供应商应及时响应；供应商应遵守合同规定的义务，配合各阶段方案汇报和评审要求。</w:t>
      </w:r>
    </w:p>
    <w:p>
      <w:pPr>
        <w:numPr>
          <w:ilvl w:val="0"/>
          <w:numId w:val="1"/>
        </w:numPr>
        <w:snapToGrid w:val="0"/>
        <w:spacing w:line="360" w:lineRule="auto"/>
        <w:outlineLvl w:val="0"/>
        <w:rPr>
          <w:rFonts w:ascii="仿宋" w:hAnsi="仿宋" w:eastAsia="仿宋" w:cs="宋体"/>
          <w:b/>
          <w:bCs/>
          <w:sz w:val="24"/>
          <w:highlight w:val="none"/>
        </w:rPr>
      </w:pPr>
      <w:r>
        <w:rPr>
          <w:rFonts w:hint="eastAsia" w:ascii="仿宋" w:hAnsi="仿宋" w:eastAsia="仿宋" w:cs="宋体"/>
          <w:b/>
          <w:bCs/>
          <w:sz w:val="24"/>
          <w:highlight w:val="none"/>
        </w:rPr>
        <w:t>付款方式</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富阳</w:t>
      </w:r>
      <w:r>
        <w:rPr>
          <w:rFonts w:hint="eastAsia" w:ascii="仿宋" w:hAnsi="仿宋" w:eastAsia="仿宋" w:cs="仿宋"/>
          <w:bCs/>
          <w:sz w:val="24"/>
          <w:highlight w:val="none"/>
          <w:lang w:val="en-US" w:eastAsia="zh-CN"/>
        </w:rPr>
        <w:t>区</w:t>
      </w:r>
      <w:r>
        <w:rPr>
          <w:rFonts w:hint="eastAsia" w:ascii="仿宋" w:hAnsi="仿宋" w:eastAsia="仿宋" w:cs="仿宋"/>
          <w:bCs/>
          <w:sz w:val="24"/>
          <w:highlight w:val="none"/>
        </w:rPr>
        <w:t>农业农村局、桐庐县林水局、建德市林业局、淳安县林业局各自和供应商签订合同，合同金额为中标价格；合同签订生效后且具备实施条件后7个工作日内支付合同总价的40%，项目完成总规修编纲要评审后支付合同总价的20%，项目完成省林业局组织的省级评审后支付合同总价的2</w:t>
      </w:r>
      <w:r>
        <w:rPr>
          <w:rFonts w:ascii="仿宋" w:hAnsi="仿宋" w:eastAsia="仿宋" w:cs="仿宋"/>
          <w:bCs/>
          <w:sz w:val="24"/>
          <w:highlight w:val="none"/>
        </w:rPr>
        <w:t>0%</w:t>
      </w:r>
      <w:r>
        <w:rPr>
          <w:rFonts w:hint="eastAsia" w:ascii="仿宋" w:hAnsi="仿宋" w:eastAsia="仿宋" w:cs="仿宋"/>
          <w:bCs/>
          <w:sz w:val="24"/>
          <w:highlight w:val="none"/>
        </w:rPr>
        <w:t>，规划批复后支付合同剩余尾款。</w:t>
      </w:r>
    </w:p>
    <w:p>
      <w:pPr>
        <w:snapToGrid w:val="0"/>
        <w:spacing w:line="360" w:lineRule="auto"/>
        <w:ind w:firstLine="480" w:firstLineChars="200"/>
        <w:rPr>
          <w:rFonts w:ascii="仿宋" w:hAnsi="仿宋" w:eastAsia="仿宋" w:cs="宋体"/>
          <w:kern w:val="0"/>
          <w:sz w:val="24"/>
          <w:highlight w:val="none"/>
        </w:rPr>
      </w:pPr>
      <w:r>
        <w:rPr>
          <w:rFonts w:hint="eastAsia" w:ascii="仿宋" w:hAnsi="仿宋" w:eastAsia="仿宋" w:cs="仿宋"/>
          <w:bCs/>
          <w:sz w:val="24"/>
          <w:highlight w:val="none"/>
        </w:rPr>
        <w:t>乙方应向甲方开具等额正式发票。</w:t>
      </w:r>
    </w:p>
    <w:p>
      <w:pPr>
        <w:snapToGrid w:val="0"/>
        <w:spacing w:line="360" w:lineRule="auto"/>
        <w:jc w:val="center"/>
        <w:rPr>
          <w:rFonts w:ascii="仿宋" w:hAnsi="仿宋" w:eastAsia="仿宋" w:cs="仿宋_GB2312"/>
          <w:b/>
          <w:sz w:val="36"/>
          <w:szCs w:val="36"/>
          <w:highlight w:val="none"/>
        </w:rPr>
      </w:pPr>
    </w:p>
    <w:p>
      <w:pPr>
        <w:snapToGrid w:val="0"/>
        <w:spacing w:line="360" w:lineRule="auto"/>
        <w:jc w:val="center"/>
        <w:rPr>
          <w:rFonts w:ascii="仿宋" w:hAnsi="仿宋" w:eastAsia="仿宋" w:cs="仿宋_GB2312"/>
          <w:b/>
          <w:sz w:val="36"/>
          <w:szCs w:val="36"/>
          <w:highlight w:val="none"/>
        </w:rPr>
      </w:pPr>
    </w:p>
    <w:p>
      <w:pPr>
        <w:snapToGrid w:val="0"/>
        <w:spacing w:line="360" w:lineRule="auto"/>
        <w:jc w:val="center"/>
        <w:rPr>
          <w:rFonts w:ascii="仿宋" w:hAnsi="仿宋" w:eastAsia="仿宋" w:cs="仿宋_GB2312"/>
          <w:b/>
          <w:sz w:val="36"/>
          <w:szCs w:val="36"/>
          <w:highlight w:val="none"/>
        </w:rPr>
      </w:pPr>
    </w:p>
    <w:p>
      <w:pPr>
        <w:pStyle w:val="5"/>
        <w:rPr>
          <w:highlight w:val="none"/>
        </w:rPr>
      </w:pPr>
    </w:p>
    <w:p>
      <w:pPr>
        <w:rPr>
          <w:highlight w:val="none"/>
        </w:rPr>
      </w:pPr>
    </w:p>
    <w:p>
      <w:pPr>
        <w:pStyle w:val="2"/>
        <w:ind w:firstLine="420"/>
        <w:rPr>
          <w:highlight w:val="none"/>
        </w:rPr>
      </w:pPr>
    </w:p>
    <w:p>
      <w:pPr>
        <w:pStyle w:val="2"/>
        <w:ind w:firstLine="420"/>
        <w:rPr>
          <w:highlight w:val="none"/>
        </w:rPr>
      </w:pPr>
    </w:p>
    <w:p>
      <w:pPr>
        <w:pStyle w:val="2"/>
        <w:ind w:firstLine="420"/>
        <w:rPr>
          <w:highlight w:val="none"/>
        </w:rPr>
      </w:pPr>
    </w:p>
    <w:p>
      <w:pPr>
        <w:snapToGrid w:val="0"/>
        <w:spacing w:line="360" w:lineRule="auto"/>
        <w:jc w:val="center"/>
        <w:rPr>
          <w:rFonts w:ascii="仿宋" w:hAnsi="仿宋" w:eastAsia="仿宋" w:cs="仿宋_GB2312"/>
          <w:b/>
          <w:sz w:val="36"/>
          <w:szCs w:val="36"/>
          <w:highlight w:val="none"/>
        </w:rPr>
      </w:pPr>
      <w:r>
        <w:rPr>
          <w:rFonts w:hint="eastAsia" w:ascii="仿宋" w:hAnsi="仿宋" w:eastAsia="仿宋" w:cs="仿宋_GB2312"/>
          <w:b/>
          <w:sz w:val="36"/>
          <w:szCs w:val="36"/>
          <w:highlight w:val="none"/>
        </w:rPr>
        <w:t>第四部分</w:t>
      </w:r>
      <w:bookmarkStart w:id="31" w:name="_Toc184314458"/>
      <w:bookmarkEnd w:id="31"/>
      <w:bookmarkStart w:id="32" w:name="_Toc184313298"/>
      <w:bookmarkEnd w:id="32"/>
      <w:bookmarkStart w:id="33" w:name="_Toc184310343"/>
      <w:bookmarkEnd w:id="33"/>
      <w:bookmarkStart w:id="34" w:name="_Toc184313254"/>
      <w:bookmarkEnd w:id="34"/>
      <w:bookmarkStart w:id="35" w:name="_Toc184312067"/>
      <w:bookmarkEnd w:id="35"/>
      <w:bookmarkStart w:id="36" w:name="_Toc184310278"/>
      <w:bookmarkEnd w:id="36"/>
      <w:bookmarkStart w:id="37" w:name="_Toc184313238"/>
      <w:bookmarkEnd w:id="37"/>
      <w:bookmarkStart w:id="38" w:name="_Toc184312089"/>
      <w:bookmarkEnd w:id="38"/>
      <w:bookmarkStart w:id="39" w:name="_Toc184308042"/>
      <w:bookmarkEnd w:id="39"/>
      <w:bookmarkStart w:id="40" w:name="_Toc184314474"/>
      <w:bookmarkEnd w:id="40"/>
      <w:bookmarkStart w:id="41" w:name="_Toc184310297"/>
      <w:bookmarkEnd w:id="41"/>
      <w:bookmarkStart w:id="42" w:name="_Toc184312112"/>
      <w:bookmarkEnd w:id="42"/>
      <w:bookmarkStart w:id="43" w:name="_Toc184312078"/>
      <w:bookmarkEnd w:id="43"/>
      <w:bookmarkStart w:id="44" w:name="_Toc184313264"/>
      <w:bookmarkEnd w:id="44"/>
      <w:bookmarkStart w:id="45" w:name="_Toc184314450"/>
      <w:bookmarkEnd w:id="45"/>
      <w:bookmarkStart w:id="46" w:name="_Toc184312108"/>
      <w:bookmarkEnd w:id="46"/>
      <w:bookmarkStart w:id="47" w:name="_Toc184312115"/>
      <w:bookmarkEnd w:id="47"/>
      <w:bookmarkStart w:id="48" w:name="_Toc184313294"/>
      <w:bookmarkEnd w:id="48"/>
      <w:bookmarkStart w:id="49" w:name="_Toc184314410"/>
      <w:bookmarkEnd w:id="49"/>
      <w:bookmarkStart w:id="50" w:name="_Toc184308053"/>
      <w:bookmarkEnd w:id="50"/>
      <w:bookmarkStart w:id="51" w:name="_Toc184308078"/>
      <w:bookmarkEnd w:id="51"/>
      <w:bookmarkStart w:id="52" w:name="_Toc184308057"/>
      <w:bookmarkEnd w:id="52"/>
      <w:bookmarkStart w:id="53" w:name="_Toc184308107"/>
      <w:bookmarkEnd w:id="53"/>
      <w:bookmarkStart w:id="54" w:name="_Toc184314413"/>
      <w:bookmarkEnd w:id="54"/>
      <w:bookmarkStart w:id="55" w:name="_Toc184312093"/>
      <w:bookmarkEnd w:id="55"/>
      <w:bookmarkStart w:id="56" w:name="_Toc184314453"/>
      <w:bookmarkEnd w:id="56"/>
      <w:bookmarkStart w:id="57" w:name="_Toc184313257"/>
      <w:bookmarkEnd w:id="57"/>
      <w:bookmarkStart w:id="58" w:name="_Toc184312084"/>
      <w:bookmarkEnd w:id="58"/>
      <w:bookmarkStart w:id="59" w:name="_Toc184314476"/>
      <w:bookmarkEnd w:id="59"/>
      <w:bookmarkStart w:id="60" w:name="_Toc184314459"/>
      <w:bookmarkEnd w:id="60"/>
      <w:bookmarkStart w:id="61" w:name="_Toc184314467"/>
      <w:bookmarkEnd w:id="61"/>
      <w:bookmarkStart w:id="62" w:name="_Toc184312114"/>
      <w:bookmarkEnd w:id="62"/>
      <w:bookmarkStart w:id="63" w:name="_Toc184308101"/>
      <w:bookmarkEnd w:id="63"/>
      <w:bookmarkStart w:id="64" w:name="_Toc184313251"/>
      <w:bookmarkEnd w:id="64"/>
      <w:bookmarkStart w:id="65" w:name="_Toc184310311"/>
      <w:bookmarkEnd w:id="65"/>
      <w:bookmarkStart w:id="66" w:name="_Toc184310296"/>
      <w:bookmarkEnd w:id="66"/>
      <w:bookmarkStart w:id="67" w:name="_Toc184312129"/>
      <w:bookmarkEnd w:id="67"/>
      <w:bookmarkStart w:id="68" w:name="_Toc184308060"/>
      <w:bookmarkEnd w:id="68"/>
      <w:bookmarkStart w:id="69" w:name="_Toc184310324"/>
      <w:bookmarkEnd w:id="69"/>
      <w:bookmarkStart w:id="70" w:name="_Toc184312133"/>
      <w:bookmarkEnd w:id="70"/>
      <w:bookmarkStart w:id="71" w:name="_Toc184310339"/>
      <w:bookmarkEnd w:id="71"/>
      <w:bookmarkStart w:id="72" w:name="_Toc184313256"/>
      <w:bookmarkEnd w:id="72"/>
      <w:bookmarkStart w:id="73" w:name="_Toc184310326"/>
      <w:bookmarkEnd w:id="73"/>
      <w:bookmarkStart w:id="74" w:name="_Toc184313289"/>
      <w:bookmarkEnd w:id="74"/>
      <w:bookmarkStart w:id="75" w:name="_Toc184310292"/>
      <w:bookmarkEnd w:id="75"/>
      <w:bookmarkStart w:id="76" w:name="_Toc184314423"/>
      <w:bookmarkEnd w:id="76"/>
      <w:bookmarkStart w:id="77" w:name="_Toc184308072"/>
      <w:bookmarkEnd w:id="77"/>
      <w:bookmarkStart w:id="78" w:name="_Toc184314482"/>
      <w:bookmarkEnd w:id="78"/>
      <w:bookmarkStart w:id="79" w:name="_Toc184312113"/>
      <w:bookmarkEnd w:id="79"/>
      <w:bookmarkStart w:id="80" w:name="_Toc184310286"/>
      <w:bookmarkEnd w:id="80"/>
      <w:bookmarkStart w:id="81" w:name="_Toc184308039"/>
      <w:bookmarkEnd w:id="81"/>
      <w:bookmarkStart w:id="82" w:name="_Toc184313303"/>
      <w:bookmarkEnd w:id="82"/>
      <w:bookmarkStart w:id="83" w:name="_Toc184310332"/>
      <w:bookmarkEnd w:id="83"/>
      <w:bookmarkStart w:id="84" w:name="_Toc184313249"/>
      <w:bookmarkEnd w:id="84"/>
      <w:bookmarkStart w:id="85" w:name="_Toc184313278"/>
      <w:bookmarkEnd w:id="85"/>
      <w:bookmarkStart w:id="86" w:name="_Toc184314428"/>
      <w:bookmarkEnd w:id="86"/>
      <w:bookmarkStart w:id="87" w:name="_Toc184313252"/>
      <w:bookmarkEnd w:id="87"/>
      <w:bookmarkStart w:id="88" w:name="_Toc184310288"/>
      <w:bookmarkEnd w:id="88"/>
      <w:bookmarkStart w:id="89" w:name="_Toc184312073"/>
      <w:bookmarkEnd w:id="89"/>
      <w:bookmarkStart w:id="90" w:name="_Toc184310309"/>
      <w:bookmarkEnd w:id="90"/>
      <w:bookmarkStart w:id="91" w:name="_Toc184312081"/>
      <w:bookmarkEnd w:id="91"/>
      <w:bookmarkStart w:id="92" w:name="_Toc184308049"/>
      <w:bookmarkEnd w:id="92"/>
      <w:bookmarkStart w:id="93" w:name="_Toc184310305"/>
      <w:bookmarkEnd w:id="93"/>
      <w:bookmarkStart w:id="94" w:name="_Toc184310287"/>
      <w:bookmarkEnd w:id="94"/>
      <w:bookmarkStart w:id="95" w:name="_Toc184312088"/>
      <w:bookmarkEnd w:id="95"/>
      <w:bookmarkStart w:id="96" w:name="_Toc184312090"/>
      <w:bookmarkEnd w:id="96"/>
      <w:bookmarkStart w:id="97" w:name="_Toc184314438"/>
      <w:bookmarkEnd w:id="97"/>
      <w:bookmarkStart w:id="98" w:name="_Toc184314424"/>
      <w:bookmarkEnd w:id="98"/>
      <w:bookmarkStart w:id="99" w:name="_Toc184312131"/>
      <w:bookmarkEnd w:id="99"/>
      <w:bookmarkStart w:id="100" w:name="_Toc184308062"/>
      <w:bookmarkEnd w:id="100"/>
      <w:bookmarkStart w:id="101" w:name="_Toc184314435"/>
      <w:bookmarkEnd w:id="101"/>
      <w:bookmarkStart w:id="102" w:name="_Toc184310304"/>
      <w:bookmarkEnd w:id="102"/>
      <w:bookmarkStart w:id="103" w:name="_Toc184312086"/>
      <w:bookmarkEnd w:id="103"/>
      <w:bookmarkStart w:id="104" w:name="_Toc184308077"/>
      <w:bookmarkEnd w:id="104"/>
      <w:bookmarkStart w:id="105" w:name="_Toc184314425"/>
      <w:bookmarkEnd w:id="105"/>
      <w:bookmarkStart w:id="106" w:name="_Toc184312119"/>
      <w:bookmarkEnd w:id="106"/>
      <w:bookmarkStart w:id="107" w:name="_Toc184308083"/>
      <w:bookmarkEnd w:id="107"/>
      <w:bookmarkStart w:id="108" w:name="_Toc184312109"/>
      <w:bookmarkEnd w:id="108"/>
      <w:bookmarkStart w:id="109" w:name="_Toc184312074"/>
      <w:bookmarkEnd w:id="109"/>
      <w:bookmarkStart w:id="110" w:name="_Toc184310298"/>
      <w:bookmarkEnd w:id="110"/>
      <w:bookmarkStart w:id="111" w:name="_Toc184308103"/>
      <w:bookmarkEnd w:id="111"/>
      <w:bookmarkStart w:id="112" w:name="_Toc184314422"/>
      <w:bookmarkEnd w:id="112"/>
      <w:bookmarkStart w:id="113" w:name="_Toc184310300"/>
      <w:bookmarkEnd w:id="113"/>
      <w:bookmarkStart w:id="114" w:name="_Toc184310281"/>
      <w:bookmarkEnd w:id="114"/>
      <w:bookmarkStart w:id="115" w:name="_Toc184312125"/>
      <w:bookmarkEnd w:id="115"/>
      <w:bookmarkStart w:id="116" w:name="_Toc184308080"/>
      <w:bookmarkEnd w:id="116"/>
      <w:bookmarkStart w:id="117" w:name="_Toc184314457"/>
      <w:bookmarkEnd w:id="117"/>
      <w:bookmarkStart w:id="118" w:name="_Toc184314449"/>
      <w:bookmarkEnd w:id="118"/>
      <w:bookmarkStart w:id="119" w:name="_Toc184308044"/>
      <w:bookmarkEnd w:id="119"/>
      <w:bookmarkStart w:id="120" w:name="_Toc184314437"/>
      <w:bookmarkEnd w:id="120"/>
      <w:bookmarkStart w:id="121" w:name="_Toc184310308"/>
      <w:bookmarkEnd w:id="121"/>
      <w:bookmarkStart w:id="122" w:name="_Toc184310342"/>
      <w:bookmarkEnd w:id="122"/>
      <w:bookmarkStart w:id="123" w:name="_Toc184308082"/>
      <w:bookmarkEnd w:id="123"/>
      <w:bookmarkStart w:id="124" w:name="_Toc184313287"/>
      <w:bookmarkEnd w:id="124"/>
      <w:bookmarkStart w:id="125" w:name="_Toc184313246"/>
      <w:bookmarkEnd w:id="125"/>
      <w:bookmarkStart w:id="126" w:name="_Toc184314446"/>
      <w:bookmarkEnd w:id="126"/>
      <w:bookmarkStart w:id="127" w:name="_Toc184308045"/>
      <w:bookmarkEnd w:id="127"/>
      <w:bookmarkStart w:id="128" w:name="_Toc184308051"/>
      <w:bookmarkEnd w:id="128"/>
      <w:bookmarkStart w:id="129" w:name="_Toc184308106"/>
      <w:bookmarkEnd w:id="129"/>
      <w:bookmarkStart w:id="130" w:name="_Toc184308058"/>
      <w:bookmarkEnd w:id="130"/>
      <w:bookmarkStart w:id="131" w:name="_Toc184313263"/>
      <w:bookmarkEnd w:id="131"/>
      <w:bookmarkStart w:id="132" w:name="_Toc184308054"/>
      <w:bookmarkEnd w:id="132"/>
      <w:bookmarkStart w:id="133" w:name="_Toc184312120"/>
      <w:bookmarkEnd w:id="133"/>
      <w:bookmarkStart w:id="134" w:name="_Toc184312123"/>
      <w:bookmarkEnd w:id="134"/>
      <w:bookmarkStart w:id="135" w:name="_Toc184308076"/>
      <w:bookmarkEnd w:id="135"/>
      <w:bookmarkStart w:id="136" w:name="_Toc184313306"/>
      <w:bookmarkEnd w:id="136"/>
      <w:bookmarkStart w:id="137" w:name="_Toc184308043"/>
      <w:bookmarkEnd w:id="137"/>
      <w:bookmarkStart w:id="138" w:name="_Toc184314412"/>
      <w:bookmarkEnd w:id="138"/>
      <w:bookmarkStart w:id="139" w:name="_Toc184308059"/>
      <w:bookmarkEnd w:id="139"/>
      <w:bookmarkStart w:id="140" w:name="_Toc184308073"/>
      <w:bookmarkEnd w:id="140"/>
      <w:bookmarkStart w:id="141" w:name="_Toc184312137"/>
      <w:bookmarkEnd w:id="141"/>
      <w:bookmarkStart w:id="142" w:name="_Toc184313310"/>
      <w:bookmarkEnd w:id="142"/>
      <w:bookmarkStart w:id="143" w:name="_Toc184310317"/>
      <w:bookmarkEnd w:id="143"/>
      <w:bookmarkStart w:id="144" w:name="_Toc184313261"/>
      <w:bookmarkEnd w:id="144"/>
      <w:bookmarkStart w:id="145" w:name="_Toc184308065"/>
      <w:bookmarkEnd w:id="145"/>
      <w:bookmarkStart w:id="146" w:name="_Toc184310289"/>
      <w:bookmarkEnd w:id="146"/>
      <w:bookmarkStart w:id="147" w:name="_Toc184310328"/>
      <w:bookmarkEnd w:id="147"/>
      <w:bookmarkStart w:id="148" w:name="_Toc184310320"/>
      <w:bookmarkEnd w:id="148"/>
      <w:bookmarkStart w:id="149" w:name="_Toc184313279"/>
      <w:bookmarkEnd w:id="149"/>
      <w:bookmarkStart w:id="150" w:name="_Toc184310285"/>
      <w:bookmarkEnd w:id="150"/>
      <w:bookmarkStart w:id="151" w:name="_Toc184308104"/>
      <w:bookmarkEnd w:id="151"/>
      <w:bookmarkStart w:id="152" w:name="_Toc184310294"/>
      <w:bookmarkEnd w:id="152"/>
      <w:bookmarkStart w:id="153" w:name="_Toc184312100"/>
      <w:bookmarkEnd w:id="153"/>
      <w:bookmarkStart w:id="154" w:name="_Toc184314420"/>
      <w:bookmarkEnd w:id="154"/>
      <w:bookmarkStart w:id="155" w:name="_Toc184313244"/>
      <w:bookmarkEnd w:id="155"/>
      <w:bookmarkStart w:id="156" w:name="_Toc184310314"/>
      <w:bookmarkEnd w:id="156"/>
      <w:bookmarkStart w:id="157" w:name="_Toc184310299"/>
      <w:bookmarkEnd w:id="157"/>
      <w:bookmarkStart w:id="158" w:name="_Toc184312122"/>
      <w:bookmarkEnd w:id="158"/>
      <w:bookmarkStart w:id="159" w:name="_Toc184310291"/>
      <w:bookmarkEnd w:id="159"/>
      <w:bookmarkStart w:id="160" w:name="_Toc184313277"/>
      <w:bookmarkEnd w:id="160"/>
      <w:bookmarkStart w:id="161" w:name="_Toc184314416"/>
      <w:bookmarkEnd w:id="161"/>
      <w:bookmarkStart w:id="162" w:name="_Toc184313290"/>
      <w:bookmarkEnd w:id="162"/>
      <w:bookmarkStart w:id="163" w:name="_Toc184308105"/>
      <w:bookmarkEnd w:id="163"/>
      <w:bookmarkStart w:id="164" w:name="_Toc184314470"/>
      <w:bookmarkEnd w:id="164"/>
      <w:bookmarkStart w:id="165" w:name="_Toc184312104"/>
      <w:bookmarkEnd w:id="165"/>
      <w:bookmarkStart w:id="166" w:name="_Toc184313296"/>
      <w:bookmarkEnd w:id="166"/>
      <w:bookmarkStart w:id="167" w:name="_Toc184312101"/>
      <w:bookmarkEnd w:id="167"/>
      <w:bookmarkStart w:id="168" w:name="_Toc184310336"/>
      <w:bookmarkEnd w:id="168"/>
      <w:bookmarkStart w:id="169" w:name="_Toc184308036"/>
      <w:bookmarkEnd w:id="169"/>
      <w:bookmarkStart w:id="170" w:name="_Toc184313248"/>
      <w:bookmarkEnd w:id="170"/>
      <w:bookmarkStart w:id="171" w:name="_Toc184308056"/>
      <w:bookmarkEnd w:id="171"/>
      <w:bookmarkStart w:id="172" w:name="_Toc184310329"/>
      <w:bookmarkEnd w:id="172"/>
      <w:bookmarkStart w:id="173" w:name="_Toc184313262"/>
      <w:bookmarkEnd w:id="173"/>
      <w:bookmarkStart w:id="174" w:name="_Toc184308074"/>
      <w:bookmarkEnd w:id="174"/>
      <w:bookmarkStart w:id="175" w:name="_Toc184312117"/>
      <w:bookmarkEnd w:id="175"/>
      <w:bookmarkStart w:id="176" w:name="_Toc184310337"/>
      <w:bookmarkEnd w:id="176"/>
      <w:bookmarkStart w:id="177" w:name="_Toc184310284"/>
      <w:bookmarkEnd w:id="177"/>
      <w:bookmarkStart w:id="178" w:name="_Toc184308075"/>
      <w:bookmarkEnd w:id="178"/>
      <w:bookmarkStart w:id="179" w:name="_Toc184313276"/>
      <w:bookmarkEnd w:id="179"/>
      <w:bookmarkStart w:id="180" w:name="_Toc184312106"/>
      <w:bookmarkEnd w:id="180"/>
      <w:bookmarkStart w:id="181" w:name="_Toc184308081"/>
      <w:bookmarkEnd w:id="181"/>
      <w:bookmarkStart w:id="182" w:name="_Toc184310315"/>
      <w:bookmarkEnd w:id="182"/>
      <w:bookmarkStart w:id="183" w:name="_Toc184308097"/>
      <w:bookmarkEnd w:id="183"/>
      <w:bookmarkStart w:id="184" w:name="_Toc184312083"/>
      <w:bookmarkEnd w:id="184"/>
      <w:bookmarkStart w:id="185" w:name="_Toc184313291"/>
      <w:bookmarkEnd w:id="185"/>
      <w:bookmarkStart w:id="186" w:name="_Toc184313301"/>
      <w:bookmarkEnd w:id="186"/>
      <w:bookmarkStart w:id="187" w:name="_Toc184310272"/>
      <w:bookmarkEnd w:id="187"/>
      <w:bookmarkStart w:id="188" w:name="_Toc184313259"/>
      <w:bookmarkEnd w:id="188"/>
      <w:bookmarkStart w:id="189" w:name="_Toc184312092"/>
      <w:bookmarkEnd w:id="189"/>
      <w:bookmarkStart w:id="190" w:name="_Toc184308094"/>
      <w:bookmarkEnd w:id="190"/>
      <w:bookmarkStart w:id="191" w:name="_Toc184312072"/>
      <w:bookmarkEnd w:id="191"/>
      <w:bookmarkStart w:id="192" w:name="_Toc184314477"/>
      <w:bookmarkEnd w:id="192"/>
      <w:bookmarkStart w:id="193" w:name="_Toc184313297"/>
      <w:bookmarkEnd w:id="193"/>
      <w:bookmarkStart w:id="194" w:name="_Toc184313280"/>
      <w:bookmarkEnd w:id="194"/>
      <w:bookmarkStart w:id="195" w:name="_Toc184308089"/>
      <w:bookmarkEnd w:id="195"/>
      <w:bookmarkStart w:id="196" w:name="_Toc184313304"/>
      <w:bookmarkEnd w:id="196"/>
      <w:bookmarkStart w:id="197" w:name="_Toc184310340"/>
      <w:bookmarkEnd w:id="197"/>
      <w:bookmarkStart w:id="198" w:name="_Toc184310323"/>
      <w:bookmarkEnd w:id="198"/>
      <w:bookmarkStart w:id="199" w:name="_Toc184310327"/>
      <w:bookmarkEnd w:id="199"/>
      <w:bookmarkStart w:id="200" w:name="_Toc184312070"/>
      <w:bookmarkEnd w:id="200"/>
      <w:bookmarkStart w:id="201" w:name="_Toc184313245"/>
      <w:bookmarkEnd w:id="201"/>
      <w:bookmarkStart w:id="202" w:name="_Toc184314468"/>
      <w:bookmarkEnd w:id="202"/>
      <w:bookmarkStart w:id="203" w:name="_Toc184314421"/>
      <w:bookmarkEnd w:id="203"/>
      <w:bookmarkStart w:id="204" w:name="_Toc184310276"/>
      <w:bookmarkEnd w:id="204"/>
      <w:bookmarkStart w:id="205" w:name="_Toc184312126"/>
      <w:bookmarkEnd w:id="205"/>
      <w:bookmarkStart w:id="206" w:name="_Toc184314472"/>
      <w:bookmarkEnd w:id="206"/>
      <w:bookmarkStart w:id="207" w:name="_Toc184308048"/>
      <w:bookmarkEnd w:id="207"/>
      <w:bookmarkStart w:id="208" w:name="_Toc184314433"/>
      <w:bookmarkEnd w:id="208"/>
      <w:bookmarkStart w:id="209" w:name="_Toc184313309"/>
      <w:bookmarkEnd w:id="209"/>
      <w:bookmarkStart w:id="210" w:name="_Toc184312094"/>
      <w:bookmarkEnd w:id="210"/>
      <w:bookmarkStart w:id="211" w:name="_Toc184308090"/>
      <w:bookmarkEnd w:id="211"/>
      <w:bookmarkStart w:id="212" w:name="_Toc184310330"/>
      <w:bookmarkEnd w:id="212"/>
      <w:bookmarkStart w:id="213" w:name="_Toc184310322"/>
      <w:bookmarkEnd w:id="213"/>
      <w:bookmarkStart w:id="214" w:name="_Toc184308037"/>
      <w:bookmarkEnd w:id="214"/>
      <w:bookmarkStart w:id="215" w:name="_Toc184313253"/>
      <w:bookmarkEnd w:id="215"/>
      <w:bookmarkStart w:id="216" w:name="_Toc184308088"/>
      <w:bookmarkEnd w:id="216"/>
      <w:bookmarkStart w:id="217" w:name="_Toc184312124"/>
      <w:bookmarkEnd w:id="217"/>
      <w:bookmarkStart w:id="218" w:name="_Toc184310335"/>
      <w:bookmarkEnd w:id="218"/>
      <w:bookmarkStart w:id="219" w:name="_Toc184314434"/>
      <w:bookmarkEnd w:id="219"/>
      <w:bookmarkStart w:id="220" w:name="_Toc184314439"/>
      <w:bookmarkEnd w:id="220"/>
      <w:bookmarkStart w:id="221" w:name="_Toc184313242"/>
      <w:bookmarkEnd w:id="221"/>
      <w:bookmarkStart w:id="222" w:name="_Toc184313307"/>
      <w:bookmarkEnd w:id="222"/>
      <w:bookmarkStart w:id="223" w:name="_Toc184314436"/>
      <w:bookmarkEnd w:id="223"/>
      <w:bookmarkStart w:id="224" w:name="_Toc184308041"/>
      <w:bookmarkEnd w:id="224"/>
      <w:bookmarkStart w:id="225" w:name="_Toc184314455"/>
      <w:bookmarkEnd w:id="225"/>
      <w:bookmarkStart w:id="226" w:name="_Toc184312080"/>
      <w:bookmarkEnd w:id="226"/>
      <w:bookmarkStart w:id="227" w:name="_Toc184310279"/>
      <w:bookmarkEnd w:id="227"/>
      <w:bookmarkStart w:id="228" w:name="_Toc184312095"/>
      <w:bookmarkEnd w:id="228"/>
      <w:bookmarkStart w:id="229" w:name="_Toc184310338"/>
      <w:bookmarkEnd w:id="229"/>
      <w:bookmarkStart w:id="230" w:name="_Toc184314444"/>
      <w:bookmarkEnd w:id="230"/>
      <w:bookmarkStart w:id="231" w:name="_Toc184314473"/>
      <w:bookmarkEnd w:id="231"/>
      <w:bookmarkStart w:id="232" w:name="_Toc184314430"/>
      <w:bookmarkEnd w:id="232"/>
      <w:bookmarkStart w:id="233" w:name="_Toc184313269"/>
      <w:bookmarkEnd w:id="233"/>
      <w:bookmarkStart w:id="234" w:name="_Toc184314415"/>
      <w:bookmarkEnd w:id="234"/>
      <w:bookmarkStart w:id="235" w:name="_Toc184312110"/>
      <w:bookmarkEnd w:id="235"/>
      <w:bookmarkStart w:id="236" w:name="_Toc184310325"/>
      <w:bookmarkEnd w:id="236"/>
      <w:bookmarkStart w:id="237" w:name="_Toc184310341"/>
      <w:bookmarkEnd w:id="237"/>
      <w:bookmarkStart w:id="238" w:name="_Toc184313243"/>
      <w:bookmarkEnd w:id="238"/>
      <w:bookmarkStart w:id="239" w:name="_Toc184313300"/>
      <w:bookmarkEnd w:id="239"/>
      <w:bookmarkStart w:id="240" w:name="_Toc184313308"/>
      <w:bookmarkEnd w:id="240"/>
      <w:bookmarkStart w:id="241" w:name="_Toc184314441"/>
      <w:bookmarkEnd w:id="241"/>
      <w:bookmarkStart w:id="242" w:name="_Toc184314432"/>
      <w:bookmarkEnd w:id="242"/>
      <w:bookmarkStart w:id="243" w:name="_Toc184314442"/>
      <w:bookmarkEnd w:id="243"/>
      <w:bookmarkStart w:id="244" w:name="_Toc184314471"/>
      <w:bookmarkEnd w:id="244"/>
      <w:bookmarkStart w:id="245" w:name="_Toc184313286"/>
      <w:bookmarkEnd w:id="245"/>
      <w:bookmarkStart w:id="246" w:name="_Toc184313250"/>
      <w:bookmarkEnd w:id="246"/>
      <w:bookmarkStart w:id="247" w:name="_Toc184313266"/>
      <w:bookmarkEnd w:id="247"/>
      <w:bookmarkStart w:id="248" w:name="_Toc184310313"/>
      <w:bookmarkEnd w:id="248"/>
      <w:bookmarkStart w:id="249" w:name="_Toc184310316"/>
      <w:bookmarkEnd w:id="249"/>
      <w:bookmarkStart w:id="250" w:name="_Toc184313247"/>
      <w:bookmarkEnd w:id="250"/>
      <w:bookmarkStart w:id="251" w:name="_Toc184314414"/>
      <w:bookmarkEnd w:id="251"/>
      <w:bookmarkStart w:id="252" w:name="_Toc184308092"/>
      <w:bookmarkEnd w:id="252"/>
      <w:bookmarkStart w:id="253" w:name="_Toc184310283"/>
      <w:bookmarkEnd w:id="253"/>
      <w:bookmarkStart w:id="254" w:name="_Toc184308095"/>
      <w:bookmarkEnd w:id="254"/>
      <w:bookmarkStart w:id="255" w:name="_Toc184312118"/>
      <w:bookmarkEnd w:id="255"/>
      <w:bookmarkStart w:id="256" w:name="_Toc184313258"/>
      <w:bookmarkEnd w:id="256"/>
      <w:bookmarkStart w:id="257" w:name="_Toc184312121"/>
      <w:bookmarkEnd w:id="257"/>
      <w:bookmarkStart w:id="258" w:name="_Toc184308091"/>
      <w:bookmarkEnd w:id="258"/>
      <w:bookmarkStart w:id="259" w:name="_Toc184313271"/>
      <w:bookmarkEnd w:id="259"/>
      <w:bookmarkStart w:id="260" w:name="_Toc184308071"/>
      <w:bookmarkEnd w:id="260"/>
      <w:bookmarkStart w:id="261" w:name="_Toc184310307"/>
      <w:bookmarkEnd w:id="261"/>
      <w:bookmarkStart w:id="262" w:name="_Toc184312091"/>
      <w:bookmarkEnd w:id="262"/>
      <w:bookmarkStart w:id="263" w:name="_Toc184310295"/>
      <w:bookmarkEnd w:id="263"/>
      <w:bookmarkStart w:id="264" w:name="_Toc184310302"/>
      <w:bookmarkEnd w:id="264"/>
      <w:bookmarkStart w:id="265" w:name="_Toc184314456"/>
      <w:bookmarkEnd w:id="265"/>
      <w:bookmarkStart w:id="266" w:name="_Toc184308100"/>
      <w:bookmarkEnd w:id="266"/>
      <w:bookmarkStart w:id="267" w:name="_Toc184314429"/>
      <w:bookmarkEnd w:id="267"/>
      <w:bookmarkStart w:id="268" w:name="_Toc184314440"/>
      <w:bookmarkEnd w:id="268"/>
      <w:bookmarkStart w:id="269" w:name="_Toc184308066"/>
      <w:bookmarkEnd w:id="269"/>
      <w:bookmarkStart w:id="270" w:name="_Toc184312076"/>
      <w:bookmarkEnd w:id="270"/>
      <w:bookmarkStart w:id="271" w:name="_Toc184312075"/>
      <w:bookmarkEnd w:id="271"/>
      <w:bookmarkStart w:id="272" w:name="_Toc184310290"/>
      <w:bookmarkEnd w:id="272"/>
      <w:bookmarkStart w:id="273" w:name="_Toc184308084"/>
      <w:bookmarkEnd w:id="273"/>
      <w:bookmarkStart w:id="274" w:name="_Toc184314454"/>
      <w:bookmarkEnd w:id="274"/>
      <w:bookmarkStart w:id="275" w:name="_Toc184310333"/>
      <w:bookmarkEnd w:id="275"/>
      <w:bookmarkStart w:id="276" w:name="_Toc184308064"/>
      <w:bookmarkEnd w:id="276"/>
      <w:bookmarkStart w:id="277" w:name="_Toc184314443"/>
      <w:bookmarkEnd w:id="277"/>
      <w:bookmarkStart w:id="278" w:name="_Toc184308038"/>
      <w:bookmarkEnd w:id="278"/>
      <w:bookmarkStart w:id="279" w:name="_Toc184308102"/>
      <w:bookmarkEnd w:id="279"/>
      <w:bookmarkStart w:id="280" w:name="_Toc184310310"/>
      <w:bookmarkEnd w:id="280"/>
      <w:bookmarkStart w:id="281" w:name="_Toc184314464"/>
      <w:bookmarkEnd w:id="281"/>
      <w:bookmarkStart w:id="282" w:name="_Toc184312102"/>
      <w:bookmarkEnd w:id="282"/>
      <w:bookmarkStart w:id="283" w:name="_Toc184312103"/>
      <w:bookmarkEnd w:id="283"/>
      <w:bookmarkStart w:id="284" w:name="_Toc184314466"/>
      <w:bookmarkEnd w:id="284"/>
      <w:bookmarkStart w:id="285" w:name="_Toc184310273"/>
      <w:bookmarkEnd w:id="285"/>
      <w:bookmarkStart w:id="286" w:name="_Toc184312134"/>
      <w:bookmarkEnd w:id="286"/>
      <w:bookmarkStart w:id="287" w:name="_Toc184313270"/>
      <w:bookmarkEnd w:id="287"/>
      <w:bookmarkStart w:id="288" w:name="_Toc184308068"/>
      <w:bookmarkEnd w:id="288"/>
      <w:bookmarkStart w:id="289" w:name="_Toc184314475"/>
      <w:bookmarkEnd w:id="289"/>
      <w:bookmarkStart w:id="290" w:name="_Toc184312136"/>
      <w:bookmarkEnd w:id="290"/>
      <w:bookmarkStart w:id="291" w:name="_Toc184312116"/>
      <w:bookmarkEnd w:id="291"/>
      <w:bookmarkStart w:id="292" w:name="_Toc184312138"/>
      <w:bookmarkEnd w:id="292"/>
      <w:bookmarkStart w:id="293" w:name="_Toc184313255"/>
      <w:bookmarkEnd w:id="293"/>
      <w:bookmarkStart w:id="294" w:name="_Toc184310277"/>
      <w:bookmarkEnd w:id="294"/>
      <w:bookmarkStart w:id="295" w:name="_Toc184313282"/>
      <w:bookmarkEnd w:id="295"/>
      <w:bookmarkStart w:id="296" w:name="_Toc184313292"/>
      <w:bookmarkEnd w:id="296"/>
      <w:bookmarkStart w:id="297" w:name="_Toc184314469"/>
      <w:bookmarkEnd w:id="297"/>
      <w:bookmarkStart w:id="298" w:name="_Toc184312071"/>
      <w:bookmarkEnd w:id="298"/>
      <w:bookmarkStart w:id="299" w:name="_Toc184310303"/>
      <w:bookmarkEnd w:id="299"/>
      <w:bookmarkStart w:id="300" w:name="_Toc184313283"/>
      <w:bookmarkEnd w:id="300"/>
      <w:bookmarkStart w:id="301" w:name="_Toc184312127"/>
      <w:bookmarkEnd w:id="301"/>
      <w:bookmarkStart w:id="302" w:name="_Toc184310319"/>
      <w:bookmarkEnd w:id="302"/>
      <w:bookmarkStart w:id="303" w:name="_Toc184312069"/>
      <w:bookmarkEnd w:id="303"/>
      <w:bookmarkStart w:id="304" w:name="_Toc184312068"/>
      <w:bookmarkEnd w:id="304"/>
      <w:bookmarkStart w:id="305" w:name="_Toc184312111"/>
      <w:bookmarkEnd w:id="305"/>
      <w:bookmarkStart w:id="306" w:name="_Toc184308086"/>
      <w:bookmarkEnd w:id="306"/>
      <w:bookmarkStart w:id="307" w:name="_Toc184314448"/>
      <w:bookmarkEnd w:id="307"/>
      <w:bookmarkStart w:id="308" w:name="_Toc184314411"/>
      <w:bookmarkEnd w:id="308"/>
      <w:bookmarkStart w:id="309" w:name="_Toc184308061"/>
      <w:bookmarkEnd w:id="309"/>
      <w:bookmarkStart w:id="310" w:name="_Toc184308040"/>
      <w:bookmarkEnd w:id="310"/>
      <w:bookmarkStart w:id="311" w:name="_Toc184312139"/>
      <w:bookmarkEnd w:id="311"/>
      <w:bookmarkStart w:id="312" w:name="_Toc184313268"/>
      <w:bookmarkEnd w:id="312"/>
      <w:bookmarkStart w:id="313" w:name="_Toc184314480"/>
      <w:bookmarkEnd w:id="313"/>
      <w:bookmarkStart w:id="314" w:name="_Toc184314481"/>
      <w:bookmarkEnd w:id="314"/>
      <w:bookmarkStart w:id="315" w:name="_Toc184308096"/>
      <w:bookmarkEnd w:id="315"/>
      <w:bookmarkStart w:id="316" w:name="_Toc184312079"/>
      <w:bookmarkEnd w:id="316"/>
      <w:bookmarkStart w:id="317" w:name="_Toc184310321"/>
      <w:bookmarkEnd w:id="317"/>
      <w:bookmarkStart w:id="318" w:name="_Toc184310274"/>
      <w:bookmarkEnd w:id="318"/>
      <w:bookmarkStart w:id="319" w:name="_Toc184312099"/>
      <w:bookmarkEnd w:id="319"/>
      <w:bookmarkStart w:id="320" w:name="_Toc184313265"/>
      <w:bookmarkEnd w:id="320"/>
      <w:bookmarkStart w:id="321" w:name="_Toc184308055"/>
      <w:bookmarkEnd w:id="321"/>
      <w:bookmarkStart w:id="322" w:name="_Toc184310344"/>
      <w:bookmarkEnd w:id="322"/>
      <w:bookmarkStart w:id="323" w:name="_Toc184313299"/>
      <w:bookmarkEnd w:id="323"/>
      <w:bookmarkStart w:id="324" w:name="_Toc184314478"/>
      <w:bookmarkEnd w:id="324"/>
      <w:bookmarkStart w:id="325" w:name="_Toc184308069"/>
      <w:bookmarkEnd w:id="325"/>
      <w:bookmarkStart w:id="326" w:name="_Toc184310318"/>
      <w:bookmarkEnd w:id="326"/>
      <w:bookmarkStart w:id="327" w:name="_Toc184312107"/>
      <w:bookmarkEnd w:id="327"/>
      <w:bookmarkStart w:id="328" w:name="_Toc184308046"/>
      <w:bookmarkEnd w:id="328"/>
      <w:bookmarkStart w:id="329" w:name="_Toc184313302"/>
      <w:bookmarkEnd w:id="329"/>
      <w:bookmarkStart w:id="330" w:name="_Toc184312105"/>
      <w:bookmarkEnd w:id="330"/>
      <w:bookmarkStart w:id="331" w:name="_Toc184308093"/>
      <w:bookmarkEnd w:id="331"/>
      <w:bookmarkStart w:id="332" w:name="_Toc184308108"/>
      <w:bookmarkEnd w:id="332"/>
      <w:bookmarkStart w:id="333" w:name="_Toc184312135"/>
      <w:bookmarkEnd w:id="333"/>
      <w:bookmarkStart w:id="334" w:name="_Toc184308070"/>
      <w:bookmarkEnd w:id="334"/>
      <w:bookmarkStart w:id="335" w:name="_Toc184308052"/>
      <w:bookmarkEnd w:id="335"/>
      <w:bookmarkStart w:id="336" w:name="_Toc184313274"/>
      <w:bookmarkEnd w:id="336"/>
      <w:bookmarkStart w:id="337" w:name="_Toc184313281"/>
      <w:bookmarkEnd w:id="337"/>
      <w:bookmarkStart w:id="338" w:name="_Toc184314451"/>
      <w:bookmarkEnd w:id="338"/>
      <w:bookmarkStart w:id="339" w:name="_Toc184313272"/>
      <w:bookmarkEnd w:id="339"/>
      <w:bookmarkStart w:id="340" w:name="_Toc184313241"/>
      <w:bookmarkEnd w:id="340"/>
      <w:bookmarkStart w:id="341" w:name="_Toc184314465"/>
      <w:bookmarkEnd w:id="341"/>
      <w:bookmarkStart w:id="342" w:name="_Toc184314452"/>
      <w:bookmarkEnd w:id="342"/>
      <w:bookmarkStart w:id="343" w:name="_Toc184314461"/>
      <w:bookmarkEnd w:id="343"/>
      <w:bookmarkStart w:id="344" w:name="_Toc184314417"/>
      <w:bookmarkEnd w:id="344"/>
      <w:bookmarkStart w:id="345" w:name="_Toc184312132"/>
      <w:bookmarkEnd w:id="345"/>
      <w:bookmarkStart w:id="346" w:name="_Toc184310293"/>
      <w:bookmarkEnd w:id="346"/>
      <w:bookmarkStart w:id="347" w:name="_Toc184312082"/>
      <w:bookmarkEnd w:id="347"/>
      <w:bookmarkStart w:id="348" w:name="_Toc184308085"/>
      <w:bookmarkEnd w:id="348"/>
      <w:bookmarkStart w:id="349" w:name="_Toc184314426"/>
      <w:bookmarkEnd w:id="349"/>
      <w:bookmarkStart w:id="350" w:name="_Toc184314431"/>
      <w:bookmarkEnd w:id="350"/>
      <w:bookmarkStart w:id="351" w:name="_Toc184314460"/>
      <w:bookmarkEnd w:id="351"/>
      <w:bookmarkStart w:id="352" w:name="_Toc184314419"/>
      <w:bookmarkEnd w:id="352"/>
      <w:bookmarkStart w:id="353" w:name="_Toc184310282"/>
      <w:bookmarkEnd w:id="353"/>
      <w:bookmarkStart w:id="354" w:name="_Toc184310301"/>
      <w:bookmarkEnd w:id="354"/>
      <w:bookmarkStart w:id="355" w:name="_Toc184313240"/>
      <w:bookmarkEnd w:id="355"/>
      <w:bookmarkStart w:id="356" w:name="_Toc184312097"/>
      <w:bookmarkEnd w:id="356"/>
      <w:bookmarkStart w:id="357" w:name="_Toc184313295"/>
      <w:bookmarkEnd w:id="357"/>
      <w:bookmarkStart w:id="358" w:name="_Toc184313275"/>
      <w:bookmarkEnd w:id="358"/>
      <w:bookmarkStart w:id="359" w:name="_Toc184314479"/>
      <w:bookmarkEnd w:id="359"/>
      <w:bookmarkStart w:id="360" w:name="_Toc184314427"/>
      <w:bookmarkEnd w:id="360"/>
      <w:bookmarkStart w:id="361" w:name="_Toc184313284"/>
      <w:bookmarkEnd w:id="361"/>
      <w:bookmarkStart w:id="362" w:name="_Toc184308098"/>
      <w:bookmarkEnd w:id="362"/>
      <w:bookmarkStart w:id="363" w:name="_Toc184313273"/>
      <w:bookmarkEnd w:id="363"/>
      <w:bookmarkStart w:id="364" w:name="_Toc184312077"/>
      <w:bookmarkEnd w:id="364"/>
      <w:bookmarkStart w:id="365" w:name="_Toc184308063"/>
      <w:bookmarkEnd w:id="365"/>
      <w:bookmarkStart w:id="366" w:name="_Toc184310312"/>
      <w:bookmarkEnd w:id="366"/>
      <w:bookmarkStart w:id="367" w:name="_Toc184313285"/>
      <w:bookmarkEnd w:id="367"/>
      <w:bookmarkStart w:id="368" w:name="_Toc184314463"/>
      <w:bookmarkEnd w:id="368"/>
      <w:bookmarkStart w:id="369" w:name="_Toc184313288"/>
      <w:bookmarkEnd w:id="369"/>
      <w:bookmarkStart w:id="370" w:name="_Toc184313305"/>
      <w:bookmarkEnd w:id="370"/>
      <w:bookmarkStart w:id="371" w:name="_Toc184310280"/>
      <w:bookmarkEnd w:id="371"/>
      <w:bookmarkStart w:id="372" w:name="_Toc184308099"/>
      <w:bookmarkEnd w:id="372"/>
      <w:bookmarkStart w:id="373" w:name="_Toc184310275"/>
      <w:bookmarkEnd w:id="373"/>
      <w:bookmarkStart w:id="374" w:name="_Toc184312098"/>
      <w:bookmarkEnd w:id="374"/>
      <w:bookmarkStart w:id="375" w:name="_Toc184314418"/>
      <w:bookmarkEnd w:id="375"/>
      <w:bookmarkStart w:id="376" w:name="_Toc184312128"/>
      <w:bookmarkEnd w:id="376"/>
      <w:bookmarkStart w:id="377" w:name="_Toc184314447"/>
      <w:bookmarkEnd w:id="377"/>
      <w:bookmarkStart w:id="378" w:name="_Toc184312085"/>
      <w:bookmarkEnd w:id="378"/>
      <w:bookmarkStart w:id="379" w:name="_Toc184314445"/>
      <w:bookmarkEnd w:id="379"/>
      <w:bookmarkStart w:id="380" w:name="_Toc184312130"/>
      <w:bookmarkEnd w:id="380"/>
      <w:bookmarkStart w:id="381" w:name="_Toc184314462"/>
      <w:bookmarkEnd w:id="381"/>
      <w:bookmarkStart w:id="382" w:name="_Toc184310331"/>
      <w:bookmarkEnd w:id="382"/>
      <w:bookmarkStart w:id="383" w:name="_Toc184308087"/>
      <w:bookmarkEnd w:id="383"/>
      <w:bookmarkStart w:id="384" w:name="_Toc184313293"/>
      <w:bookmarkEnd w:id="384"/>
      <w:bookmarkStart w:id="385" w:name="_Toc184312087"/>
      <w:bookmarkEnd w:id="385"/>
      <w:bookmarkStart w:id="386" w:name="_Toc184308050"/>
      <w:bookmarkEnd w:id="386"/>
      <w:bookmarkStart w:id="387" w:name="_Toc184313239"/>
      <w:bookmarkEnd w:id="387"/>
      <w:bookmarkStart w:id="388" w:name="_Toc184308079"/>
      <w:bookmarkEnd w:id="388"/>
      <w:bookmarkStart w:id="389" w:name="_Toc184312096"/>
      <w:bookmarkEnd w:id="389"/>
      <w:bookmarkStart w:id="390" w:name="_Toc184313267"/>
      <w:bookmarkEnd w:id="390"/>
      <w:bookmarkStart w:id="391" w:name="_Toc184310306"/>
      <w:bookmarkEnd w:id="391"/>
      <w:bookmarkStart w:id="392" w:name="_Toc184313260"/>
      <w:bookmarkEnd w:id="392"/>
      <w:bookmarkStart w:id="393" w:name="_Toc184308047"/>
      <w:bookmarkEnd w:id="393"/>
      <w:bookmarkStart w:id="394" w:name="_Toc184308067"/>
      <w:bookmarkEnd w:id="394"/>
      <w:bookmarkStart w:id="395" w:name="_Toc184310334"/>
      <w:bookmarkEnd w:id="395"/>
      <w:r>
        <w:rPr>
          <w:rFonts w:hint="eastAsia" w:ascii="仿宋" w:hAnsi="仿宋" w:eastAsia="仿宋" w:cs="仿宋_GB2312"/>
          <w:b/>
          <w:sz w:val="36"/>
          <w:szCs w:val="36"/>
          <w:highlight w:val="none"/>
        </w:rPr>
        <w:t>评标办法</w:t>
      </w:r>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tbl>
      <w:tblPr>
        <w:tblStyle w:val="62"/>
        <w:tblpPr w:leftFromText="180" w:rightFromText="180" w:vertAnchor="text" w:horzAnchor="page" w:tblpX="865" w:tblpY="126"/>
        <w:tblW w:w="52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922"/>
        <w:gridCol w:w="5974"/>
        <w:gridCol w:w="56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448" w:type="pct"/>
            <w:vAlign w:val="center"/>
          </w:tcPr>
          <w:p>
            <w:pPr>
              <w:spacing w:line="360" w:lineRule="auto"/>
              <w:jc w:val="center"/>
              <w:outlineLvl w:val="0"/>
              <w:rPr>
                <w:rFonts w:ascii="仿宋" w:hAnsi="仿宋" w:eastAsia="仿宋" w:cs="仿宋_GB2312"/>
                <w:bCs/>
                <w:sz w:val="22"/>
                <w:szCs w:val="22"/>
                <w:highlight w:val="none"/>
              </w:rPr>
            </w:pPr>
            <w:r>
              <w:rPr>
                <w:rFonts w:hint="eastAsia" w:ascii="仿宋" w:hAnsi="仿宋" w:eastAsia="仿宋" w:cs="仿宋_GB2312"/>
                <w:bCs/>
                <w:sz w:val="22"/>
                <w:szCs w:val="22"/>
                <w:highlight w:val="none"/>
              </w:rPr>
              <w:t>序号</w:t>
            </w:r>
          </w:p>
        </w:tc>
        <w:tc>
          <w:tcPr>
            <w:tcW w:w="469" w:type="pct"/>
            <w:vAlign w:val="center"/>
          </w:tcPr>
          <w:p>
            <w:pPr>
              <w:spacing w:line="360" w:lineRule="auto"/>
              <w:jc w:val="center"/>
              <w:outlineLvl w:val="0"/>
              <w:rPr>
                <w:rFonts w:ascii="仿宋" w:hAnsi="仿宋" w:eastAsia="仿宋" w:cs="仿宋_GB2312"/>
                <w:bCs/>
                <w:sz w:val="22"/>
                <w:szCs w:val="22"/>
                <w:highlight w:val="none"/>
              </w:rPr>
            </w:pPr>
            <w:r>
              <w:rPr>
                <w:rFonts w:hint="eastAsia" w:ascii="仿宋" w:hAnsi="仿宋" w:eastAsia="仿宋" w:cs="仿宋_GB2312"/>
                <w:bCs/>
                <w:sz w:val="22"/>
                <w:szCs w:val="22"/>
                <w:highlight w:val="none"/>
              </w:rPr>
              <w:t>评分项目类型</w:t>
            </w:r>
          </w:p>
        </w:tc>
        <w:tc>
          <w:tcPr>
            <w:tcW w:w="3039" w:type="pct"/>
            <w:vAlign w:val="center"/>
          </w:tcPr>
          <w:p>
            <w:pPr>
              <w:spacing w:line="360" w:lineRule="auto"/>
              <w:jc w:val="center"/>
              <w:outlineLvl w:val="0"/>
              <w:rPr>
                <w:rFonts w:ascii="仿宋" w:hAnsi="仿宋" w:eastAsia="仿宋" w:cs="仿宋_GB2312"/>
                <w:bCs/>
                <w:sz w:val="22"/>
                <w:szCs w:val="22"/>
                <w:highlight w:val="none"/>
              </w:rPr>
            </w:pPr>
            <w:r>
              <w:rPr>
                <w:rFonts w:hint="eastAsia" w:ascii="仿宋" w:hAnsi="仿宋" w:eastAsia="仿宋" w:cs="仿宋_GB2312"/>
                <w:bCs/>
                <w:sz w:val="22"/>
                <w:szCs w:val="22"/>
                <w:highlight w:val="none"/>
              </w:rPr>
              <w:t>评标标准</w:t>
            </w:r>
          </w:p>
        </w:tc>
        <w:tc>
          <w:tcPr>
            <w:tcW w:w="289" w:type="pct"/>
            <w:vAlign w:val="center"/>
          </w:tcPr>
          <w:p>
            <w:pPr>
              <w:spacing w:line="360" w:lineRule="auto"/>
              <w:outlineLvl w:val="0"/>
              <w:rPr>
                <w:rFonts w:ascii="仿宋" w:hAnsi="仿宋" w:eastAsia="仿宋" w:cs="仿宋_GB2312"/>
                <w:bCs/>
                <w:sz w:val="22"/>
                <w:szCs w:val="22"/>
                <w:highlight w:val="none"/>
              </w:rPr>
            </w:pPr>
            <w:r>
              <w:rPr>
                <w:rFonts w:hint="eastAsia" w:ascii="仿宋" w:hAnsi="仿宋" w:eastAsia="仿宋" w:cs="仿宋_GB2312"/>
                <w:bCs/>
                <w:sz w:val="22"/>
                <w:szCs w:val="22"/>
                <w:highlight w:val="none"/>
              </w:rPr>
              <w:t>权重</w:t>
            </w:r>
          </w:p>
        </w:tc>
        <w:tc>
          <w:tcPr>
            <w:tcW w:w="753" w:type="pct"/>
            <w:vAlign w:val="center"/>
          </w:tcPr>
          <w:p>
            <w:pPr>
              <w:spacing w:line="360" w:lineRule="auto"/>
              <w:ind w:right="-10" w:rightChars="-5"/>
              <w:jc w:val="center"/>
              <w:outlineLvl w:val="0"/>
              <w:rPr>
                <w:rFonts w:ascii="仿宋" w:hAnsi="仿宋" w:eastAsia="仿宋" w:cs="仿宋_GB2312"/>
                <w:bCs/>
                <w:sz w:val="22"/>
                <w:szCs w:val="22"/>
                <w:highlight w:val="none"/>
              </w:rPr>
            </w:pPr>
            <w:r>
              <w:rPr>
                <w:rFonts w:hint="eastAsia" w:ascii="仿宋" w:hAnsi="仿宋" w:eastAsia="仿宋" w:cs="仿宋_GB2312"/>
                <w:bCs/>
                <w:sz w:val="22"/>
                <w:szCs w:val="22"/>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48"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1</w:t>
            </w:r>
          </w:p>
        </w:tc>
        <w:tc>
          <w:tcPr>
            <w:tcW w:w="469" w:type="pct"/>
            <w:vMerge w:val="restart"/>
            <w:vAlign w:val="center"/>
          </w:tcPr>
          <w:p>
            <w:pPr>
              <w:snapToGrid w:val="0"/>
              <w:jc w:val="left"/>
              <w:outlineLvl w:val="0"/>
              <w:rPr>
                <w:rFonts w:ascii="仿宋" w:hAnsi="仿宋" w:eastAsia="仿宋" w:cs="仿宋"/>
                <w:kern w:val="0"/>
                <w:sz w:val="24"/>
                <w:highlight w:val="none"/>
              </w:rPr>
            </w:pPr>
            <w:r>
              <w:rPr>
                <w:rFonts w:hint="eastAsia" w:ascii="仿宋" w:hAnsi="仿宋" w:eastAsia="仿宋" w:cs="仿宋_GB2312"/>
                <w:bCs/>
                <w:sz w:val="24"/>
                <w:highlight w:val="none"/>
              </w:rPr>
              <w:t>资信部分（1</w:t>
            </w:r>
            <w:r>
              <w:rPr>
                <w:rFonts w:hint="eastAsia" w:ascii="仿宋" w:hAnsi="仿宋" w:eastAsia="仿宋" w:cs="仿宋_GB2312"/>
                <w:bCs/>
                <w:sz w:val="24"/>
                <w:highlight w:val="none"/>
                <w:lang w:val="en-US" w:eastAsia="zh-CN"/>
              </w:rPr>
              <w:t>6</w:t>
            </w:r>
            <w:r>
              <w:rPr>
                <w:rFonts w:hint="eastAsia" w:ascii="仿宋" w:hAnsi="仿宋" w:eastAsia="仿宋" w:cs="仿宋_GB2312"/>
                <w:bCs/>
                <w:sz w:val="24"/>
                <w:highlight w:val="none"/>
              </w:rPr>
              <w:t>分）</w:t>
            </w:r>
          </w:p>
        </w:tc>
        <w:tc>
          <w:tcPr>
            <w:tcW w:w="3039" w:type="pct"/>
          </w:tcPr>
          <w:p>
            <w:pPr>
              <w:jc w:val="left"/>
              <w:rPr>
                <w:rFonts w:ascii="仿宋" w:hAnsi="仿宋" w:eastAsia="仿宋" w:cs="仿宋_GB2312"/>
                <w:bCs/>
                <w:sz w:val="24"/>
                <w:highlight w:val="none"/>
              </w:rPr>
            </w:pPr>
            <w:r>
              <w:rPr>
                <w:rFonts w:hint="eastAsia" w:ascii="仿宋" w:hAnsi="仿宋" w:eastAsia="仿宋" w:cs="仿宋_GB2312"/>
                <w:bCs/>
                <w:sz w:val="24"/>
                <w:highlight w:val="none"/>
              </w:rPr>
              <w:t>根据投标人的质量管理体系认证证书、职业健康管理体系认证证书、环境管理体系认证证书的情况打分:</w:t>
            </w:r>
          </w:p>
          <w:p>
            <w:pPr>
              <w:jc w:val="left"/>
              <w:rPr>
                <w:rFonts w:ascii="仿宋" w:hAnsi="仿宋" w:eastAsia="仿宋" w:cs="仿宋_GB2312"/>
                <w:bCs/>
                <w:sz w:val="24"/>
                <w:highlight w:val="none"/>
              </w:rPr>
            </w:pPr>
            <w:r>
              <w:rPr>
                <w:rFonts w:ascii="仿宋" w:hAnsi="仿宋" w:eastAsia="仿宋" w:cs="仿宋_GB2312"/>
                <w:bCs/>
                <w:sz w:val="24"/>
                <w:highlight w:val="none"/>
              </w:rPr>
              <w:t>1</w:t>
            </w:r>
            <w:r>
              <w:rPr>
                <w:rFonts w:hint="eastAsia" w:ascii="仿宋" w:hAnsi="仿宋" w:eastAsia="仿宋" w:cs="仿宋_GB2312"/>
                <w:bCs/>
                <w:sz w:val="24"/>
                <w:highlight w:val="none"/>
              </w:rPr>
              <w:t>、证书齐全，且证书覆盖的业务范围均包含规划类等内容，可得3分；</w:t>
            </w:r>
          </w:p>
          <w:p>
            <w:pPr>
              <w:jc w:val="left"/>
              <w:rPr>
                <w:rFonts w:ascii="仿宋" w:hAnsi="仿宋" w:eastAsia="仿宋" w:cs="仿宋"/>
                <w:kern w:val="0"/>
                <w:sz w:val="24"/>
                <w:highlight w:val="none"/>
              </w:rPr>
            </w:pPr>
            <w:r>
              <w:rPr>
                <w:rFonts w:ascii="仿宋" w:hAnsi="仿宋" w:eastAsia="仿宋" w:cs="仿宋_GB2312"/>
                <w:bCs/>
                <w:sz w:val="24"/>
                <w:highlight w:val="none"/>
              </w:rPr>
              <w:t>2</w:t>
            </w:r>
            <w:r>
              <w:rPr>
                <w:rFonts w:hint="eastAsia" w:ascii="仿宋" w:hAnsi="仿宋" w:eastAsia="仿宋" w:cs="仿宋_GB2312"/>
                <w:bCs/>
                <w:sz w:val="24"/>
                <w:highlight w:val="none"/>
              </w:rPr>
              <w:t>、证书不齐全或覆盖的业务范围不包</w:t>
            </w:r>
            <w:r>
              <w:rPr>
                <w:rFonts w:hint="eastAsia" w:ascii="仿宋" w:hAnsi="仿宋" w:eastAsia="仿宋" w:cs="仿宋"/>
                <w:kern w:val="0"/>
                <w:sz w:val="24"/>
                <w:highlight w:val="none"/>
              </w:rPr>
              <w:t>含规划</w:t>
            </w:r>
            <w:r>
              <w:rPr>
                <w:rFonts w:hint="eastAsia" w:ascii="仿宋" w:hAnsi="仿宋" w:eastAsia="仿宋" w:cs="仿宋"/>
                <w:kern w:val="0"/>
                <w:sz w:val="24"/>
                <w:highlight w:val="none"/>
                <w:lang w:eastAsia="zh-CN"/>
              </w:rPr>
              <w:t>类</w:t>
            </w:r>
            <w:r>
              <w:rPr>
                <w:rFonts w:hint="eastAsia" w:ascii="仿宋" w:hAnsi="仿宋" w:eastAsia="仿宋" w:cs="仿宋"/>
                <w:kern w:val="0"/>
                <w:sz w:val="24"/>
                <w:highlight w:val="none"/>
              </w:rPr>
              <w:t>可得2分；</w:t>
            </w:r>
          </w:p>
          <w:p>
            <w:pPr>
              <w:snapToGrid w:val="0"/>
              <w:jc w:val="left"/>
              <w:outlineLvl w:val="0"/>
              <w:rPr>
                <w:rFonts w:ascii="仿宋" w:hAnsi="仿宋" w:eastAsia="仿宋" w:cs="仿宋_GB2312"/>
                <w:bCs/>
                <w:sz w:val="24"/>
                <w:highlight w:val="none"/>
              </w:rPr>
            </w:pPr>
            <w:r>
              <w:rPr>
                <w:rFonts w:hint="eastAsia" w:ascii="仿宋" w:hAnsi="仿宋" w:eastAsia="仿宋" w:cs="仿宋_GB2312"/>
                <w:bCs/>
                <w:sz w:val="24"/>
                <w:highlight w:val="none"/>
              </w:rPr>
              <w:t>3、未提供证书的得0分；</w:t>
            </w:r>
          </w:p>
          <w:p>
            <w:pPr>
              <w:snapToGrid w:val="0"/>
              <w:jc w:val="left"/>
              <w:outlineLvl w:val="0"/>
              <w:rPr>
                <w:rFonts w:ascii="仿宋" w:hAnsi="仿宋" w:eastAsia="仿宋" w:cs="仿宋"/>
                <w:kern w:val="0"/>
                <w:sz w:val="24"/>
                <w:highlight w:val="none"/>
              </w:rPr>
            </w:pPr>
            <w:r>
              <w:rPr>
                <w:rFonts w:hint="eastAsia" w:ascii="仿宋" w:hAnsi="仿宋" w:eastAsia="仿宋" w:cs="仿宋"/>
                <w:kern w:val="0"/>
                <w:sz w:val="24"/>
                <w:highlight w:val="none"/>
              </w:rPr>
              <w:t>【投标文件中提供有效证书复印件或扫描件加盖公章，未提供或提供不全的不得分。】</w:t>
            </w:r>
          </w:p>
        </w:tc>
        <w:tc>
          <w:tcPr>
            <w:tcW w:w="289" w:type="pct"/>
            <w:vAlign w:val="center"/>
          </w:tcPr>
          <w:p>
            <w:pPr>
              <w:jc w:val="center"/>
              <w:rPr>
                <w:rFonts w:ascii="仿宋" w:hAnsi="仿宋" w:eastAsia="仿宋" w:cs="仿宋_GB2312"/>
                <w:bCs/>
                <w:sz w:val="24"/>
                <w:highlight w:val="none"/>
              </w:rPr>
            </w:pPr>
            <w:r>
              <w:rPr>
                <w:rFonts w:ascii="仿宋" w:hAnsi="仿宋" w:eastAsia="仿宋" w:cs="仿宋_GB2312"/>
                <w:bCs/>
                <w:sz w:val="24"/>
                <w:highlight w:val="none"/>
              </w:rPr>
              <w:t>3</w:t>
            </w:r>
          </w:p>
        </w:tc>
        <w:tc>
          <w:tcPr>
            <w:tcW w:w="753" w:type="pct"/>
          </w:tcPr>
          <w:p>
            <w:pPr>
              <w:pStyle w:val="26"/>
              <w:spacing w:after="120"/>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48"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2</w:t>
            </w:r>
          </w:p>
        </w:tc>
        <w:tc>
          <w:tcPr>
            <w:tcW w:w="469" w:type="pct"/>
            <w:vMerge w:val="continue"/>
            <w:vAlign w:val="center"/>
          </w:tcPr>
          <w:p>
            <w:pPr>
              <w:snapToGrid w:val="0"/>
              <w:jc w:val="left"/>
              <w:outlineLvl w:val="0"/>
              <w:rPr>
                <w:rFonts w:ascii="仿宋" w:hAnsi="仿宋" w:eastAsia="仿宋" w:cs="仿宋_GB2312"/>
                <w:bCs/>
                <w:sz w:val="24"/>
                <w:highlight w:val="none"/>
              </w:rPr>
            </w:pPr>
          </w:p>
        </w:tc>
        <w:tc>
          <w:tcPr>
            <w:tcW w:w="3039" w:type="pct"/>
          </w:tcPr>
          <w:p>
            <w:pPr>
              <w:snapToGrid w:val="0"/>
              <w:jc w:val="left"/>
              <w:outlineLvl w:val="0"/>
              <w:rPr>
                <w:rFonts w:ascii="仿宋" w:hAnsi="仿宋" w:eastAsia="仿宋" w:cs="仿宋"/>
                <w:kern w:val="0"/>
                <w:sz w:val="24"/>
                <w:highlight w:val="none"/>
              </w:rPr>
            </w:pPr>
            <w:r>
              <w:rPr>
                <w:rFonts w:hint="eastAsia" w:ascii="仿宋" w:hAnsi="仿宋" w:eastAsia="仿宋" w:cs="仿宋"/>
                <w:kern w:val="0"/>
                <w:sz w:val="24"/>
                <w:highlight w:val="none"/>
              </w:rPr>
              <w:t>投标人自2019年1月1日以来</w:t>
            </w:r>
            <w:r>
              <w:rPr>
                <w:rFonts w:ascii="仿宋" w:hAnsi="仿宋" w:eastAsia="仿宋" w:cs="仿宋"/>
                <w:kern w:val="0"/>
                <w:sz w:val="24"/>
                <w:highlight w:val="none"/>
              </w:rPr>
              <w:t>（含）</w:t>
            </w:r>
            <w:r>
              <w:rPr>
                <w:rFonts w:hint="eastAsia" w:ascii="仿宋" w:hAnsi="仿宋" w:eastAsia="仿宋" w:cs="仿宋"/>
                <w:kern w:val="0"/>
                <w:sz w:val="24"/>
                <w:highlight w:val="none"/>
              </w:rPr>
              <w:t>（以合同签订时间为准）承担过</w:t>
            </w:r>
            <w:r>
              <w:rPr>
                <w:rFonts w:hint="eastAsia" w:ascii="仿宋" w:hAnsi="仿宋" w:eastAsia="仿宋" w:cs="仿宋"/>
                <w:b/>
                <w:bCs/>
                <w:kern w:val="0"/>
                <w:sz w:val="24"/>
                <w:highlight w:val="none"/>
              </w:rPr>
              <w:t>国家级风景名胜区</w:t>
            </w:r>
            <w:r>
              <w:rPr>
                <w:rFonts w:hint="eastAsia" w:ascii="仿宋" w:hAnsi="仿宋" w:eastAsia="仿宋" w:cs="仿宋"/>
                <w:kern w:val="0"/>
                <w:sz w:val="24"/>
                <w:highlight w:val="none"/>
              </w:rPr>
              <w:t>总体规划项目的，每提供1个得0.5分，最高得1分。</w:t>
            </w:r>
          </w:p>
          <w:p>
            <w:pPr>
              <w:snapToGrid w:val="0"/>
              <w:jc w:val="left"/>
              <w:outlineLvl w:val="0"/>
              <w:rPr>
                <w:rFonts w:ascii="仿宋" w:hAnsi="仿宋" w:eastAsia="仿宋" w:cs="仿宋"/>
                <w:kern w:val="0"/>
                <w:sz w:val="24"/>
                <w:highlight w:val="none"/>
              </w:rPr>
            </w:pPr>
            <w:r>
              <w:rPr>
                <w:rFonts w:hint="eastAsia" w:ascii="仿宋" w:hAnsi="仿宋" w:eastAsia="仿宋" w:cs="仿宋"/>
                <w:kern w:val="0"/>
                <w:sz w:val="24"/>
                <w:highlight w:val="none"/>
              </w:rPr>
              <w:t>【投标文件中提供有效的业绩合同原件扫描件并加盖公章，未提供不得分】</w:t>
            </w:r>
          </w:p>
        </w:tc>
        <w:tc>
          <w:tcPr>
            <w:tcW w:w="289"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1</w:t>
            </w:r>
          </w:p>
        </w:tc>
        <w:tc>
          <w:tcPr>
            <w:tcW w:w="753" w:type="pct"/>
          </w:tcPr>
          <w:p>
            <w:pPr>
              <w:pStyle w:val="26"/>
              <w:spacing w:after="120"/>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48"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3</w:t>
            </w:r>
          </w:p>
        </w:tc>
        <w:tc>
          <w:tcPr>
            <w:tcW w:w="469" w:type="pct"/>
            <w:vMerge w:val="continue"/>
            <w:vAlign w:val="center"/>
          </w:tcPr>
          <w:p>
            <w:pPr>
              <w:snapToGrid w:val="0"/>
              <w:jc w:val="left"/>
              <w:outlineLvl w:val="0"/>
              <w:rPr>
                <w:rFonts w:ascii="仿宋" w:hAnsi="仿宋" w:eastAsia="仿宋" w:cs="仿宋_GB2312"/>
                <w:bCs/>
                <w:sz w:val="24"/>
                <w:highlight w:val="none"/>
              </w:rPr>
            </w:pPr>
          </w:p>
        </w:tc>
        <w:tc>
          <w:tcPr>
            <w:tcW w:w="3039" w:type="pct"/>
          </w:tcPr>
          <w:p>
            <w:pPr>
              <w:adjustRightInd/>
              <w:spacing w:line="320" w:lineRule="exact"/>
              <w:rPr>
                <w:rFonts w:ascii="仿宋" w:hAnsi="仿宋" w:eastAsia="仿宋" w:cs="仿宋"/>
                <w:kern w:val="0"/>
                <w:sz w:val="24"/>
                <w:highlight w:val="none"/>
              </w:rPr>
            </w:pPr>
            <w:r>
              <w:rPr>
                <w:rFonts w:hint="eastAsia" w:ascii="仿宋" w:hAnsi="仿宋" w:eastAsia="仿宋" w:cs="仿宋"/>
                <w:kern w:val="0"/>
                <w:sz w:val="24"/>
                <w:highlight w:val="none"/>
              </w:rPr>
              <w:t>项目负责人奖项：</w:t>
            </w:r>
          </w:p>
          <w:p>
            <w:pPr>
              <w:spacing w:after="120"/>
              <w:rPr>
                <w:rFonts w:ascii="仿宋" w:hAnsi="仿宋" w:eastAsia="仿宋" w:cs="仿宋"/>
                <w:kern w:val="0"/>
                <w:sz w:val="24"/>
                <w:highlight w:val="none"/>
              </w:rPr>
            </w:pPr>
            <w:r>
              <w:rPr>
                <w:rFonts w:hint="eastAsia" w:ascii="仿宋" w:hAnsi="仿宋" w:eastAsia="仿宋" w:cs="仿宋"/>
                <w:kern w:val="0"/>
                <w:sz w:val="24"/>
                <w:highlight w:val="none"/>
              </w:rPr>
              <w:t>所主持的风景名胜区规划类项目，曾获全国优秀城乡规划奖奖项（不含表扬奖）每个得</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分，最高得</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分，没有不得分；</w:t>
            </w:r>
          </w:p>
          <w:p>
            <w:pPr>
              <w:spacing w:after="120"/>
              <w:rPr>
                <w:rFonts w:ascii="仿宋" w:hAnsi="仿宋" w:eastAsia="仿宋" w:cs="仿宋"/>
                <w:kern w:val="0"/>
                <w:sz w:val="24"/>
                <w:highlight w:val="none"/>
              </w:rPr>
            </w:pPr>
            <w:r>
              <w:rPr>
                <w:rFonts w:hint="eastAsia" w:ascii="仿宋" w:hAnsi="仿宋" w:eastAsia="仿宋" w:cs="仿宋"/>
                <w:kern w:val="0"/>
                <w:sz w:val="24"/>
                <w:highlight w:val="none"/>
              </w:rPr>
              <w:t>所主持或参与的风景园林、规划类项目，曾获全国性奖项（含中国风景园林学会及中国勘察设计协会）每个得1分，最高2分，没有不得分；</w:t>
            </w:r>
          </w:p>
          <w:p>
            <w:pPr>
              <w:snapToGrid w:val="0"/>
              <w:jc w:val="left"/>
              <w:outlineLvl w:val="0"/>
              <w:rPr>
                <w:rFonts w:ascii="仿宋" w:hAnsi="仿宋" w:eastAsia="仿宋" w:cs="仿宋"/>
                <w:kern w:val="0"/>
                <w:sz w:val="24"/>
                <w:highlight w:val="none"/>
              </w:rPr>
            </w:pPr>
            <w:r>
              <w:rPr>
                <w:rFonts w:hint="eastAsia" w:ascii="仿宋" w:hAnsi="仿宋" w:eastAsia="仿宋" w:cs="仿宋"/>
                <w:kern w:val="0"/>
                <w:sz w:val="24"/>
                <w:highlight w:val="none"/>
              </w:rPr>
              <w:t>（注：需提供项目负责人主持该获奖项目的相关证明；如若提供获奖证书，项目负责人则需位列该获奖证书编制人员名单的前五位，否则不得分。</w:t>
            </w:r>
            <w:r>
              <w:rPr>
                <w:rFonts w:hint="eastAsia" w:ascii="仿宋" w:hAnsi="仿宋" w:eastAsia="仿宋" w:cs="仿宋"/>
                <w:kern w:val="0"/>
                <w:sz w:val="24"/>
                <w:highlight w:val="none"/>
                <w:lang w:eastAsia="zh-CN"/>
              </w:rPr>
              <w:t>同一项目奖项不重复得分。</w:t>
            </w:r>
            <w:r>
              <w:rPr>
                <w:rFonts w:hint="eastAsia" w:ascii="仿宋" w:hAnsi="仿宋" w:eastAsia="仿宋" w:cs="仿宋"/>
                <w:kern w:val="0"/>
                <w:sz w:val="24"/>
                <w:highlight w:val="none"/>
              </w:rPr>
              <w:t>）</w:t>
            </w:r>
          </w:p>
          <w:p>
            <w:pPr>
              <w:snapToGrid w:val="0"/>
              <w:jc w:val="left"/>
              <w:outlineLvl w:val="0"/>
              <w:rPr>
                <w:rFonts w:ascii="仿宋" w:hAnsi="仿宋" w:eastAsia="仿宋" w:cs="仿宋"/>
                <w:kern w:val="0"/>
                <w:sz w:val="24"/>
                <w:highlight w:val="none"/>
              </w:rPr>
            </w:pPr>
            <w:r>
              <w:rPr>
                <w:rFonts w:hint="eastAsia" w:ascii="仿宋" w:hAnsi="仿宋" w:eastAsia="仿宋" w:cs="仿宋"/>
                <w:kern w:val="0"/>
                <w:sz w:val="24"/>
                <w:highlight w:val="none"/>
              </w:rPr>
              <w:t>【投标文件中提供项目负责人的职称证书或专业证书扫描件、近三个月的社保参保证明，扫描件加盖电子公章，不盖公章不得分】</w:t>
            </w:r>
          </w:p>
        </w:tc>
        <w:tc>
          <w:tcPr>
            <w:tcW w:w="289" w:type="pct"/>
            <w:vAlign w:val="center"/>
          </w:tcPr>
          <w:p>
            <w:pPr>
              <w:pStyle w:val="962"/>
              <w:spacing w:after="120"/>
              <w:jc w:val="center"/>
              <w:rPr>
                <w:rFonts w:hint="eastAsia" w:eastAsia="宋体"/>
                <w:highlight w:val="none"/>
                <w:lang w:eastAsia="zh-CN"/>
              </w:rPr>
            </w:pPr>
            <w:r>
              <w:rPr>
                <w:rFonts w:hint="eastAsia"/>
                <w:highlight w:val="none"/>
                <w:lang w:val="en-US" w:eastAsia="zh-CN"/>
              </w:rPr>
              <w:t>6</w:t>
            </w:r>
          </w:p>
        </w:tc>
        <w:tc>
          <w:tcPr>
            <w:tcW w:w="753" w:type="pct"/>
          </w:tcPr>
          <w:p>
            <w:pPr>
              <w:pStyle w:val="26"/>
              <w:spacing w:after="120"/>
              <w:rPr>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8"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4</w:t>
            </w:r>
          </w:p>
        </w:tc>
        <w:tc>
          <w:tcPr>
            <w:tcW w:w="469" w:type="pct"/>
            <w:vMerge w:val="continue"/>
          </w:tcPr>
          <w:p>
            <w:pPr>
              <w:snapToGrid w:val="0"/>
              <w:jc w:val="left"/>
              <w:outlineLvl w:val="0"/>
              <w:rPr>
                <w:rFonts w:ascii="仿宋" w:hAnsi="仿宋" w:eastAsia="仿宋" w:cs="仿宋"/>
                <w:kern w:val="0"/>
                <w:sz w:val="24"/>
                <w:highlight w:val="none"/>
              </w:rPr>
            </w:pPr>
          </w:p>
        </w:tc>
        <w:tc>
          <w:tcPr>
            <w:tcW w:w="3039" w:type="pct"/>
          </w:tcPr>
          <w:p>
            <w:pPr>
              <w:snapToGrid w:val="0"/>
              <w:jc w:val="left"/>
              <w:outlineLvl w:val="0"/>
              <w:rPr>
                <w:rFonts w:ascii="仿宋" w:hAnsi="仿宋" w:eastAsia="仿宋" w:cs="仿宋"/>
                <w:kern w:val="0"/>
                <w:sz w:val="24"/>
                <w:highlight w:val="none"/>
              </w:rPr>
            </w:pPr>
            <w:r>
              <w:rPr>
                <w:rFonts w:hint="eastAsia" w:ascii="仿宋" w:hAnsi="仿宋" w:eastAsia="仿宋" w:cs="仿宋"/>
                <w:kern w:val="0"/>
                <w:sz w:val="24"/>
                <w:highlight w:val="none"/>
              </w:rPr>
              <w:t>项目团队</w:t>
            </w:r>
          </w:p>
          <w:p>
            <w:pPr>
              <w:snapToGrid w:val="0"/>
              <w:jc w:val="left"/>
              <w:outlineLvl w:val="0"/>
              <w:rPr>
                <w:rFonts w:ascii="仿宋" w:hAnsi="仿宋" w:eastAsia="仿宋" w:cs="仿宋"/>
                <w:kern w:val="0"/>
                <w:sz w:val="24"/>
                <w:highlight w:val="none"/>
              </w:rPr>
            </w:pPr>
            <w:r>
              <w:rPr>
                <w:rFonts w:hint="eastAsia" w:ascii="仿宋" w:hAnsi="仿宋" w:eastAsia="仿宋" w:cs="仿宋"/>
                <w:kern w:val="0"/>
                <w:sz w:val="24"/>
                <w:highlight w:val="none"/>
              </w:rPr>
              <w:t>①项目团队人员中，同时具备国家注册城乡规划师及正高级及以上职称者，每个得</w:t>
            </w:r>
            <w:r>
              <w:rPr>
                <w:rFonts w:ascii="仿宋" w:hAnsi="仿宋" w:eastAsia="仿宋" w:cs="仿宋"/>
                <w:kern w:val="0"/>
                <w:sz w:val="24"/>
                <w:highlight w:val="none"/>
              </w:rPr>
              <w:t>1</w:t>
            </w:r>
            <w:r>
              <w:rPr>
                <w:rFonts w:hint="eastAsia" w:ascii="仿宋" w:hAnsi="仿宋" w:eastAsia="仿宋" w:cs="仿宋"/>
                <w:kern w:val="0"/>
                <w:sz w:val="24"/>
                <w:highlight w:val="none"/>
              </w:rPr>
              <w:t>分，最高得</w:t>
            </w:r>
            <w:r>
              <w:rPr>
                <w:rFonts w:ascii="仿宋" w:hAnsi="仿宋" w:eastAsia="仿宋" w:cs="仿宋"/>
                <w:kern w:val="0"/>
                <w:sz w:val="24"/>
                <w:highlight w:val="none"/>
              </w:rPr>
              <w:t>2</w:t>
            </w:r>
            <w:r>
              <w:rPr>
                <w:rFonts w:hint="eastAsia" w:ascii="仿宋" w:hAnsi="仿宋" w:eastAsia="仿宋" w:cs="仿宋"/>
                <w:kern w:val="0"/>
                <w:sz w:val="24"/>
                <w:highlight w:val="none"/>
              </w:rPr>
              <w:t>分</w:t>
            </w:r>
          </w:p>
          <w:p>
            <w:pPr>
              <w:snapToGrid w:val="0"/>
              <w:jc w:val="left"/>
              <w:outlineLvl w:val="0"/>
              <w:rPr>
                <w:rFonts w:ascii="仿宋" w:hAnsi="仿宋" w:eastAsia="仿宋" w:cs="仿宋"/>
                <w:kern w:val="0"/>
                <w:sz w:val="24"/>
                <w:highlight w:val="none"/>
              </w:rPr>
            </w:pPr>
            <w:r>
              <w:rPr>
                <w:rFonts w:hint="eastAsia" w:ascii="仿宋" w:hAnsi="仿宋" w:eastAsia="仿宋" w:cs="仿宋"/>
                <w:kern w:val="0"/>
                <w:sz w:val="24"/>
                <w:highlight w:val="none"/>
              </w:rPr>
              <w:t>②项目团队人员中(不含项目负责人)，具城乡规划、风景园林、土地管理、建筑设计、道路交通、市政等专业，专业齐备且工作安排合理得1分；各专业提供一名高级及以上职称专业人员得0.5分，最多得3分。</w:t>
            </w:r>
          </w:p>
          <w:p>
            <w:pPr>
              <w:snapToGrid w:val="0"/>
              <w:jc w:val="left"/>
              <w:outlineLvl w:val="0"/>
              <w:rPr>
                <w:rFonts w:ascii="仿宋" w:hAnsi="仿宋" w:eastAsia="仿宋" w:cs="仿宋"/>
                <w:kern w:val="0"/>
                <w:sz w:val="24"/>
                <w:highlight w:val="none"/>
              </w:rPr>
            </w:pPr>
            <w:r>
              <w:rPr>
                <w:rFonts w:hint="eastAsia" w:ascii="仿宋" w:hAnsi="仿宋" w:eastAsia="仿宋" w:cs="仿宋"/>
                <w:kern w:val="0"/>
                <w:sz w:val="24"/>
                <w:highlight w:val="none"/>
              </w:rPr>
              <w:t>【投标文件中提供人员职称证书或专业证书扫描件、近三个月社保参保证明，扫描件加盖电子公章，不盖公章不得分】</w:t>
            </w:r>
          </w:p>
        </w:tc>
        <w:tc>
          <w:tcPr>
            <w:tcW w:w="289"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6</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8"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5</w:t>
            </w:r>
          </w:p>
        </w:tc>
        <w:tc>
          <w:tcPr>
            <w:tcW w:w="469" w:type="pct"/>
            <w:vMerge w:val="restart"/>
            <w:vAlign w:val="center"/>
          </w:tcPr>
          <w:p>
            <w:pPr>
              <w:snapToGrid w:val="0"/>
              <w:jc w:val="center"/>
              <w:outlineLvl w:val="0"/>
              <w:rPr>
                <w:rFonts w:ascii="仿宋" w:hAnsi="仿宋" w:eastAsia="仿宋" w:cs="仿宋"/>
                <w:kern w:val="0"/>
                <w:sz w:val="24"/>
                <w:highlight w:val="none"/>
              </w:rPr>
            </w:pPr>
            <w:r>
              <w:rPr>
                <w:rFonts w:hint="eastAsia" w:ascii="仿宋" w:hAnsi="仿宋" w:eastAsia="仿宋" w:cs="仿宋_GB2312"/>
                <w:bCs/>
                <w:sz w:val="24"/>
                <w:highlight w:val="none"/>
              </w:rPr>
              <w:t>技术部分（7</w:t>
            </w:r>
            <w:r>
              <w:rPr>
                <w:rFonts w:hint="eastAsia" w:ascii="仿宋" w:hAnsi="仿宋" w:eastAsia="仿宋" w:cs="仿宋_GB2312"/>
                <w:bCs/>
                <w:sz w:val="24"/>
                <w:highlight w:val="none"/>
                <w:lang w:val="en-US" w:eastAsia="zh-CN"/>
              </w:rPr>
              <w:t>4</w:t>
            </w:r>
            <w:r>
              <w:rPr>
                <w:rFonts w:hint="eastAsia" w:ascii="仿宋" w:hAnsi="仿宋" w:eastAsia="仿宋" w:cs="仿宋_GB2312"/>
                <w:bCs/>
                <w:sz w:val="24"/>
                <w:highlight w:val="none"/>
              </w:rPr>
              <w:t>分）</w:t>
            </w:r>
          </w:p>
          <w:p>
            <w:pPr>
              <w:shd w:val="clear" w:color="auto" w:fill="FFFFFF"/>
              <w:adjustRightInd/>
              <w:spacing w:after="225"/>
              <w:ind w:right="-212" w:rightChars="-101"/>
              <w:jc w:val="center"/>
              <w:rPr>
                <w:rFonts w:ascii="仿宋" w:hAnsi="仿宋" w:eastAsia="仿宋" w:cs="仿宋"/>
                <w:kern w:val="0"/>
                <w:sz w:val="24"/>
                <w:highlight w:val="none"/>
              </w:rPr>
            </w:pPr>
          </w:p>
          <w:p>
            <w:pPr>
              <w:snapToGrid w:val="0"/>
              <w:jc w:val="center"/>
              <w:outlineLvl w:val="0"/>
              <w:rPr>
                <w:rFonts w:ascii="仿宋" w:hAnsi="仿宋" w:eastAsia="仿宋" w:cs="仿宋"/>
                <w:kern w:val="0"/>
                <w:sz w:val="24"/>
                <w:highlight w:val="none"/>
              </w:rPr>
            </w:pPr>
          </w:p>
        </w:tc>
        <w:tc>
          <w:tcPr>
            <w:tcW w:w="3039" w:type="pct"/>
          </w:tcPr>
          <w:p>
            <w:pPr>
              <w:snapToGrid w:val="0"/>
              <w:jc w:val="left"/>
              <w:outlineLvl w:val="0"/>
              <w:rPr>
                <w:rFonts w:ascii="仿宋" w:hAnsi="仿宋" w:eastAsia="仿宋" w:cs="仿宋"/>
                <w:b/>
                <w:bCs/>
                <w:kern w:val="0"/>
                <w:sz w:val="24"/>
                <w:highlight w:val="none"/>
              </w:rPr>
            </w:pPr>
            <w:r>
              <w:rPr>
                <w:rFonts w:hint="eastAsia" w:ascii="仿宋" w:hAnsi="仿宋" w:eastAsia="仿宋" w:cs="仿宋"/>
                <w:b/>
                <w:bCs/>
                <w:kern w:val="0"/>
                <w:sz w:val="24"/>
                <w:highlight w:val="none"/>
              </w:rPr>
              <w:t>对编制背景的理解：</w:t>
            </w:r>
          </w:p>
          <w:p>
            <w:pPr>
              <w:snapToGrid w:val="0"/>
              <w:jc w:val="left"/>
              <w:outlineLvl w:val="0"/>
              <w:rPr>
                <w:rFonts w:ascii="仿宋" w:hAnsi="仿宋" w:eastAsia="仿宋" w:cs="仿宋"/>
                <w:b/>
                <w:bCs/>
                <w:kern w:val="0"/>
                <w:sz w:val="24"/>
                <w:highlight w:val="none"/>
              </w:rPr>
            </w:pPr>
            <w:r>
              <w:rPr>
                <w:rFonts w:hint="eastAsia" w:ascii="仿宋" w:hAnsi="仿宋" w:eastAsia="仿宋" w:cs="仿宋"/>
                <w:b/>
                <w:bCs/>
                <w:kern w:val="0"/>
                <w:sz w:val="24"/>
                <w:highlight w:val="none"/>
              </w:rPr>
              <w:t>根据投标人对项目背景的认识和理解打分。①项目背景把握透彻；②项目内容和任务理解到位。</w:t>
            </w:r>
          </w:p>
          <w:p>
            <w:pPr>
              <w:snapToGrid w:val="0"/>
              <w:jc w:val="left"/>
              <w:outlineLvl w:val="0"/>
              <w:rPr>
                <w:rFonts w:ascii="仿宋" w:hAnsi="仿宋" w:eastAsia="仿宋" w:cs="仿宋"/>
                <w:kern w:val="0"/>
                <w:sz w:val="24"/>
                <w:highlight w:val="none"/>
              </w:rPr>
            </w:pPr>
            <w:r>
              <w:rPr>
                <w:rFonts w:hint="eastAsia" w:ascii="仿宋" w:hAnsi="仿宋" w:eastAsia="仿宋" w:cs="仿宋"/>
                <w:kern w:val="0"/>
                <w:sz w:val="24"/>
                <w:highlight w:val="none"/>
              </w:rPr>
              <w:t>每一项内容符合采购人需求的得1</w:t>
            </w:r>
            <w:r>
              <w:rPr>
                <w:rFonts w:ascii="仿宋" w:hAnsi="仿宋" w:eastAsia="仿宋" w:cs="仿宋"/>
                <w:kern w:val="0"/>
                <w:sz w:val="24"/>
                <w:highlight w:val="none"/>
              </w:rPr>
              <w:t>.5</w:t>
            </w:r>
            <w:r>
              <w:rPr>
                <w:rFonts w:hint="eastAsia" w:ascii="仿宋" w:hAnsi="仿宋" w:eastAsia="仿宋" w:cs="仿宋"/>
                <w:kern w:val="0"/>
                <w:sz w:val="24"/>
                <w:highlight w:val="none"/>
              </w:rPr>
              <w:t>分，部分符合的得1分，不符合不得分。本项最高得3分。</w:t>
            </w:r>
          </w:p>
        </w:tc>
        <w:tc>
          <w:tcPr>
            <w:tcW w:w="289" w:type="pct"/>
            <w:vAlign w:val="center"/>
          </w:tcPr>
          <w:p>
            <w:pPr>
              <w:jc w:val="center"/>
              <w:rPr>
                <w:rFonts w:ascii="仿宋" w:hAnsi="仿宋" w:eastAsia="仿宋" w:cs="仿宋_GB2312"/>
                <w:bCs/>
                <w:sz w:val="24"/>
                <w:highlight w:val="none"/>
              </w:rPr>
            </w:pPr>
            <w:r>
              <w:rPr>
                <w:rFonts w:ascii="仿宋" w:hAnsi="仿宋" w:eastAsia="仿宋" w:cs="仿宋_GB2312"/>
                <w:bCs/>
                <w:sz w:val="24"/>
                <w:highlight w:val="none"/>
              </w:rPr>
              <w:t>3</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48"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6</w:t>
            </w:r>
          </w:p>
        </w:tc>
        <w:tc>
          <w:tcPr>
            <w:tcW w:w="469" w:type="pct"/>
            <w:vMerge w:val="continue"/>
          </w:tcPr>
          <w:p>
            <w:pPr>
              <w:snapToGrid w:val="0"/>
              <w:jc w:val="left"/>
              <w:outlineLvl w:val="0"/>
              <w:rPr>
                <w:rFonts w:ascii="仿宋" w:hAnsi="仿宋" w:eastAsia="仿宋" w:cs="仿宋"/>
                <w:kern w:val="0"/>
                <w:sz w:val="24"/>
                <w:highlight w:val="none"/>
              </w:rPr>
            </w:pPr>
          </w:p>
        </w:tc>
        <w:tc>
          <w:tcPr>
            <w:tcW w:w="3039" w:type="pct"/>
          </w:tcPr>
          <w:p>
            <w:pPr>
              <w:adjustRightInd/>
              <w:spacing w:line="320" w:lineRule="exact"/>
              <w:rPr>
                <w:rFonts w:ascii="仿宋" w:hAnsi="仿宋" w:eastAsia="仿宋" w:cs="仿宋"/>
                <w:b/>
                <w:bCs/>
                <w:sz w:val="24"/>
                <w:highlight w:val="none"/>
              </w:rPr>
            </w:pPr>
            <w:r>
              <w:rPr>
                <w:rFonts w:hint="eastAsia" w:ascii="仿宋" w:hAnsi="仿宋" w:eastAsia="仿宋" w:cs="仿宋"/>
                <w:b/>
                <w:bCs/>
                <w:sz w:val="24"/>
                <w:highlight w:val="none"/>
              </w:rPr>
              <w:t>风景资源现状分析：</w:t>
            </w:r>
          </w:p>
          <w:p>
            <w:pPr>
              <w:adjustRightInd/>
              <w:spacing w:line="320" w:lineRule="exact"/>
              <w:rPr>
                <w:rFonts w:ascii="仿宋" w:hAnsi="仿宋" w:eastAsia="仿宋" w:cs="仿宋"/>
                <w:b/>
                <w:bCs/>
                <w:sz w:val="24"/>
                <w:highlight w:val="none"/>
              </w:rPr>
            </w:pPr>
            <w:r>
              <w:rPr>
                <w:rFonts w:hint="eastAsia" w:ascii="仿宋" w:hAnsi="仿宋" w:eastAsia="仿宋" w:cs="仿宋"/>
                <w:b/>
                <w:bCs/>
                <w:sz w:val="24"/>
                <w:highlight w:val="none"/>
              </w:rPr>
              <w:t>①现状情况调查全面；②现状分析深入到位。</w:t>
            </w:r>
          </w:p>
          <w:p>
            <w:pPr>
              <w:snapToGrid w:val="0"/>
              <w:jc w:val="left"/>
              <w:outlineLvl w:val="0"/>
              <w:rPr>
                <w:rFonts w:ascii="仿宋" w:hAnsi="仿宋" w:eastAsia="仿宋" w:cs="仿宋"/>
                <w:kern w:val="0"/>
                <w:sz w:val="24"/>
                <w:highlight w:val="none"/>
              </w:rPr>
            </w:pPr>
            <w:r>
              <w:rPr>
                <w:rFonts w:hint="eastAsia" w:ascii="仿宋" w:hAnsi="仿宋" w:eastAsia="仿宋" w:cs="仿宋"/>
                <w:kern w:val="0"/>
                <w:sz w:val="24"/>
                <w:highlight w:val="none"/>
              </w:rPr>
              <w:t>每一项内容符合采购人需求的得2.5分，部分符合的得1.5分，不符合不得分。本项最高得5分。</w:t>
            </w:r>
            <w:r>
              <w:rPr>
                <w:rFonts w:ascii="仿宋" w:hAnsi="仿宋" w:eastAsia="仿宋" w:cs="仿宋"/>
                <w:kern w:val="0"/>
                <w:sz w:val="24"/>
                <w:highlight w:val="none"/>
              </w:rPr>
              <w:t xml:space="preserve"> </w:t>
            </w:r>
          </w:p>
        </w:tc>
        <w:tc>
          <w:tcPr>
            <w:tcW w:w="289" w:type="pct"/>
            <w:vAlign w:val="center"/>
          </w:tcPr>
          <w:p>
            <w:pPr>
              <w:jc w:val="center"/>
              <w:rPr>
                <w:rFonts w:ascii="仿宋" w:hAnsi="仿宋" w:eastAsia="仿宋" w:cs="仿宋_GB2312"/>
                <w:bCs/>
                <w:sz w:val="24"/>
                <w:highlight w:val="none"/>
              </w:rPr>
            </w:pPr>
            <w:r>
              <w:rPr>
                <w:rFonts w:ascii="仿宋" w:hAnsi="仿宋" w:eastAsia="仿宋" w:cs="仿宋_GB2312"/>
                <w:bCs/>
                <w:sz w:val="24"/>
                <w:highlight w:val="none"/>
              </w:rPr>
              <w:t>5</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48"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7</w:t>
            </w:r>
          </w:p>
        </w:tc>
        <w:tc>
          <w:tcPr>
            <w:tcW w:w="469" w:type="pct"/>
            <w:vMerge w:val="continue"/>
          </w:tcPr>
          <w:p>
            <w:pPr>
              <w:snapToGrid w:val="0"/>
              <w:jc w:val="left"/>
              <w:outlineLvl w:val="0"/>
              <w:rPr>
                <w:rFonts w:ascii="仿宋" w:hAnsi="仿宋" w:eastAsia="仿宋" w:cs="仿宋"/>
                <w:kern w:val="0"/>
                <w:sz w:val="24"/>
                <w:highlight w:val="none"/>
              </w:rPr>
            </w:pPr>
          </w:p>
        </w:tc>
        <w:tc>
          <w:tcPr>
            <w:tcW w:w="3039" w:type="pct"/>
          </w:tcPr>
          <w:p>
            <w:pPr>
              <w:adjustRightInd/>
              <w:spacing w:line="320" w:lineRule="exact"/>
              <w:rPr>
                <w:rFonts w:ascii="仿宋" w:hAnsi="仿宋" w:eastAsia="仿宋" w:cs="仿宋"/>
                <w:b/>
                <w:bCs/>
                <w:kern w:val="0"/>
                <w:sz w:val="24"/>
                <w:highlight w:val="none"/>
              </w:rPr>
            </w:pPr>
            <w:r>
              <w:rPr>
                <w:rFonts w:hint="eastAsia" w:ascii="仿宋" w:hAnsi="仿宋" w:eastAsia="仿宋" w:cs="仿宋"/>
                <w:b/>
                <w:bCs/>
                <w:kern w:val="0"/>
                <w:sz w:val="24"/>
                <w:highlight w:val="none"/>
              </w:rPr>
              <w:t>上位及相关规划分析：</w:t>
            </w:r>
          </w:p>
          <w:p>
            <w:pPr>
              <w:pStyle w:val="2"/>
              <w:spacing w:after="0"/>
              <w:ind w:left="0" w:leftChars="0" w:firstLine="0" w:firstLineChars="0"/>
              <w:rPr>
                <w:rFonts w:ascii="仿宋" w:hAnsi="仿宋" w:eastAsia="仿宋" w:cs="仿宋"/>
                <w:b/>
                <w:bCs/>
                <w:kern w:val="0"/>
                <w:sz w:val="24"/>
                <w:highlight w:val="none"/>
              </w:rPr>
            </w:pPr>
            <w:r>
              <w:rPr>
                <w:rFonts w:hint="eastAsia" w:ascii="仿宋" w:hAnsi="仿宋" w:eastAsia="仿宋" w:cs="仿宋"/>
                <w:b/>
                <w:bCs/>
                <w:kern w:val="0"/>
                <w:sz w:val="24"/>
                <w:highlight w:val="none"/>
              </w:rPr>
              <w:t>根据投标人对相关规划和政策解读全面、完整打分。</w:t>
            </w:r>
          </w:p>
          <w:p>
            <w:pPr>
              <w:pStyle w:val="2"/>
              <w:spacing w:after="0"/>
              <w:ind w:left="0" w:leftChars="0" w:firstLine="0" w:firstLineChars="0"/>
              <w:rPr>
                <w:rFonts w:ascii="仿宋" w:hAnsi="仿宋" w:eastAsia="仿宋" w:cs="仿宋"/>
                <w:b/>
                <w:bCs/>
                <w:sz w:val="24"/>
                <w:highlight w:val="none"/>
              </w:rPr>
            </w:pPr>
            <w:r>
              <w:rPr>
                <w:rFonts w:hint="eastAsia" w:ascii="仿宋" w:hAnsi="仿宋" w:eastAsia="仿宋" w:cs="仿宋"/>
                <w:b/>
                <w:bCs/>
                <w:kern w:val="0"/>
                <w:sz w:val="24"/>
                <w:highlight w:val="none"/>
              </w:rPr>
              <w:t>①</w:t>
            </w:r>
            <w:r>
              <w:rPr>
                <w:rFonts w:hint="eastAsia" w:ascii="仿宋" w:hAnsi="仿宋" w:eastAsia="仿宋" w:cs="仿宋"/>
                <w:b/>
                <w:bCs/>
                <w:sz w:val="24"/>
                <w:highlight w:val="none"/>
              </w:rPr>
              <w:t>新一轮国土空间总体规划“三线”管控要求分析；②自然保护地整合优化分析（以其中一个市县区为例）。</w:t>
            </w:r>
          </w:p>
          <w:p>
            <w:pPr>
              <w:snapToGrid w:val="0"/>
              <w:jc w:val="left"/>
              <w:outlineLvl w:val="0"/>
              <w:rPr>
                <w:rFonts w:ascii="仿宋" w:hAnsi="仿宋" w:eastAsia="仿宋" w:cs="仿宋"/>
                <w:kern w:val="0"/>
                <w:sz w:val="24"/>
                <w:highlight w:val="none"/>
              </w:rPr>
            </w:pPr>
            <w:r>
              <w:rPr>
                <w:rFonts w:hint="eastAsia" w:ascii="仿宋" w:hAnsi="仿宋" w:eastAsia="仿宋" w:cs="仿宋"/>
                <w:kern w:val="0"/>
                <w:sz w:val="24"/>
                <w:highlight w:val="none"/>
              </w:rPr>
              <w:t>每一项内容解读全面、完整，符合采购人需求的得2</w:t>
            </w:r>
            <w:r>
              <w:rPr>
                <w:rFonts w:ascii="仿宋" w:hAnsi="仿宋" w:eastAsia="仿宋" w:cs="仿宋"/>
                <w:kern w:val="0"/>
                <w:sz w:val="24"/>
                <w:highlight w:val="none"/>
              </w:rPr>
              <w:t>.5</w:t>
            </w:r>
            <w:r>
              <w:rPr>
                <w:rFonts w:hint="eastAsia" w:ascii="仿宋" w:hAnsi="仿宋" w:eastAsia="仿宋" w:cs="仿宋"/>
                <w:kern w:val="0"/>
                <w:sz w:val="24"/>
                <w:highlight w:val="none"/>
              </w:rPr>
              <w:t>分，部分</w:t>
            </w:r>
            <w:bookmarkStart w:id="401" w:name="_GoBack"/>
            <w:bookmarkEnd w:id="401"/>
            <w:r>
              <w:rPr>
                <w:rFonts w:hint="eastAsia" w:ascii="仿宋" w:hAnsi="仿宋" w:eastAsia="仿宋" w:cs="仿宋"/>
                <w:kern w:val="0"/>
                <w:sz w:val="24"/>
                <w:highlight w:val="none"/>
              </w:rPr>
              <w:t>符合的得1</w:t>
            </w:r>
            <w:r>
              <w:rPr>
                <w:rFonts w:ascii="仿宋" w:hAnsi="仿宋" w:eastAsia="仿宋" w:cs="仿宋"/>
                <w:kern w:val="0"/>
                <w:sz w:val="24"/>
                <w:highlight w:val="none"/>
              </w:rPr>
              <w:t>.5</w:t>
            </w:r>
            <w:r>
              <w:rPr>
                <w:rFonts w:hint="eastAsia" w:ascii="仿宋" w:hAnsi="仿宋" w:eastAsia="仿宋" w:cs="仿宋"/>
                <w:kern w:val="0"/>
                <w:sz w:val="24"/>
                <w:highlight w:val="none"/>
              </w:rPr>
              <w:t>分，不符合不得分。本项最高得5分。</w:t>
            </w:r>
          </w:p>
        </w:tc>
        <w:tc>
          <w:tcPr>
            <w:tcW w:w="289" w:type="pct"/>
            <w:vAlign w:val="center"/>
          </w:tcPr>
          <w:p>
            <w:pPr>
              <w:jc w:val="center"/>
              <w:rPr>
                <w:rFonts w:ascii="仿宋" w:hAnsi="仿宋" w:eastAsia="仿宋" w:cs="仿宋_GB2312"/>
                <w:bCs/>
                <w:sz w:val="24"/>
                <w:highlight w:val="none"/>
              </w:rPr>
            </w:pPr>
            <w:r>
              <w:rPr>
                <w:rFonts w:ascii="仿宋" w:hAnsi="仿宋" w:eastAsia="仿宋" w:cs="仿宋_GB2312"/>
                <w:bCs/>
                <w:sz w:val="24"/>
                <w:highlight w:val="none"/>
              </w:rPr>
              <w:t>5</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48" w:type="pct"/>
            <w:vAlign w:val="center"/>
          </w:tcPr>
          <w:p>
            <w:pPr>
              <w:jc w:val="center"/>
              <w:rPr>
                <w:rFonts w:ascii="仿宋" w:hAnsi="仿宋" w:eastAsia="仿宋" w:cs="仿宋_GB2312"/>
                <w:bCs/>
                <w:sz w:val="24"/>
                <w:highlight w:val="none"/>
              </w:rPr>
            </w:pPr>
            <w:r>
              <w:rPr>
                <w:rFonts w:ascii="仿宋" w:hAnsi="仿宋" w:eastAsia="仿宋" w:cs="仿宋_GB2312"/>
                <w:bCs/>
                <w:sz w:val="24"/>
                <w:highlight w:val="none"/>
              </w:rPr>
              <w:t>8</w:t>
            </w:r>
          </w:p>
        </w:tc>
        <w:tc>
          <w:tcPr>
            <w:tcW w:w="469" w:type="pct"/>
            <w:vMerge w:val="continue"/>
          </w:tcPr>
          <w:p>
            <w:pPr>
              <w:snapToGrid w:val="0"/>
              <w:jc w:val="left"/>
              <w:outlineLvl w:val="0"/>
              <w:rPr>
                <w:rFonts w:ascii="仿宋" w:hAnsi="仿宋" w:eastAsia="仿宋" w:cs="仿宋"/>
                <w:kern w:val="0"/>
                <w:sz w:val="24"/>
                <w:highlight w:val="none"/>
              </w:rPr>
            </w:pPr>
          </w:p>
        </w:tc>
        <w:tc>
          <w:tcPr>
            <w:tcW w:w="3039" w:type="pct"/>
            <w:vAlign w:val="center"/>
          </w:tcPr>
          <w:p>
            <w:pPr>
              <w:adjustRightInd/>
              <w:spacing w:line="320" w:lineRule="exact"/>
              <w:rPr>
                <w:rFonts w:ascii="仿宋" w:hAnsi="仿宋" w:eastAsia="仿宋" w:cs="仿宋"/>
                <w:b/>
                <w:bCs/>
                <w:kern w:val="0"/>
                <w:sz w:val="24"/>
                <w:highlight w:val="none"/>
              </w:rPr>
            </w:pPr>
            <w:r>
              <w:rPr>
                <w:rFonts w:hint="eastAsia" w:ascii="仿宋" w:hAnsi="仿宋" w:eastAsia="仿宋" w:cs="仿宋"/>
                <w:b/>
                <w:bCs/>
                <w:kern w:val="0"/>
                <w:sz w:val="24"/>
                <w:highlight w:val="none"/>
              </w:rPr>
              <w:t>风景名胜区存在问题分析：</w:t>
            </w:r>
          </w:p>
          <w:p>
            <w:pPr>
              <w:snapToGrid w:val="0"/>
              <w:jc w:val="left"/>
              <w:outlineLvl w:val="0"/>
              <w:rPr>
                <w:rFonts w:ascii="仿宋" w:hAnsi="仿宋" w:eastAsia="仿宋" w:cs="仿宋"/>
                <w:b/>
                <w:bCs/>
                <w:kern w:val="0"/>
                <w:sz w:val="24"/>
                <w:highlight w:val="none"/>
              </w:rPr>
            </w:pPr>
            <w:r>
              <w:rPr>
                <w:rFonts w:hint="eastAsia" w:ascii="仿宋" w:hAnsi="仿宋" w:eastAsia="仿宋" w:cs="仿宋"/>
                <w:b/>
                <w:bCs/>
                <w:kern w:val="0"/>
                <w:sz w:val="24"/>
                <w:highlight w:val="none"/>
              </w:rPr>
              <w:t>根据投标人对风景名胜区存在问题分析打分。</w:t>
            </w:r>
          </w:p>
          <w:p>
            <w:pPr>
              <w:snapToGrid w:val="0"/>
              <w:jc w:val="left"/>
              <w:outlineLvl w:val="0"/>
              <w:rPr>
                <w:rFonts w:ascii="仿宋" w:hAnsi="仿宋" w:eastAsia="仿宋" w:cs="仿宋"/>
                <w:b/>
                <w:bCs/>
                <w:kern w:val="0"/>
                <w:sz w:val="24"/>
                <w:highlight w:val="none"/>
              </w:rPr>
            </w:pPr>
            <w:r>
              <w:rPr>
                <w:rFonts w:hint="eastAsia" w:ascii="仿宋" w:hAnsi="仿宋" w:eastAsia="仿宋" w:cs="仿宋"/>
                <w:b/>
                <w:bCs/>
                <w:kern w:val="0"/>
                <w:sz w:val="24"/>
                <w:highlight w:val="none"/>
              </w:rPr>
              <w:t>①现状存在问题罗列清晰；②对产生问题的原因剖析到位。</w:t>
            </w:r>
          </w:p>
          <w:p>
            <w:pPr>
              <w:snapToGrid w:val="0"/>
              <w:jc w:val="left"/>
              <w:outlineLvl w:val="0"/>
              <w:rPr>
                <w:rFonts w:ascii="仿宋" w:hAnsi="仿宋" w:eastAsia="仿宋" w:cs="仿宋"/>
                <w:kern w:val="0"/>
                <w:sz w:val="24"/>
                <w:highlight w:val="none"/>
              </w:rPr>
            </w:pPr>
            <w:r>
              <w:rPr>
                <w:rFonts w:hint="eastAsia" w:ascii="仿宋" w:hAnsi="仿宋" w:eastAsia="仿宋" w:cs="仿宋"/>
                <w:kern w:val="0"/>
                <w:sz w:val="24"/>
                <w:highlight w:val="none"/>
              </w:rPr>
              <w:t>每一项内容符合采购人需求的得2.5分，部分符合的得1.5分，不符合不得分。本项最高得5分。</w:t>
            </w:r>
          </w:p>
        </w:tc>
        <w:tc>
          <w:tcPr>
            <w:tcW w:w="289" w:type="pct"/>
            <w:vAlign w:val="center"/>
          </w:tcPr>
          <w:p>
            <w:pPr>
              <w:jc w:val="center"/>
              <w:rPr>
                <w:rFonts w:ascii="仿宋" w:hAnsi="仿宋" w:eastAsia="仿宋" w:cs="仿宋_GB2312"/>
                <w:bCs/>
                <w:sz w:val="24"/>
                <w:highlight w:val="none"/>
              </w:rPr>
            </w:pPr>
            <w:r>
              <w:rPr>
                <w:rFonts w:ascii="仿宋" w:hAnsi="仿宋" w:eastAsia="仿宋" w:cs="仿宋_GB2312"/>
                <w:bCs/>
                <w:sz w:val="24"/>
                <w:highlight w:val="none"/>
              </w:rPr>
              <w:t>5</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8" w:type="pct"/>
            <w:vAlign w:val="center"/>
          </w:tcPr>
          <w:p>
            <w:pPr>
              <w:jc w:val="center"/>
              <w:rPr>
                <w:rFonts w:ascii="仿宋" w:hAnsi="仿宋" w:eastAsia="仿宋" w:cs="仿宋_GB2312"/>
                <w:bCs/>
                <w:sz w:val="24"/>
                <w:highlight w:val="none"/>
              </w:rPr>
            </w:pPr>
            <w:r>
              <w:rPr>
                <w:rFonts w:ascii="仿宋" w:hAnsi="仿宋" w:eastAsia="仿宋" w:cs="仿宋_GB2312"/>
                <w:bCs/>
                <w:color w:val="000000" w:themeColor="text1"/>
                <w:sz w:val="24"/>
                <w:highlight w:val="none"/>
                <w14:textFill>
                  <w14:solidFill>
                    <w14:schemeClr w14:val="tx1"/>
                  </w14:solidFill>
                </w14:textFill>
              </w:rPr>
              <w:t>9</w:t>
            </w:r>
          </w:p>
        </w:tc>
        <w:tc>
          <w:tcPr>
            <w:tcW w:w="469" w:type="pct"/>
            <w:vMerge w:val="continue"/>
            <w:vAlign w:val="center"/>
          </w:tcPr>
          <w:p>
            <w:pPr>
              <w:snapToGrid w:val="0"/>
              <w:jc w:val="left"/>
              <w:outlineLvl w:val="0"/>
              <w:rPr>
                <w:rFonts w:ascii="仿宋" w:hAnsi="仿宋" w:eastAsia="仿宋" w:cs="仿宋"/>
                <w:kern w:val="0"/>
                <w:sz w:val="24"/>
                <w:highlight w:val="none"/>
              </w:rPr>
            </w:pPr>
          </w:p>
        </w:tc>
        <w:tc>
          <w:tcPr>
            <w:tcW w:w="3039" w:type="pct"/>
          </w:tcPr>
          <w:p>
            <w:pPr>
              <w:snapToGrid w:val="0"/>
              <w:jc w:val="left"/>
              <w:outlineLvl w:val="0"/>
              <w:rPr>
                <w:rFonts w:ascii="仿宋" w:hAnsi="仿宋" w:eastAsia="仿宋" w:cs="仿宋"/>
                <w:b/>
                <w:bCs/>
                <w:kern w:val="0"/>
                <w:sz w:val="24"/>
                <w:highlight w:val="none"/>
              </w:rPr>
            </w:pPr>
            <w:r>
              <w:rPr>
                <w:rFonts w:hint="eastAsia" w:ascii="仿宋" w:hAnsi="仿宋" w:eastAsia="仿宋" w:cs="仿宋"/>
                <w:b/>
                <w:bCs/>
                <w:kern w:val="0"/>
                <w:sz w:val="24"/>
                <w:highlight w:val="none"/>
              </w:rPr>
              <w:t>编制思路及技术路线：</w:t>
            </w:r>
          </w:p>
          <w:p>
            <w:pPr>
              <w:snapToGrid w:val="0"/>
              <w:jc w:val="left"/>
              <w:outlineLvl w:val="0"/>
              <w:rPr>
                <w:rFonts w:ascii="仿宋" w:hAnsi="仿宋" w:eastAsia="仿宋" w:cs="仿宋"/>
                <w:b/>
                <w:bCs/>
                <w:kern w:val="0"/>
                <w:sz w:val="24"/>
                <w:highlight w:val="none"/>
              </w:rPr>
            </w:pPr>
            <w:r>
              <w:rPr>
                <w:rFonts w:hint="eastAsia" w:ascii="仿宋" w:hAnsi="仿宋" w:eastAsia="仿宋" w:cs="仿宋"/>
                <w:b/>
                <w:bCs/>
                <w:kern w:val="0"/>
                <w:sz w:val="24"/>
                <w:highlight w:val="none"/>
              </w:rPr>
              <w:t>①研究方法合理、科学性强；工作思路清晰、技术路线科学可行；②风景名胜区总规修编思路和方法具备探索及创新内容，可实施性强。</w:t>
            </w:r>
          </w:p>
          <w:p>
            <w:pPr>
              <w:snapToGrid w:val="0"/>
              <w:jc w:val="left"/>
              <w:outlineLvl w:val="0"/>
              <w:rPr>
                <w:rFonts w:ascii="仿宋" w:hAnsi="仿宋" w:eastAsia="仿宋" w:cs="仿宋"/>
                <w:kern w:val="0"/>
                <w:highlight w:val="none"/>
              </w:rPr>
            </w:pPr>
            <w:r>
              <w:rPr>
                <w:rFonts w:hint="eastAsia" w:ascii="仿宋" w:hAnsi="仿宋" w:eastAsia="仿宋" w:cs="仿宋"/>
                <w:kern w:val="0"/>
                <w:sz w:val="24"/>
                <w:highlight w:val="none"/>
              </w:rPr>
              <w:t>每一项内容符合采购人需求的得</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分，部分符合的得</w:t>
            </w:r>
            <w:r>
              <w:rPr>
                <w:rFonts w:ascii="仿宋" w:hAnsi="仿宋" w:eastAsia="仿宋" w:cs="仿宋"/>
                <w:kern w:val="0"/>
                <w:sz w:val="24"/>
                <w:highlight w:val="none"/>
              </w:rPr>
              <w:t>1</w:t>
            </w:r>
            <w:r>
              <w:rPr>
                <w:rFonts w:hint="eastAsia" w:ascii="仿宋" w:hAnsi="仿宋" w:eastAsia="仿宋" w:cs="仿宋"/>
                <w:kern w:val="0"/>
                <w:sz w:val="24"/>
                <w:highlight w:val="none"/>
              </w:rPr>
              <w:t>分，不符合不得分。本项最高得</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分。</w:t>
            </w:r>
          </w:p>
        </w:tc>
        <w:tc>
          <w:tcPr>
            <w:tcW w:w="289" w:type="pct"/>
            <w:vAlign w:val="center"/>
          </w:tcPr>
          <w:p>
            <w:pPr>
              <w:jc w:val="center"/>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4</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8" w:type="pct"/>
            <w:vAlign w:val="center"/>
          </w:tcPr>
          <w:p>
            <w:pPr>
              <w:jc w:val="center"/>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10</w:t>
            </w:r>
          </w:p>
        </w:tc>
        <w:tc>
          <w:tcPr>
            <w:tcW w:w="469" w:type="pct"/>
            <w:vMerge w:val="continue"/>
            <w:vAlign w:val="center"/>
          </w:tcPr>
          <w:p>
            <w:pPr>
              <w:snapToGrid w:val="0"/>
              <w:jc w:val="left"/>
              <w:outlineLvl w:val="0"/>
              <w:rPr>
                <w:rFonts w:ascii="仿宋" w:hAnsi="仿宋" w:eastAsia="仿宋" w:cs="仿宋"/>
                <w:kern w:val="0"/>
                <w:sz w:val="24"/>
                <w:highlight w:val="none"/>
              </w:rPr>
            </w:pPr>
          </w:p>
        </w:tc>
        <w:tc>
          <w:tcPr>
            <w:tcW w:w="3039" w:type="pct"/>
            <w:vAlign w:val="center"/>
          </w:tcPr>
          <w:p>
            <w:pPr>
              <w:adjustRightInd/>
              <w:spacing w:line="320" w:lineRule="exact"/>
              <w:rPr>
                <w:rFonts w:ascii="仿宋" w:hAnsi="仿宋" w:eastAsia="仿宋" w:cs="仿宋"/>
                <w:b/>
                <w:bCs/>
                <w:kern w:val="0"/>
                <w:sz w:val="24"/>
                <w:highlight w:val="none"/>
              </w:rPr>
            </w:pPr>
            <w:r>
              <w:rPr>
                <w:rFonts w:hint="eastAsia" w:ascii="仿宋" w:hAnsi="仿宋" w:eastAsia="仿宋" w:cs="仿宋"/>
                <w:b/>
                <w:bCs/>
                <w:kern w:val="0"/>
                <w:sz w:val="24"/>
                <w:highlight w:val="none"/>
              </w:rPr>
              <w:t>编制重点（拟推动解决的主要问题）和难点：</w:t>
            </w:r>
          </w:p>
          <w:p>
            <w:pPr>
              <w:adjustRightInd/>
              <w:spacing w:line="320" w:lineRule="exact"/>
              <w:rPr>
                <w:rFonts w:ascii="仿宋" w:hAnsi="仿宋" w:eastAsia="仿宋" w:cs="仿宋"/>
                <w:b/>
                <w:bCs/>
                <w:kern w:val="0"/>
                <w:sz w:val="24"/>
                <w:highlight w:val="none"/>
              </w:rPr>
            </w:pPr>
            <w:r>
              <w:rPr>
                <w:rFonts w:hint="eastAsia" w:ascii="仿宋" w:hAnsi="仿宋" w:eastAsia="仿宋" w:cs="仿宋"/>
                <w:b/>
                <w:bCs/>
                <w:kern w:val="0"/>
                <w:sz w:val="24"/>
                <w:highlight w:val="none"/>
              </w:rPr>
              <w:t>根据投标人对本项目提出得研究重点、难点进行打分。</w:t>
            </w:r>
          </w:p>
          <w:p>
            <w:pPr>
              <w:adjustRightInd/>
              <w:spacing w:line="320" w:lineRule="exact"/>
              <w:rPr>
                <w:rFonts w:ascii="仿宋" w:hAnsi="仿宋" w:eastAsia="仿宋" w:cs="仿宋"/>
                <w:b/>
                <w:bCs/>
                <w:kern w:val="0"/>
                <w:sz w:val="24"/>
                <w:highlight w:val="none"/>
              </w:rPr>
            </w:pPr>
            <w:r>
              <w:rPr>
                <w:rFonts w:hint="eastAsia" w:ascii="仿宋" w:hAnsi="仿宋" w:eastAsia="仿宋" w:cs="仿宋"/>
                <w:b/>
                <w:bCs/>
                <w:kern w:val="0"/>
                <w:sz w:val="24"/>
                <w:highlight w:val="none"/>
              </w:rPr>
              <w:t>①契合背景和目的，分析到位、考虑全面；②提出相应对策，且具备合理性与可行性。</w:t>
            </w:r>
          </w:p>
          <w:p>
            <w:pPr>
              <w:adjustRightInd/>
              <w:spacing w:line="320" w:lineRule="exact"/>
              <w:rPr>
                <w:rFonts w:ascii="仿宋" w:hAnsi="仿宋" w:eastAsia="仿宋" w:cs="仿宋"/>
                <w:sz w:val="24"/>
                <w:highlight w:val="none"/>
              </w:rPr>
            </w:pPr>
            <w:r>
              <w:rPr>
                <w:rFonts w:hint="eastAsia" w:ascii="仿宋" w:hAnsi="仿宋" w:eastAsia="仿宋" w:cs="仿宋"/>
                <w:kern w:val="0"/>
                <w:sz w:val="24"/>
                <w:highlight w:val="none"/>
              </w:rPr>
              <w:t>每一项内容符合采购人需求的得</w:t>
            </w:r>
            <w:r>
              <w:rPr>
                <w:rFonts w:ascii="仿宋" w:hAnsi="仿宋" w:eastAsia="仿宋" w:cs="仿宋"/>
                <w:kern w:val="0"/>
                <w:sz w:val="24"/>
                <w:highlight w:val="none"/>
              </w:rPr>
              <w:t>1.5</w:t>
            </w:r>
            <w:r>
              <w:rPr>
                <w:rFonts w:hint="eastAsia" w:ascii="仿宋" w:hAnsi="仿宋" w:eastAsia="仿宋" w:cs="仿宋"/>
                <w:kern w:val="0"/>
                <w:sz w:val="24"/>
                <w:highlight w:val="none"/>
              </w:rPr>
              <w:t>分，部分符合的得</w:t>
            </w:r>
            <w:r>
              <w:rPr>
                <w:rFonts w:ascii="仿宋" w:hAnsi="仿宋" w:eastAsia="仿宋" w:cs="仿宋"/>
                <w:kern w:val="0"/>
                <w:sz w:val="24"/>
                <w:highlight w:val="none"/>
              </w:rPr>
              <w:t>0.5</w:t>
            </w:r>
            <w:r>
              <w:rPr>
                <w:rFonts w:hint="eastAsia" w:ascii="仿宋" w:hAnsi="仿宋" w:eastAsia="仿宋" w:cs="仿宋"/>
                <w:kern w:val="0"/>
                <w:sz w:val="24"/>
                <w:highlight w:val="none"/>
              </w:rPr>
              <w:t>分，不符合不得分。本项最高得</w:t>
            </w:r>
            <w:r>
              <w:rPr>
                <w:rFonts w:ascii="仿宋" w:hAnsi="仿宋" w:eastAsia="仿宋" w:cs="仿宋"/>
                <w:kern w:val="0"/>
                <w:sz w:val="24"/>
                <w:highlight w:val="none"/>
              </w:rPr>
              <w:t>3</w:t>
            </w:r>
            <w:r>
              <w:rPr>
                <w:rFonts w:hint="eastAsia" w:ascii="仿宋" w:hAnsi="仿宋" w:eastAsia="仿宋" w:cs="仿宋"/>
                <w:kern w:val="0"/>
                <w:sz w:val="24"/>
                <w:highlight w:val="none"/>
              </w:rPr>
              <w:t>分。</w:t>
            </w:r>
          </w:p>
        </w:tc>
        <w:tc>
          <w:tcPr>
            <w:tcW w:w="289"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3</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8" w:type="pct"/>
            <w:vAlign w:val="center"/>
          </w:tcPr>
          <w:p>
            <w:pPr>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ascii="仿宋" w:hAnsi="仿宋" w:eastAsia="仿宋" w:cs="仿宋_GB2312"/>
                <w:bCs/>
                <w:color w:val="000000" w:themeColor="text1"/>
                <w:sz w:val="24"/>
                <w:highlight w:val="none"/>
                <w14:textFill>
                  <w14:solidFill>
                    <w14:schemeClr w14:val="tx1"/>
                  </w14:solidFill>
                </w14:textFill>
              </w:rPr>
              <w:t>1</w:t>
            </w:r>
          </w:p>
        </w:tc>
        <w:tc>
          <w:tcPr>
            <w:tcW w:w="469" w:type="pct"/>
            <w:vMerge w:val="continue"/>
            <w:vAlign w:val="center"/>
          </w:tcPr>
          <w:p>
            <w:pPr>
              <w:snapToGrid w:val="0"/>
              <w:jc w:val="left"/>
              <w:outlineLvl w:val="0"/>
              <w:rPr>
                <w:rFonts w:ascii="仿宋" w:hAnsi="仿宋" w:eastAsia="仿宋" w:cs="仿宋"/>
                <w:kern w:val="0"/>
                <w:sz w:val="24"/>
                <w:highlight w:val="none"/>
              </w:rPr>
            </w:pPr>
          </w:p>
        </w:tc>
        <w:tc>
          <w:tcPr>
            <w:tcW w:w="3039" w:type="pct"/>
            <w:vAlign w:val="center"/>
          </w:tcPr>
          <w:p>
            <w:pPr>
              <w:adjustRightInd/>
              <w:spacing w:line="320" w:lineRule="exact"/>
              <w:rPr>
                <w:rFonts w:ascii="仿宋" w:hAnsi="仿宋" w:eastAsia="仿宋" w:cs="仿宋"/>
                <w:b/>
                <w:bCs/>
                <w:kern w:val="0"/>
                <w:sz w:val="24"/>
                <w:highlight w:val="none"/>
              </w:rPr>
            </w:pPr>
            <w:r>
              <w:rPr>
                <w:rFonts w:hint="eastAsia" w:ascii="仿宋" w:hAnsi="仿宋" w:eastAsia="仿宋" w:cs="仿宋"/>
                <w:b/>
                <w:bCs/>
                <w:kern w:val="0"/>
                <w:sz w:val="24"/>
                <w:highlight w:val="none"/>
              </w:rPr>
              <w:t>风景名胜区范围：</w:t>
            </w:r>
          </w:p>
          <w:p>
            <w:pPr>
              <w:adjustRightInd/>
              <w:spacing w:line="320" w:lineRule="exact"/>
              <w:rPr>
                <w:rFonts w:ascii="仿宋" w:hAnsi="仿宋" w:eastAsia="仿宋" w:cs="仿宋"/>
                <w:b/>
                <w:bCs/>
                <w:kern w:val="0"/>
                <w:sz w:val="24"/>
                <w:highlight w:val="none"/>
              </w:rPr>
            </w:pPr>
            <w:r>
              <w:rPr>
                <w:rFonts w:hint="eastAsia" w:ascii="仿宋" w:hAnsi="仿宋" w:eastAsia="仿宋" w:cs="仿宋"/>
                <w:b/>
                <w:bCs/>
                <w:kern w:val="0"/>
                <w:sz w:val="24"/>
                <w:highlight w:val="none"/>
              </w:rPr>
              <w:t>①范围划定契合背景和规划目的，考虑全面且周到； ②具备合理性与可操作性。</w:t>
            </w:r>
          </w:p>
          <w:p>
            <w:pPr>
              <w:adjustRightInd/>
              <w:spacing w:line="320" w:lineRule="exact"/>
              <w:rPr>
                <w:highlight w:val="none"/>
              </w:rPr>
            </w:pPr>
            <w:r>
              <w:rPr>
                <w:rFonts w:hint="eastAsia" w:ascii="仿宋" w:hAnsi="仿宋" w:eastAsia="仿宋" w:cs="仿宋"/>
                <w:kern w:val="0"/>
                <w:sz w:val="24"/>
                <w:highlight w:val="none"/>
              </w:rPr>
              <w:t>每一项内容符合采购人需求的得2</w:t>
            </w:r>
            <w:r>
              <w:rPr>
                <w:rFonts w:ascii="仿宋" w:hAnsi="仿宋" w:eastAsia="仿宋" w:cs="仿宋"/>
                <w:kern w:val="0"/>
                <w:sz w:val="24"/>
                <w:highlight w:val="none"/>
              </w:rPr>
              <w:t>.5</w:t>
            </w:r>
            <w:r>
              <w:rPr>
                <w:rFonts w:hint="eastAsia" w:ascii="仿宋" w:hAnsi="仿宋" w:eastAsia="仿宋" w:cs="仿宋"/>
                <w:kern w:val="0"/>
                <w:sz w:val="24"/>
                <w:highlight w:val="none"/>
              </w:rPr>
              <w:t>分，部分符合的得</w:t>
            </w:r>
            <w:r>
              <w:rPr>
                <w:rFonts w:ascii="仿宋" w:hAnsi="仿宋" w:eastAsia="仿宋" w:cs="仿宋"/>
                <w:kern w:val="0"/>
                <w:sz w:val="24"/>
                <w:highlight w:val="none"/>
              </w:rPr>
              <w:t>1</w:t>
            </w:r>
            <w:r>
              <w:rPr>
                <w:rFonts w:hint="eastAsia" w:ascii="仿宋" w:hAnsi="仿宋" w:eastAsia="仿宋" w:cs="仿宋"/>
                <w:kern w:val="0"/>
                <w:sz w:val="24"/>
                <w:highlight w:val="none"/>
              </w:rPr>
              <w:t>分，不符合不得分。本项最高得5分。</w:t>
            </w:r>
          </w:p>
        </w:tc>
        <w:tc>
          <w:tcPr>
            <w:tcW w:w="289"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5</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48" w:type="pct"/>
            <w:vAlign w:val="center"/>
          </w:tcPr>
          <w:p>
            <w:pPr>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ascii="仿宋" w:hAnsi="仿宋" w:eastAsia="仿宋" w:cs="仿宋_GB2312"/>
                <w:bCs/>
                <w:color w:val="000000" w:themeColor="text1"/>
                <w:sz w:val="24"/>
                <w:highlight w:val="none"/>
                <w14:textFill>
                  <w14:solidFill>
                    <w14:schemeClr w14:val="tx1"/>
                  </w14:solidFill>
                </w14:textFill>
              </w:rPr>
              <w:t>2</w:t>
            </w:r>
          </w:p>
        </w:tc>
        <w:tc>
          <w:tcPr>
            <w:tcW w:w="469" w:type="pct"/>
            <w:vMerge w:val="continue"/>
            <w:vAlign w:val="center"/>
          </w:tcPr>
          <w:p>
            <w:pPr>
              <w:snapToGrid w:val="0"/>
              <w:jc w:val="left"/>
              <w:outlineLvl w:val="0"/>
              <w:rPr>
                <w:rFonts w:ascii="仿宋" w:hAnsi="仿宋" w:eastAsia="仿宋" w:cs="仿宋"/>
                <w:kern w:val="0"/>
                <w:sz w:val="24"/>
                <w:highlight w:val="none"/>
              </w:rPr>
            </w:pPr>
          </w:p>
        </w:tc>
        <w:tc>
          <w:tcPr>
            <w:tcW w:w="3039" w:type="pct"/>
            <w:vAlign w:val="center"/>
          </w:tcPr>
          <w:p>
            <w:pPr>
              <w:adjustRightInd/>
              <w:spacing w:line="320" w:lineRule="exact"/>
              <w:rPr>
                <w:rFonts w:ascii="仿宋" w:hAnsi="仿宋" w:eastAsia="仿宋" w:cs="仿宋"/>
                <w:b/>
                <w:bCs/>
                <w:kern w:val="0"/>
                <w:sz w:val="24"/>
                <w:highlight w:val="none"/>
              </w:rPr>
            </w:pPr>
            <w:r>
              <w:rPr>
                <w:rFonts w:hint="eastAsia" w:ascii="仿宋" w:hAnsi="仿宋" w:eastAsia="仿宋" w:cs="仿宋"/>
                <w:b/>
                <w:bCs/>
                <w:kern w:val="0"/>
                <w:sz w:val="24"/>
                <w:highlight w:val="none"/>
              </w:rPr>
              <w:t>底线管控：</w:t>
            </w:r>
          </w:p>
          <w:p>
            <w:pPr>
              <w:adjustRightInd/>
              <w:spacing w:line="320" w:lineRule="exact"/>
              <w:rPr>
                <w:rFonts w:ascii="仿宋" w:hAnsi="仿宋" w:eastAsia="仿宋" w:cs="仿宋"/>
                <w:b/>
                <w:bCs/>
                <w:kern w:val="0"/>
                <w:sz w:val="24"/>
                <w:highlight w:val="none"/>
              </w:rPr>
            </w:pPr>
            <w:r>
              <w:rPr>
                <w:rFonts w:hint="eastAsia" w:ascii="仿宋" w:hAnsi="仿宋" w:eastAsia="仿宋" w:cs="仿宋"/>
                <w:b/>
                <w:bCs/>
                <w:kern w:val="0"/>
                <w:sz w:val="24"/>
                <w:highlight w:val="none"/>
              </w:rPr>
              <w:t>根据投标人提出的底线管控进行打分。</w:t>
            </w:r>
          </w:p>
          <w:p>
            <w:pPr>
              <w:adjustRightInd/>
              <w:spacing w:line="320" w:lineRule="exact"/>
              <w:rPr>
                <w:rFonts w:ascii="仿宋" w:hAnsi="仿宋" w:eastAsia="仿宋" w:cs="仿宋"/>
                <w:b/>
                <w:bCs/>
                <w:kern w:val="0"/>
                <w:sz w:val="24"/>
                <w:highlight w:val="none"/>
              </w:rPr>
            </w:pPr>
            <w:r>
              <w:rPr>
                <w:rFonts w:hint="eastAsia" w:ascii="仿宋" w:hAnsi="仿宋" w:eastAsia="仿宋" w:cs="仿宋"/>
                <w:b/>
                <w:bCs/>
                <w:kern w:val="0"/>
                <w:sz w:val="24"/>
                <w:highlight w:val="none"/>
              </w:rPr>
              <w:t>①思路清晰且周密；②因地制宜，结合实际。</w:t>
            </w:r>
            <w:r>
              <w:rPr>
                <w:rFonts w:ascii="仿宋" w:hAnsi="仿宋" w:eastAsia="仿宋" w:cs="仿宋"/>
                <w:b/>
                <w:bCs/>
                <w:kern w:val="0"/>
                <w:sz w:val="24"/>
                <w:highlight w:val="none"/>
              </w:rPr>
              <w:t xml:space="preserve"> </w:t>
            </w:r>
          </w:p>
          <w:p>
            <w:pPr>
              <w:adjustRightInd/>
              <w:spacing w:line="320" w:lineRule="exact"/>
              <w:rPr>
                <w:rFonts w:ascii="仿宋" w:hAnsi="仿宋" w:eastAsia="仿宋" w:cs="仿宋"/>
                <w:kern w:val="0"/>
                <w:sz w:val="24"/>
                <w:highlight w:val="none"/>
              </w:rPr>
            </w:pPr>
            <w:r>
              <w:rPr>
                <w:rFonts w:hint="eastAsia" w:ascii="仿宋" w:hAnsi="仿宋" w:eastAsia="仿宋" w:cs="仿宋"/>
                <w:kern w:val="0"/>
                <w:sz w:val="24"/>
                <w:highlight w:val="none"/>
              </w:rPr>
              <w:t>每一项内容符合采购人需求的得2</w:t>
            </w:r>
            <w:r>
              <w:rPr>
                <w:rFonts w:ascii="仿宋" w:hAnsi="仿宋" w:eastAsia="仿宋" w:cs="仿宋"/>
                <w:kern w:val="0"/>
                <w:sz w:val="24"/>
                <w:highlight w:val="none"/>
              </w:rPr>
              <w:t>.5</w:t>
            </w:r>
            <w:r>
              <w:rPr>
                <w:rFonts w:hint="eastAsia" w:ascii="仿宋" w:hAnsi="仿宋" w:eastAsia="仿宋" w:cs="仿宋"/>
                <w:kern w:val="0"/>
                <w:sz w:val="24"/>
                <w:highlight w:val="none"/>
              </w:rPr>
              <w:t>分，部分符合的得</w:t>
            </w:r>
            <w:r>
              <w:rPr>
                <w:rFonts w:ascii="仿宋" w:hAnsi="仿宋" w:eastAsia="仿宋" w:cs="仿宋"/>
                <w:kern w:val="0"/>
                <w:sz w:val="24"/>
                <w:highlight w:val="none"/>
              </w:rPr>
              <w:t>1</w:t>
            </w:r>
            <w:r>
              <w:rPr>
                <w:rFonts w:hint="eastAsia" w:ascii="仿宋" w:hAnsi="仿宋" w:eastAsia="仿宋" w:cs="仿宋"/>
                <w:kern w:val="0"/>
                <w:sz w:val="24"/>
                <w:highlight w:val="none"/>
              </w:rPr>
              <w:t>分，不符合不得分。本项最高得5分。</w:t>
            </w:r>
          </w:p>
        </w:tc>
        <w:tc>
          <w:tcPr>
            <w:tcW w:w="289"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5</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8" w:type="pct"/>
            <w:vAlign w:val="center"/>
          </w:tcPr>
          <w:p>
            <w:pPr>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ascii="仿宋" w:hAnsi="仿宋" w:eastAsia="仿宋" w:cs="仿宋_GB2312"/>
                <w:bCs/>
                <w:color w:val="000000" w:themeColor="text1"/>
                <w:sz w:val="24"/>
                <w:highlight w:val="none"/>
                <w14:textFill>
                  <w14:solidFill>
                    <w14:schemeClr w14:val="tx1"/>
                  </w14:solidFill>
                </w14:textFill>
              </w:rPr>
              <w:t>3</w:t>
            </w:r>
          </w:p>
        </w:tc>
        <w:tc>
          <w:tcPr>
            <w:tcW w:w="469" w:type="pct"/>
            <w:vMerge w:val="continue"/>
            <w:vAlign w:val="center"/>
          </w:tcPr>
          <w:p>
            <w:pPr>
              <w:snapToGrid w:val="0"/>
              <w:jc w:val="left"/>
              <w:outlineLvl w:val="0"/>
              <w:rPr>
                <w:rFonts w:ascii="仿宋" w:hAnsi="仿宋" w:eastAsia="仿宋" w:cs="仿宋"/>
                <w:kern w:val="0"/>
                <w:sz w:val="24"/>
                <w:highlight w:val="none"/>
              </w:rPr>
            </w:pPr>
          </w:p>
        </w:tc>
        <w:tc>
          <w:tcPr>
            <w:tcW w:w="3039" w:type="pct"/>
            <w:vAlign w:val="center"/>
          </w:tcPr>
          <w:p>
            <w:pPr>
              <w:adjustRightInd/>
              <w:spacing w:line="320" w:lineRule="exact"/>
              <w:rPr>
                <w:rFonts w:ascii="仿宋" w:hAnsi="仿宋" w:eastAsia="仿宋" w:cs="仿宋"/>
                <w:b/>
                <w:bCs/>
                <w:kern w:val="0"/>
                <w:sz w:val="24"/>
                <w:highlight w:val="none"/>
              </w:rPr>
            </w:pPr>
            <w:r>
              <w:rPr>
                <w:rFonts w:hint="eastAsia" w:ascii="仿宋" w:hAnsi="仿宋" w:eastAsia="仿宋" w:cs="仿宋"/>
                <w:b/>
                <w:bCs/>
                <w:kern w:val="0"/>
                <w:sz w:val="24"/>
                <w:highlight w:val="none"/>
              </w:rPr>
              <w:t>保护和发展要求：</w:t>
            </w:r>
          </w:p>
          <w:p>
            <w:pPr>
              <w:adjustRightInd/>
              <w:spacing w:line="320" w:lineRule="exact"/>
              <w:rPr>
                <w:rFonts w:ascii="仿宋" w:hAnsi="仿宋" w:eastAsia="仿宋" w:cs="仿宋"/>
                <w:b/>
                <w:bCs/>
                <w:kern w:val="0"/>
                <w:sz w:val="24"/>
                <w:highlight w:val="none"/>
              </w:rPr>
            </w:pPr>
            <w:r>
              <w:rPr>
                <w:rFonts w:hint="eastAsia" w:ascii="仿宋" w:hAnsi="仿宋" w:eastAsia="仿宋" w:cs="仿宋"/>
                <w:b/>
                <w:bCs/>
                <w:kern w:val="0"/>
                <w:sz w:val="24"/>
                <w:highlight w:val="none"/>
              </w:rPr>
              <w:t>针对投标人提出的保护和发展要求进行打分。</w:t>
            </w:r>
          </w:p>
          <w:p>
            <w:pPr>
              <w:adjustRightInd/>
              <w:spacing w:line="320" w:lineRule="exact"/>
              <w:rPr>
                <w:rFonts w:ascii="仿宋" w:hAnsi="仿宋" w:eastAsia="仿宋" w:cs="仿宋"/>
                <w:b/>
                <w:bCs/>
                <w:kern w:val="0"/>
                <w:sz w:val="24"/>
                <w:highlight w:val="none"/>
              </w:rPr>
            </w:pPr>
            <w:r>
              <w:rPr>
                <w:rFonts w:hint="eastAsia" w:ascii="仿宋" w:hAnsi="仿宋" w:eastAsia="仿宋" w:cs="仿宋"/>
                <w:b/>
                <w:bCs/>
                <w:kern w:val="0"/>
                <w:sz w:val="24"/>
                <w:highlight w:val="none"/>
              </w:rPr>
              <w:t>①符合国家、省级和地方相关规范、符合富春江-新安江风景名胜区的要求；②深刻理解了景区资源，提出准确得当的保护措施，并且发展要求符合。</w:t>
            </w:r>
          </w:p>
          <w:p>
            <w:pPr>
              <w:adjustRightInd/>
              <w:spacing w:line="320" w:lineRule="exact"/>
              <w:rPr>
                <w:rFonts w:ascii="仿宋" w:hAnsi="仿宋" w:eastAsia="仿宋" w:cs="仿宋"/>
                <w:b/>
                <w:bCs/>
                <w:kern w:val="0"/>
                <w:highlight w:val="none"/>
              </w:rPr>
            </w:pPr>
            <w:r>
              <w:rPr>
                <w:rFonts w:hint="eastAsia" w:ascii="仿宋" w:hAnsi="仿宋" w:eastAsia="仿宋" w:cs="仿宋"/>
                <w:kern w:val="0"/>
                <w:sz w:val="24"/>
                <w:highlight w:val="none"/>
              </w:rPr>
              <w:t>每一项内容符合采购人需求的得</w:t>
            </w:r>
            <w:r>
              <w:rPr>
                <w:rFonts w:hint="eastAsia" w:ascii="仿宋" w:hAnsi="仿宋" w:eastAsia="仿宋" w:cs="仿宋"/>
                <w:kern w:val="0"/>
                <w:sz w:val="24"/>
                <w:highlight w:val="none"/>
                <w:lang w:val="en-US" w:eastAsia="zh-CN"/>
              </w:rPr>
              <w:t>2.5</w:t>
            </w:r>
            <w:r>
              <w:rPr>
                <w:rFonts w:hint="eastAsia" w:ascii="仿宋" w:hAnsi="仿宋" w:eastAsia="仿宋" w:cs="仿宋"/>
                <w:kern w:val="0"/>
                <w:sz w:val="24"/>
                <w:highlight w:val="none"/>
              </w:rPr>
              <w:t>分，部分符合的得</w:t>
            </w:r>
            <w:r>
              <w:rPr>
                <w:rFonts w:ascii="仿宋" w:hAnsi="仿宋" w:eastAsia="仿宋" w:cs="仿宋"/>
                <w:kern w:val="0"/>
                <w:sz w:val="24"/>
                <w:highlight w:val="none"/>
              </w:rPr>
              <w:t>1</w:t>
            </w:r>
            <w:r>
              <w:rPr>
                <w:rFonts w:hint="eastAsia" w:ascii="仿宋" w:hAnsi="仿宋" w:eastAsia="仿宋" w:cs="仿宋"/>
                <w:kern w:val="0"/>
                <w:sz w:val="24"/>
                <w:highlight w:val="none"/>
              </w:rPr>
              <w:t>分，不符合不得分。本项最高得</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分。</w:t>
            </w:r>
          </w:p>
        </w:tc>
        <w:tc>
          <w:tcPr>
            <w:tcW w:w="289" w:type="pct"/>
            <w:vAlign w:val="center"/>
          </w:tcPr>
          <w:p>
            <w:pPr>
              <w:jc w:val="center"/>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5</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8" w:type="pct"/>
            <w:vAlign w:val="center"/>
          </w:tcPr>
          <w:p>
            <w:pPr>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ascii="仿宋" w:hAnsi="仿宋" w:eastAsia="仿宋" w:cs="仿宋_GB2312"/>
                <w:bCs/>
                <w:color w:val="000000" w:themeColor="text1"/>
                <w:sz w:val="24"/>
                <w:highlight w:val="none"/>
                <w14:textFill>
                  <w14:solidFill>
                    <w14:schemeClr w14:val="tx1"/>
                  </w14:solidFill>
                </w14:textFill>
              </w:rPr>
              <w:t>4</w:t>
            </w:r>
          </w:p>
        </w:tc>
        <w:tc>
          <w:tcPr>
            <w:tcW w:w="469" w:type="pct"/>
            <w:vMerge w:val="continue"/>
            <w:vAlign w:val="center"/>
          </w:tcPr>
          <w:p>
            <w:pPr>
              <w:snapToGrid w:val="0"/>
              <w:jc w:val="left"/>
              <w:outlineLvl w:val="0"/>
              <w:rPr>
                <w:rFonts w:ascii="仿宋" w:hAnsi="仿宋" w:eastAsia="仿宋" w:cs="仿宋"/>
                <w:kern w:val="0"/>
                <w:sz w:val="24"/>
                <w:highlight w:val="none"/>
              </w:rPr>
            </w:pPr>
          </w:p>
        </w:tc>
        <w:tc>
          <w:tcPr>
            <w:tcW w:w="3039" w:type="pct"/>
            <w:vAlign w:val="center"/>
          </w:tcPr>
          <w:p>
            <w:pPr>
              <w:adjustRightInd/>
              <w:spacing w:line="320" w:lineRule="exact"/>
              <w:rPr>
                <w:rFonts w:ascii="仿宋" w:hAnsi="仿宋" w:eastAsia="仿宋" w:cs="仿宋"/>
                <w:b/>
                <w:bCs/>
                <w:sz w:val="24"/>
                <w:highlight w:val="none"/>
              </w:rPr>
            </w:pPr>
            <w:r>
              <w:rPr>
                <w:rFonts w:hint="eastAsia" w:ascii="仿宋" w:hAnsi="仿宋" w:eastAsia="仿宋" w:cs="仿宋"/>
                <w:b/>
                <w:bCs/>
                <w:sz w:val="24"/>
                <w:highlight w:val="none"/>
              </w:rPr>
              <w:t>游赏体系构建：</w:t>
            </w:r>
          </w:p>
          <w:p>
            <w:pPr>
              <w:adjustRightInd/>
              <w:spacing w:line="320" w:lineRule="exact"/>
              <w:rPr>
                <w:rFonts w:ascii="仿宋" w:hAnsi="仿宋" w:eastAsia="仿宋" w:cs="仿宋"/>
                <w:sz w:val="24"/>
                <w:highlight w:val="none"/>
              </w:rPr>
            </w:pPr>
            <w:r>
              <w:rPr>
                <w:rFonts w:hint="eastAsia" w:ascii="仿宋" w:hAnsi="仿宋" w:eastAsia="仿宋" w:cs="仿宋"/>
                <w:b/>
                <w:bCs/>
                <w:sz w:val="24"/>
                <w:highlight w:val="none"/>
              </w:rPr>
              <w:t>针对投标人提出的游赏体系构建进行打分。</w:t>
            </w:r>
            <w:r>
              <w:rPr>
                <w:rFonts w:hint="eastAsia" w:ascii="仿宋" w:hAnsi="仿宋" w:eastAsia="仿宋" w:cs="仿宋"/>
                <w:b/>
                <w:bCs/>
                <w:kern w:val="0"/>
                <w:sz w:val="24"/>
                <w:highlight w:val="none"/>
              </w:rPr>
              <w:t>①</w:t>
            </w:r>
            <w:r>
              <w:rPr>
                <w:rFonts w:hint="eastAsia" w:ascii="仿宋" w:hAnsi="仿宋" w:eastAsia="仿宋" w:cs="仿宋"/>
                <w:b/>
                <w:bCs/>
                <w:sz w:val="24"/>
                <w:highlight w:val="none"/>
              </w:rPr>
              <w:t>对景区特质把握准确，发展思路符合未来趋势；</w:t>
            </w:r>
            <w:r>
              <w:rPr>
                <w:rFonts w:hint="eastAsia" w:ascii="仿宋" w:hAnsi="仿宋" w:eastAsia="仿宋" w:cs="仿宋"/>
                <w:b/>
                <w:bCs/>
                <w:kern w:val="0"/>
                <w:sz w:val="24"/>
                <w:highlight w:val="none"/>
              </w:rPr>
              <w:t>②</w:t>
            </w:r>
            <w:r>
              <w:rPr>
                <w:rFonts w:hint="eastAsia" w:ascii="仿宋" w:hAnsi="仿宋" w:eastAsia="仿宋" w:cs="仿宋"/>
                <w:b/>
                <w:bCs/>
                <w:sz w:val="24"/>
                <w:highlight w:val="none"/>
              </w:rPr>
              <w:t>能突显景区自身优势与特色，且具备可操作性；</w:t>
            </w:r>
          </w:p>
          <w:p>
            <w:pPr>
              <w:adjustRightInd/>
              <w:spacing w:line="320" w:lineRule="exact"/>
              <w:rPr>
                <w:rFonts w:ascii="仿宋" w:hAnsi="仿宋" w:eastAsia="仿宋" w:cs="仿宋"/>
                <w:b/>
                <w:bCs/>
                <w:sz w:val="24"/>
                <w:highlight w:val="none"/>
              </w:rPr>
            </w:pPr>
            <w:r>
              <w:rPr>
                <w:rFonts w:hint="eastAsia" w:ascii="仿宋" w:hAnsi="仿宋" w:eastAsia="仿宋" w:cs="仿宋"/>
                <w:sz w:val="24"/>
                <w:highlight w:val="none"/>
              </w:rPr>
              <w:t>每一项内容符合采购人需求的得2</w:t>
            </w:r>
            <w:r>
              <w:rPr>
                <w:rFonts w:ascii="仿宋" w:hAnsi="仿宋" w:eastAsia="仿宋" w:cs="仿宋"/>
                <w:sz w:val="24"/>
                <w:highlight w:val="none"/>
              </w:rPr>
              <w:t>.5</w:t>
            </w:r>
            <w:r>
              <w:rPr>
                <w:rFonts w:hint="eastAsia" w:ascii="仿宋" w:hAnsi="仿宋" w:eastAsia="仿宋" w:cs="仿宋"/>
                <w:sz w:val="24"/>
                <w:highlight w:val="none"/>
              </w:rPr>
              <w:t>分，部分符合的得</w:t>
            </w:r>
            <w:r>
              <w:rPr>
                <w:rFonts w:ascii="仿宋" w:hAnsi="仿宋" w:eastAsia="仿宋" w:cs="仿宋"/>
                <w:sz w:val="24"/>
                <w:highlight w:val="none"/>
              </w:rPr>
              <w:t>1</w:t>
            </w:r>
            <w:r>
              <w:rPr>
                <w:rFonts w:hint="eastAsia" w:ascii="仿宋" w:hAnsi="仿宋" w:eastAsia="仿宋" w:cs="仿宋"/>
                <w:sz w:val="24"/>
                <w:highlight w:val="none"/>
              </w:rPr>
              <w:t>分，不符合不得分。本项最高得5分。</w:t>
            </w:r>
          </w:p>
        </w:tc>
        <w:tc>
          <w:tcPr>
            <w:tcW w:w="289"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5</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8" w:type="pct"/>
            <w:vAlign w:val="center"/>
          </w:tcPr>
          <w:p>
            <w:pPr>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ascii="仿宋" w:hAnsi="仿宋" w:eastAsia="仿宋" w:cs="仿宋_GB2312"/>
                <w:bCs/>
                <w:color w:val="000000" w:themeColor="text1"/>
                <w:sz w:val="24"/>
                <w:highlight w:val="none"/>
                <w14:textFill>
                  <w14:solidFill>
                    <w14:schemeClr w14:val="tx1"/>
                  </w14:solidFill>
                </w14:textFill>
              </w:rPr>
              <w:t>5</w:t>
            </w:r>
          </w:p>
        </w:tc>
        <w:tc>
          <w:tcPr>
            <w:tcW w:w="469" w:type="pct"/>
            <w:vMerge w:val="continue"/>
            <w:vAlign w:val="center"/>
          </w:tcPr>
          <w:p>
            <w:pPr>
              <w:snapToGrid w:val="0"/>
              <w:jc w:val="left"/>
              <w:outlineLvl w:val="0"/>
              <w:rPr>
                <w:rFonts w:ascii="仿宋" w:hAnsi="仿宋" w:eastAsia="仿宋" w:cs="仿宋"/>
                <w:kern w:val="0"/>
                <w:sz w:val="24"/>
                <w:highlight w:val="none"/>
              </w:rPr>
            </w:pPr>
          </w:p>
        </w:tc>
        <w:tc>
          <w:tcPr>
            <w:tcW w:w="3039" w:type="pct"/>
            <w:vAlign w:val="center"/>
          </w:tcPr>
          <w:p>
            <w:pPr>
              <w:adjustRightInd/>
              <w:spacing w:line="320" w:lineRule="exact"/>
              <w:rPr>
                <w:rFonts w:ascii="仿宋" w:hAnsi="仿宋" w:eastAsia="仿宋" w:cs="仿宋"/>
                <w:b/>
                <w:bCs/>
                <w:sz w:val="24"/>
                <w:highlight w:val="none"/>
              </w:rPr>
            </w:pPr>
            <w:r>
              <w:rPr>
                <w:rFonts w:hint="eastAsia" w:ascii="仿宋" w:hAnsi="仿宋" w:eastAsia="仿宋" w:cs="仿宋"/>
                <w:b/>
                <w:bCs/>
                <w:sz w:val="24"/>
                <w:highlight w:val="none"/>
              </w:rPr>
              <w:t>旅游服务功能完善：</w:t>
            </w:r>
          </w:p>
          <w:p>
            <w:pPr>
              <w:adjustRightInd/>
              <w:spacing w:line="320" w:lineRule="exact"/>
              <w:rPr>
                <w:rFonts w:ascii="仿宋" w:hAnsi="仿宋" w:eastAsia="仿宋" w:cs="仿宋"/>
                <w:b/>
                <w:bCs/>
                <w:sz w:val="24"/>
                <w:highlight w:val="none"/>
              </w:rPr>
            </w:pPr>
            <w:r>
              <w:rPr>
                <w:rFonts w:hint="eastAsia" w:ascii="仿宋" w:hAnsi="仿宋" w:eastAsia="仿宋" w:cs="仿宋"/>
                <w:b/>
                <w:bCs/>
                <w:sz w:val="24"/>
                <w:highlight w:val="none"/>
              </w:rPr>
              <w:t>针对投标人对旅游服务功能完善的思路进行打分。</w:t>
            </w:r>
          </w:p>
          <w:p>
            <w:pPr>
              <w:adjustRightInd/>
              <w:spacing w:line="320" w:lineRule="exact"/>
              <w:rPr>
                <w:rFonts w:ascii="仿宋" w:hAnsi="仿宋" w:eastAsia="仿宋" w:cs="仿宋"/>
                <w:b/>
                <w:bCs/>
                <w:sz w:val="24"/>
                <w:highlight w:val="none"/>
              </w:rPr>
            </w:pPr>
            <w:r>
              <w:rPr>
                <w:rFonts w:hint="eastAsia" w:ascii="仿宋" w:hAnsi="仿宋" w:eastAsia="仿宋" w:cs="仿宋"/>
                <w:b/>
                <w:bCs/>
                <w:kern w:val="0"/>
                <w:sz w:val="24"/>
                <w:highlight w:val="none"/>
              </w:rPr>
              <w:t>①了解</w:t>
            </w:r>
            <w:r>
              <w:rPr>
                <w:rFonts w:hint="eastAsia" w:ascii="仿宋" w:hAnsi="仿宋" w:eastAsia="仿宋" w:cs="仿宋"/>
                <w:b/>
                <w:bCs/>
                <w:sz w:val="24"/>
                <w:highlight w:val="none"/>
              </w:rPr>
              <w:t>景区内旅游服务设施的现状以及目前的运行情况；</w:t>
            </w:r>
            <w:r>
              <w:rPr>
                <w:rFonts w:hint="eastAsia" w:ascii="仿宋" w:hAnsi="仿宋" w:eastAsia="仿宋" w:cs="仿宋"/>
                <w:b/>
                <w:bCs/>
                <w:kern w:val="0"/>
                <w:sz w:val="24"/>
                <w:highlight w:val="none"/>
              </w:rPr>
              <w:t>②</w:t>
            </w:r>
            <w:r>
              <w:rPr>
                <w:rFonts w:hint="eastAsia" w:ascii="仿宋" w:hAnsi="仿宋" w:eastAsia="仿宋" w:cs="仿宋"/>
                <w:b/>
                <w:bCs/>
                <w:sz w:val="24"/>
                <w:highlight w:val="none"/>
              </w:rPr>
              <w:t>提出切实可行的旅游服务功能完善方案。</w:t>
            </w:r>
          </w:p>
          <w:p>
            <w:pPr>
              <w:adjustRightInd/>
              <w:spacing w:line="320" w:lineRule="exact"/>
              <w:rPr>
                <w:rFonts w:ascii="仿宋" w:hAnsi="仿宋" w:eastAsia="仿宋" w:cs="仿宋"/>
                <w:b/>
                <w:bCs/>
                <w:sz w:val="24"/>
                <w:highlight w:val="none"/>
              </w:rPr>
            </w:pPr>
            <w:r>
              <w:rPr>
                <w:rFonts w:hint="eastAsia" w:ascii="仿宋" w:hAnsi="仿宋" w:eastAsia="仿宋" w:cs="仿宋"/>
                <w:sz w:val="24"/>
                <w:highlight w:val="none"/>
              </w:rPr>
              <w:t>每一项内容符合采购人需求的得2</w:t>
            </w:r>
            <w:r>
              <w:rPr>
                <w:rFonts w:ascii="仿宋" w:hAnsi="仿宋" w:eastAsia="仿宋" w:cs="仿宋"/>
                <w:sz w:val="24"/>
                <w:highlight w:val="none"/>
              </w:rPr>
              <w:t>.5</w:t>
            </w:r>
            <w:r>
              <w:rPr>
                <w:rFonts w:hint="eastAsia" w:ascii="仿宋" w:hAnsi="仿宋" w:eastAsia="仿宋" w:cs="仿宋"/>
                <w:sz w:val="24"/>
                <w:highlight w:val="none"/>
              </w:rPr>
              <w:t>分，部分符合的得</w:t>
            </w:r>
            <w:r>
              <w:rPr>
                <w:rFonts w:ascii="仿宋" w:hAnsi="仿宋" w:eastAsia="仿宋" w:cs="仿宋"/>
                <w:sz w:val="24"/>
                <w:highlight w:val="none"/>
              </w:rPr>
              <w:t>1</w:t>
            </w:r>
            <w:r>
              <w:rPr>
                <w:rFonts w:hint="eastAsia" w:ascii="仿宋" w:hAnsi="仿宋" w:eastAsia="仿宋" w:cs="仿宋"/>
                <w:sz w:val="24"/>
                <w:highlight w:val="none"/>
              </w:rPr>
              <w:t>分，不符合不得分。本项最高得5分。</w:t>
            </w:r>
          </w:p>
        </w:tc>
        <w:tc>
          <w:tcPr>
            <w:tcW w:w="289"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5</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8" w:type="pct"/>
            <w:vAlign w:val="center"/>
          </w:tcPr>
          <w:p>
            <w:pPr>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ascii="仿宋" w:hAnsi="仿宋" w:eastAsia="仿宋" w:cs="仿宋_GB2312"/>
                <w:bCs/>
                <w:color w:val="000000" w:themeColor="text1"/>
                <w:sz w:val="24"/>
                <w:highlight w:val="none"/>
                <w14:textFill>
                  <w14:solidFill>
                    <w14:schemeClr w14:val="tx1"/>
                  </w14:solidFill>
                </w14:textFill>
              </w:rPr>
              <w:t>6</w:t>
            </w:r>
          </w:p>
        </w:tc>
        <w:tc>
          <w:tcPr>
            <w:tcW w:w="469" w:type="pct"/>
            <w:vMerge w:val="continue"/>
            <w:vAlign w:val="center"/>
          </w:tcPr>
          <w:p>
            <w:pPr>
              <w:snapToGrid w:val="0"/>
              <w:jc w:val="left"/>
              <w:outlineLvl w:val="0"/>
              <w:rPr>
                <w:rFonts w:ascii="仿宋" w:hAnsi="仿宋" w:eastAsia="仿宋" w:cs="仿宋"/>
                <w:kern w:val="0"/>
                <w:sz w:val="24"/>
                <w:highlight w:val="none"/>
              </w:rPr>
            </w:pPr>
          </w:p>
        </w:tc>
        <w:tc>
          <w:tcPr>
            <w:tcW w:w="3039" w:type="pct"/>
            <w:vAlign w:val="center"/>
          </w:tcPr>
          <w:p>
            <w:pPr>
              <w:adjustRightInd/>
              <w:spacing w:line="320" w:lineRule="exact"/>
              <w:rPr>
                <w:rFonts w:ascii="仿宋" w:hAnsi="仿宋" w:eastAsia="仿宋" w:cs="仿宋"/>
                <w:b/>
                <w:bCs/>
                <w:sz w:val="24"/>
                <w:highlight w:val="none"/>
              </w:rPr>
            </w:pPr>
            <w:r>
              <w:rPr>
                <w:rFonts w:hint="eastAsia" w:ascii="仿宋" w:hAnsi="仿宋" w:eastAsia="仿宋" w:cs="仿宋"/>
                <w:b/>
                <w:bCs/>
                <w:sz w:val="24"/>
                <w:highlight w:val="none"/>
              </w:rPr>
              <w:t>道路交通体系：</w:t>
            </w:r>
          </w:p>
          <w:p>
            <w:pPr>
              <w:adjustRightInd/>
              <w:spacing w:line="320" w:lineRule="exact"/>
              <w:rPr>
                <w:rFonts w:ascii="仿宋" w:hAnsi="仿宋" w:eastAsia="仿宋" w:cs="仿宋"/>
                <w:b/>
                <w:bCs/>
                <w:sz w:val="24"/>
                <w:highlight w:val="none"/>
              </w:rPr>
            </w:pPr>
            <w:r>
              <w:rPr>
                <w:rFonts w:hint="eastAsia" w:ascii="仿宋" w:hAnsi="仿宋" w:eastAsia="仿宋" w:cs="仿宋"/>
                <w:b/>
                <w:bCs/>
                <w:sz w:val="24"/>
                <w:highlight w:val="none"/>
              </w:rPr>
              <w:t>针对投标人对风景区的道路现状的解读，以及提出的风景区交通体系规划要点进行打分。</w:t>
            </w:r>
          </w:p>
          <w:p>
            <w:pPr>
              <w:adjustRightInd/>
              <w:spacing w:line="320" w:lineRule="exact"/>
              <w:rPr>
                <w:rFonts w:ascii="仿宋" w:hAnsi="仿宋" w:eastAsia="仿宋" w:cs="仿宋"/>
                <w:b/>
                <w:bCs/>
                <w:sz w:val="24"/>
                <w:highlight w:val="none"/>
              </w:rPr>
            </w:pPr>
            <w:r>
              <w:rPr>
                <w:rFonts w:hint="eastAsia" w:ascii="仿宋" w:hAnsi="仿宋" w:eastAsia="仿宋" w:cs="仿宋"/>
                <w:b/>
                <w:bCs/>
                <w:kern w:val="0"/>
                <w:sz w:val="24"/>
                <w:highlight w:val="none"/>
              </w:rPr>
              <w:t>①</w:t>
            </w:r>
            <w:r>
              <w:rPr>
                <w:rFonts w:hint="eastAsia" w:ascii="仿宋" w:hAnsi="仿宋" w:eastAsia="仿宋" w:cs="仿宋"/>
                <w:b/>
                <w:bCs/>
                <w:sz w:val="24"/>
                <w:highlight w:val="none"/>
              </w:rPr>
              <w:t>能准确指出景区内道路交通的现状问题，并分析出原因所在；</w:t>
            </w:r>
            <w:r>
              <w:rPr>
                <w:rFonts w:hint="eastAsia" w:ascii="仿宋" w:hAnsi="仿宋" w:eastAsia="仿宋" w:cs="仿宋"/>
                <w:b/>
                <w:bCs/>
                <w:kern w:val="0"/>
                <w:sz w:val="24"/>
                <w:highlight w:val="none"/>
              </w:rPr>
              <w:t>②</w:t>
            </w:r>
            <w:r>
              <w:rPr>
                <w:rFonts w:hint="eastAsia" w:ascii="仿宋" w:hAnsi="仿宋" w:eastAsia="仿宋" w:cs="仿宋"/>
                <w:b/>
                <w:bCs/>
                <w:sz w:val="24"/>
                <w:highlight w:val="none"/>
              </w:rPr>
              <w:t>提出切实可行的交通体系方案。</w:t>
            </w:r>
          </w:p>
          <w:p>
            <w:pPr>
              <w:adjustRightInd/>
              <w:spacing w:line="320" w:lineRule="exact"/>
              <w:rPr>
                <w:rFonts w:ascii="仿宋" w:hAnsi="仿宋" w:eastAsia="仿宋" w:cs="仿宋"/>
                <w:sz w:val="24"/>
                <w:highlight w:val="none"/>
              </w:rPr>
            </w:pPr>
            <w:r>
              <w:rPr>
                <w:rFonts w:hint="eastAsia" w:ascii="仿宋" w:hAnsi="仿宋" w:eastAsia="仿宋" w:cs="仿宋"/>
                <w:sz w:val="24"/>
                <w:highlight w:val="none"/>
              </w:rPr>
              <w:t>每一项内容符合采购人需求的得2</w:t>
            </w:r>
            <w:r>
              <w:rPr>
                <w:rFonts w:ascii="仿宋" w:hAnsi="仿宋" w:eastAsia="仿宋" w:cs="仿宋"/>
                <w:sz w:val="24"/>
                <w:highlight w:val="none"/>
              </w:rPr>
              <w:t>.5</w:t>
            </w:r>
            <w:r>
              <w:rPr>
                <w:rFonts w:hint="eastAsia" w:ascii="仿宋" w:hAnsi="仿宋" w:eastAsia="仿宋" w:cs="仿宋"/>
                <w:sz w:val="24"/>
                <w:highlight w:val="none"/>
              </w:rPr>
              <w:t>分，部分符合的得</w:t>
            </w:r>
            <w:r>
              <w:rPr>
                <w:rFonts w:ascii="仿宋" w:hAnsi="仿宋" w:eastAsia="仿宋" w:cs="仿宋"/>
                <w:sz w:val="24"/>
                <w:highlight w:val="none"/>
              </w:rPr>
              <w:t>1</w:t>
            </w:r>
            <w:r>
              <w:rPr>
                <w:rFonts w:hint="eastAsia" w:ascii="仿宋" w:hAnsi="仿宋" w:eastAsia="仿宋" w:cs="仿宋"/>
                <w:sz w:val="24"/>
                <w:highlight w:val="none"/>
              </w:rPr>
              <w:t>分，不符合不得分。本项最高得5分。</w:t>
            </w:r>
          </w:p>
        </w:tc>
        <w:tc>
          <w:tcPr>
            <w:tcW w:w="289"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5</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8" w:type="pct"/>
            <w:vAlign w:val="center"/>
          </w:tcPr>
          <w:p>
            <w:pPr>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ascii="仿宋" w:hAnsi="仿宋" w:eastAsia="仿宋" w:cs="仿宋_GB2312"/>
                <w:bCs/>
                <w:color w:val="000000" w:themeColor="text1"/>
                <w:sz w:val="24"/>
                <w:highlight w:val="none"/>
                <w14:textFill>
                  <w14:solidFill>
                    <w14:schemeClr w14:val="tx1"/>
                  </w14:solidFill>
                </w14:textFill>
              </w:rPr>
              <w:t>7</w:t>
            </w:r>
          </w:p>
        </w:tc>
        <w:tc>
          <w:tcPr>
            <w:tcW w:w="469" w:type="pct"/>
            <w:vMerge w:val="continue"/>
            <w:vAlign w:val="center"/>
          </w:tcPr>
          <w:p>
            <w:pPr>
              <w:snapToGrid w:val="0"/>
              <w:jc w:val="left"/>
              <w:outlineLvl w:val="0"/>
              <w:rPr>
                <w:rFonts w:ascii="仿宋" w:hAnsi="仿宋" w:eastAsia="仿宋" w:cs="仿宋"/>
                <w:kern w:val="0"/>
                <w:sz w:val="24"/>
                <w:highlight w:val="none"/>
              </w:rPr>
            </w:pPr>
          </w:p>
        </w:tc>
        <w:tc>
          <w:tcPr>
            <w:tcW w:w="3039" w:type="pct"/>
            <w:vAlign w:val="center"/>
          </w:tcPr>
          <w:p>
            <w:pPr>
              <w:adjustRightInd/>
              <w:spacing w:line="320" w:lineRule="exact"/>
              <w:rPr>
                <w:rFonts w:ascii="仿宋" w:hAnsi="仿宋" w:eastAsia="仿宋" w:cs="仿宋"/>
                <w:b/>
                <w:bCs/>
                <w:sz w:val="24"/>
                <w:highlight w:val="none"/>
              </w:rPr>
            </w:pPr>
            <w:r>
              <w:rPr>
                <w:rFonts w:hint="eastAsia" w:ascii="仿宋" w:hAnsi="仿宋" w:eastAsia="仿宋" w:cs="仿宋"/>
                <w:b/>
                <w:bCs/>
                <w:sz w:val="24"/>
                <w:highlight w:val="none"/>
              </w:rPr>
              <w:t>景中村空间布局及管控：</w:t>
            </w:r>
          </w:p>
          <w:p>
            <w:pPr>
              <w:adjustRightInd/>
              <w:spacing w:line="320" w:lineRule="exact"/>
              <w:rPr>
                <w:rFonts w:ascii="仿宋" w:hAnsi="仿宋" w:eastAsia="仿宋" w:cs="仿宋"/>
                <w:b/>
                <w:bCs/>
                <w:sz w:val="24"/>
                <w:highlight w:val="none"/>
              </w:rPr>
            </w:pPr>
            <w:r>
              <w:rPr>
                <w:rFonts w:hint="eastAsia" w:ascii="仿宋" w:hAnsi="仿宋" w:eastAsia="仿宋" w:cs="仿宋"/>
                <w:b/>
                <w:bCs/>
                <w:sz w:val="24"/>
                <w:highlight w:val="none"/>
              </w:rPr>
              <w:t>针对投标人对景中村现状的了解，以及所提出的村落发展的空间布局、管控体系等进行打分。</w:t>
            </w:r>
          </w:p>
          <w:p>
            <w:pPr>
              <w:adjustRightInd/>
              <w:spacing w:line="320" w:lineRule="exact"/>
              <w:rPr>
                <w:rFonts w:ascii="仿宋" w:hAnsi="仿宋" w:eastAsia="仿宋" w:cs="仿宋"/>
                <w:b/>
                <w:bCs/>
                <w:sz w:val="24"/>
                <w:highlight w:val="none"/>
              </w:rPr>
            </w:pPr>
            <w:r>
              <w:rPr>
                <w:rFonts w:hint="eastAsia" w:ascii="仿宋" w:hAnsi="仿宋" w:eastAsia="仿宋" w:cs="仿宋"/>
                <w:b/>
                <w:bCs/>
                <w:kern w:val="0"/>
                <w:sz w:val="24"/>
                <w:highlight w:val="none"/>
              </w:rPr>
              <w:t>①</w:t>
            </w:r>
            <w:r>
              <w:rPr>
                <w:rFonts w:hint="eastAsia" w:ascii="仿宋" w:hAnsi="仿宋" w:eastAsia="仿宋" w:cs="仿宋"/>
                <w:b/>
                <w:bCs/>
                <w:sz w:val="24"/>
                <w:highlight w:val="none"/>
              </w:rPr>
              <w:t>对景中村的现状情况比较了解，资料翔实；</w:t>
            </w:r>
            <w:r>
              <w:rPr>
                <w:rFonts w:hint="eastAsia" w:ascii="仿宋" w:hAnsi="仿宋" w:eastAsia="仿宋" w:cs="仿宋"/>
                <w:b/>
                <w:bCs/>
                <w:kern w:val="0"/>
                <w:sz w:val="24"/>
                <w:highlight w:val="none"/>
              </w:rPr>
              <w:t>②</w:t>
            </w:r>
            <w:r>
              <w:rPr>
                <w:rFonts w:hint="eastAsia" w:ascii="仿宋" w:hAnsi="仿宋" w:eastAsia="仿宋" w:cs="仿宋"/>
                <w:b/>
                <w:bCs/>
                <w:sz w:val="24"/>
                <w:highlight w:val="none"/>
              </w:rPr>
              <w:t>提出具体且合理的空间布局及管控要点。</w:t>
            </w:r>
          </w:p>
          <w:p>
            <w:pPr>
              <w:pStyle w:val="2"/>
              <w:ind w:left="0" w:leftChars="0" w:firstLine="0" w:firstLineChars="0"/>
              <w:jc w:val="left"/>
              <w:rPr>
                <w:highlight w:val="none"/>
              </w:rPr>
            </w:pPr>
            <w:r>
              <w:rPr>
                <w:rFonts w:hint="eastAsia" w:ascii="仿宋" w:hAnsi="仿宋" w:eastAsia="仿宋" w:cs="仿宋"/>
                <w:sz w:val="24"/>
                <w:highlight w:val="none"/>
              </w:rPr>
              <w:t>每一项内容符合采购人需求的得2</w:t>
            </w:r>
            <w:r>
              <w:rPr>
                <w:rFonts w:ascii="仿宋" w:hAnsi="仿宋" w:eastAsia="仿宋" w:cs="仿宋"/>
                <w:sz w:val="24"/>
                <w:highlight w:val="none"/>
              </w:rPr>
              <w:t>.5</w:t>
            </w:r>
            <w:r>
              <w:rPr>
                <w:rFonts w:hint="eastAsia" w:ascii="仿宋" w:hAnsi="仿宋" w:eastAsia="仿宋" w:cs="仿宋"/>
                <w:sz w:val="24"/>
                <w:highlight w:val="none"/>
              </w:rPr>
              <w:t>分，部分符合的得</w:t>
            </w:r>
            <w:r>
              <w:rPr>
                <w:rFonts w:ascii="仿宋" w:hAnsi="仿宋" w:eastAsia="仿宋" w:cs="仿宋"/>
                <w:sz w:val="24"/>
                <w:highlight w:val="none"/>
              </w:rPr>
              <w:t>1</w:t>
            </w:r>
            <w:r>
              <w:rPr>
                <w:rFonts w:hint="eastAsia" w:ascii="仿宋" w:hAnsi="仿宋" w:eastAsia="仿宋" w:cs="仿宋"/>
                <w:sz w:val="24"/>
                <w:highlight w:val="none"/>
              </w:rPr>
              <w:t>分，不符合不得分。本项最高得5分。</w:t>
            </w:r>
          </w:p>
        </w:tc>
        <w:tc>
          <w:tcPr>
            <w:tcW w:w="289"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5</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8" w:type="pct"/>
            <w:vAlign w:val="center"/>
          </w:tcPr>
          <w:p>
            <w:pPr>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ascii="仿宋" w:hAnsi="仿宋" w:eastAsia="仿宋" w:cs="仿宋_GB2312"/>
                <w:bCs/>
                <w:color w:val="000000" w:themeColor="text1"/>
                <w:sz w:val="24"/>
                <w:highlight w:val="none"/>
                <w14:textFill>
                  <w14:solidFill>
                    <w14:schemeClr w14:val="tx1"/>
                  </w14:solidFill>
                </w14:textFill>
              </w:rPr>
              <w:t>8</w:t>
            </w:r>
          </w:p>
        </w:tc>
        <w:tc>
          <w:tcPr>
            <w:tcW w:w="469" w:type="pct"/>
            <w:vMerge w:val="continue"/>
            <w:vAlign w:val="center"/>
          </w:tcPr>
          <w:p>
            <w:pPr>
              <w:snapToGrid w:val="0"/>
              <w:jc w:val="left"/>
              <w:outlineLvl w:val="0"/>
              <w:rPr>
                <w:rFonts w:ascii="仿宋" w:hAnsi="仿宋" w:eastAsia="仿宋" w:cs="仿宋"/>
                <w:kern w:val="0"/>
                <w:sz w:val="24"/>
                <w:highlight w:val="none"/>
              </w:rPr>
            </w:pPr>
          </w:p>
        </w:tc>
        <w:tc>
          <w:tcPr>
            <w:tcW w:w="3039" w:type="pct"/>
            <w:vAlign w:val="center"/>
          </w:tcPr>
          <w:p>
            <w:pPr>
              <w:adjustRightInd/>
              <w:spacing w:line="320" w:lineRule="exact"/>
              <w:rPr>
                <w:rFonts w:ascii="仿宋" w:hAnsi="仿宋" w:eastAsia="仿宋" w:cs="仿宋"/>
                <w:b/>
                <w:bCs/>
                <w:sz w:val="24"/>
                <w:highlight w:val="none"/>
              </w:rPr>
            </w:pPr>
            <w:r>
              <w:rPr>
                <w:rFonts w:hint="eastAsia" w:ascii="仿宋" w:hAnsi="仿宋" w:eastAsia="仿宋" w:cs="仿宋"/>
                <w:b/>
                <w:bCs/>
                <w:sz w:val="24"/>
                <w:highlight w:val="none"/>
              </w:rPr>
              <w:t>后续详细规划指引：</w:t>
            </w:r>
          </w:p>
          <w:p>
            <w:pPr>
              <w:adjustRightInd/>
              <w:spacing w:line="320" w:lineRule="exact"/>
              <w:rPr>
                <w:rFonts w:ascii="仿宋" w:hAnsi="仿宋" w:eastAsia="仿宋" w:cs="仿宋"/>
                <w:b/>
                <w:bCs/>
                <w:sz w:val="24"/>
                <w:highlight w:val="none"/>
              </w:rPr>
            </w:pPr>
            <w:r>
              <w:rPr>
                <w:rFonts w:hint="eastAsia" w:ascii="仿宋" w:hAnsi="仿宋" w:eastAsia="仿宋" w:cs="仿宋"/>
                <w:b/>
                <w:bCs/>
                <w:sz w:val="24"/>
                <w:highlight w:val="none"/>
              </w:rPr>
              <w:t>针对投标人对后续详细规划的指引进行打分。</w:t>
            </w:r>
          </w:p>
          <w:p>
            <w:pPr>
              <w:adjustRightInd/>
              <w:spacing w:line="320" w:lineRule="exact"/>
              <w:rPr>
                <w:rFonts w:ascii="仿宋" w:hAnsi="仿宋" w:eastAsia="仿宋" w:cs="仿宋"/>
                <w:b/>
                <w:bCs/>
                <w:sz w:val="24"/>
                <w:highlight w:val="none"/>
              </w:rPr>
            </w:pPr>
            <w:r>
              <w:rPr>
                <w:rFonts w:hint="eastAsia" w:ascii="仿宋" w:hAnsi="仿宋" w:eastAsia="仿宋" w:cs="仿宋"/>
                <w:b/>
                <w:bCs/>
                <w:sz w:val="24"/>
                <w:highlight w:val="none"/>
              </w:rPr>
              <w:t>①对后续的详细规划提出具体明确的编制要求；②便于后续管理，具备可操作性。</w:t>
            </w:r>
          </w:p>
          <w:p>
            <w:pPr>
              <w:pStyle w:val="2"/>
              <w:ind w:left="0" w:leftChars="0" w:firstLine="0" w:firstLineChars="0"/>
              <w:jc w:val="left"/>
              <w:rPr>
                <w:rFonts w:ascii="仿宋" w:hAnsi="仿宋" w:eastAsia="仿宋"/>
                <w:sz w:val="24"/>
                <w:highlight w:val="none"/>
              </w:rPr>
            </w:pPr>
            <w:r>
              <w:rPr>
                <w:rFonts w:hint="eastAsia" w:ascii="仿宋" w:hAnsi="仿宋" w:eastAsia="仿宋" w:cs="仿宋"/>
                <w:sz w:val="24"/>
                <w:highlight w:val="none"/>
              </w:rPr>
              <w:t>每一项内容符合采购人需求的得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分，部分符合的得</w:t>
            </w:r>
            <w:r>
              <w:rPr>
                <w:rFonts w:ascii="仿宋" w:hAnsi="仿宋" w:eastAsia="仿宋" w:cs="仿宋"/>
                <w:sz w:val="24"/>
                <w:highlight w:val="none"/>
              </w:rPr>
              <w:t>1</w:t>
            </w:r>
            <w:r>
              <w:rPr>
                <w:rFonts w:hint="eastAsia" w:ascii="仿宋" w:hAnsi="仿宋" w:eastAsia="仿宋" w:cs="仿宋"/>
                <w:sz w:val="24"/>
                <w:highlight w:val="none"/>
              </w:rPr>
              <w:t>分，不符合不得分。本项最高得</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分。</w:t>
            </w:r>
          </w:p>
        </w:tc>
        <w:tc>
          <w:tcPr>
            <w:tcW w:w="289" w:type="pct"/>
            <w:vAlign w:val="center"/>
          </w:tcPr>
          <w:p>
            <w:pPr>
              <w:jc w:val="center"/>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4</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8" w:type="pct"/>
            <w:vAlign w:val="center"/>
          </w:tcPr>
          <w:p>
            <w:pPr>
              <w:jc w:val="center"/>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19</w:t>
            </w:r>
          </w:p>
        </w:tc>
        <w:tc>
          <w:tcPr>
            <w:tcW w:w="469" w:type="pct"/>
            <w:vMerge w:val="continue"/>
            <w:vAlign w:val="center"/>
          </w:tcPr>
          <w:p>
            <w:pPr>
              <w:snapToGrid w:val="0"/>
              <w:jc w:val="left"/>
              <w:outlineLvl w:val="0"/>
              <w:rPr>
                <w:rFonts w:ascii="仿宋" w:hAnsi="仿宋" w:eastAsia="仿宋" w:cs="仿宋"/>
                <w:kern w:val="0"/>
                <w:sz w:val="24"/>
                <w:highlight w:val="none"/>
              </w:rPr>
            </w:pPr>
          </w:p>
        </w:tc>
        <w:tc>
          <w:tcPr>
            <w:tcW w:w="3039" w:type="pct"/>
            <w:vAlign w:val="center"/>
          </w:tcPr>
          <w:p>
            <w:pPr>
              <w:adjustRightInd/>
              <w:spacing w:line="320" w:lineRule="exact"/>
              <w:rPr>
                <w:rFonts w:ascii="仿宋" w:hAnsi="仿宋" w:eastAsia="仿宋" w:cs="仿宋"/>
                <w:b/>
                <w:bCs/>
                <w:sz w:val="24"/>
                <w:highlight w:val="none"/>
              </w:rPr>
            </w:pPr>
            <w:r>
              <w:rPr>
                <w:rFonts w:hint="eastAsia" w:ascii="仿宋" w:hAnsi="仿宋" w:eastAsia="仿宋" w:cs="仿宋"/>
                <w:b/>
                <w:bCs/>
                <w:sz w:val="24"/>
                <w:highlight w:val="none"/>
              </w:rPr>
              <w:t>工作过程的统筹及协调：</w:t>
            </w:r>
          </w:p>
          <w:p>
            <w:pPr>
              <w:adjustRightInd/>
              <w:spacing w:line="320" w:lineRule="exact"/>
              <w:rPr>
                <w:rFonts w:ascii="仿宋" w:hAnsi="仿宋" w:eastAsia="仿宋" w:cs="仿宋"/>
                <w:b/>
                <w:bCs/>
                <w:sz w:val="24"/>
                <w:highlight w:val="none"/>
              </w:rPr>
            </w:pPr>
            <w:r>
              <w:rPr>
                <w:rFonts w:hint="eastAsia" w:ascii="仿宋" w:hAnsi="仿宋" w:eastAsia="仿宋" w:cs="仿宋"/>
                <w:b/>
                <w:bCs/>
                <w:sz w:val="24"/>
                <w:highlight w:val="none"/>
              </w:rPr>
              <w:t>项目整体工作阶段及任务划分合理，进度控制合理、关键时间节点把握准确。</w:t>
            </w:r>
          </w:p>
          <w:p>
            <w:pPr>
              <w:adjustRightInd/>
              <w:spacing w:line="320" w:lineRule="exact"/>
              <w:rPr>
                <w:rFonts w:ascii="仿宋" w:hAnsi="仿宋" w:eastAsia="仿宋" w:cs="仿宋"/>
                <w:sz w:val="24"/>
                <w:highlight w:val="none"/>
              </w:rPr>
            </w:pPr>
            <w:r>
              <w:rPr>
                <w:rFonts w:hint="eastAsia" w:ascii="仿宋" w:hAnsi="仿宋" w:eastAsia="仿宋" w:cs="仿宋"/>
                <w:sz w:val="24"/>
                <w:highlight w:val="none"/>
              </w:rPr>
              <w:t>上述内容符合采购人需求的得3分，部分符合的得1.5分，不符合不得分。本项最高得3分。</w:t>
            </w:r>
          </w:p>
        </w:tc>
        <w:tc>
          <w:tcPr>
            <w:tcW w:w="289" w:type="pct"/>
            <w:vAlign w:val="center"/>
          </w:tcPr>
          <w:p>
            <w:pPr>
              <w:jc w:val="center"/>
              <w:rPr>
                <w:rFonts w:ascii="仿宋" w:hAnsi="仿宋" w:eastAsia="仿宋" w:cs="仿宋_GB2312"/>
                <w:bCs/>
                <w:sz w:val="24"/>
                <w:highlight w:val="none"/>
              </w:rPr>
            </w:pPr>
            <w:r>
              <w:rPr>
                <w:rFonts w:ascii="仿宋" w:hAnsi="仿宋" w:eastAsia="仿宋" w:cs="仿宋_GB2312"/>
                <w:bCs/>
                <w:sz w:val="24"/>
                <w:highlight w:val="none"/>
              </w:rPr>
              <w:t>3</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8" w:type="pct"/>
            <w:vAlign w:val="center"/>
          </w:tcPr>
          <w:p>
            <w:pPr>
              <w:jc w:val="center"/>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20</w:t>
            </w:r>
          </w:p>
        </w:tc>
        <w:tc>
          <w:tcPr>
            <w:tcW w:w="469" w:type="pct"/>
            <w:vMerge w:val="continue"/>
            <w:vAlign w:val="center"/>
          </w:tcPr>
          <w:p>
            <w:pPr>
              <w:snapToGrid w:val="0"/>
              <w:jc w:val="left"/>
              <w:outlineLvl w:val="0"/>
              <w:rPr>
                <w:rFonts w:ascii="仿宋" w:hAnsi="仿宋" w:eastAsia="仿宋" w:cs="仿宋"/>
                <w:kern w:val="0"/>
                <w:sz w:val="24"/>
                <w:highlight w:val="none"/>
              </w:rPr>
            </w:pPr>
          </w:p>
        </w:tc>
        <w:tc>
          <w:tcPr>
            <w:tcW w:w="3039" w:type="pct"/>
          </w:tcPr>
          <w:p>
            <w:pPr>
              <w:adjustRightInd/>
              <w:spacing w:line="320" w:lineRule="exact"/>
              <w:rPr>
                <w:rFonts w:ascii="仿宋" w:hAnsi="仿宋" w:eastAsia="仿宋" w:cs="仿宋"/>
                <w:b/>
                <w:bCs/>
                <w:sz w:val="24"/>
                <w:highlight w:val="none"/>
              </w:rPr>
            </w:pPr>
            <w:r>
              <w:rPr>
                <w:rFonts w:ascii="仿宋" w:hAnsi="仿宋" w:eastAsia="仿宋" w:cs="仿宋"/>
                <w:b/>
                <w:bCs/>
                <w:sz w:val="24"/>
                <w:highlight w:val="none"/>
              </w:rPr>
              <w:t>数字化技术应用：</w:t>
            </w:r>
          </w:p>
          <w:p>
            <w:pPr>
              <w:adjustRightInd/>
              <w:spacing w:line="320" w:lineRule="exact"/>
              <w:rPr>
                <w:rFonts w:ascii="仿宋" w:hAnsi="仿宋" w:eastAsia="仿宋" w:cs="仿宋"/>
                <w:b/>
                <w:bCs/>
                <w:sz w:val="24"/>
                <w:highlight w:val="none"/>
              </w:rPr>
            </w:pPr>
            <w:r>
              <w:rPr>
                <w:rFonts w:ascii="仿宋" w:hAnsi="仿宋" w:eastAsia="仿宋" w:cs="仿宋"/>
                <w:b/>
                <w:bCs/>
                <w:sz w:val="24"/>
                <w:highlight w:val="none"/>
              </w:rPr>
              <w:t>①运用数字技术进行现状分析和方案比选。</w:t>
            </w:r>
          </w:p>
          <w:p>
            <w:pPr>
              <w:adjustRightInd/>
              <w:spacing w:line="320" w:lineRule="exact"/>
              <w:rPr>
                <w:rFonts w:ascii="仿宋" w:hAnsi="仿宋" w:eastAsia="仿宋" w:cs="仿宋"/>
                <w:sz w:val="24"/>
                <w:highlight w:val="none"/>
              </w:rPr>
            </w:pPr>
            <w:r>
              <w:rPr>
                <w:rFonts w:ascii="仿宋" w:hAnsi="仿宋" w:eastAsia="仿宋" w:cs="仿宋"/>
                <w:sz w:val="24"/>
                <w:highlight w:val="none"/>
              </w:rPr>
              <w:t>上述内容符合采购人需求的得</w:t>
            </w:r>
            <w:r>
              <w:rPr>
                <w:rFonts w:hint="eastAsia" w:ascii="仿宋" w:hAnsi="仿宋" w:eastAsia="仿宋" w:cs="仿宋"/>
                <w:sz w:val="24"/>
                <w:highlight w:val="none"/>
              </w:rPr>
              <w:t>3</w:t>
            </w:r>
            <w:r>
              <w:rPr>
                <w:rFonts w:ascii="仿宋" w:hAnsi="仿宋" w:eastAsia="仿宋" w:cs="仿宋"/>
                <w:sz w:val="24"/>
                <w:highlight w:val="none"/>
              </w:rPr>
              <w:t>分，部分符合的得2分，不符合不得分。</w:t>
            </w:r>
          </w:p>
          <w:p>
            <w:pPr>
              <w:adjustRightInd/>
              <w:spacing w:line="320" w:lineRule="exact"/>
              <w:rPr>
                <w:rFonts w:ascii="仿宋" w:hAnsi="仿宋" w:eastAsia="仿宋" w:cs="仿宋"/>
                <w:b/>
                <w:bCs/>
                <w:sz w:val="24"/>
                <w:highlight w:val="none"/>
              </w:rPr>
            </w:pPr>
            <w:r>
              <w:rPr>
                <w:rFonts w:ascii="仿宋" w:hAnsi="仿宋" w:eastAsia="仿宋" w:cs="仿宋"/>
                <w:b/>
                <w:bCs/>
                <w:sz w:val="24"/>
                <w:highlight w:val="none"/>
              </w:rPr>
              <w:t>②数字编制成果规范化入库及场景展现。</w:t>
            </w:r>
          </w:p>
          <w:p>
            <w:pPr>
              <w:adjustRightInd/>
              <w:spacing w:line="320" w:lineRule="exact"/>
              <w:rPr>
                <w:rFonts w:ascii="仿宋" w:hAnsi="仿宋" w:eastAsia="仿宋" w:cs="仿宋"/>
                <w:sz w:val="24"/>
                <w:highlight w:val="none"/>
              </w:rPr>
            </w:pPr>
            <w:r>
              <w:rPr>
                <w:rFonts w:ascii="仿宋" w:hAnsi="仿宋" w:eastAsia="仿宋" w:cs="仿宋"/>
                <w:sz w:val="24"/>
                <w:highlight w:val="none"/>
              </w:rPr>
              <w:t>上述内容符合采购人需求的得</w:t>
            </w:r>
            <w:r>
              <w:rPr>
                <w:rFonts w:hint="eastAsia" w:ascii="仿宋" w:hAnsi="仿宋" w:eastAsia="仿宋" w:cs="仿宋"/>
                <w:sz w:val="24"/>
                <w:highlight w:val="none"/>
              </w:rPr>
              <w:t>2</w:t>
            </w:r>
            <w:r>
              <w:rPr>
                <w:rFonts w:ascii="仿宋" w:hAnsi="仿宋" w:eastAsia="仿宋" w:cs="仿宋"/>
                <w:sz w:val="24"/>
                <w:highlight w:val="none"/>
              </w:rPr>
              <w:t>分，部分符合的得1分，不符合不得分。</w:t>
            </w:r>
          </w:p>
          <w:p>
            <w:pPr>
              <w:adjustRightInd/>
              <w:spacing w:line="320" w:lineRule="exact"/>
              <w:rPr>
                <w:rFonts w:ascii="仿宋" w:hAnsi="仿宋" w:eastAsia="仿宋" w:cs="仿宋"/>
                <w:sz w:val="24"/>
                <w:highlight w:val="none"/>
              </w:rPr>
            </w:pPr>
            <w:r>
              <w:rPr>
                <w:rFonts w:ascii="仿宋" w:hAnsi="仿宋" w:eastAsia="仿宋" w:cs="仿宋"/>
                <w:sz w:val="24"/>
                <w:highlight w:val="none"/>
              </w:rPr>
              <w:t>本项最高得5分。</w:t>
            </w:r>
          </w:p>
        </w:tc>
        <w:tc>
          <w:tcPr>
            <w:tcW w:w="289" w:type="pct"/>
            <w:vAlign w:val="center"/>
          </w:tcPr>
          <w:p>
            <w:pPr>
              <w:jc w:val="center"/>
              <w:rPr>
                <w:rFonts w:ascii="仿宋" w:hAnsi="仿宋" w:eastAsia="仿宋" w:cs="仿宋_GB2312"/>
                <w:bCs/>
                <w:sz w:val="24"/>
                <w:highlight w:val="none"/>
              </w:rPr>
            </w:pPr>
            <w:r>
              <w:rPr>
                <w:rFonts w:ascii="仿宋" w:hAnsi="仿宋" w:eastAsia="仿宋" w:cs="仿宋_GB2312"/>
                <w:bCs/>
                <w:sz w:val="24"/>
                <w:highlight w:val="none"/>
              </w:rPr>
              <w:t>5</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8" w:type="pct"/>
            <w:vAlign w:val="center"/>
          </w:tcPr>
          <w:p>
            <w:pPr>
              <w:jc w:val="center"/>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sz w:val="24"/>
                <w:highlight w:val="none"/>
              </w:rPr>
              <w:t>21</w:t>
            </w:r>
          </w:p>
        </w:tc>
        <w:tc>
          <w:tcPr>
            <w:tcW w:w="469" w:type="pct"/>
            <w:vMerge w:val="continue"/>
            <w:vAlign w:val="center"/>
          </w:tcPr>
          <w:p>
            <w:pPr>
              <w:snapToGrid w:val="0"/>
              <w:jc w:val="left"/>
              <w:outlineLvl w:val="0"/>
              <w:rPr>
                <w:rFonts w:ascii="仿宋" w:hAnsi="仿宋" w:eastAsia="仿宋" w:cs="仿宋"/>
                <w:kern w:val="0"/>
                <w:sz w:val="24"/>
                <w:highlight w:val="none"/>
              </w:rPr>
            </w:pPr>
          </w:p>
        </w:tc>
        <w:tc>
          <w:tcPr>
            <w:tcW w:w="3039" w:type="pct"/>
            <w:vAlign w:val="center"/>
          </w:tcPr>
          <w:p>
            <w:pPr>
              <w:snapToGrid w:val="0"/>
              <w:jc w:val="left"/>
              <w:outlineLvl w:val="0"/>
              <w:rPr>
                <w:rFonts w:ascii="仿宋" w:hAnsi="仿宋" w:eastAsia="仿宋" w:cs="仿宋"/>
                <w:b/>
                <w:bCs/>
                <w:kern w:val="0"/>
                <w:sz w:val="24"/>
                <w:highlight w:val="none"/>
              </w:rPr>
            </w:pPr>
            <w:r>
              <w:rPr>
                <w:rFonts w:hint="eastAsia" w:ascii="仿宋" w:hAnsi="仿宋" w:eastAsia="仿宋" w:cs="仿宋"/>
                <w:b/>
                <w:bCs/>
                <w:kern w:val="0"/>
                <w:sz w:val="24"/>
                <w:highlight w:val="none"/>
              </w:rPr>
              <w:t>质量保证及后续服务：</w:t>
            </w:r>
          </w:p>
          <w:p>
            <w:pPr>
              <w:snapToGrid w:val="0"/>
              <w:jc w:val="left"/>
              <w:outlineLvl w:val="0"/>
              <w:rPr>
                <w:rFonts w:ascii="仿宋" w:hAnsi="仿宋" w:eastAsia="仿宋" w:cs="仿宋"/>
                <w:b/>
                <w:bCs/>
                <w:kern w:val="0"/>
                <w:sz w:val="24"/>
                <w:highlight w:val="none"/>
              </w:rPr>
            </w:pPr>
            <w:r>
              <w:rPr>
                <w:rFonts w:hint="eastAsia" w:ascii="仿宋" w:hAnsi="仿宋" w:eastAsia="仿宋" w:cs="仿宋"/>
                <w:b/>
                <w:bCs/>
                <w:kern w:val="0"/>
                <w:sz w:val="24"/>
                <w:highlight w:val="none"/>
              </w:rPr>
              <w:t>①质量保证体系完备周全，②具有针对性应对措施。</w:t>
            </w:r>
          </w:p>
          <w:p>
            <w:pPr>
              <w:adjustRightInd/>
              <w:spacing w:line="320" w:lineRule="exact"/>
              <w:rPr>
                <w:rFonts w:ascii="仿宋" w:hAnsi="仿宋" w:eastAsia="仿宋" w:cs="仿宋"/>
                <w:sz w:val="24"/>
                <w:highlight w:val="none"/>
              </w:rPr>
            </w:pPr>
            <w:r>
              <w:rPr>
                <w:rFonts w:hint="eastAsia" w:ascii="仿宋" w:hAnsi="仿宋" w:eastAsia="仿宋" w:cs="仿宋"/>
                <w:kern w:val="0"/>
                <w:sz w:val="24"/>
                <w:highlight w:val="none"/>
              </w:rPr>
              <w:t>每一项内容符合采购人需求的得</w:t>
            </w:r>
            <w:r>
              <w:rPr>
                <w:rFonts w:ascii="仿宋" w:hAnsi="仿宋" w:eastAsia="仿宋" w:cs="仿宋"/>
                <w:kern w:val="0"/>
                <w:sz w:val="24"/>
                <w:highlight w:val="none"/>
              </w:rPr>
              <w:t>1</w:t>
            </w:r>
            <w:r>
              <w:rPr>
                <w:rFonts w:hint="eastAsia" w:ascii="仿宋" w:hAnsi="仿宋" w:eastAsia="仿宋" w:cs="仿宋"/>
                <w:kern w:val="0"/>
                <w:sz w:val="24"/>
                <w:highlight w:val="none"/>
              </w:rPr>
              <w:t>分，部分符合的得0</w:t>
            </w:r>
            <w:r>
              <w:rPr>
                <w:rFonts w:ascii="仿宋" w:hAnsi="仿宋" w:eastAsia="仿宋" w:cs="仿宋"/>
                <w:kern w:val="0"/>
                <w:sz w:val="24"/>
                <w:highlight w:val="none"/>
              </w:rPr>
              <w:t>.5</w:t>
            </w:r>
            <w:r>
              <w:rPr>
                <w:rFonts w:hint="eastAsia" w:ascii="仿宋" w:hAnsi="仿宋" w:eastAsia="仿宋" w:cs="仿宋"/>
                <w:kern w:val="0"/>
                <w:sz w:val="24"/>
                <w:highlight w:val="none"/>
              </w:rPr>
              <w:t>分，不符合不得分。本项最高得2分。</w:t>
            </w:r>
          </w:p>
        </w:tc>
        <w:tc>
          <w:tcPr>
            <w:tcW w:w="289" w:type="pct"/>
            <w:vAlign w:val="center"/>
          </w:tcPr>
          <w:p>
            <w:pPr>
              <w:jc w:val="center"/>
              <w:rPr>
                <w:rFonts w:ascii="仿宋" w:hAnsi="仿宋" w:eastAsia="仿宋" w:cs="仿宋_GB2312"/>
                <w:bCs/>
                <w:sz w:val="24"/>
                <w:highlight w:val="none"/>
              </w:rPr>
            </w:pPr>
            <w:r>
              <w:rPr>
                <w:rFonts w:hint="eastAsia" w:ascii="仿宋" w:hAnsi="仿宋" w:eastAsia="仿宋" w:cs="仿宋_GB2312"/>
                <w:bCs/>
                <w:sz w:val="24"/>
                <w:highlight w:val="none"/>
              </w:rPr>
              <w:t>2</w:t>
            </w:r>
          </w:p>
        </w:tc>
        <w:tc>
          <w:tcPr>
            <w:tcW w:w="753"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448" w:type="pct"/>
            <w:vAlign w:val="center"/>
          </w:tcPr>
          <w:p>
            <w:pPr>
              <w:spacing w:line="360" w:lineRule="auto"/>
              <w:jc w:val="center"/>
              <w:outlineLvl w:val="0"/>
              <w:rPr>
                <w:rFonts w:ascii="仿宋" w:hAnsi="仿宋" w:eastAsia="仿宋" w:cs="仿宋_GB2312"/>
                <w:bCs/>
                <w:sz w:val="24"/>
                <w:highlight w:val="none"/>
              </w:rPr>
            </w:pPr>
            <w:r>
              <w:rPr>
                <w:rFonts w:ascii="仿宋" w:hAnsi="仿宋" w:eastAsia="仿宋" w:cs="仿宋_GB2312"/>
                <w:bCs/>
                <w:sz w:val="24"/>
                <w:highlight w:val="none"/>
              </w:rPr>
              <w:t>22</w:t>
            </w:r>
          </w:p>
        </w:tc>
        <w:tc>
          <w:tcPr>
            <w:tcW w:w="469" w:type="pct"/>
            <w:vAlign w:val="center"/>
          </w:tcPr>
          <w:p>
            <w:pPr>
              <w:shd w:val="clear" w:color="auto" w:fill="FFFFFF"/>
              <w:adjustRightInd/>
              <w:spacing w:after="225"/>
              <w:ind w:right="-212" w:rightChars="-101"/>
              <w:jc w:val="center"/>
              <w:rPr>
                <w:rFonts w:ascii="仿宋" w:hAnsi="仿宋" w:eastAsia="仿宋" w:cs="仿宋_GB2312"/>
                <w:sz w:val="24"/>
                <w:highlight w:val="none"/>
              </w:rPr>
            </w:pPr>
            <w:r>
              <w:rPr>
                <w:rFonts w:hint="eastAsia" w:ascii="仿宋" w:hAnsi="仿宋" w:eastAsia="仿宋" w:cs="仿宋_GB2312"/>
                <w:sz w:val="24"/>
                <w:highlight w:val="none"/>
              </w:rPr>
              <w:t>投标价格部分</w:t>
            </w:r>
          </w:p>
          <w:p>
            <w:pPr>
              <w:shd w:val="clear" w:color="auto" w:fill="FFFFFF"/>
              <w:adjustRightInd/>
              <w:spacing w:after="225"/>
              <w:ind w:right="-212" w:rightChars="-101"/>
              <w:jc w:val="center"/>
              <w:rPr>
                <w:rFonts w:ascii="仿宋" w:hAnsi="仿宋" w:eastAsia="仿宋" w:cs="仿宋"/>
                <w:kern w:val="0"/>
                <w:sz w:val="24"/>
                <w:highlight w:val="none"/>
              </w:rPr>
            </w:pPr>
            <w:r>
              <w:rPr>
                <w:rFonts w:hint="eastAsia" w:ascii="仿宋" w:hAnsi="仿宋" w:eastAsia="仿宋" w:cs="仿宋_GB2312"/>
                <w:bCs/>
                <w:sz w:val="24"/>
                <w:highlight w:val="none"/>
              </w:rPr>
              <w:t>（10分）</w:t>
            </w:r>
          </w:p>
        </w:tc>
        <w:tc>
          <w:tcPr>
            <w:tcW w:w="3039" w:type="pct"/>
            <w:vAlign w:val="center"/>
          </w:tcPr>
          <w:p>
            <w:pPr>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有效投标报价的最低价作为评标基准价，其最低报价为满分；按［投标报价得分</w:t>
            </w:r>
            <w:r>
              <w:rPr>
                <w:rFonts w:ascii="仿宋" w:hAnsi="仿宋" w:eastAsia="仿宋" w:cs="仿宋"/>
                <w:kern w:val="0"/>
                <w:sz w:val="24"/>
                <w:highlight w:val="none"/>
              </w:rPr>
              <w:t>=（评标基准价/投标报价）*1</w:t>
            </w:r>
            <w:r>
              <w:rPr>
                <w:rFonts w:hint="eastAsia" w:ascii="仿宋" w:hAnsi="仿宋" w:eastAsia="仿宋" w:cs="仿宋"/>
                <w:kern w:val="0"/>
                <w:sz w:val="24"/>
                <w:highlight w:val="none"/>
              </w:rPr>
              <w:t>0</w:t>
            </w:r>
            <w:r>
              <w:rPr>
                <w:rFonts w:ascii="仿宋" w:hAnsi="仿宋" w:eastAsia="仿宋" w:cs="仿宋"/>
                <w:kern w:val="0"/>
                <w:sz w:val="24"/>
                <w:highlight w:val="none"/>
              </w:rPr>
              <w:t>］的计算公式计算。</w:t>
            </w:r>
          </w:p>
          <w:p>
            <w:pPr>
              <w:shd w:val="clear" w:color="auto" w:fill="FFFFFF"/>
              <w:adjustRightInd/>
              <w:spacing w:after="225"/>
              <w:ind w:firstLine="420"/>
              <w:jc w:val="left"/>
              <w:rPr>
                <w:rFonts w:ascii="仿宋" w:hAnsi="仿宋" w:eastAsia="仿宋" w:cs="仿宋"/>
                <w:kern w:val="0"/>
                <w:sz w:val="24"/>
                <w:highlight w:val="none"/>
              </w:rPr>
            </w:pPr>
            <w:r>
              <w:rPr>
                <w:rFonts w:ascii="仿宋" w:hAnsi="仿宋" w:eastAsia="仿宋" w:cs="仿宋"/>
                <w:kern w:val="0"/>
                <w:sz w:val="24"/>
                <w:highlight w:val="none"/>
              </w:rPr>
              <w:t>评标过程中，不得去掉报价中的最高报价和最低报价。</w:t>
            </w:r>
          </w:p>
          <w:p>
            <w:pPr>
              <w:shd w:val="clear" w:color="auto" w:fill="FFFFFF"/>
              <w:adjustRightInd/>
              <w:spacing w:after="225"/>
              <w:ind w:firstLine="420"/>
              <w:jc w:val="left"/>
              <w:rPr>
                <w:rFonts w:ascii="仿宋" w:hAnsi="仿宋" w:eastAsia="仿宋" w:cs="仿宋"/>
                <w:kern w:val="0"/>
                <w:sz w:val="24"/>
                <w:highlight w:val="none"/>
              </w:rPr>
            </w:pPr>
            <w:r>
              <w:rPr>
                <w:rFonts w:ascii="仿宋" w:hAnsi="仿宋" w:eastAsia="仿宋" w:cs="仿宋"/>
                <w:kern w:val="0"/>
                <w:sz w:val="24"/>
                <w:highlight w:val="none"/>
              </w:rPr>
              <w:t>因落实政府采购政策</w:t>
            </w:r>
            <w:r>
              <w:rPr>
                <w:rFonts w:hint="eastAsia" w:ascii="仿宋" w:hAnsi="仿宋" w:eastAsia="仿宋" w:cs="仿宋"/>
                <w:kern w:val="0"/>
                <w:sz w:val="24"/>
                <w:highlight w:val="none"/>
              </w:rPr>
              <w:t>需要</w:t>
            </w:r>
            <w:r>
              <w:rPr>
                <w:rFonts w:ascii="仿宋" w:hAnsi="仿宋" w:eastAsia="仿宋" w:cs="仿宋"/>
                <w:kern w:val="0"/>
                <w:sz w:val="24"/>
                <w:highlight w:val="none"/>
              </w:rPr>
              <w:t>进行价格调整的，以调整后的价格计算评标基准价和投标报价。</w:t>
            </w:r>
          </w:p>
        </w:tc>
        <w:tc>
          <w:tcPr>
            <w:tcW w:w="289"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10</w:t>
            </w:r>
          </w:p>
        </w:tc>
        <w:tc>
          <w:tcPr>
            <w:tcW w:w="753" w:type="pct"/>
            <w:vAlign w:val="center"/>
          </w:tcPr>
          <w:p>
            <w:pPr>
              <w:keepNext/>
              <w:keepLines/>
              <w:tabs>
                <w:tab w:val="left" w:pos="432"/>
              </w:tabs>
              <w:spacing w:before="340" w:after="330" w:line="360" w:lineRule="auto"/>
              <w:ind w:left="432" w:hanging="432"/>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w:t>
            </w:r>
          </w:p>
        </w:tc>
      </w:tr>
    </w:tbl>
    <w:p>
      <w:pPr>
        <w:pStyle w:val="2"/>
        <w:ind w:firstLine="420"/>
        <w:rPr>
          <w:highlight w:val="none"/>
        </w:rPr>
      </w:pPr>
    </w:p>
    <w:p>
      <w:pPr>
        <w:pStyle w:val="2"/>
        <w:snapToGrid w:val="0"/>
        <w:spacing w:line="360" w:lineRule="auto"/>
        <w:ind w:firstLine="420"/>
        <w:jc w:val="center"/>
        <w:rPr>
          <w:rFonts w:hint="eastAsia" w:ascii="仿宋" w:hAnsi="仿宋" w:eastAsia="仿宋" w:cs="仿宋_GB2312"/>
          <w:bCs/>
          <w:sz w:val="24"/>
          <w:highlight w:val="none"/>
        </w:rPr>
      </w:pPr>
    </w:p>
    <w:p>
      <w:pPr>
        <w:snapToGrid w:val="0"/>
        <w:spacing w:line="360" w:lineRule="auto"/>
        <w:rPr>
          <w:rFonts w:ascii="仿宋" w:hAnsi="仿宋" w:eastAsia="仿宋" w:cs="仿宋_GB2312"/>
          <w:b/>
          <w:sz w:val="24"/>
          <w:highlight w:val="none"/>
        </w:rPr>
      </w:pPr>
      <w:r>
        <w:rPr>
          <w:rFonts w:hint="eastAsia" w:ascii="仿宋" w:hAnsi="仿宋" w:eastAsia="仿宋" w:cs="仿宋_GB2312"/>
          <w:bCs/>
          <w:sz w:val="24"/>
          <w:highlight w:val="none"/>
        </w:rPr>
        <w:t> *备注：投标人编制投标文件（商务技术文件部分）时，建议按此目录（序号和内容）</w:t>
      </w:r>
      <w:r>
        <w:rPr>
          <w:rFonts w:hint="eastAsia" w:ascii="仿宋" w:hAnsi="仿宋" w:eastAsia="仿宋" w:cs="仿宋_GB2312"/>
          <w:sz w:val="24"/>
          <w:highlight w:val="none"/>
        </w:rPr>
        <w:t>提供评标标准相应的商务技术资料。</w:t>
      </w:r>
      <w:r>
        <w:rPr>
          <w:rFonts w:ascii="仿宋" w:hAnsi="仿宋" w:eastAsia="仿宋" w:cs="仿宋_GB2312"/>
          <w:sz w:val="24"/>
          <w:highlight w:val="none"/>
        </w:rPr>
        <w:t> </w:t>
      </w:r>
    </w:p>
    <w:p>
      <w:pPr>
        <w:snapToGrid w:val="0"/>
        <w:spacing w:line="360" w:lineRule="auto"/>
        <w:rPr>
          <w:rFonts w:ascii="仿宋" w:hAnsi="仿宋" w:eastAsia="仿宋"/>
          <w:b/>
          <w:sz w:val="28"/>
          <w:szCs w:val="28"/>
          <w:highlight w:val="none"/>
        </w:rPr>
      </w:pPr>
      <w:r>
        <w:rPr>
          <w:rFonts w:hint="eastAsia" w:ascii="仿宋" w:hAnsi="仿宋" w:eastAsia="仿宋" w:cs="仿宋_GB2312"/>
          <w:b/>
          <w:sz w:val="32"/>
          <w:highlight w:val="none"/>
        </w:rPr>
        <w:t>一、评标方法</w:t>
      </w:r>
    </w:p>
    <w:p>
      <w:pPr>
        <w:adjustRightInd/>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1.</w:t>
      </w:r>
      <w:r>
        <w:rPr>
          <w:rFonts w:hint="eastAsia" w:ascii="仿宋" w:hAnsi="仿宋" w:eastAsia="仿宋" w:cs="Arial"/>
          <w:b/>
          <w:kern w:val="0"/>
          <w:sz w:val="24"/>
          <w:highlight w:val="none"/>
        </w:rPr>
        <w:t>本项目采用综合评分法。</w:t>
      </w:r>
      <w:r>
        <w:rPr>
          <w:rFonts w:hint="eastAsia" w:ascii="仿宋" w:hAnsi="仿宋" w:eastAsia="仿宋" w:cs="Arial"/>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highlight w:val="none"/>
        </w:rPr>
      </w:pPr>
      <w:r>
        <w:rPr>
          <w:rFonts w:hint="eastAsia" w:ascii="仿宋" w:hAnsi="仿宋" w:eastAsia="仿宋" w:cs="仿宋_GB2312"/>
          <w:b/>
          <w:sz w:val="32"/>
          <w:highlight w:val="none"/>
        </w:rPr>
        <w:t>二、评标标准</w:t>
      </w:r>
    </w:p>
    <w:p>
      <w:pPr>
        <w:spacing w:line="360" w:lineRule="auto"/>
        <w:ind w:firstLine="472" w:firstLineChars="196"/>
        <w:rPr>
          <w:rFonts w:ascii="仿宋" w:hAnsi="仿宋" w:eastAsia="仿宋" w:cs="仿宋_GB2312"/>
          <w:b/>
          <w:sz w:val="24"/>
          <w:highlight w:val="none"/>
        </w:rPr>
      </w:pPr>
      <w:r>
        <w:rPr>
          <w:rFonts w:ascii="仿宋" w:hAnsi="仿宋" w:eastAsia="仿宋" w:cs="仿宋_GB2312"/>
          <w:b/>
          <w:sz w:val="24"/>
          <w:highlight w:val="none"/>
        </w:rPr>
        <w:t>2.</w:t>
      </w:r>
      <w:r>
        <w:rPr>
          <w:rFonts w:hint="eastAsia" w:ascii="仿宋" w:hAnsi="仿宋" w:eastAsia="仿宋" w:cs="仿宋_GB2312"/>
          <w:b/>
          <w:sz w:val="24"/>
          <w:highlight w:val="none"/>
        </w:rPr>
        <w:t>评标标准：</w:t>
      </w:r>
      <w:r>
        <w:rPr>
          <w:rFonts w:hint="eastAsia" w:ascii="仿宋" w:hAnsi="仿宋" w:eastAsia="仿宋" w:cs="Arial"/>
          <w:kern w:val="0"/>
          <w:sz w:val="24"/>
          <w:highlight w:val="none"/>
        </w:rPr>
        <w:t>见评标办法前附表。</w:t>
      </w:r>
    </w:p>
    <w:p>
      <w:pPr>
        <w:spacing w:line="360" w:lineRule="auto"/>
        <w:outlineLvl w:val="0"/>
        <w:rPr>
          <w:rFonts w:ascii="仿宋" w:hAnsi="仿宋" w:eastAsia="仿宋" w:cs="仿宋_GB2312"/>
          <w:b/>
          <w:sz w:val="36"/>
          <w:szCs w:val="36"/>
          <w:highlight w:val="none"/>
        </w:rPr>
      </w:pPr>
      <w:r>
        <w:rPr>
          <w:rFonts w:hint="eastAsia" w:ascii="仿宋" w:hAnsi="仿宋" w:eastAsia="仿宋" w:cs="仿宋_GB2312"/>
          <w:b/>
          <w:sz w:val="36"/>
          <w:szCs w:val="36"/>
          <w:highlight w:val="none"/>
        </w:rPr>
        <w:t>三、评标程序</w:t>
      </w:r>
    </w:p>
    <w:p>
      <w:pPr>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3.1符合性审查。</w:t>
      </w:r>
      <w:r>
        <w:rPr>
          <w:rFonts w:ascii="仿宋" w:hAnsi="仿宋" w:eastAsia="仿宋" w:cs="Arial"/>
          <w:kern w:val="0"/>
          <w:sz w:val="24"/>
          <w:highlight w:val="none"/>
        </w:rPr>
        <w:t>评标委员会应当对符合资格的投标人的投标文件进行符合性审查，以确定其是否满足招标文件的实质性要求。</w:t>
      </w:r>
      <w:r>
        <w:rPr>
          <w:rFonts w:hint="eastAsia" w:ascii="仿宋" w:hAnsi="仿宋" w:eastAsia="仿宋" w:cs="Arial"/>
          <w:kern w:val="0"/>
          <w:sz w:val="24"/>
          <w:highlight w:val="none"/>
        </w:rPr>
        <w:t>不</w:t>
      </w:r>
      <w:r>
        <w:rPr>
          <w:rFonts w:ascii="仿宋" w:hAnsi="仿宋" w:eastAsia="仿宋" w:cs="Arial"/>
          <w:kern w:val="0"/>
          <w:sz w:val="24"/>
          <w:highlight w:val="none"/>
        </w:rPr>
        <w:t>满足招标文件的实质性要求</w:t>
      </w:r>
      <w:r>
        <w:rPr>
          <w:rFonts w:hint="eastAsia" w:ascii="仿宋" w:hAnsi="仿宋" w:eastAsia="仿宋" w:cs="Arial"/>
          <w:kern w:val="0"/>
          <w:sz w:val="24"/>
          <w:highlight w:val="none"/>
        </w:rPr>
        <w:t>的，投标无效。</w:t>
      </w:r>
    </w:p>
    <w:p>
      <w:pPr>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 xml:space="preserve">3.2 </w:t>
      </w:r>
      <w:r>
        <w:rPr>
          <w:rFonts w:hint="eastAsia" w:ascii="仿宋" w:hAnsi="仿宋" w:eastAsia="仿宋" w:cs="Arial"/>
          <w:b/>
          <w:kern w:val="0"/>
          <w:sz w:val="24"/>
          <w:highlight w:val="none"/>
        </w:rPr>
        <w:t>比较与评价。</w:t>
      </w:r>
      <w:r>
        <w:rPr>
          <w:rFonts w:ascii="仿宋" w:hAnsi="仿宋" w:eastAsia="仿宋" w:cs="Arial"/>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3.3汇总商务技术得分。</w:t>
      </w:r>
      <w:r>
        <w:rPr>
          <w:rFonts w:hint="eastAsia" w:ascii="仿宋" w:hAnsi="仿宋" w:eastAsia="仿宋" w:cs="Arial"/>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highlight w:val="none"/>
        </w:rPr>
      </w:pPr>
      <w:r>
        <w:rPr>
          <w:rFonts w:ascii="仿宋" w:hAnsi="仿宋" w:eastAsia="仿宋" w:cs="Arial"/>
          <w:b/>
          <w:kern w:val="0"/>
          <w:sz w:val="24"/>
          <w:highlight w:val="none"/>
        </w:rPr>
        <w:t>3.4报价评审。</w:t>
      </w:r>
    </w:p>
    <w:p>
      <w:pPr>
        <w:pStyle w:val="128"/>
        <w:spacing w:before="0"/>
        <w:ind w:firstLine="508" w:firstLineChars="212"/>
        <w:rPr>
          <w:rFonts w:ascii="仿宋" w:hAnsi="仿宋" w:eastAsia="仿宋" w:cs="Arial"/>
          <w:kern w:val="0"/>
          <w:highlight w:val="none"/>
        </w:rPr>
      </w:pPr>
      <w:r>
        <w:rPr>
          <w:rFonts w:ascii="仿宋" w:hAnsi="仿宋" w:eastAsia="仿宋" w:cs="Arial"/>
          <w:kern w:val="0"/>
          <w:highlight w:val="none"/>
        </w:rPr>
        <w:t>3.4.1投标文件报价出现前后不一致的，按照下列规定修正：</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87号令</w:t>
      </w:r>
      <w:r>
        <w:rPr>
          <w:rFonts w:hint="eastAsia" w:ascii="仿宋" w:hAnsi="仿宋" w:eastAsia="仿宋" w:cs="仿宋"/>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对于未预留份额专门面向中小企业的政府采购服务项目，以及预留份额政府采购服务项目中的非预留部分标项，对小型和微型企业的投标报价给予20</w:t>
      </w:r>
      <w:r>
        <w:rPr>
          <w:rFonts w:ascii="仿宋" w:hAnsi="仿宋" w:eastAsia="仿宋" w:cs="仿宋"/>
          <w:kern w:val="0"/>
          <w:szCs w:val="24"/>
          <w:highlight w:val="none"/>
        </w:rPr>
        <w:t>%的扣除，用扣除后的价格参与评审。接受大中型企业与小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w:t>
      </w:r>
      <w:r>
        <w:rPr>
          <w:rFonts w:hint="eastAsia" w:ascii="仿宋" w:hAnsi="仿宋" w:eastAsia="仿宋" w:cs="仿宋"/>
          <w:kern w:val="0"/>
          <w:szCs w:val="24"/>
          <w:highlight w:val="none"/>
        </w:rPr>
        <w:t>6</w:t>
      </w:r>
      <w:r>
        <w:rPr>
          <w:rFonts w:ascii="仿宋" w:hAnsi="仿宋" w:eastAsia="仿宋" w:cs="仿宋"/>
          <w:kern w:val="0"/>
          <w:szCs w:val="24"/>
          <w:highlight w:val="none"/>
        </w:rPr>
        <w:t>%的扣除，用扣除后的价格参加评审。组成联合体或者接受分包的小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b/>
          <w:kern w:val="0"/>
          <w:sz w:val="24"/>
          <w:highlight w:val="none"/>
        </w:rPr>
      </w:pPr>
      <w:r>
        <w:rPr>
          <w:rFonts w:ascii="仿宋" w:hAnsi="仿宋" w:eastAsia="仿宋" w:cs="Arial"/>
          <w:b/>
          <w:kern w:val="0"/>
          <w:sz w:val="24"/>
          <w:highlight w:val="none"/>
        </w:rPr>
        <w:t>3.5</w:t>
      </w:r>
      <w:r>
        <w:rPr>
          <w:rFonts w:hint="eastAsia" w:ascii="仿宋" w:hAnsi="仿宋" w:eastAsia="仿宋" w:cs="Arial"/>
          <w:b/>
          <w:kern w:val="0"/>
          <w:sz w:val="24"/>
          <w:highlight w:val="none"/>
        </w:rPr>
        <w:t>排序与推荐。</w:t>
      </w:r>
      <w:r>
        <w:rPr>
          <w:rFonts w:ascii="仿宋" w:hAnsi="仿宋" w:eastAsia="仿宋"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highlight w:val="none"/>
        </w:rPr>
        <w:t>。评审得分相同的，采取随机抽取方式确定。</w:t>
      </w:r>
    </w:p>
    <w:p>
      <w:pPr>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3.6编写评标报告。</w:t>
      </w:r>
      <w:r>
        <w:rPr>
          <w:rFonts w:ascii="仿宋" w:hAnsi="仿宋" w:eastAsia="仿宋" w:cs="Arial"/>
          <w:kern w:val="0"/>
          <w:sz w:val="24"/>
          <w:highlight w:val="none"/>
        </w:rPr>
        <w:t>评标委员会根据全体评标成员签字的原始评标记录和评标结果编写评标报告。</w:t>
      </w:r>
      <w:r>
        <w:rPr>
          <w:rFonts w:hint="eastAsia" w:ascii="仿宋" w:hAnsi="仿宋" w:eastAsia="仿宋"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sz w:val="32"/>
          <w:highlight w:val="none"/>
        </w:rPr>
      </w:pPr>
      <w:r>
        <w:rPr>
          <w:rFonts w:hint="eastAsia" w:ascii="仿宋" w:hAnsi="仿宋" w:eastAsia="仿宋" w:cs="仿宋_GB2312"/>
          <w:b/>
          <w:sz w:val="32"/>
          <w:highlight w:val="none"/>
        </w:rPr>
        <w:t>四、评标中的其他事项</w:t>
      </w:r>
    </w:p>
    <w:p>
      <w:pPr>
        <w:pStyle w:val="128"/>
        <w:spacing w:before="0"/>
        <w:ind w:firstLine="472" w:firstLineChars="196"/>
        <w:rPr>
          <w:rFonts w:ascii="仿宋" w:hAnsi="仿宋" w:eastAsia="仿宋" w:cs="Arial"/>
          <w:kern w:val="0"/>
          <w:szCs w:val="24"/>
          <w:highlight w:val="none"/>
        </w:rPr>
      </w:pPr>
      <w:r>
        <w:rPr>
          <w:rFonts w:ascii="仿宋" w:hAnsi="仿宋" w:eastAsia="仿宋" w:cs="Arial"/>
          <w:b/>
          <w:kern w:val="0"/>
          <w:szCs w:val="24"/>
          <w:highlight w:val="none"/>
        </w:rPr>
        <w:t>4.1</w:t>
      </w:r>
      <w:r>
        <w:rPr>
          <w:rFonts w:hint="eastAsia" w:ascii="仿宋" w:hAnsi="仿宋" w:eastAsia="仿宋" w:cs="Arial"/>
          <w:b/>
          <w:kern w:val="0"/>
          <w:szCs w:val="24"/>
          <w:highlight w:val="none"/>
        </w:rPr>
        <w:t>投标人澄清、说明或者补正。</w:t>
      </w:r>
      <w:r>
        <w:rPr>
          <w:rFonts w:hint="eastAsia" w:ascii="仿宋" w:hAnsi="仿宋" w:eastAsia="仿宋"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 w:hAnsi="仿宋" w:eastAsia="仿宋" w:cs="仿宋_GB2312"/>
          <w:szCs w:val="21"/>
          <w:highlight w:val="none"/>
        </w:rPr>
      </w:pPr>
      <w:r>
        <w:rPr>
          <w:rFonts w:ascii="仿宋" w:hAnsi="仿宋" w:eastAsia="仿宋" w:cs="Arial"/>
          <w:b/>
          <w:kern w:val="0"/>
          <w:highlight w:val="none"/>
        </w:rPr>
        <w:t>4.2投标无效。</w:t>
      </w:r>
      <w:r>
        <w:rPr>
          <w:rFonts w:hint="eastAsia" w:ascii="仿宋" w:hAnsi="仿宋" w:eastAsia="仿宋" w:cs="仿宋_GB2312"/>
          <w:szCs w:val="21"/>
          <w:highlight w:val="none"/>
        </w:rPr>
        <w:t>有下列情况之一的，投标无效：</w:t>
      </w:r>
    </w:p>
    <w:p>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4.2.2投标文件未按照招标文件要求签署、盖章的；</w:t>
      </w:r>
    </w:p>
    <w:p>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w:t>
      </w:r>
      <w:r>
        <w:rPr>
          <w:rFonts w:hint="eastAsia" w:ascii="仿宋" w:hAnsi="仿宋" w:eastAsia="仿宋" w:cs="Arial"/>
          <w:kern w:val="0"/>
          <w:sz w:val="24"/>
          <w:highlight w:val="none"/>
        </w:rPr>
        <w:t>3</w:t>
      </w:r>
      <w:r>
        <w:rPr>
          <w:rFonts w:ascii="仿宋" w:hAnsi="仿宋" w:eastAsia="仿宋" w:cs="Arial"/>
          <w:kern w:val="0"/>
          <w:sz w:val="24"/>
          <w:highlight w:val="none"/>
        </w:rPr>
        <w:t>投标文件含有采购人不能接受的附加条件的；</w:t>
      </w:r>
    </w:p>
    <w:p>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w:t>
      </w:r>
      <w:r>
        <w:rPr>
          <w:rFonts w:hint="eastAsia" w:ascii="仿宋" w:hAnsi="仿宋" w:eastAsia="仿宋" w:cs="Arial"/>
          <w:kern w:val="0"/>
          <w:sz w:val="24"/>
          <w:highlight w:val="none"/>
        </w:rPr>
        <w:t>4</w:t>
      </w:r>
      <w:r>
        <w:rPr>
          <w:rFonts w:ascii="仿宋" w:hAnsi="仿宋" w:eastAsia="仿宋" w:cs="Arial"/>
          <w:kern w:val="0"/>
          <w:sz w:val="24"/>
          <w:highlight w:val="none"/>
        </w:rPr>
        <w:t>投标文件中承诺的投标有效期少于招标文件中载明的投标有效期的；</w:t>
      </w:r>
    </w:p>
    <w:p>
      <w:pPr>
        <w:spacing w:line="360" w:lineRule="auto"/>
        <w:ind w:firstLine="480" w:firstLineChars="200"/>
        <w:jc w:val="left"/>
        <w:rPr>
          <w:rFonts w:ascii="仿宋" w:hAnsi="仿宋" w:eastAsia="仿宋" w:cs="Arial"/>
          <w:kern w:val="0"/>
          <w:sz w:val="24"/>
          <w:highlight w:val="none"/>
        </w:rPr>
      </w:pPr>
      <w:r>
        <w:rPr>
          <w:rFonts w:ascii="仿宋" w:hAnsi="仿宋" w:eastAsia="仿宋" w:cs="Arial"/>
          <w:kern w:val="0"/>
          <w:sz w:val="24"/>
          <w:highlight w:val="none"/>
        </w:rPr>
        <w:t>4.2.</w:t>
      </w:r>
      <w:r>
        <w:rPr>
          <w:rFonts w:hint="eastAsia" w:ascii="仿宋" w:hAnsi="仿宋" w:eastAsia="仿宋" w:cs="Arial"/>
          <w:kern w:val="0"/>
          <w:sz w:val="24"/>
          <w:highlight w:val="none"/>
        </w:rPr>
        <w:t>5</w:t>
      </w:r>
      <w:r>
        <w:rPr>
          <w:rFonts w:ascii="仿宋" w:hAnsi="仿宋" w:eastAsia="仿宋" w:cs="Arial"/>
          <w:kern w:val="0"/>
          <w:sz w:val="24"/>
          <w:highlight w:val="none"/>
        </w:rPr>
        <w:t>投标文件出现不是唯一的、有选择性投标报价的;</w:t>
      </w:r>
    </w:p>
    <w:p>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w:t>
      </w:r>
      <w:r>
        <w:rPr>
          <w:rFonts w:hint="eastAsia" w:ascii="仿宋" w:hAnsi="仿宋" w:eastAsia="仿宋" w:cs="Arial"/>
          <w:kern w:val="0"/>
          <w:sz w:val="24"/>
          <w:highlight w:val="none"/>
        </w:rPr>
        <w:t>6</w:t>
      </w:r>
      <w:r>
        <w:rPr>
          <w:rFonts w:ascii="仿宋" w:hAnsi="仿宋" w:eastAsia="仿宋" w:cs="Arial"/>
          <w:kern w:val="0"/>
          <w:sz w:val="24"/>
          <w:highlight w:val="none"/>
        </w:rPr>
        <w:t>投标报价超过招标文件中规定的预算金额或者最高限价的;</w:t>
      </w:r>
    </w:p>
    <w:p>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w:t>
      </w:r>
      <w:r>
        <w:rPr>
          <w:rFonts w:hint="eastAsia" w:ascii="仿宋" w:hAnsi="仿宋" w:eastAsia="仿宋" w:cs="Arial"/>
          <w:kern w:val="0"/>
          <w:sz w:val="24"/>
          <w:highlight w:val="none"/>
        </w:rPr>
        <w:t>7</w:t>
      </w:r>
      <w:r>
        <w:rPr>
          <w:rFonts w:ascii="仿宋" w:hAnsi="仿宋" w:eastAsia="仿宋" w:cs="Arial"/>
          <w:kern w:val="0"/>
          <w:sz w:val="24"/>
          <w:highlight w:val="none"/>
        </w:rPr>
        <w:t>报价明显低于其他通过符合性审查投标人的报价，有可能不能诚信履约的，未能按要求提供书面说明或者提交相关证明材料，不能证明其报价合理性的;</w:t>
      </w:r>
    </w:p>
    <w:p>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w:t>
      </w:r>
      <w:r>
        <w:rPr>
          <w:rFonts w:hint="eastAsia" w:ascii="仿宋" w:hAnsi="仿宋" w:eastAsia="仿宋" w:cs="Arial"/>
          <w:kern w:val="0"/>
          <w:sz w:val="24"/>
          <w:highlight w:val="none"/>
        </w:rPr>
        <w:t>8</w:t>
      </w:r>
      <w:r>
        <w:rPr>
          <w:rFonts w:ascii="仿宋" w:hAnsi="仿宋" w:eastAsia="仿宋" w:cs="Arial"/>
          <w:kern w:val="0"/>
          <w:sz w:val="24"/>
          <w:highlight w:val="none"/>
        </w:rPr>
        <w:t>投标人对根据修正原则修正后的报价不确认的；</w:t>
      </w:r>
    </w:p>
    <w:p>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w:t>
      </w:r>
      <w:r>
        <w:rPr>
          <w:rFonts w:hint="eastAsia" w:ascii="仿宋" w:hAnsi="仿宋" w:eastAsia="仿宋" w:cs="Arial"/>
          <w:kern w:val="0"/>
          <w:sz w:val="24"/>
          <w:highlight w:val="none"/>
        </w:rPr>
        <w:t>9</w:t>
      </w:r>
      <w:r>
        <w:rPr>
          <w:rFonts w:ascii="仿宋" w:hAnsi="仿宋" w:eastAsia="仿宋" w:cs="Arial"/>
          <w:kern w:val="0"/>
          <w:sz w:val="24"/>
          <w:highlight w:val="none"/>
        </w:rPr>
        <w:t>投标人提供虚假材料投标的；</w:t>
      </w:r>
    </w:p>
    <w:p>
      <w:pPr>
        <w:spacing w:line="360" w:lineRule="auto"/>
        <w:ind w:firstLine="240" w:firstLineChars="100"/>
        <w:rPr>
          <w:rFonts w:ascii="仿宋" w:hAnsi="仿宋" w:eastAsia="仿宋" w:cs="Arial"/>
          <w:kern w:val="0"/>
          <w:sz w:val="24"/>
          <w:highlight w:val="none"/>
        </w:rPr>
      </w:pPr>
      <w:r>
        <w:rPr>
          <w:rFonts w:ascii="仿宋" w:hAnsi="仿宋" w:eastAsia="仿宋" w:cs="Arial"/>
          <w:kern w:val="0"/>
          <w:sz w:val="24"/>
          <w:highlight w:val="none"/>
        </w:rPr>
        <w:t xml:space="preserve">  4.2.</w:t>
      </w:r>
      <w:r>
        <w:rPr>
          <w:rFonts w:hint="eastAsia" w:ascii="仿宋" w:hAnsi="仿宋" w:eastAsia="仿宋" w:cs="Arial"/>
          <w:kern w:val="0"/>
          <w:sz w:val="24"/>
          <w:highlight w:val="none"/>
        </w:rPr>
        <w:t>10</w:t>
      </w:r>
      <w:r>
        <w:rPr>
          <w:rFonts w:ascii="仿宋" w:hAnsi="仿宋" w:eastAsia="仿宋" w:cs="Arial"/>
          <w:kern w:val="0"/>
          <w:sz w:val="24"/>
          <w:highlight w:val="none"/>
        </w:rPr>
        <w:t>投标人有恶意串通、妨碍其他投标人的竞争行为、损害采购人或者其他投标人的合法权益情形的；</w:t>
      </w:r>
    </w:p>
    <w:p>
      <w:pPr>
        <w:snapToGrid w:val="0"/>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4.2.1</w:t>
      </w:r>
      <w:r>
        <w:rPr>
          <w:rFonts w:hint="eastAsia" w:ascii="仿宋" w:hAnsi="仿宋" w:eastAsia="仿宋" w:cs="Arial"/>
          <w:kern w:val="0"/>
          <w:sz w:val="24"/>
          <w:highlight w:val="none"/>
        </w:rPr>
        <w:t>1</w:t>
      </w:r>
      <w:r>
        <w:rPr>
          <w:rFonts w:ascii="仿宋" w:hAnsi="仿宋" w:eastAsia="仿宋" w:cs="Arial"/>
          <w:kern w:val="0"/>
          <w:sz w:val="24"/>
          <w:highlight w:val="none"/>
        </w:rPr>
        <w:t>投标人仅提交备份投标文件，没有在电子交易平台传输递交投标文件的，投标无效；</w:t>
      </w:r>
    </w:p>
    <w:p>
      <w:pPr>
        <w:snapToGrid w:val="0"/>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4.2.1</w:t>
      </w:r>
      <w:r>
        <w:rPr>
          <w:rFonts w:hint="eastAsia" w:ascii="仿宋" w:hAnsi="仿宋" w:eastAsia="仿宋" w:cs="Arial"/>
          <w:kern w:val="0"/>
          <w:sz w:val="24"/>
          <w:highlight w:val="none"/>
        </w:rPr>
        <w:t>2</w:t>
      </w:r>
      <w:r>
        <w:rPr>
          <w:rFonts w:ascii="仿宋" w:hAnsi="仿宋" w:eastAsia="仿宋" w:cs="Arial"/>
          <w:kern w:val="0"/>
          <w:sz w:val="24"/>
          <w:highlight w:val="none"/>
        </w:rPr>
        <w:t xml:space="preserve"> </w:t>
      </w:r>
      <w:r>
        <w:rPr>
          <w:rFonts w:hint="eastAsia" w:ascii="仿宋" w:hAnsi="仿宋" w:eastAsia="仿宋" w:cs="Arial"/>
          <w:kern w:val="0"/>
          <w:sz w:val="24"/>
          <w:highlight w:val="none"/>
        </w:rPr>
        <w:t>投标文件不满足招标文件的其它实质性要求的；</w:t>
      </w:r>
    </w:p>
    <w:p>
      <w:pPr>
        <w:snapToGrid w:val="0"/>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4.2.1</w:t>
      </w:r>
      <w:r>
        <w:rPr>
          <w:rFonts w:hint="eastAsia" w:ascii="仿宋" w:hAnsi="仿宋" w:eastAsia="仿宋" w:cs="Arial"/>
          <w:kern w:val="0"/>
          <w:sz w:val="24"/>
          <w:highlight w:val="none"/>
        </w:rPr>
        <w:t>3</w:t>
      </w:r>
      <w:r>
        <w:rPr>
          <w:rFonts w:ascii="仿宋" w:hAnsi="仿宋" w:eastAsia="仿宋" w:cs="Arial"/>
          <w:kern w:val="0"/>
          <w:sz w:val="24"/>
          <w:highlight w:val="none"/>
        </w:rPr>
        <w:t>法律、法规、规章（适用本市的）及省级以上规范性文件（适用本市的）规定的其他无效情形。</w:t>
      </w:r>
    </w:p>
    <w:p>
      <w:pPr>
        <w:pStyle w:val="3"/>
        <w:snapToGrid w:val="0"/>
        <w:spacing w:line="360" w:lineRule="auto"/>
        <w:ind w:firstLine="472" w:firstLineChars="196"/>
        <w:rPr>
          <w:rFonts w:ascii="仿宋" w:hAnsi="仿宋" w:eastAsia="仿宋" w:cs="仿宋_GB2312"/>
          <w:highlight w:val="none"/>
        </w:rPr>
      </w:pPr>
      <w:r>
        <w:rPr>
          <w:rFonts w:ascii="仿宋" w:hAnsi="仿宋" w:eastAsia="仿宋" w:cs="仿宋_GB2312"/>
          <w:b/>
          <w:highlight w:val="none"/>
        </w:rPr>
        <w:t>5.废标。</w:t>
      </w:r>
      <w:r>
        <w:rPr>
          <w:rFonts w:hint="eastAsia" w:ascii="仿宋" w:hAnsi="仿宋" w:eastAsia="仿宋" w:cs="仿宋_GB2312"/>
          <w:highlight w:val="none"/>
        </w:rPr>
        <w:t>根据《中华人民共和国政府采购法》第三十六条之规定，在采购中，出现下列情形之一的，应予废标：</w:t>
      </w:r>
    </w:p>
    <w:p>
      <w:pPr>
        <w:pStyle w:val="3"/>
        <w:snapToGrid w:val="0"/>
        <w:spacing w:line="360" w:lineRule="auto"/>
        <w:rPr>
          <w:rFonts w:ascii="仿宋" w:hAnsi="仿宋" w:eastAsia="仿宋" w:cs="仿宋_GB2312"/>
          <w:highlight w:val="none"/>
        </w:rPr>
      </w:pPr>
      <w:r>
        <w:rPr>
          <w:rFonts w:ascii="仿宋" w:hAnsi="仿宋" w:eastAsia="仿宋" w:cs="仿宋_GB2312"/>
          <w:highlight w:val="none"/>
        </w:rPr>
        <w:t>5.1符合专业条件的供应商或者对招标文件作实质响应的供应商不足3家的；</w:t>
      </w:r>
    </w:p>
    <w:p>
      <w:pPr>
        <w:pStyle w:val="3"/>
        <w:snapToGrid w:val="0"/>
        <w:spacing w:line="360" w:lineRule="auto"/>
        <w:rPr>
          <w:rFonts w:ascii="仿宋" w:hAnsi="仿宋" w:eastAsia="仿宋" w:cs="仿宋_GB2312"/>
          <w:highlight w:val="none"/>
        </w:rPr>
      </w:pPr>
      <w:r>
        <w:rPr>
          <w:rFonts w:ascii="仿宋" w:hAnsi="仿宋" w:eastAsia="仿宋" w:cs="仿宋_GB2312"/>
          <w:highlight w:val="none"/>
        </w:rPr>
        <w:t>5.2出现影响采购公正的违法、违规行为的；</w:t>
      </w:r>
    </w:p>
    <w:p>
      <w:pPr>
        <w:pStyle w:val="3"/>
        <w:snapToGrid w:val="0"/>
        <w:spacing w:line="360" w:lineRule="auto"/>
        <w:rPr>
          <w:rFonts w:ascii="仿宋" w:hAnsi="仿宋" w:eastAsia="仿宋" w:cs="仿宋_GB2312"/>
          <w:highlight w:val="none"/>
        </w:rPr>
      </w:pPr>
      <w:r>
        <w:rPr>
          <w:rFonts w:ascii="仿宋" w:hAnsi="仿宋" w:eastAsia="仿宋" w:cs="仿宋_GB2312"/>
          <w:highlight w:val="none"/>
        </w:rPr>
        <w:t>5.3投标人的报价均超过了采购预算，采购人不能支付的；</w:t>
      </w:r>
    </w:p>
    <w:p>
      <w:pPr>
        <w:pStyle w:val="3"/>
        <w:snapToGrid w:val="0"/>
        <w:spacing w:line="360" w:lineRule="auto"/>
        <w:rPr>
          <w:rFonts w:ascii="仿宋" w:hAnsi="仿宋" w:eastAsia="仿宋" w:cs="仿宋_GB2312"/>
          <w:highlight w:val="none"/>
        </w:rPr>
      </w:pPr>
      <w:r>
        <w:rPr>
          <w:rFonts w:ascii="仿宋" w:hAnsi="仿宋" w:eastAsia="仿宋" w:cs="仿宋_GB2312"/>
          <w:highlight w:val="none"/>
        </w:rPr>
        <w:t>5.4因重大变故，采购任务取消的。</w:t>
      </w:r>
    </w:p>
    <w:p>
      <w:pPr>
        <w:pStyle w:val="3"/>
        <w:snapToGrid w:val="0"/>
        <w:spacing w:line="360" w:lineRule="auto"/>
        <w:rPr>
          <w:rFonts w:ascii="仿宋" w:hAnsi="仿宋" w:eastAsia="仿宋" w:cs="仿宋_GB2312"/>
          <w:highlight w:val="none"/>
        </w:rPr>
      </w:pPr>
      <w:r>
        <w:rPr>
          <w:rFonts w:hint="eastAsia" w:ascii="仿宋" w:hAnsi="仿宋" w:eastAsia="仿宋" w:cs="仿宋_GB2312"/>
          <w:highlight w:val="none"/>
        </w:rPr>
        <w:t>废标后，采购机构应当将废标理由通知所有投标人。</w:t>
      </w:r>
    </w:p>
    <w:p>
      <w:pPr>
        <w:pStyle w:val="3"/>
        <w:snapToGrid w:val="0"/>
        <w:spacing w:line="360" w:lineRule="auto"/>
        <w:ind w:firstLine="482"/>
        <w:rPr>
          <w:rFonts w:ascii="仿宋" w:hAnsi="仿宋" w:eastAsia="仿宋" w:cs="仿宋_GB2312"/>
          <w:highlight w:val="none"/>
        </w:rPr>
      </w:pPr>
      <w:r>
        <w:rPr>
          <w:rFonts w:ascii="仿宋" w:hAnsi="仿宋" w:eastAsia="仿宋" w:cs="仿宋_GB2312"/>
          <w:b/>
          <w:highlight w:val="none"/>
        </w:rPr>
        <w:t>6.修改招标文件，重新组织采购活动。</w:t>
      </w:r>
      <w:r>
        <w:rPr>
          <w:rFonts w:hint="eastAsia" w:ascii="仿宋" w:hAnsi="仿宋" w:eastAsia="仿宋"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482"/>
        <w:rPr>
          <w:rFonts w:ascii="仿宋" w:hAnsi="仿宋" w:eastAsia="仿宋" w:cs="仿宋_GB2312"/>
          <w:highlight w:val="none"/>
        </w:rPr>
      </w:pPr>
      <w:r>
        <w:rPr>
          <w:rFonts w:hint="eastAsia" w:ascii="仿宋" w:hAnsi="仿宋" w:eastAsia="仿宋" w:cs="Helvetica"/>
          <w:b/>
          <w:kern w:val="0"/>
          <w:highlight w:val="none"/>
        </w:rPr>
        <w:t>7.重新开展采购。</w:t>
      </w:r>
      <w:r>
        <w:rPr>
          <w:rFonts w:hint="eastAsia" w:ascii="仿宋" w:hAnsi="仿宋" w:eastAsia="仿宋" w:cs="仿宋_GB2312"/>
          <w:highlight w:val="none"/>
        </w:rPr>
        <w:t>有政府采购法第七十一条、第七十二条规定的违法行为之一，影响或者可能影响中标、成交结果的，依照下列规定处理：</w:t>
      </w:r>
    </w:p>
    <w:p>
      <w:pPr>
        <w:pStyle w:val="3"/>
        <w:snapToGrid w:val="0"/>
        <w:spacing w:line="360" w:lineRule="auto"/>
        <w:rPr>
          <w:rFonts w:ascii="仿宋" w:hAnsi="仿宋" w:eastAsia="仿宋" w:cs="仿宋_GB2312"/>
          <w:highlight w:val="none"/>
        </w:rPr>
      </w:pPr>
      <w:r>
        <w:rPr>
          <w:rFonts w:ascii="仿宋" w:hAnsi="仿宋" w:eastAsia="仿宋" w:cs="仿宋_GB2312"/>
          <w:highlight w:val="none"/>
        </w:rPr>
        <w:t>7.1未确定中标或者中标人的，终止本次政府采购活动，重新开展政府采购</w:t>
      </w:r>
      <w:r>
        <w:rPr>
          <w:rFonts w:hint="eastAsia" w:ascii="仿宋" w:hAnsi="仿宋" w:eastAsia="仿宋" w:cs="仿宋_GB2312"/>
          <w:highlight w:val="none"/>
        </w:rPr>
        <w:t>活动。</w:t>
      </w:r>
    </w:p>
    <w:p>
      <w:pPr>
        <w:pStyle w:val="3"/>
        <w:snapToGrid w:val="0"/>
        <w:spacing w:line="360" w:lineRule="auto"/>
        <w:rPr>
          <w:rFonts w:ascii="仿宋" w:hAnsi="仿宋" w:eastAsia="仿宋" w:cs="仿宋_GB2312"/>
          <w:highlight w:val="none"/>
        </w:rPr>
      </w:pPr>
      <w:r>
        <w:rPr>
          <w:rFonts w:ascii="仿宋" w:hAnsi="仿宋" w:eastAsia="仿宋"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rPr>
          <w:rFonts w:ascii="仿宋" w:hAnsi="仿宋" w:eastAsia="仿宋" w:cs="仿宋_GB2312"/>
          <w:highlight w:val="none"/>
        </w:rPr>
      </w:pPr>
      <w:r>
        <w:rPr>
          <w:rFonts w:ascii="仿宋" w:hAnsi="仿宋" w:eastAsia="仿宋" w:cs="仿宋_GB2312"/>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 w:hAnsi="仿宋" w:eastAsia="仿宋" w:cs="仿宋_GB2312"/>
          <w:highlight w:val="none"/>
        </w:rPr>
      </w:pPr>
      <w:r>
        <w:rPr>
          <w:rFonts w:ascii="仿宋" w:hAnsi="仿宋" w:eastAsia="仿宋" w:cs="仿宋_GB2312"/>
          <w:highlight w:val="none"/>
        </w:rPr>
        <w:t>7.4政府采购合同已经履行，给采购人、供应</w:t>
      </w:r>
      <w:r>
        <w:rPr>
          <w:rFonts w:hint="eastAsia" w:ascii="仿宋" w:hAnsi="仿宋" w:eastAsia="仿宋" w:cs="仿宋_GB2312"/>
          <w:highlight w:val="none"/>
        </w:rPr>
        <w:t>商造成损失的，由责任人承担赔偿责任。</w:t>
      </w:r>
    </w:p>
    <w:p>
      <w:pPr>
        <w:pStyle w:val="3"/>
        <w:snapToGrid w:val="0"/>
        <w:spacing w:line="360" w:lineRule="auto"/>
        <w:rPr>
          <w:rFonts w:ascii="仿宋" w:hAnsi="仿宋" w:eastAsia="仿宋" w:cs="仿宋_GB2312"/>
          <w:highlight w:val="none"/>
        </w:rPr>
      </w:pPr>
      <w:r>
        <w:rPr>
          <w:rFonts w:ascii="仿宋" w:hAnsi="仿宋" w:eastAsia="仿宋" w:cs="仿宋_GB2312"/>
          <w:highlight w:val="none"/>
        </w:rPr>
        <w:t>7.5政府采购当事人有其他违反政府采购</w:t>
      </w:r>
      <w:r>
        <w:rPr>
          <w:rFonts w:hint="eastAsia" w:ascii="仿宋" w:hAnsi="仿宋" w:eastAsia="仿宋" w:cs="仿宋_GB2312"/>
          <w:highlight w:val="none"/>
        </w:rPr>
        <w:t>法</w:t>
      </w:r>
      <w:r>
        <w:rPr>
          <w:rFonts w:hint="eastAsia" w:ascii="仿宋" w:hAnsi="仿宋" w:eastAsia="仿宋" w:cs="Arial"/>
          <w:kern w:val="0"/>
          <w:highlight w:val="none"/>
        </w:rPr>
        <w:t>或者政府采购法实施条例等法律法规规定</w:t>
      </w:r>
      <w:r>
        <w:rPr>
          <w:rFonts w:hint="eastAsia" w:ascii="仿宋" w:hAnsi="仿宋" w:eastAsia="仿宋" w:cs="仿宋_GB2312"/>
          <w:highlight w:val="none"/>
        </w:rPr>
        <w:t>的行为，经改正后仍然影响或者可能影响中标、成交结果或者依法被认定为中标、成交无效的，依照</w:t>
      </w:r>
      <w:r>
        <w:rPr>
          <w:rFonts w:ascii="仿宋" w:hAnsi="仿宋" w:eastAsia="仿宋" w:cs="仿宋_GB2312"/>
          <w:highlight w:val="none"/>
        </w:rPr>
        <w:t>7.1-7.4规定处理。</w:t>
      </w:r>
    </w:p>
    <w:bookmarkEnd w:id="26"/>
    <w:p>
      <w:pPr>
        <w:spacing w:line="360" w:lineRule="auto"/>
        <w:jc w:val="center"/>
        <w:outlineLvl w:val="0"/>
        <w:rPr>
          <w:rFonts w:ascii="仿宋" w:hAnsi="仿宋" w:eastAsia="仿宋" w:cs="仿宋_GB2312"/>
          <w:b/>
          <w:sz w:val="36"/>
          <w:szCs w:val="36"/>
          <w:highlight w:val="none"/>
        </w:rPr>
      </w:pPr>
      <w:bookmarkStart w:id="396" w:name="_Toc86217003"/>
      <w:bookmarkStart w:id="397" w:name="第五部分"/>
    </w:p>
    <w:p>
      <w:pPr>
        <w:spacing w:line="360" w:lineRule="auto"/>
        <w:jc w:val="center"/>
        <w:outlineLvl w:val="0"/>
        <w:rPr>
          <w:rFonts w:ascii="仿宋" w:hAnsi="仿宋" w:eastAsia="仿宋" w:cs="仿宋_GB2312"/>
          <w:b/>
          <w:sz w:val="36"/>
          <w:szCs w:val="36"/>
          <w:highlight w:val="none"/>
        </w:rPr>
      </w:pPr>
    </w:p>
    <w:p>
      <w:pPr>
        <w:spacing w:line="360" w:lineRule="auto"/>
        <w:jc w:val="center"/>
        <w:outlineLvl w:val="0"/>
        <w:rPr>
          <w:rFonts w:ascii="仿宋" w:hAnsi="仿宋" w:eastAsia="仿宋" w:cs="仿宋_GB2312"/>
          <w:b/>
          <w:sz w:val="36"/>
          <w:szCs w:val="36"/>
          <w:highlight w:val="none"/>
        </w:rPr>
      </w:pPr>
    </w:p>
    <w:p>
      <w:pPr>
        <w:spacing w:line="360" w:lineRule="auto"/>
        <w:jc w:val="center"/>
        <w:outlineLvl w:val="0"/>
        <w:rPr>
          <w:rFonts w:ascii="仿宋" w:hAnsi="仿宋" w:eastAsia="仿宋" w:cs="仿宋_GB2312"/>
          <w:b/>
          <w:sz w:val="36"/>
          <w:szCs w:val="36"/>
          <w:highlight w:val="none"/>
        </w:rPr>
      </w:pPr>
    </w:p>
    <w:p>
      <w:pPr>
        <w:spacing w:line="360" w:lineRule="auto"/>
        <w:jc w:val="center"/>
        <w:outlineLvl w:val="0"/>
        <w:rPr>
          <w:rFonts w:ascii="仿宋" w:hAnsi="仿宋" w:eastAsia="仿宋" w:cs="仿宋_GB2312"/>
          <w:b/>
          <w:sz w:val="36"/>
          <w:szCs w:val="36"/>
          <w:highlight w:val="none"/>
        </w:rPr>
      </w:pPr>
    </w:p>
    <w:p>
      <w:pPr>
        <w:spacing w:line="360" w:lineRule="auto"/>
        <w:jc w:val="center"/>
        <w:outlineLvl w:val="0"/>
        <w:rPr>
          <w:rFonts w:ascii="仿宋" w:hAnsi="仿宋" w:eastAsia="仿宋" w:cs="仿宋_GB2312"/>
          <w:b/>
          <w:sz w:val="36"/>
          <w:szCs w:val="36"/>
          <w:highlight w:val="none"/>
        </w:rPr>
      </w:pPr>
    </w:p>
    <w:p>
      <w:pPr>
        <w:spacing w:line="360" w:lineRule="auto"/>
        <w:jc w:val="center"/>
        <w:outlineLvl w:val="0"/>
        <w:rPr>
          <w:rFonts w:ascii="仿宋" w:hAnsi="仿宋" w:eastAsia="仿宋" w:cs="仿宋_GB2312"/>
          <w:b/>
          <w:sz w:val="36"/>
          <w:szCs w:val="36"/>
          <w:highlight w:val="none"/>
        </w:rPr>
      </w:pPr>
    </w:p>
    <w:p>
      <w:pPr>
        <w:spacing w:line="360" w:lineRule="auto"/>
        <w:jc w:val="center"/>
        <w:outlineLvl w:val="0"/>
        <w:rPr>
          <w:rFonts w:ascii="仿宋" w:hAnsi="仿宋" w:eastAsia="仿宋" w:cs="仿宋_GB2312"/>
          <w:b/>
          <w:sz w:val="36"/>
          <w:szCs w:val="36"/>
          <w:highlight w:val="none"/>
        </w:rPr>
      </w:pPr>
    </w:p>
    <w:p>
      <w:pPr>
        <w:spacing w:line="360" w:lineRule="auto"/>
        <w:outlineLvl w:val="0"/>
        <w:rPr>
          <w:rFonts w:ascii="仿宋" w:hAnsi="仿宋" w:eastAsia="仿宋" w:cs="仿宋_GB2312"/>
          <w:b/>
          <w:sz w:val="36"/>
          <w:szCs w:val="36"/>
          <w:highlight w:val="none"/>
        </w:rPr>
      </w:pPr>
    </w:p>
    <w:p>
      <w:pPr>
        <w:pStyle w:val="2"/>
        <w:ind w:firstLine="723"/>
        <w:rPr>
          <w:rFonts w:ascii="仿宋" w:hAnsi="仿宋" w:eastAsia="仿宋" w:cs="仿宋_GB2312"/>
          <w:b/>
          <w:sz w:val="36"/>
          <w:szCs w:val="36"/>
          <w:highlight w:val="none"/>
        </w:rPr>
      </w:pPr>
    </w:p>
    <w:p>
      <w:pPr>
        <w:pStyle w:val="2"/>
        <w:ind w:firstLine="723"/>
        <w:rPr>
          <w:rFonts w:ascii="仿宋" w:hAnsi="仿宋" w:eastAsia="仿宋" w:cs="仿宋_GB2312"/>
          <w:b/>
          <w:sz w:val="36"/>
          <w:szCs w:val="36"/>
          <w:highlight w:val="none"/>
        </w:rPr>
      </w:pPr>
    </w:p>
    <w:p>
      <w:pPr>
        <w:pStyle w:val="2"/>
        <w:ind w:firstLine="723"/>
        <w:rPr>
          <w:rFonts w:ascii="仿宋" w:hAnsi="仿宋" w:eastAsia="仿宋" w:cs="仿宋_GB2312"/>
          <w:b/>
          <w:sz w:val="36"/>
          <w:szCs w:val="36"/>
          <w:highlight w:val="none"/>
        </w:rPr>
      </w:pPr>
    </w:p>
    <w:p>
      <w:pPr>
        <w:pStyle w:val="2"/>
        <w:ind w:firstLine="723"/>
        <w:rPr>
          <w:rFonts w:ascii="仿宋" w:hAnsi="仿宋" w:eastAsia="仿宋" w:cs="仿宋_GB2312"/>
          <w:b/>
          <w:sz w:val="36"/>
          <w:szCs w:val="36"/>
          <w:highlight w:val="none"/>
        </w:rPr>
      </w:pPr>
    </w:p>
    <w:p>
      <w:pPr>
        <w:pStyle w:val="2"/>
        <w:ind w:firstLine="723"/>
        <w:rPr>
          <w:rFonts w:ascii="仿宋" w:hAnsi="仿宋" w:eastAsia="仿宋" w:cs="仿宋_GB2312"/>
          <w:b/>
          <w:sz w:val="36"/>
          <w:szCs w:val="36"/>
          <w:highlight w:val="none"/>
        </w:rPr>
      </w:pPr>
    </w:p>
    <w:p>
      <w:pPr>
        <w:pStyle w:val="2"/>
        <w:ind w:firstLine="723"/>
        <w:rPr>
          <w:rFonts w:ascii="仿宋" w:hAnsi="仿宋" w:eastAsia="仿宋" w:cs="仿宋_GB2312"/>
          <w:b/>
          <w:sz w:val="36"/>
          <w:szCs w:val="36"/>
          <w:highlight w:val="none"/>
        </w:rPr>
      </w:pPr>
    </w:p>
    <w:p>
      <w:pPr>
        <w:pStyle w:val="2"/>
        <w:ind w:firstLine="723"/>
        <w:rPr>
          <w:rFonts w:ascii="仿宋" w:hAnsi="仿宋" w:eastAsia="仿宋" w:cs="仿宋_GB2312"/>
          <w:b/>
          <w:sz w:val="36"/>
          <w:szCs w:val="36"/>
          <w:highlight w:val="none"/>
        </w:rPr>
      </w:pPr>
    </w:p>
    <w:p>
      <w:pPr>
        <w:pStyle w:val="2"/>
        <w:ind w:firstLine="723"/>
        <w:rPr>
          <w:rFonts w:ascii="仿宋" w:hAnsi="仿宋" w:eastAsia="仿宋" w:cs="仿宋_GB2312"/>
          <w:b/>
          <w:sz w:val="36"/>
          <w:szCs w:val="36"/>
          <w:highlight w:val="none"/>
        </w:rPr>
      </w:pPr>
    </w:p>
    <w:p>
      <w:pPr>
        <w:pStyle w:val="2"/>
        <w:ind w:firstLine="723"/>
        <w:rPr>
          <w:rFonts w:ascii="仿宋" w:hAnsi="仿宋" w:eastAsia="仿宋" w:cs="仿宋_GB2312"/>
          <w:b/>
          <w:sz w:val="36"/>
          <w:szCs w:val="36"/>
          <w:highlight w:val="none"/>
        </w:rPr>
      </w:pPr>
    </w:p>
    <w:p>
      <w:pPr>
        <w:pStyle w:val="2"/>
        <w:ind w:firstLine="723"/>
        <w:rPr>
          <w:rFonts w:ascii="仿宋" w:hAnsi="仿宋" w:eastAsia="仿宋" w:cs="仿宋_GB2312"/>
          <w:b/>
          <w:sz w:val="36"/>
          <w:szCs w:val="36"/>
          <w:highlight w:val="none"/>
        </w:rPr>
      </w:pPr>
    </w:p>
    <w:p>
      <w:pPr>
        <w:spacing w:line="360" w:lineRule="auto"/>
        <w:jc w:val="center"/>
        <w:outlineLvl w:val="0"/>
        <w:rPr>
          <w:rFonts w:ascii="仿宋" w:hAnsi="仿宋" w:eastAsia="仿宋" w:cs="仿宋_GB2312"/>
          <w:b/>
          <w:sz w:val="36"/>
          <w:szCs w:val="36"/>
          <w:highlight w:val="none"/>
        </w:rPr>
      </w:pPr>
      <w:r>
        <w:rPr>
          <w:rFonts w:hint="eastAsia" w:ascii="仿宋" w:hAnsi="仿宋" w:eastAsia="仿宋" w:cs="仿宋_GB2312"/>
          <w:b/>
          <w:sz w:val="36"/>
          <w:szCs w:val="36"/>
          <w:highlight w:val="none"/>
        </w:rPr>
        <w:t>第五部分拟签订的合同文本</w:t>
      </w:r>
    </w:p>
    <w:p>
      <w:pPr>
        <w:snapToGrid w:val="0"/>
        <w:spacing w:line="360" w:lineRule="auto"/>
        <w:jc w:val="center"/>
        <w:rPr>
          <w:rFonts w:ascii="仿宋" w:hAnsi="仿宋" w:eastAsia="仿宋" w:cs="仿宋"/>
          <w:spacing w:val="-6"/>
          <w:szCs w:val="21"/>
          <w:highlight w:val="none"/>
        </w:rPr>
      </w:pPr>
      <w:r>
        <w:rPr>
          <w:rFonts w:hint="eastAsia" w:ascii="仿宋" w:hAnsi="仿宋" w:eastAsia="仿宋" w:cs="仿宋"/>
          <w:spacing w:val="-6"/>
          <w:szCs w:val="21"/>
          <w:highlight w:val="none"/>
        </w:rPr>
        <w:t>（本合同为合同样稿，最终稿由双方协商后确定，合同实质性内容不得更改；签订合同时删除此行）</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甲方： 富阳</w:t>
      </w:r>
      <w:r>
        <w:rPr>
          <w:rFonts w:hint="eastAsia" w:ascii="仿宋" w:hAnsi="仿宋" w:eastAsia="仿宋" w:cs="仿宋"/>
          <w:sz w:val="24"/>
          <w:highlight w:val="none"/>
          <w:lang w:eastAsia="zh-CN"/>
        </w:rPr>
        <w:t>区</w:t>
      </w:r>
      <w:r>
        <w:rPr>
          <w:rFonts w:hint="eastAsia" w:ascii="仿宋" w:hAnsi="仿宋" w:eastAsia="仿宋" w:cs="仿宋"/>
          <w:sz w:val="24"/>
          <w:highlight w:val="none"/>
        </w:rPr>
        <w:t>农业农村局或桐庐县林水局或建德市林业局或淳安县林业局</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乙方：</w:t>
      </w:r>
    </w:p>
    <w:p>
      <w:pPr>
        <w:snapToGrid w:val="0"/>
        <w:spacing w:line="360" w:lineRule="auto"/>
        <w:ind w:firstLine="456" w:firstLineChars="200"/>
        <w:rPr>
          <w:rFonts w:ascii="仿宋" w:hAnsi="仿宋" w:eastAsia="仿宋" w:cs="仿宋"/>
          <w:spacing w:val="-6"/>
          <w:sz w:val="24"/>
          <w:highlight w:val="none"/>
        </w:rPr>
      </w:pPr>
      <w:r>
        <w:rPr>
          <w:rFonts w:hint="eastAsia" w:ascii="仿宋" w:hAnsi="仿宋" w:eastAsia="仿宋" w:cs="仿宋"/>
          <w:spacing w:val="-6"/>
          <w:sz w:val="24"/>
          <w:highlight w:val="none"/>
        </w:rPr>
        <w:t>甲、乙双方根据</w:t>
      </w:r>
      <w:r>
        <w:rPr>
          <w:rFonts w:hint="eastAsia" w:ascii="仿宋" w:hAnsi="仿宋" w:eastAsia="仿宋" w:cs="仿宋"/>
          <w:spacing w:val="-6"/>
          <w:sz w:val="24"/>
          <w:highlight w:val="none"/>
          <w:u w:val="single"/>
        </w:rPr>
        <w:t xml:space="preserve">                         </w:t>
      </w:r>
      <w:r>
        <w:rPr>
          <w:rFonts w:hint="eastAsia" w:ascii="仿宋" w:hAnsi="仿宋" w:eastAsia="仿宋" w:cs="仿宋"/>
          <w:spacing w:val="-6"/>
          <w:sz w:val="24"/>
          <w:highlight w:val="none"/>
        </w:rPr>
        <w:t>项目</w:t>
      </w:r>
      <w:r>
        <w:rPr>
          <w:rFonts w:hint="eastAsia" w:ascii="仿宋" w:hAnsi="仿宋" w:eastAsia="仿宋" w:cs="仿宋"/>
          <w:spacing w:val="-6"/>
          <w:sz w:val="24"/>
          <w:highlight w:val="none"/>
          <w:u w:val="single"/>
        </w:rPr>
        <w:t xml:space="preserve">  公开招标  </w:t>
      </w:r>
      <w:r>
        <w:rPr>
          <w:rFonts w:hint="eastAsia" w:ascii="仿宋" w:hAnsi="仿宋" w:eastAsia="仿宋" w:cs="仿宋"/>
          <w:spacing w:val="-6"/>
          <w:sz w:val="24"/>
          <w:highlight w:val="none"/>
        </w:rPr>
        <w:t>的结果，</w:t>
      </w:r>
      <w:r>
        <w:rPr>
          <w:rFonts w:hint="eastAsia" w:ascii="仿宋" w:hAnsi="仿宋" w:eastAsia="仿宋" w:cs="仿宋"/>
          <w:sz w:val="24"/>
          <w:highlight w:val="none"/>
        </w:rPr>
        <w:t>为保证甲方采购乙方的富春江-新安江风景名胜区总体规划修编项目，依据《中华人民共和国政府采购法》和《中华人民共和国民法典》的有关规定，经甲、乙双方友好协商，签订本合同并遵照执行。</w:t>
      </w:r>
    </w:p>
    <w:p>
      <w:pPr>
        <w:widowControl/>
        <w:tabs>
          <w:tab w:val="left" w:pos="425"/>
        </w:tabs>
        <w:snapToGrid w:val="0"/>
        <w:spacing w:line="360" w:lineRule="auto"/>
        <w:jc w:val="left"/>
        <w:rPr>
          <w:rFonts w:ascii="仿宋" w:hAnsi="仿宋" w:eastAsia="仿宋" w:cs="仿宋"/>
          <w:sz w:val="24"/>
          <w:highlight w:val="none"/>
        </w:rPr>
      </w:pPr>
      <w:r>
        <w:rPr>
          <w:rFonts w:hint="eastAsia" w:ascii="仿宋" w:hAnsi="仿宋" w:eastAsia="仿宋" w:cs="仿宋"/>
          <w:b/>
          <w:sz w:val="24"/>
          <w:highlight w:val="none"/>
        </w:rPr>
        <w:t>一.服务内容</w:t>
      </w:r>
    </w:p>
    <w:p>
      <w:pPr>
        <w:snapToGrid w:val="0"/>
        <w:spacing w:line="360" w:lineRule="auto"/>
        <w:ind w:firstLine="480" w:firstLineChars="200"/>
        <w:outlineLvl w:val="0"/>
        <w:rPr>
          <w:rFonts w:ascii="仿宋" w:hAnsi="仿宋" w:eastAsia="仿宋" w:cs="宋体"/>
          <w:bCs/>
          <w:snapToGrid w:val="0"/>
          <w:kern w:val="0"/>
          <w:sz w:val="24"/>
          <w:highlight w:val="none"/>
        </w:rPr>
      </w:pPr>
      <w:r>
        <w:rPr>
          <w:rFonts w:hint="eastAsia" w:ascii="仿宋" w:hAnsi="仿宋" w:eastAsia="仿宋" w:cs="宋体"/>
          <w:bCs/>
          <w:snapToGrid w:val="0"/>
          <w:kern w:val="0"/>
          <w:sz w:val="24"/>
          <w:highlight w:val="none"/>
        </w:rPr>
        <w:t>根据《中华人民共和国城乡规划法》《风景名胜区条例》《浙江省风景名胜区条例》《国家级风景名胜区规划编制审批办法》《风景名胜区总体规划标准》《浙江省风景名胜区规划实施评估办法（试行）》等相关规定，本次总规修编应对上版总规进行风景名胜区综合评价，并结合十四五发展规划和国土空间总体规划，推进富春江-新安江风景名胜区总规修编工作。本次总规修编应当在开展或衔接上版总规实施评估、范围优化调整、重大建设项目等专题研究的基础上形成《千岛湖风景名胜区总体规划》、《富春江-新安江风景名胜区总体规划》两套成果，并根据国家林草局要求，形成汇总成果。后续各县市专题研究以县市区林业相关部门为主体单位，委托有资质的机构进行单独编制，并衔接好本轮总规修编时间进度。</w:t>
      </w:r>
    </w:p>
    <w:p>
      <w:pPr>
        <w:snapToGrid w:val="0"/>
        <w:spacing w:line="360" w:lineRule="auto"/>
        <w:ind w:firstLine="480" w:firstLineChars="200"/>
        <w:outlineLvl w:val="0"/>
        <w:rPr>
          <w:rFonts w:ascii="仿宋" w:hAnsi="仿宋" w:eastAsia="仿宋" w:cs="宋体"/>
          <w:bCs/>
          <w:snapToGrid w:val="0"/>
          <w:kern w:val="0"/>
          <w:sz w:val="24"/>
          <w:highlight w:val="none"/>
        </w:rPr>
      </w:pPr>
      <w:r>
        <w:rPr>
          <w:rFonts w:hint="eastAsia" w:ascii="仿宋" w:hAnsi="仿宋" w:eastAsia="仿宋" w:cs="宋体"/>
          <w:bCs/>
          <w:snapToGrid w:val="0"/>
          <w:kern w:val="0"/>
          <w:sz w:val="24"/>
          <w:highlight w:val="none"/>
        </w:rPr>
        <w:t>总体规划修编内容应当包括：风景名胜资源评价；明确风景名胜区范围、性质、发展目标和空间布局；明确管控分区范围及保护要求，按分区确定建设项目和人类活动准入正负面清单；提出风景名胜资源保护措施和生态环境影响评价；确定风景名胜区游客容量，编制游赏、设施、居民点协调规划；划定编制详细规划的区域，提出详细规划编制应当遵从的重要控制指标或者要求；相关规划协调等。</w:t>
      </w:r>
    </w:p>
    <w:p>
      <w:pPr>
        <w:snapToGrid w:val="0"/>
        <w:spacing w:line="360" w:lineRule="auto"/>
        <w:outlineLvl w:val="0"/>
        <w:rPr>
          <w:rFonts w:ascii="仿宋" w:hAnsi="仿宋" w:eastAsia="仿宋" w:cs="宋体"/>
          <w:b/>
          <w:bCs/>
          <w:sz w:val="24"/>
          <w:highlight w:val="none"/>
        </w:rPr>
      </w:pPr>
      <w:r>
        <w:rPr>
          <w:rFonts w:hint="eastAsia" w:ascii="仿宋" w:hAnsi="仿宋" w:eastAsia="仿宋" w:cs="宋体"/>
          <w:b/>
          <w:bCs/>
          <w:sz w:val="24"/>
          <w:highlight w:val="none"/>
        </w:rPr>
        <w:t>二、相关要求</w:t>
      </w:r>
    </w:p>
    <w:p>
      <w:pPr>
        <w:snapToGrid w:val="0"/>
        <w:spacing w:line="360" w:lineRule="auto"/>
        <w:ind w:firstLine="480" w:firstLineChars="200"/>
        <w:rPr>
          <w:rFonts w:ascii="仿宋" w:hAnsi="仿宋" w:eastAsia="仿宋" w:cs="宋体"/>
          <w:kern w:val="0"/>
          <w:sz w:val="24"/>
          <w:highlight w:val="none"/>
        </w:rPr>
      </w:pPr>
      <w:r>
        <w:rPr>
          <w:rFonts w:ascii="仿宋" w:hAnsi="仿宋" w:eastAsia="仿宋" w:cs="宋体"/>
          <w:kern w:val="0"/>
          <w:sz w:val="24"/>
          <w:highlight w:val="none"/>
        </w:rPr>
        <w:t>1</w:t>
      </w:r>
      <w:r>
        <w:rPr>
          <w:rFonts w:hint="eastAsia" w:ascii="仿宋" w:hAnsi="仿宋" w:eastAsia="仿宋" w:cs="宋体"/>
          <w:kern w:val="0"/>
          <w:sz w:val="24"/>
          <w:highlight w:val="none"/>
        </w:rPr>
        <w:t>.规划成果要求：规划成果应当包括规划文本、规划图纸、规划说明书、基础资料汇编、遥感影像图和范围界限、分区界限等矢量数据，以纸质和电子文件两种形式表达。规划成果纳入国土空间基础信息平台，叠加到国土空间信息“一张图”。征求意见及意见采纳的情况、专题论证材料、部门和专家评审意见、公示情况等，纳入基础资料汇编。</w:t>
      </w:r>
    </w:p>
    <w:p>
      <w:pPr>
        <w:snapToGrid w:val="0"/>
        <w:spacing w:line="360" w:lineRule="auto"/>
        <w:ind w:firstLine="480" w:firstLineChars="200"/>
        <w:rPr>
          <w:rFonts w:ascii="仿宋" w:hAnsi="仿宋" w:eastAsia="仿宋" w:cs="宋体"/>
          <w:kern w:val="0"/>
          <w:sz w:val="24"/>
          <w:highlight w:val="none"/>
        </w:rPr>
      </w:pPr>
      <w:r>
        <w:rPr>
          <w:rFonts w:ascii="仿宋" w:hAnsi="仿宋" w:eastAsia="仿宋" w:cs="宋体"/>
          <w:kern w:val="0"/>
          <w:sz w:val="24"/>
          <w:highlight w:val="none"/>
        </w:rPr>
        <w:t>2</w:t>
      </w:r>
      <w:r>
        <w:rPr>
          <w:rFonts w:hint="eastAsia" w:ascii="仿宋" w:hAnsi="仿宋" w:eastAsia="仿宋" w:cs="宋体"/>
          <w:kern w:val="0"/>
          <w:sz w:val="24"/>
          <w:highlight w:val="none"/>
        </w:rPr>
        <w:t>.规划编制进度要求：按照四个阶段安排工作计划，要求在</w:t>
      </w:r>
      <w:r>
        <w:rPr>
          <w:rFonts w:hint="eastAsia" w:ascii="仿宋" w:hAnsi="仿宋" w:eastAsia="仿宋" w:cs="宋体"/>
          <w:kern w:val="0"/>
          <w:sz w:val="24"/>
          <w:highlight w:val="none"/>
          <w:lang w:val="en-US" w:eastAsia="zh-CN"/>
        </w:rPr>
        <w:t>合同签订后按要求</w:t>
      </w:r>
      <w:r>
        <w:rPr>
          <w:rFonts w:hint="eastAsia" w:ascii="仿宋" w:hAnsi="仿宋" w:eastAsia="仿宋" w:cs="宋体"/>
          <w:kern w:val="0"/>
          <w:sz w:val="24"/>
          <w:highlight w:val="none"/>
        </w:rPr>
        <w:t>完成本轮风景区总规修编工作。</w:t>
      </w:r>
    </w:p>
    <w:p>
      <w:pPr>
        <w:snapToGrid w:val="0"/>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①综合评价及相关专题衔接研究阶段（</w:t>
      </w:r>
      <w:r>
        <w:rPr>
          <w:rFonts w:ascii="仿宋" w:hAnsi="仿宋" w:eastAsia="仿宋" w:cs="宋体"/>
          <w:b/>
          <w:bCs/>
          <w:kern w:val="0"/>
          <w:sz w:val="24"/>
          <w:highlight w:val="none"/>
        </w:rPr>
        <w:t>4</w:t>
      </w:r>
      <w:r>
        <w:rPr>
          <w:rFonts w:hint="eastAsia" w:ascii="仿宋" w:hAnsi="仿宋" w:eastAsia="仿宋" w:cs="宋体"/>
          <w:kern w:val="0"/>
          <w:sz w:val="24"/>
          <w:highlight w:val="none"/>
        </w:rPr>
        <w:t>个月</w:t>
      </w:r>
      <w:r>
        <w:rPr>
          <w:rFonts w:hint="eastAsia" w:ascii="仿宋" w:hAnsi="仿宋" w:eastAsia="仿宋" w:cs="宋体"/>
          <w:kern w:val="0"/>
          <w:sz w:val="24"/>
          <w:highlight w:val="none"/>
          <w:lang w:val="en-US" w:eastAsia="zh-CN"/>
        </w:rPr>
        <w:t>以内</w:t>
      </w:r>
      <w:r>
        <w:rPr>
          <w:rFonts w:hint="eastAsia" w:ascii="仿宋" w:hAnsi="仿宋" w:eastAsia="仿宋" w:cs="宋体"/>
          <w:kern w:val="0"/>
          <w:sz w:val="24"/>
          <w:highlight w:val="none"/>
        </w:rPr>
        <w:t>）</w:t>
      </w:r>
    </w:p>
    <w:p>
      <w:pPr>
        <w:snapToGrid w:val="0"/>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完成基础资料收集、前期调研与部门座谈。开展风景名胜区综合评价、范围优化调整专题研究、景区交通组织和旅游设施专题研究衔接等并形成报告。</w:t>
      </w:r>
    </w:p>
    <w:p>
      <w:pPr>
        <w:snapToGrid w:val="0"/>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②规划方案阶段（4个月</w:t>
      </w:r>
      <w:r>
        <w:rPr>
          <w:rFonts w:hint="eastAsia" w:ascii="仿宋" w:hAnsi="仿宋" w:eastAsia="仿宋" w:cs="宋体"/>
          <w:kern w:val="0"/>
          <w:sz w:val="24"/>
          <w:highlight w:val="none"/>
          <w:lang w:val="en-US" w:eastAsia="zh-CN"/>
        </w:rPr>
        <w:t>以内</w:t>
      </w:r>
      <w:r>
        <w:rPr>
          <w:rFonts w:hint="eastAsia" w:ascii="仿宋" w:hAnsi="仿宋" w:eastAsia="仿宋" w:cs="宋体"/>
          <w:kern w:val="0"/>
          <w:sz w:val="24"/>
          <w:highlight w:val="none"/>
        </w:rPr>
        <w:t xml:space="preserve">） </w:t>
      </w:r>
    </w:p>
    <w:p>
      <w:pPr>
        <w:snapToGrid w:val="0"/>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完成总规修编规划纲要，并充分征求主管部门和有关专家意见，并在此过程中，不断更新和对接规划内容、建设项目和反馈意见。</w:t>
      </w:r>
    </w:p>
    <w:p>
      <w:pPr>
        <w:snapToGrid w:val="0"/>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③规划成果阶段（</w:t>
      </w:r>
      <w:r>
        <w:rPr>
          <w:rFonts w:ascii="仿宋" w:hAnsi="仿宋" w:eastAsia="仿宋" w:cs="宋体"/>
          <w:kern w:val="0"/>
          <w:sz w:val="24"/>
          <w:highlight w:val="none"/>
        </w:rPr>
        <w:t>4</w:t>
      </w:r>
      <w:r>
        <w:rPr>
          <w:rFonts w:hint="eastAsia" w:ascii="仿宋" w:hAnsi="仿宋" w:eastAsia="仿宋" w:cs="宋体"/>
          <w:kern w:val="0"/>
          <w:sz w:val="24"/>
          <w:highlight w:val="none"/>
        </w:rPr>
        <w:t>个月</w:t>
      </w:r>
      <w:r>
        <w:rPr>
          <w:rFonts w:hint="eastAsia" w:ascii="仿宋" w:hAnsi="仿宋" w:eastAsia="仿宋" w:cs="宋体"/>
          <w:kern w:val="0"/>
          <w:sz w:val="24"/>
          <w:highlight w:val="none"/>
          <w:lang w:val="en-US" w:eastAsia="zh-CN"/>
        </w:rPr>
        <w:t>以内</w:t>
      </w:r>
      <w:r>
        <w:rPr>
          <w:rFonts w:hint="eastAsia" w:ascii="仿宋" w:hAnsi="仿宋" w:eastAsia="仿宋" w:cs="宋体"/>
          <w:kern w:val="0"/>
          <w:sz w:val="24"/>
          <w:highlight w:val="none"/>
        </w:rPr>
        <w:t xml:space="preserve">） </w:t>
      </w:r>
    </w:p>
    <w:p>
      <w:pPr>
        <w:snapToGrid w:val="0"/>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根据纲要及有关意见深化形成规划成果，并与《杭州市国土空间总体规划》成果进行对接，叠合国土空间信息“一张图”。报杭州市人民政府进行规划成果审查。</w:t>
      </w:r>
    </w:p>
    <w:p>
      <w:pPr>
        <w:snapToGrid w:val="0"/>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④规划审批阶段（</w:t>
      </w:r>
      <w:r>
        <w:rPr>
          <w:rFonts w:hint="eastAsia" w:ascii="仿宋" w:hAnsi="仿宋" w:eastAsia="仿宋" w:cs="宋体"/>
          <w:b/>
          <w:bCs/>
          <w:kern w:val="0"/>
          <w:sz w:val="24"/>
          <w:highlight w:val="none"/>
        </w:rPr>
        <w:t>4</w:t>
      </w:r>
      <w:r>
        <w:rPr>
          <w:rFonts w:hint="eastAsia" w:ascii="仿宋" w:hAnsi="仿宋" w:eastAsia="仿宋" w:cs="宋体"/>
          <w:kern w:val="0"/>
          <w:sz w:val="24"/>
          <w:highlight w:val="none"/>
        </w:rPr>
        <w:t>个月</w:t>
      </w:r>
      <w:r>
        <w:rPr>
          <w:rFonts w:hint="eastAsia" w:ascii="仿宋" w:hAnsi="仿宋" w:eastAsia="仿宋" w:cs="宋体"/>
          <w:kern w:val="0"/>
          <w:sz w:val="24"/>
          <w:highlight w:val="none"/>
          <w:lang w:val="en-US" w:eastAsia="zh-CN"/>
        </w:rPr>
        <w:t>以内</w:t>
      </w:r>
      <w:r>
        <w:rPr>
          <w:rFonts w:hint="eastAsia" w:ascii="仿宋" w:hAnsi="仿宋" w:eastAsia="仿宋" w:cs="宋体"/>
          <w:kern w:val="0"/>
          <w:sz w:val="24"/>
          <w:highlight w:val="none"/>
        </w:rPr>
        <w:t>）</w:t>
      </w:r>
    </w:p>
    <w:p>
      <w:pPr>
        <w:snapToGrid w:val="0"/>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根据省市区各级审查会议相关要求，进行规划汇报、修改、调整、优化和报批，提交各阶段需要的规划送审稿，完成省林业局牵头组织的省级部门、专家审查会，并根据省级会审纪要修改，并提交正式报批稿经省政府同意转报至国务院。</w:t>
      </w:r>
    </w:p>
    <w:p>
      <w:pPr>
        <w:snapToGrid w:val="0"/>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3.规划编制团队要求：设计团队构成:▲整体团队不少于10人构成，项目负责人有负责编制国家级风景名胜区总体规划经验，具有正高级工程师职称以上。其余团队人员高级工程师职称不少于5人（包含项目负责人）团队城乡规划、土地管理、风景园林、建筑设计、道路交通、市政等各类专业人才至少一名，配备完善，经验丰富，工作效率高。</w:t>
      </w:r>
    </w:p>
    <w:p>
      <w:pPr>
        <w:snapToGrid w:val="0"/>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设计团队50%以上团队成员参加不少于两周的现状调研工作，摸清富春江-新安江风景名胜区现状发展情况，并与杭州市、富阳区、桐庐县、建德市、淳安县林业主管部门及相关各部门进行沟通交流。当甲方有质询或讨论需求时，乙方应及时响应；乙方应遵守合同规定的义务，配合各阶段方案汇报和评审要求。</w:t>
      </w:r>
    </w:p>
    <w:p>
      <w:pPr>
        <w:snapToGrid w:val="0"/>
        <w:spacing w:line="360" w:lineRule="auto"/>
        <w:ind w:firstLine="480" w:firstLineChars="200"/>
        <w:rPr>
          <w:rFonts w:ascii="仿宋" w:hAnsi="仿宋" w:eastAsia="仿宋" w:cs="宋体"/>
          <w:bCs/>
          <w:snapToGrid w:val="0"/>
          <w:kern w:val="0"/>
          <w:sz w:val="24"/>
          <w:highlight w:val="none"/>
        </w:rPr>
      </w:pPr>
      <w:r>
        <w:rPr>
          <w:rFonts w:hint="eastAsia" w:ascii="仿宋" w:hAnsi="仿宋" w:eastAsia="仿宋" w:cs="宋体"/>
          <w:kern w:val="0"/>
          <w:sz w:val="24"/>
          <w:highlight w:val="none"/>
        </w:rPr>
        <w:t>4.实施地点：采购人指定地点。</w:t>
      </w:r>
    </w:p>
    <w:p>
      <w:pPr>
        <w:snapToGrid w:val="0"/>
        <w:spacing w:line="360" w:lineRule="auto"/>
        <w:rPr>
          <w:rFonts w:ascii="仿宋" w:hAnsi="仿宋" w:eastAsia="仿宋" w:cs="仿宋"/>
          <w:b/>
          <w:bCs/>
          <w:sz w:val="24"/>
          <w:highlight w:val="none"/>
        </w:rPr>
      </w:pPr>
      <w:r>
        <w:rPr>
          <w:rFonts w:hint="eastAsia" w:ascii="仿宋" w:hAnsi="仿宋" w:eastAsia="仿宋" w:cs="仿宋"/>
          <w:b/>
          <w:bCs/>
          <w:sz w:val="24"/>
          <w:highlight w:val="none"/>
        </w:rPr>
        <w:t>三.其他</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1.知识产权</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①乙方应保证所提供的服务或其任何一部分均不会侵犯任何第三方的知识产权。</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②本项目知识产权归甲方所有，甲方有权在其他项目上运用该项目成果。未经采购人书面同意，乙方不得擅自扩散或提供给第三方使用。</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③乙方应保证采购人在使用过程中，免受第三方提出的侵权起诉。如发生此类纠纷，由乙方承担一切责任并负责解决。</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2.保密要求</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①乙方在项目实施过程中，遵循甲方的保密要求，项目涉及的业务资料、技术资料、数据等应严格保密，不得泄露。</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3.保密期限：永久</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①泄密责任：乙方应承担由此引起的一切法律后果及责任，甲方有权向乙方主张合同价款的30%作为违约金。</w:t>
      </w:r>
    </w:p>
    <w:p>
      <w:pPr>
        <w:widowControl/>
        <w:tabs>
          <w:tab w:val="left" w:pos="425"/>
        </w:tabs>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四.合同金额及付款方式</w:t>
      </w:r>
    </w:p>
    <w:p>
      <w:pPr>
        <w:widowControl/>
        <w:snapToGrid/>
        <w:spacing w:line="360" w:lineRule="auto"/>
        <w:ind w:firstLine="487" w:firstLineChars="202"/>
        <w:jc w:val="left"/>
        <w:rPr>
          <w:rFonts w:ascii="仿宋" w:hAnsi="仿宋" w:eastAsia="仿宋" w:cs="仿宋"/>
          <w:b/>
          <w:sz w:val="24"/>
          <w:highlight w:val="none"/>
        </w:rPr>
      </w:pPr>
      <w:r>
        <w:rPr>
          <w:rFonts w:hint="eastAsia" w:ascii="仿宋" w:hAnsi="仿宋" w:eastAsia="仿宋" w:cs="仿宋"/>
          <w:b/>
          <w:sz w:val="24"/>
          <w:highlight w:val="none"/>
        </w:rPr>
        <w:t>合同总金额（大写）:人民币</w:t>
      </w:r>
      <w:r>
        <w:rPr>
          <w:rFonts w:hint="eastAsia" w:ascii="仿宋" w:hAnsi="仿宋" w:eastAsia="仿宋" w:cs="仿宋"/>
          <w:b/>
          <w:sz w:val="24"/>
          <w:highlight w:val="none"/>
          <w:u w:val="single"/>
        </w:rPr>
        <w:t xml:space="preserve">       　元（￥       元）</w:t>
      </w:r>
      <w:r>
        <w:rPr>
          <w:rFonts w:hint="eastAsia" w:ascii="仿宋" w:hAnsi="仿宋" w:eastAsia="仿宋" w:cs="仿宋"/>
          <w:b/>
          <w:sz w:val="24"/>
          <w:highlight w:val="none"/>
        </w:rPr>
        <w:t>。</w:t>
      </w:r>
      <w:r>
        <w:rPr>
          <w:rFonts w:hint="eastAsia" w:ascii="仿宋" w:hAnsi="仿宋" w:eastAsia="仿宋" w:cs="仿宋"/>
          <w:bCs w:val="0"/>
          <w:color w:val="auto"/>
          <w:sz w:val="24"/>
          <w:highlight w:val="none"/>
        </w:rPr>
        <w:t>该费用已包含乙方为履行本合同全部义务所需的评审、人工、交通、食宿、查勘、印刷、税费等所有费用，除本合同另有约定外，甲方不再向乙方支付其他任何费用。</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项目分四笔支付：</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第一笔：甲方（富阳</w:t>
      </w:r>
      <w:r>
        <w:rPr>
          <w:rFonts w:hint="eastAsia" w:ascii="仿宋" w:hAnsi="仿宋" w:eastAsia="仿宋" w:cs="仿宋"/>
          <w:bCs/>
          <w:sz w:val="24"/>
          <w:highlight w:val="none"/>
          <w:lang w:eastAsia="zh-CN"/>
        </w:rPr>
        <w:t>区</w:t>
      </w:r>
      <w:r>
        <w:rPr>
          <w:rFonts w:hint="eastAsia" w:ascii="仿宋" w:hAnsi="仿宋" w:eastAsia="仿宋" w:cs="仿宋"/>
          <w:bCs/>
          <w:sz w:val="24"/>
          <w:highlight w:val="none"/>
        </w:rPr>
        <w:t>农业农村局或桐庐县林水局或建德市林业局或淳安县林业局）各主体各自和乙方合同签订生效后，且具备实施条件后7个工作日内支付合同总价的</w:t>
      </w:r>
      <w:r>
        <w:rPr>
          <w:rFonts w:ascii="仿宋" w:hAnsi="仿宋" w:eastAsia="仿宋" w:cs="仿宋"/>
          <w:bCs/>
          <w:sz w:val="24"/>
          <w:highlight w:val="none"/>
        </w:rPr>
        <w:t>40</w:t>
      </w:r>
      <w:r>
        <w:rPr>
          <w:rFonts w:hint="eastAsia" w:ascii="仿宋" w:hAnsi="仿宋" w:eastAsia="仿宋" w:cs="仿宋"/>
          <w:bCs/>
          <w:sz w:val="24"/>
          <w:highlight w:val="none"/>
        </w:rPr>
        <w:t>%款项；</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第二笔：项目完成总规修编纲要评审后，7个工作日内，甲方各主体支付合同总价的2</w:t>
      </w:r>
      <w:r>
        <w:rPr>
          <w:rFonts w:ascii="仿宋" w:hAnsi="仿宋" w:eastAsia="仿宋" w:cs="仿宋"/>
          <w:bCs/>
          <w:sz w:val="24"/>
          <w:highlight w:val="none"/>
        </w:rPr>
        <w:t>0%</w:t>
      </w:r>
      <w:r>
        <w:rPr>
          <w:rFonts w:hint="eastAsia" w:ascii="仿宋" w:hAnsi="仿宋" w:eastAsia="仿宋" w:cs="仿宋"/>
          <w:bCs/>
          <w:sz w:val="24"/>
          <w:highlight w:val="none"/>
        </w:rPr>
        <w:t>款项；</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第三笔：项目完成省林业局组织的省级评审后7个工作日内，甲方各主体支付合同总价的2</w:t>
      </w:r>
      <w:r>
        <w:rPr>
          <w:rFonts w:ascii="仿宋" w:hAnsi="仿宋" w:eastAsia="仿宋" w:cs="仿宋"/>
          <w:bCs/>
          <w:sz w:val="24"/>
          <w:highlight w:val="none"/>
        </w:rPr>
        <w:t>0%</w:t>
      </w:r>
      <w:r>
        <w:rPr>
          <w:rFonts w:hint="eastAsia" w:ascii="仿宋" w:hAnsi="仿宋" w:eastAsia="仿宋" w:cs="仿宋"/>
          <w:bCs/>
          <w:sz w:val="24"/>
          <w:highlight w:val="none"/>
        </w:rPr>
        <w:t>款项；</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 xml:space="preserve">尾款：规划批复后支付合同剩余尾款 </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乙方应向甲方开具等额正式发票。</w:t>
      </w:r>
    </w:p>
    <w:p>
      <w:pPr>
        <w:widowControl/>
        <w:tabs>
          <w:tab w:val="left" w:pos="425"/>
        </w:tabs>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五.履约保证金：</w:t>
      </w:r>
      <w:r>
        <w:rPr>
          <w:rFonts w:hint="eastAsia" w:ascii="仿宋" w:hAnsi="仿宋" w:eastAsia="仿宋" w:cs="仿宋"/>
          <w:bCs/>
          <w:sz w:val="24"/>
          <w:highlight w:val="none"/>
        </w:rPr>
        <w:t>/。</w:t>
      </w:r>
    </w:p>
    <w:p>
      <w:pPr>
        <w:widowControl/>
        <w:tabs>
          <w:tab w:val="left" w:pos="425"/>
        </w:tabs>
        <w:snapToGrid w:val="0"/>
        <w:spacing w:line="360" w:lineRule="auto"/>
        <w:jc w:val="left"/>
        <w:rPr>
          <w:rFonts w:ascii="仿宋" w:hAnsi="仿宋" w:eastAsia="仿宋" w:cs="仿宋"/>
          <w:sz w:val="24"/>
          <w:highlight w:val="none"/>
        </w:rPr>
      </w:pPr>
      <w:r>
        <w:rPr>
          <w:rFonts w:hint="eastAsia" w:ascii="仿宋" w:hAnsi="仿宋" w:eastAsia="仿宋" w:cs="仿宋"/>
          <w:b/>
          <w:sz w:val="24"/>
          <w:highlight w:val="none"/>
        </w:rPr>
        <w:t>六.税费：</w:t>
      </w:r>
      <w:r>
        <w:rPr>
          <w:rFonts w:hint="eastAsia" w:ascii="仿宋" w:hAnsi="仿宋" w:eastAsia="仿宋" w:cs="仿宋"/>
          <w:sz w:val="24"/>
          <w:highlight w:val="none"/>
        </w:rPr>
        <w:t>本合同执行中相关的一切税费均由乙方承担。</w:t>
      </w:r>
    </w:p>
    <w:p>
      <w:pPr>
        <w:widowControl/>
        <w:tabs>
          <w:tab w:val="left" w:pos="425"/>
        </w:tabs>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七.变更</w:t>
      </w:r>
    </w:p>
    <w:p>
      <w:pPr>
        <w:widowControl/>
        <w:tabs>
          <w:tab w:val="left" w:pos="425"/>
        </w:tabs>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政府采购合同履行中，甲方需追加与合同标的相同的服务的，在不改变合同其他条款的前提下，可以与乙方协商签订补充合同，但所有补充合同的采购金额不得超过原合同采购金额的百分之十。</w:t>
      </w:r>
    </w:p>
    <w:p>
      <w:pPr>
        <w:widowControl/>
        <w:tabs>
          <w:tab w:val="left" w:pos="425"/>
        </w:tabs>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八.专利权：</w:t>
      </w:r>
    </w:p>
    <w:p>
      <w:pPr>
        <w:pStyle w:val="3"/>
        <w:snapToGrid w:val="0"/>
        <w:spacing w:line="360" w:lineRule="auto"/>
        <w:rPr>
          <w:rFonts w:ascii="仿宋" w:hAnsi="仿宋" w:eastAsia="仿宋" w:cs="仿宋"/>
          <w:highlight w:val="none"/>
        </w:rPr>
      </w:pPr>
      <w:r>
        <w:rPr>
          <w:rFonts w:hint="eastAsia" w:ascii="仿宋" w:hAnsi="仿宋" w:eastAsia="仿宋" w:cs="仿宋"/>
          <w:highlight w:val="none"/>
        </w:rPr>
        <w:t>乙方应承诺保护甲方在使用合同服务或其任何一部分时不受第三方提出侵犯专利权、商标权和工业设计权等的起诉。如果任何第三方提出侵权指控，由乙方负责与第三方交涉并承担可能发生的一切费用和相关法律责任，甲方不承担由此引起的一切经济和法律责任。</w:t>
      </w:r>
    </w:p>
    <w:p>
      <w:pPr>
        <w:widowControl/>
        <w:tabs>
          <w:tab w:val="left" w:pos="425"/>
        </w:tabs>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九.结算原则</w:t>
      </w:r>
    </w:p>
    <w:p>
      <w:pPr>
        <w:widowControl/>
        <w:tabs>
          <w:tab w:val="left" w:pos="425"/>
        </w:tabs>
        <w:snapToGrid w:val="0"/>
        <w:spacing w:line="360" w:lineRule="auto"/>
        <w:ind w:firstLine="480" w:firstLineChars="200"/>
        <w:jc w:val="left"/>
        <w:rPr>
          <w:rFonts w:ascii="仿宋" w:hAnsi="仿宋" w:eastAsia="仿宋" w:cs="仿宋"/>
          <w:b/>
          <w:sz w:val="24"/>
          <w:highlight w:val="none"/>
        </w:rPr>
      </w:pPr>
      <w:r>
        <w:rPr>
          <w:rFonts w:hint="eastAsia" w:ascii="仿宋" w:hAnsi="仿宋" w:eastAsia="仿宋" w:cs="仿宋"/>
          <w:bCs/>
          <w:sz w:val="24"/>
          <w:highlight w:val="none"/>
        </w:rPr>
        <w:t>8.1采购文件及其补充文件、投标文件、询标纪要、中标通知书、服务合同等作为结算依据；</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8.2中标价一次性包死，不再调整。</w:t>
      </w:r>
    </w:p>
    <w:p>
      <w:pPr>
        <w:widowControl/>
        <w:tabs>
          <w:tab w:val="left" w:pos="425"/>
        </w:tabs>
        <w:snapToGrid w:val="0"/>
        <w:spacing w:line="360" w:lineRule="auto"/>
        <w:jc w:val="left"/>
        <w:rPr>
          <w:rFonts w:ascii="仿宋" w:hAnsi="仿宋" w:eastAsia="仿宋" w:cs="仿宋"/>
          <w:bCs/>
          <w:sz w:val="24"/>
          <w:highlight w:val="none"/>
        </w:rPr>
      </w:pPr>
      <w:r>
        <w:rPr>
          <w:rFonts w:hint="eastAsia" w:ascii="仿宋" w:hAnsi="仿宋" w:eastAsia="仿宋" w:cs="仿宋"/>
          <w:b/>
          <w:sz w:val="24"/>
          <w:highlight w:val="none"/>
        </w:rPr>
        <w:t>十.合同的转让与变更</w:t>
      </w:r>
    </w:p>
    <w:p>
      <w:pPr>
        <w:widowControl/>
        <w:tabs>
          <w:tab w:val="left" w:pos="425"/>
        </w:tabs>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bCs/>
          <w:sz w:val="24"/>
          <w:highlight w:val="none"/>
        </w:rPr>
        <w:t>1.</w:t>
      </w:r>
      <w:r>
        <w:rPr>
          <w:rFonts w:hint="eastAsia" w:ascii="仿宋" w:hAnsi="仿宋" w:eastAsia="仿宋" w:cs="仿宋"/>
          <w:sz w:val="24"/>
          <w:highlight w:val="none"/>
        </w:rPr>
        <w:t>未经甲乙双方同意，任何一方不得将本合同规定的权利义务转让给第三方或委托第三方代理。</w:t>
      </w:r>
    </w:p>
    <w:p>
      <w:pPr>
        <w:widowControl/>
        <w:tabs>
          <w:tab w:val="left" w:pos="540"/>
          <w:tab w:val="left" w:pos="747"/>
        </w:tabs>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bCs/>
          <w:sz w:val="24"/>
          <w:highlight w:val="none"/>
        </w:rPr>
        <w:t>2.</w:t>
      </w:r>
      <w:r>
        <w:rPr>
          <w:rFonts w:hint="eastAsia" w:ascii="仿宋" w:hAnsi="仿宋" w:eastAsia="仿宋" w:cs="仿宋"/>
          <w:sz w:val="24"/>
          <w:highlight w:val="none"/>
        </w:rPr>
        <w:t>合同履行期内甲乙双方均不得随意变更或解除合同。合同若有未尽事宜，需经双方共同协商，订立补充协议，补充协议须经甲乙双方签字盖章后方可生效。补充协议与本合同有同等法律效力。</w:t>
      </w:r>
    </w:p>
    <w:p>
      <w:pPr>
        <w:widowControl/>
        <w:tabs>
          <w:tab w:val="left" w:pos="425"/>
        </w:tabs>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十一.甲方的权力与义务</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1.对本项目工作质量进行检查。</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2.甲方有与乙方订立补充合同的签订权。</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3.甲方应当主要负责项目的所有外部关系的联系与协调，为乙方工作提供良好的外部条件。</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4.甲方应当按双方约定的内容和时间，向乙方提供与项目有关的资料。</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5.按规定支付相应的费用。</w:t>
      </w:r>
    </w:p>
    <w:p>
      <w:pPr>
        <w:widowControl/>
        <w:tabs>
          <w:tab w:val="left" w:pos="425"/>
        </w:tabs>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十二.乙方的权力与义务</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1.要求甲方按本合同的规定，按时、足额支付项目经费。</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2.根据投标文件的承诺向甲方派驻项目组人员。</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3.严格按照本合同的约定，履行采购需求，完成项目实施。</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4.对项目成果的准确性、真实性、完整性负责。</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5.在本合同期内或合同终止后，未征得有关方同意，不得泄漏与本项目、本合同有关的技术、资料等，不得以任何形式侵害甲方的知识产权。</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6.负责处理好与相关项目实施单位的协调工作。</w:t>
      </w:r>
    </w:p>
    <w:p>
      <w:pPr>
        <w:widowControl/>
        <w:tabs>
          <w:tab w:val="left" w:pos="425"/>
        </w:tabs>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十三.违约责任</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1.甲方无正当理由拒绝接受服务的，甲方向乙方偿付合同款项的百分之五作为违约金。</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2.服务期内如果因非甲方原因造成未能按合同约定提供服务（含服务达不到合同要求），甲方可向乙方扣减本合同总金额的千分之六作为违约金，且甲方有权请其他专业单位进行服务，由此造成的费用和损失由乙方承担。</w:t>
      </w:r>
    </w:p>
    <w:p>
      <w:pPr>
        <w:widowControl/>
        <w:tabs>
          <w:tab w:val="left" w:pos="425"/>
        </w:tabs>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3.双方均可由于对方没有履行其在本合同项下的义务而终止本合同，但应提前一个月以书面形式通知对方。</w:t>
      </w:r>
    </w:p>
    <w:p>
      <w:pPr>
        <w:widowControl/>
        <w:tabs>
          <w:tab w:val="left" w:pos="425"/>
        </w:tabs>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十四.争议的解决</w:t>
      </w:r>
    </w:p>
    <w:p>
      <w:pPr>
        <w:widowControl/>
        <w:tabs>
          <w:tab w:val="left" w:pos="425"/>
        </w:tabs>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bCs/>
          <w:sz w:val="24"/>
          <w:highlight w:val="none"/>
        </w:rPr>
        <w:t>本合同项下发生的争议，由双方当事人协商、申请调解；双方协商或调解不成的，依法向甲方所在地人民法院提起诉讼。</w:t>
      </w:r>
      <w:r>
        <w:rPr>
          <w:rFonts w:hint="eastAsia" w:ascii="仿宋" w:hAnsi="仿宋" w:eastAsia="仿宋" w:cs="仿宋"/>
          <w:b/>
          <w:sz w:val="24"/>
          <w:highlight w:val="none"/>
        </w:rPr>
        <w:t xml:space="preserve">    </w:t>
      </w:r>
    </w:p>
    <w:p>
      <w:pPr>
        <w:widowControl/>
        <w:tabs>
          <w:tab w:val="left" w:pos="425"/>
        </w:tabs>
        <w:snapToGrid w:val="0"/>
        <w:spacing w:line="360" w:lineRule="auto"/>
        <w:jc w:val="left"/>
        <w:rPr>
          <w:rFonts w:ascii="仿宋" w:hAnsi="仿宋" w:eastAsia="仿宋" w:cs="仿宋"/>
          <w:sz w:val="24"/>
          <w:highlight w:val="none"/>
        </w:rPr>
      </w:pPr>
      <w:r>
        <w:rPr>
          <w:rFonts w:hint="eastAsia" w:ascii="仿宋" w:hAnsi="仿宋" w:eastAsia="仿宋" w:cs="仿宋"/>
          <w:b/>
          <w:sz w:val="24"/>
          <w:highlight w:val="none"/>
        </w:rPr>
        <w:t>十五.不可抗力</w:t>
      </w:r>
    </w:p>
    <w:p>
      <w:pPr>
        <w:widowControl/>
        <w:tabs>
          <w:tab w:val="left" w:pos="425"/>
        </w:tabs>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不可抗力是指《中华人民共和国民法典》所列举的不可抗力。不可抗力一旦发生，遇有不可抗力的一方应当立即通知对方，并在发生不可抗力之日起30日内，提供不可抗力详情及合同不能履行或部分不能履行，或延期履行的书面证明，该证明文件应当由不可抗力发生地的公证机关出具。</w:t>
      </w:r>
    </w:p>
    <w:p>
      <w:pPr>
        <w:widowControl/>
        <w:tabs>
          <w:tab w:val="left" w:pos="425"/>
        </w:tabs>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2.根据不可抗力对本合同的影响程度，双方应当协商是否解除本合同或部分免除履行本合同的责任，或延期履行本合同。</w:t>
      </w:r>
    </w:p>
    <w:p>
      <w:pPr>
        <w:widowControl/>
        <w:tabs>
          <w:tab w:val="left" w:pos="425"/>
        </w:tabs>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十六.合同的生效及其他</w:t>
      </w:r>
    </w:p>
    <w:p>
      <w:pPr>
        <w:widowControl/>
        <w:tabs>
          <w:tab w:val="left" w:pos="540"/>
          <w:tab w:val="left" w:pos="1260"/>
        </w:tabs>
        <w:snapToGrid w:val="0"/>
        <w:spacing w:line="360" w:lineRule="auto"/>
        <w:ind w:firstLine="360" w:firstLineChars="150"/>
        <w:jc w:val="left"/>
        <w:rPr>
          <w:rFonts w:ascii="仿宋" w:hAnsi="仿宋" w:eastAsia="仿宋" w:cs="仿宋"/>
          <w:sz w:val="24"/>
          <w:highlight w:val="none"/>
        </w:rPr>
      </w:pPr>
      <w:r>
        <w:rPr>
          <w:rFonts w:hint="eastAsia" w:ascii="仿宋" w:hAnsi="仿宋" w:eastAsia="仿宋" w:cs="仿宋"/>
          <w:sz w:val="24"/>
          <w:highlight w:val="none"/>
        </w:rPr>
        <w:t>1.本合同由甲、乙双方签字盖章后生效。</w:t>
      </w:r>
    </w:p>
    <w:p>
      <w:pPr>
        <w:widowControl/>
        <w:tabs>
          <w:tab w:val="left" w:pos="540"/>
          <w:tab w:val="left" w:pos="1260"/>
        </w:tabs>
        <w:snapToGrid w:val="0"/>
        <w:spacing w:line="360" w:lineRule="auto"/>
        <w:ind w:firstLine="360" w:firstLineChars="150"/>
        <w:jc w:val="left"/>
        <w:rPr>
          <w:rFonts w:ascii="仿宋" w:hAnsi="仿宋" w:eastAsia="仿宋" w:cs="仿宋"/>
          <w:sz w:val="24"/>
          <w:highlight w:val="none"/>
        </w:rPr>
      </w:pPr>
      <w:r>
        <w:rPr>
          <w:rFonts w:hint="eastAsia" w:ascii="仿宋" w:hAnsi="仿宋" w:eastAsia="仿宋" w:cs="仿宋"/>
          <w:sz w:val="24"/>
          <w:highlight w:val="none"/>
        </w:rPr>
        <w:t>2.招标文件（招标编号：    ）、投标文件及评标过程中形成的文字资料、询标纪要均作为本合同的组成部分，具有同等效力。</w:t>
      </w:r>
    </w:p>
    <w:p>
      <w:pPr>
        <w:widowControl/>
        <w:tabs>
          <w:tab w:val="left" w:pos="540"/>
          <w:tab w:val="left" w:pos="1260"/>
        </w:tabs>
        <w:snapToGrid w:val="0"/>
        <w:spacing w:line="360" w:lineRule="auto"/>
        <w:ind w:firstLine="360" w:firstLineChars="150"/>
        <w:jc w:val="left"/>
        <w:rPr>
          <w:rFonts w:ascii="仿宋" w:hAnsi="仿宋" w:eastAsia="仿宋" w:cs="仿宋"/>
          <w:sz w:val="24"/>
          <w:highlight w:val="none"/>
        </w:rPr>
      </w:pPr>
      <w:r>
        <w:rPr>
          <w:rFonts w:hint="eastAsia" w:ascii="仿宋" w:hAnsi="仿宋" w:eastAsia="仿宋" w:cs="仿宋"/>
          <w:sz w:val="24"/>
          <w:highlight w:val="none"/>
        </w:rPr>
        <w:t>3.本合同原则上一式伍份，甲方各主体各执三份、乙方各执二份。</w:t>
      </w:r>
    </w:p>
    <w:p>
      <w:pPr>
        <w:widowControl/>
        <w:tabs>
          <w:tab w:val="left" w:pos="540"/>
          <w:tab w:val="left" w:pos="1260"/>
        </w:tabs>
        <w:snapToGrid w:val="0"/>
        <w:spacing w:line="360" w:lineRule="auto"/>
        <w:ind w:firstLine="360" w:firstLineChars="150"/>
        <w:jc w:val="left"/>
        <w:rPr>
          <w:rFonts w:ascii="仿宋" w:hAnsi="仿宋" w:eastAsia="仿宋" w:cs="仿宋"/>
          <w:sz w:val="24"/>
          <w:highlight w:val="none"/>
        </w:rPr>
      </w:pPr>
      <w:r>
        <w:rPr>
          <w:rFonts w:hint="eastAsia" w:ascii="仿宋" w:hAnsi="仿宋" w:eastAsia="仿宋" w:cs="仿宋"/>
          <w:sz w:val="24"/>
          <w:highlight w:val="none"/>
        </w:rPr>
        <w:t>4.用法律：本合同应按照中华人民共和国的法律进行解释。合同内容如遇国家法律、法规及政策另有规定的，从其规定。</w:t>
      </w:r>
    </w:p>
    <w:p>
      <w:pPr>
        <w:widowControl/>
        <w:tabs>
          <w:tab w:val="left" w:pos="540"/>
          <w:tab w:val="left" w:pos="1260"/>
        </w:tabs>
        <w:snapToGrid w:val="0"/>
        <w:spacing w:line="360" w:lineRule="auto"/>
        <w:ind w:firstLine="360" w:firstLineChars="150"/>
        <w:jc w:val="left"/>
        <w:rPr>
          <w:rFonts w:ascii="仿宋" w:hAnsi="仿宋" w:eastAsia="仿宋" w:cs="仿宋"/>
          <w:sz w:val="24"/>
          <w:highlight w:val="none"/>
        </w:rPr>
      </w:pPr>
      <w:r>
        <w:rPr>
          <w:rFonts w:hint="eastAsia" w:ascii="仿宋" w:hAnsi="仿宋" w:eastAsia="仿宋" w:cs="仿宋"/>
          <w:sz w:val="24"/>
          <w:highlight w:val="none"/>
        </w:rPr>
        <w:t>5.本合同未尽事宜，由双方协商解决。</w:t>
      </w:r>
    </w:p>
    <w:p>
      <w:pPr>
        <w:pStyle w:val="5"/>
        <w:rPr>
          <w:rFonts w:ascii="仿宋" w:eastAsia="仿宋" w:cs="仿宋"/>
          <w:sz w:val="24"/>
          <w:highlight w:val="none"/>
        </w:rPr>
      </w:pPr>
    </w:p>
    <w:p>
      <w:pPr>
        <w:rPr>
          <w:rFonts w:ascii="仿宋" w:hAnsi="仿宋" w:eastAsia="仿宋" w:cs="仿宋"/>
          <w:sz w:val="24"/>
          <w:highlight w:val="none"/>
        </w:rPr>
      </w:pPr>
    </w:p>
    <w:p>
      <w:pPr>
        <w:pStyle w:val="5"/>
        <w:rPr>
          <w:rFonts w:ascii="仿宋" w:eastAsia="仿宋" w:cs="仿宋"/>
          <w:sz w:val="24"/>
          <w:highlight w:val="none"/>
        </w:rPr>
      </w:pPr>
    </w:p>
    <w:p>
      <w:pPr>
        <w:rPr>
          <w:rFonts w:ascii="仿宋" w:hAnsi="仿宋" w:eastAsia="仿宋" w:cs="仿宋"/>
          <w:sz w:val="24"/>
          <w:highlight w:val="none"/>
        </w:rPr>
      </w:pPr>
    </w:p>
    <w:p>
      <w:pPr>
        <w:pStyle w:val="5"/>
        <w:rPr>
          <w:highlight w:val="none"/>
        </w:rPr>
      </w:pPr>
    </w:p>
    <w:p>
      <w:pPr>
        <w:rPr>
          <w:rFonts w:ascii="仿宋" w:hAnsi="仿宋" w:eastAsia="仿宋" w:cs="仿宋"/>
          <w:sz w:val="24"/>
          <w:highlight w:val="none"/>
        </w:rPr>
      </w:pPr>
    </w:p>
    <w:p>
      <w:pPr>
        <w:pStyle w:val="5"/>
        <w:rPr>
          <w:rFonts w:ascii="仿宋" w:eastAsia="仿宋" w:cs="仿宋"/>
          <w:sz w:val="24"/>
          <w:highlight w:val="none"/>
        </w:rPr>
      </w:pPr>
    </w:p>
    <w:p>
      <w:pPr>
        <w:rPr>
          <w:rFonts w:ascii="仿宋" w:hAnsi="仿宋" w:eastAsia="仿宋" w:cs="仿宋"/>
          <w:sz w:val="24"/>
          <w:highlight w:val="none"/>
        </w:rPr>
      </w:pPr>
    </w:p>
    <w:p>
      <w:pPr>
        <w:pStyle w:val="5"/>
        <w:rPr>
          <w:rFonts w:eastAsia="仿宋"/>
          <w:highlight w:val="none"/>
        </w:rPr>
      </w:pPr>
      <w:r>
        <w:rPr>
          <w:rFonts w:hint="eastAsia" w:ascii="仿宋" w:eastAsia="仿宋" w:cs="仿宋"/>
          <w:sz w:val="24"/>
          <w:highlight w:val="none"/>
        </w:rPr>
        <w:t>（</w:t>
      </w:r>
      <w:r>
        <w:rPr>
          <w:rFonts w:hint="eastAsia" w:ascii="仿宋" w:eastAsia="仿宋" w:cs="仿宋"/>
          <w:sz w:val="24"/>
          <w:highlight w:val="none"/>
          <w:lang w:val="en-US"/>
        </w:rPr>
        <w:t>本页无正文</w:t>
      </w:r>
      <w:r>
        <w:rPr>
          <w:rFonts w:hint="eastAsia" w:ascii="仿宋" w:eastAsia="仿宋" w:cs="仿宋"/>
          <w:sz w:val="24"/>
          <w:highlight w:val="none"/>
        </w:rPr>
        <w:t>）</w:t>
      </w:r>
    </w:p>
    <w:tbl>
      <w:tblPr>
        <w:tblStyle w:val="62"/>
        <w:tblW w:w="5000" w:type="pct"/>
        <w:tblInd w:w="0" w:type="dxa"/>
        <w:tblLayout w:type="autofit"/>
        <w:tblCellMar>
          <w:top w:w="0" w:type="dxa"/>
          <w:left w:w="108" w:type="dxa"/>
          <w:bottom w:w="0" w:type="dxa"/>
          <w:right w:w="108" w:type="dxa"/>
        </w:tblCellMar>
      </w:tblPr>
      <w:tblGrid>
        <w:gridCol w:w="4702"/>
        <w:gridCol w:w="4584"/>
      </w:tblGrid>
      <w:tr>
        <w:tblPrEx>
          <w:tblCellMar>
            <w:top w:w="0" w:type="dxa"/>
            <w:left w:w="108" w:type="dxa"/>
            <w:bottom w:w="0" w:type="dxa"/>
            <w:right w:w="108" w:type="dxa"/>
          </w:tblCellMar>
        </w:tblPrEx>
        <w:trPr>
          <w:trHeight w:val="415" w:hRule="atLeast"/>
        </w:trPr>
        <w:tc>
          <w:tcPr>
            <w:tcW w:w="25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甲方（需方）：（公章）</w:t>
            </w:r>
          </w:p>
        </w:tc>
        <w:tc>
          <w:tcPr>
            <w:tcW w:w="2468" w:type="pct"/>
            <w:tcBorders>
              <w:top w:val="single" w:color="000000" w:sz="4" w:space="0"/>
              <w:left w:val="nil"/>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乙方（供方）：（公章）</w:t>
            </w:r>
          </w:p>
        </w:tc>
      </w:tr>
      <w:tr>
        <w:tblPrEx>
          <w:tblCellMar>
            <w:top w:w="0" w:type="dxa"/>
            <w:left w:w="108" w:type="dxa"/>
            <w:bottom w:w="0" w:type="dxa"/>
            <w:right w:w="108" w:type="dxa"/>
          </w:tblCellMar>
        </w:tblPrEx>
        <w:trPr>
          <w:trHeight w:val="420" w:hRule="atLeast"/>
        </w:trPr>
        <w:tc>
          <w:tcPr>
            <w:tcW w:w="25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甲方代表：(签字）</w:t>
            </w:r>
          </w:p>
        </w:tc>
        <w:tc>
          <w:tcPr>
            <w:tcW w:w="2468" w:type="pct"/>
            <w:tcBorders>
              <w:top w:val="single" w:color="000000" w:sz="4" w:space="0"/>
              <w:left w:val="nil"/>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乙方代表：（签字）</w:t>
            </w:r>
          </w:p>
        </w:tc>
      </w:tr>
      <w:tr>
        <w:tblPrEx>
          <w:tblCellMar>
            <w:top w:w="0" w:type="dxa"/>
            <w:left w:w="108" w:type="dxa"/>
            <w:bottom w:w="0" w:type="dxa"/>
            <w:right w:w="108" w:type="dxa"/>
          </w:tblCellMar>
        </w:tblPrEx>
        <w:trPr>
          <w:trHeight w:val="271" w:hRule="atLeast"/>
        </w:trPr>
        <w:tc>
          <w:tcPr>
            <w:tcW w:w="25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 xml:space="preserve">地址： </w:t>
            </w:r>
          </w:p>
        </w:tc>
        <w:tc>
          <w:tcPr>
            <w:tcW w:w="2468" w:type="pct"/>
            <w:tcBorders>
              <w:top w:val="single" w:color="000000" w:sz="4" w:space="0"/>
              <w:left w:val="nil"/>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地址：</w:t>
            </w:r>
            <w:r>
              <w:rPr>
                <w:rFonts w:hint="eastAsia" w:ascii="仿宋" w:hAnsi="仿宋" w:eastAsia="仿宋" w:cs="仿宋"/>
                <w:spacing w:val="-6"/>
                <w:sz w:val="24"/>
                <w:highlight w:val="none"/>
              </w:rPr>
              <w:tab/>
            </w:r>
            <w:r>
              <w:rPr>
                <w:rFonts w:hint="eastAsia" w:ascii="仿宋" w:hAnsi="仿宋" w:eastAsia="仿宋" w:cs="仿宋"/>
                <w:spacing w:val="-6"/>
                <w:sz w:val="24"/>
                <w:highlight w:val="none"/>
              </w:rPr>
              <w:tab/>
            </w:r>
          </w:p>
        </w:tc>
      </w:tr>
      <w:tr>
        <w:tblPrEx>
          <w:tblCellMar>
            <w:top w:w="0" w:type="dxa"/>
            <w:left w:w="108" w:type="dxa"/>
            <w:bottom w:w="0" w:type="dxa"/>
            <w:right w:w="108" w:type="dxa"/>
          </w:tblCellMar>
        </w:tblPrEx>
        <w:trPr>
          <w:trHeight w:val="277" w:hRule="atLeast"/>
        </w:trPr>
        <w:tc>
          <w:tcPr>
            <w:tcW w:w="25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邮编：</w:t>
            </w:r>
          </w:p>
        </w:tc>
        <w:tc>
          <w:tcPr>
            <w:tcW w:w="2468" w:type="pct"/>
            <w:tcBorders>
              <w:top w:val="single" w:color="000000" w:sz="4" w:space="0"/>
              <w:left w:val="nil"/>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邮编：</w:t>
            </w:r>
            <w:r>
              <w:rPr>
                <w:rFonts w:hint="eastAsia" w:ascii="仿宋" w:hAnsi="仿宋" w:eastAsia="仿宋" w:cs="仿宋"/>
                <w:spacing w:val="-6"/>
                <w:sz w:val="24"/>
                <w:highlight w:val="none"/>
              </w:rPr>
              <w:tab/>
            </w:r>
          </w:p>
        </w:tc>
      </w:tr>
      <w:tr>
        <w:tblPrEx>
          <w:tblCellMar>
            <w:top w:w="0" w:type="dxa"/>
            <w:left w:w="108" w:type="dxa"/>
            <w:bottom w:w="0" w:type="dxa"/>
            <w:right w:w="108" w:type="dxa"/>
          </w:tblCellMar>
        </w:tblPrEx>
        <w:trPr>
          <w:trHeight w:val="424" w:hRule="atLeast"/>
        </w:trPr>
        <w:tc>
          <w:tcPr>
            <w:tcW w:w="25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电话：</w:t>
            </w:r>
          </w:p>
        </w:tc>
        <w:tc>
          <w:tcPr>
            <w:tcW w:w="2468" w:type="pct"/>
            <w:tcBorders>
              <w:top w:val="single" w:color="000000" w:sz="4" w:space="0"/>
              <w:left w:val="nil"/>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电话：</w:t>
            </w:r>
            <w:r>
              <w:rPr>
                <w:rFonts w:hint="eastAsia" w:ascii="仿宋" w:hAnsi="仿宋" w:eastAsia="仿宋" w:cs="仿宋"/>
                <w:spacing w:val="-6"/>
                <w:sz w:val="24"/>
                <w:highlight w:val="none"/>
              </w:rPr>
              <w:tab/>
            </w:r>
          </w:p>
        </w:tc>
      </w:tr>
      <w:tr>
        <w:tblPrEx>
          <w:tblCellMar>
            <w:top w:w="0" w:type="dxa"/>
            <w:left w:w="108" w:type="dxa"/>
            <w:bottom w:w="0" w:type="dxa"/>
            <w:right w:w="108" w:type="dxa"/>
          </w:tblCellMar>
        </w:tblPrEx>
        <w:trPr>
          <w:trHeight w:val="429" w:hRule="atLeast"/>
        </w:trPr>
        <w:tc>
          <w:tcPr>
            <w:tcW w:w="25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 xml:space="preserve">传真： </w:t>
            </w:r>
          </w:p>
        </w:tc>
        <w:tc>
          <w:tcPr>
            <w:tcW w:w="2468" w:type="pct"/>
            <w:tcBorders>
              <w:top w:val="single" w:color="000000" w:sz="4" w:space="0"/>
              <w:left w:val="nil"/>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传真：</w:t>
            </w:r>
            <w:r>
              <w:rPr>
                <w:rFonts w:hint="eastAsia" w:ascii="仿宋" w:hAnsi="仿宋" w:eastAsia="仿宋" w:cs="仿宋"/>
                <w:spacing w:val="-6"/>
                <w:sz w:val="24"/>
                <w:highlight w:val="none"/>
              </w:rPr>
              <w:tab/>
            </w:r>
            <w:r>
              <w:rPr>
                <w:rFonts w:hint="eastAsia" w:ascii="仿宋" w:hAnsi="仿宋" w:eastAsia="仿宋" w:cs="仿宋"/>
                <w:spacing w:val="-6"/>
                <w:sz w:val="24"/>
                <w:highlight w:val="none"/>
              </w:rPr>
              <w:tab/>
            </w:r>
          </w:p>
        </w:tc>
      </w:tr>
      <w:tr>
        <w:tblPrEx>
          <w:tblCellMar>
            <w:top w:w="0" w:type="dxa"/>
            <w:left w:w="108" w:type="dxa"/>
            <w:bottom w:w="0" w:type="dxa"/>
            <w:right w:w="108" w:type="dxa"/>
          </w:tblCellMar>
        </w:tblPrEx>
        <w:trPr>
          <w:trHeight w:val="265" w:hRule="atLeast"/>
        </w:trPr>
        <w:tc>
          <w:tcPr>
            <w:tcW w:w="25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 xml:space="preserve">开户银行： </w:t>
            </w:r>
          </w:p>
        </w:tc>
        <w:tc>
          <w:tcPr>
            <w:tcW w:w="2468" w:type="pct"/>
            <w:tcBorders>
              <w:top w:val="single" w:color="000000" w:sz="4" w:space="0"/>
              <w:left w:val="nil"/>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开户银行：</w:t>
            </w:r>
            <w:r>
              <w:rPr>
                <w:rFonts w:hint="eastAsia" w:ascii="仿宋" w:hAnsi="仿宋" w:eastAsia="仿宋" w:cs="仿宋"/>
                <w:spacing w:val="-6"/>
                <w:sz w:val="24"/>
                <w:highlight w:val="none"/>
              </w:rPr>
              <w:tab/>
            </w:r>
          </w:p>
        </w:tc>
      </w:tr>
      <w:tr>
        <w:tblPrEx>
          <w:tblCellMar>
            <w:top w:w="0" w:type="dxa"/>
            <w:left w:w="108" w:type="dxa"/>
            <w:bottom w:w="0" w:type="dxa"/>
            <w:right w:w="108" w:type="dxa"/>
          </w:tblCellMar>
        </w:tblPrEx>
        <w:trPr>
          <w:trHeight w:val="272" w:hRule="atLeast"/>
        </w:trPr>
        <w:tc>
          <w:tcPr>
            <w:tcW w:w="25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帐号：</w:t>
            </w:r>
          </w:p>
        </w:tc>
        <w:tc>
          <w:tcPr>
            <w:tcW w:w="2468" w:type="pct"/>
            <w:tcBorders>
              <w:top w:val="single" w:color="000000" w:sz="4" w:space="0"/>
              <w:left w:val="nil"/>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帐号：</w:t>
            </w:r>
          </w:p>
        </w:tc>
      </w:tr>
      <w:tr>
        <w:tblPrEx>
          <w:tblCellMar>
            <w:top w:w="0" w:type="dxa"/>
            <w:left w:w="108" w:type="dxa"/>
            <w:bottom w:w="0" w:type="dxa"/>
            <w:right w:w="108" w:type="dxa"/>
          </w:tblCellMar>
        </w:tblPrEx>
        <w:trPr>
          <w:trHeight w:val="548" w:hRule="atLeast"/>
        </w:trPr>
        <w:tc>
          <w:tcPr>
            <w:tcW w:w="25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签字日期：      年  月  日</w:t>
            </w:r>
          </w:p>
        </w:tc>
        <w:tc>
          <w:tcPr>
            <w:tcW w:w="2468" w:type="pct"/>
            <w:tcBorders>
              <w:top w:val="single" w:color="000000" w:sz="4" w:space="0"/>
              <w:left w:val="nil"/>
              <w:bottom w:val="single" w:color="000000" w:sz="4" w:space="0"/>
              <w:right w:val="single" w:color="000000" w:sz="4" w:space="0"/>
            </w:tcBorders>
            <w:vAlign w:val="center"/>
          </w:tcPr>
          <w:p>
            <w:pPr>
              <w:widowControl/>
              <w:snapToGrid w:val="0"/>
              <w:spacing w:line="360" w:lineRule="auto"/>
              <w:rPr>
                <w:rFonts w:ascii="仿宋" w:hAnsi="仿宋" w:eastAsia="仿宋" w:cs="仿宋"/>
                <w:spacing w:val="-6"/>
                <w:sz w:val="24"/>
                <w:highlight w:val="none"/>
              </w:rPr>
            </w:pPr>
            <w:r>
              <w:rPr>
                <w:rFonts w:hint="eastAsia" w:ascii="仿宋" w:hAnsi="仿宋" w:eastAsia="仿宋" w:cs="仿宋"/>
                <w:spacing w:val="-6"/>
                <w:sz w:val="24"/>
                <w:highlight w:val="none"/>
              </w:rPr>
              <w:t>签字日期：      年  月  日</w:t>
            </w:r>
          </w:p>
        </w:tc>
      </w:tr>
    </w:tbl>
    <w:p>
      <w:pPr>
        <w:snapToGrid w:val="0"/>
        <w:spacing w:line="360" w:lineRule="auto"/>
        <w:jc w:val="center"/>
        <w:rPr>
          <w:highlight w:val="none"/>
        </w:rPr>
      </w:pPr>
      <w:r>
        <w:rPr>
          <w:highlight w:val="none"/>
        </w:rPr>
        <w:br w:type="page"/>
      </w:r>
    </w:p>
    <w:p>
      <w:pPr>
        <w:snapToGrid w:val="0"/>
        <w:spacing w:line="360" w:lineRule="auto"/>
        <w:jc w:val="center"/>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396"/>
      <w:bookmarkEnd w:id="397"/>
      <w:r>
        <w:rPr>
          <w:rFonts w:hint="eastAsia" w:ascii="仿宋" w:hAnsi="仿宋" w:eastAsia="仿宋" w:cs="仿宋_GB2312"/>
          <w:b/>
          <w:sz w:val="36"/>
          <w:szCs w:val="20"/>
          <w:highlight w:val="none"/>
        </w:rPr>
        <w:t>应提交的有关格式范例</w:t>
      </w:r>
    </w:p>
    <w:p>
      <w:pPr>
        <w:spacing w:line="360" w:lineRule="auto"/>
        <w:jc w:val="center"/>
        <w:outlineLvl w:val="0"/>
        <w:rPr>
          <w:rFonts w:ascii="仿宋" w:hAnsi="仿宋" w:eastAsia="仿宋" w:cs="仿宋_GB2312"/>
          <w:b/>
          <w:kern w:val="0"/>
          <w:sz w:val="36"/>
          <w:szCs w:val="36"/>
          <w:highlight w:val="none"/>
        </w:rPr>
      </w:pPr>
    </w:p>
    <w:p>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资格文件部分</w:t>
      </w:r>
    </w:p>
    <w:p>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pPr>
        <w:spacing w:line="360" w:lineRule="auto"/>
        <w:jc w:val="center"/>
        <w:outlineLvl w:val="0"/>
        <w:rPr>
          <w:rFonts w:ascii="仿宋" w:hAnsi="仿宋" w:eastAsia="仿宋" w:cs="仿宋_GB2312"/>
          <w:b/>
          <w:kern w:val="0"/>
          <w:sz w:val="36"/>
          <w:szCs w:val="36"/>
          <w:highlight w:val="none"/>
        </w:rPr>
      </w:pP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1）符合参加政府采购活动应当具备的一般条件的承诺函……</w:t>
      </w:r>
      <w:r>
        <w:rPr>
          <w:rFonts w:hint="eastAsia" w:ascii="仿宋" w:hAnsi="仿宋" w:eastAsia="仿宋" w:cs="仿宋_GB2312"/>
          <w:sz w:val="24"/>
          <w:highlight w:val="none"/>
        </w:rPr>
        <w:t>………（页码）</w:t>
      </w: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2）落实政府采购政策需满足的资格要求</w:t>
      </w:r>
      <w:r>
        <w:rPr>
          <w:rFonts w:hint="eastAsia" w:ascii="仿宋" w:hAnsi="仿宋" w:eastAsia="仿宋" w:cs="仿宋_GB2312"/>
          <w:sz w:val="24"/>
          <w:highlight w:val="none"/>
        </w:rPr>
        <w:t>（如果有）…………………（页码）</w:t>
      </w: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3）本项目的特定资格要求……</w:t>
      </w:r>
      <w:r>
        <w:rPr>
          <w:rFonts w:hint="eastAsia" w:ascii="仿宋" w:hAnsi="仿宋" w:eastAsia="仿宋" w:cs="仿宋_GB2312"/>
          <w:sz w:val="24"/>
          <w:highlight w:val="none"/>
        </w:rPr>
        <w:t>…………………………………………（页码）</w:t>
      </w: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（4</w:t>
      </w:r>
      <w:r>
        <w:rPr>
          <w:rFonts w:ascii="仿宋" w:hAnsi="仿宋" w:eastAsia="仿宋" w:cs="仿宋_GB2312"/>
          <w:sz w:val="24"/>
          <w:highlight w:val="none"/>
        </w:rPr>
        <w:t>）</w:t>
      </w:r>
      <w:r>
        <w:rPr>
          <w:rFonts w:hint="eastAsia" w:ascii="仿宋" w:hAnsi="仿宋" w:eastAsia="仿宋" w:cs="仿宋_GB2312"/>
          <w:sz w:val="24"/>
          <w:highlight w:val="none"/>
        </w:rPr>
        <w:t>联合体协议（如果有）</w:t>
      </w:r>
      <w:r>
        <w:rPr>
          <w:rFonts w:ascii="仿宋" w:hAnsi="仿宋" w:eastAsia="仿宋" w:cs="仿宋_GB2312"/>
          <w:sz w:val="24"/>
          <w:highlight w:val="none"/>
        </w:rPr>
        <w:t>……</w:t>
      </w:r>
      <w:r>
        <w:rPr>
          <w:rFonts w:hint="eastAsia" w:ascii="仿宋" w:hAnsi="仿宋" w:eastAsia="仿宋" w:cs="仿宋_GB2312"/>
          <w:sz w:val="24"/>
          <w:highlight w:val="none"/>
        </w:rPr>
        <w:t>…………………………………………（页码）</w:t>
      </w:r>
    </w:p>
    <w:p>
      <w:pPr>
        <w:pStyle w:val="5"/>
        <w:rPr>
          <w:highlight w:val="none"/>
        </w:rPr>
      </w:pPr>
    </w:p>
    <w:p>
      <w:pPr>
        <w:snapToGrid w:val="0"/>
        <w:spacing w:line="360" w:lineRule="auto"/>
        <w:ind w:firstLine="480" w:firstLineChars="200"/>
        <w:rPr>
          <w:rFonts w:ascii="仿宋" w:hAnsi="仿宋" w:eastAsia="仿宋" w:cs="仿宋_GB2312"/>
          <w:sz w:val="24"/>
          <w:highlight w:val="none"/>
        </w:rPr>
      </w:pPr>
    </w:p>
    <w:p>
      <w:pPr>
        <w:spacing w:line="360" w:lineRule="auto"/>
        <w:ind w:firstLine="480" w:firstLineChars="200"/>
        <w:rPr>
          <w:rFonts w:ascii="仿宋" w:hAnsi="仿宋" w:eastAsia="仿宋" w:cs="仿宋_GB2312"/>
          <w:sz w:val="24"/>
          <w:highlight w:val="none"/>
        </w:rPr>
      </w:pPr>
    </w:p>
    <w:p>
      <w:pPr>
        <w:snapToGrid w:val="0"/>
        <w:spacing w:line="360" w:lineRule="auto"/>
        <w:ind w:right="480"/>
        <w:jc w:val="center"/>
        <w:rPr>
          <w:rFonts w:ascii="仿宋" w:hAnsi="仿宋" w:eastAsia="仿宋" w:cs="仿宋_GB2312"/>
          <w:b/>
          <w:kern w:val="0"/>
          <w:sz w:val="32"/>
          <w:szCs w:val="32"/>
          <w:highlight w:val="none"/>
        </w:rPr>
      </w:pPr>
      <w:r>
        <w:rPr>
          <w:rFonts w:ascii="仿宋" w:hAnsi="仿宋" w:eastAsia="仿宋" w:cs="仿宋_GB2312"/>
          <w:kern w:val="0"/>
          <w:sz w:val="24"/>
          <w:highlight w:val="none"/>
        </w:rPr>
        <w:br w:type="page"/>
      </w:r>
      <w:r>
        <w:rPr>
          <w:rFonts w:ascii="仿宋" w:hAnsi="仿宋" w:eastAsia="仿宋" w:cs="仿宋_GB2312"/>
          <w:b/>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（采购人）、（采购代理机构）：</w:t>
      </w:r>
    </w:p>
    <w:p>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我方参与（项目名称）【招标编号：</w:t>
      </w:r>
      <w:r>
        <w:rPr>
          <w:rFonts w:hint="eastAsia" w:ascii="仿宋" w:hAnsi="仿宋" w:eastAsia="仿宋"/>
          <w:sz w:val="24"/>
          <w:highlight w:val="none"/>
        </w:rPr>
        <w:t>（采购编号）</w:t>
      </w:r>
      <w:r>
        <w:rPr>
          <w:rFonts w:hint="eastAsia" w:ascii="仿宋" w:hAnsi="仿宋" w:eastAsia="仿宋" w:cs="仿宋_GB2312"/>
          <w:sz w:val="24"/>
          <w:highlight w:val="none"/>
        </w:rPr>
        <w:t>】政府采购活动，郑重承诺：</w:t>
      </w:r>
    </w:p>
    <w:p>
      <w:pPr>
        <w:snapToGrid w:val="0"/>
        <w:spacing w:line="360" w:lineRule="auto"/>
        <w:ind w:firstLine="360" w:firstLineChars="150"/>
        <w:rPr>
          <w:rFonts w:ascii="仿宋" w:hAnsi="仿宋" w:eastAsia="仿宋" w:cs="仿宋_GB2312"/>
          <w:sz w:val="24"/>
          <w:highlight w:val="none"/>
        </w:rPr>
      </w:pPr>
      <w:r>
        <w:rPr>
          <w:rFonts w:hint="eastAsia" w:ascii="仿宋" w:hAnsi="仿宋" w:eastAsia="仿宋" w:cs="仿宋_GB2312"/>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w:t>
      </w:r>
      <w:r>
        <w:rPr>
          <w:rFonts w:ascii="仿宋" w:hAnsi="仿宋" w:eastAsia="仿宋" w:cs="仿宋_GB2312"/>
          <w:sz w:val="24"/>
          <w:highlight w:val="none"/>
        </w:rPr>
        <w:t>具有独立承担民事责任的能力；</w:t>
      </w:r>
    </w:p>
    <w:p>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 xml:space="preserve">具有良好的商业信誉和健全的财务会计制度； </w:t>
      </w:r>
    </w:p>
    <w:p>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具有履行合同所必需的设备和专业技术能力；</w:t>
      </w:r>
    </w:p>
    <w:p>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4、</w:t>
      </w:r>
      <w:r>
        <w:rPr>
          <w:rFonts w:ascii="仿宋" w:hAnsi="仿宋" w:eastAsia="仿宋"/>
          <w:sz w:val="24"/>
          <w:highlight w:val="none"/>
        </w:rPr>
        <w:t>有依法缴纳税收和社会保障资金的良好记录；</w:t>
      </w:r>
    </w:p>
    <w:p>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5、</w:t>
      </w:r>
      <w:r>
        <w:rPr>
          <w:rFonts w:ascii="仿宋" w:hAnsi="仿宋" w:eastAsia="仿宋"/>
          <w:sz w:val="24"/>
          <w:highlight w:val="none"/>
        </w:rPr>
        <w:t>参加政府采购活动前三年内，在经营活动中没有重大违法记录；</w:t>
      </w:r>
    </w:p>
    <w:p>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6、</w:t>
      </w:r>
      <w:r>
        <w:rPr>
          <w:rFonts w:ascii="仿宋" w:hAnsi="仿宋" w:eastAsia="仿宋"/>
          <w:sz w:val="24"/>
          <w:highlight w:val="none"/>
        </w:rPr>
        <w:t>具有法律、行政法规规定的其他条件。</w:t>
      </w:r>
    </w:p>
    <w:p>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（二）未被信用中国（</w:t>
      </w:r>
      <w:r>
        <w:rPr>
          <w:rFonts w:ascii="仿宋" w:hAnsi="仿宋" w:eastAsia="仿宋"/>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（三）不存在以下情况：</w:t>
      </w:r>
    </w:p>
    <w:p>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1、</w:t>
      </w:r>
      <w:r>
        <w:rPr>
          <w:rFonts w:ascii="仿宋" w:hAnsi="仿宋" w:eastAsia="仿宋"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2、</w:t>
      </w:r>
      <w:r>
        <w:rPr>
          <w:rFonts w:ascii="仿宋" w:hAnsi="仿宋" w:eastAsia="仿宋" w:cs="仿宋_GB2312"/>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jc w:val="right"/>
        <w:rPr>
          <w:rFonts w:ascii="仿宋" w:hAnsi="仿宋" w:eastAsia="仿宋" w:cs="仿宋_GB2312"/>
          <w:kern w:val="0"/>
          <w:sz w:val="24"/>
          <w:highlight w:val="none"/>
          <w:lang w:val="zh-CN"/>
        </w:rPr>
      </w:pPr>
    </w:p>
    <w:p>
      <w:pPr>
        <w:snapToGrid w:val="0"/>
        <w:spacing w:line="360" w:lineRule="auto"/>
        <w:ind w:firstLine="5520" w:firstLineChars="2300"/>
        <w:jc w:val="right"/>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投标人名称</w:t>
      </w:r>
      <w:r>
        <w:rPr>
          <w:rFonts w:ascii="仿宋" w:hAnsi="仿宋" w:eastAsia="仿宋" w:cs="仿宋_GB2312"/>
          <w:kern w:val="0"/>
          <w:sz w:val="24"/>
          <w:highlight w:val="none"/>
          <w:lang w:val="zh-CN"/>
        </w:rPr>
        <w:t>(电子签名)：</w:t>
      </w:r>
    </w:p>
    <w:p>
      <w:pPr>
        <w:wordWrap w:val="0"/>
        <w:snapToGrid w:val="0"/>
        <w:spacing w:line="360" w:lineRule="auto"/>
        <w:jc w:val="right"/>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日期</w:t>
      </w:r>
      <w:r>
        <w:rPr>
          <w:rFonts w:hint="eastAsia" w:ascii="仿宋" w:hAnsi="仿宋" w:eastAsia="仿宋" w:cs="仿宋_GB2312"/>
          <w:kern w:val="0"/>
          <w:sz w:val="24"/>
          <w:highlight w:val="none"/>
        </w:rPr>
        <w:t>：</w:t>
      </w:r>
      <w:r>
        <w:rPr>
          <w:rFonts w:ascii="仿宋" w:hAnsi="仿宋" w:eastAsia="仿宋" w:cs="仿宋_GB2312"/>
          <w:kern w:val="0"/>
          <w:sz w:val="24"/>
          <w:highlight w:val="none"/>
        </w:rPr>
        <w:t xml:space="preserve">  年  </w:t>
      </w:r>
      <w:r>
        <w:rPr>
          <w:rFonts w:hint="eastAsia" w:ascii="仿宋" w:hAnsi="仿宋" w:eastAsia="仿宋" w:cs="仿宋_GB2312"/>
          <w:kern w:val="0"/>
          <w:sz w:val="24"/>
          <w:highlight w:val="none"/>
          <w:lang w:val="zh-CN"/>
        </w:rPr>
        <w:t>月  日</w:t>
      </w: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rPr>
          <w:rFonts w:ascii="仿宋" w:hAnsi="仿宋" w:eastAsia="仿宋"/>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二、落实政府采购政策需满足的资格要求</w:t>
      </w:r>
    </w:p>
    <w:p>
      <w:pPr>
        <w:spacing w:line="360" w:lineRule="auto"/>
        <w:rPr>
          <w:rFonts w:ascii="仿宋" w:hAnsi="仿宋" w:eastAsia="仿宋" w:cs="仿宋_GB2312"/>
          <w:sz w:val="24"/>
          <w:highlight w:val="none"/>
        </w:rPr>
      </w:pPr>
      <w:r>
        <w:rPr>
          <w:rFonts w:hint="eastAsia" w:ascii="仿宋" w:hAnsi="仿宋" w:eastAsia="仿宋" w:cs="仿宋_GB2312"/>
          <w:sz w:val="24"/>
          <w:highlight w:val="none"/>
        </w:rPr>
        <w:t>（根据招标公告</w:t>
      </w:r>
      <w:r>
        <w:rPr>
          <w:rFonts w:hint="eastAsia" w:ascii="仿宋" w:hAnsi="仿宋" w:eastAsia="仿宋"/>
          <w:sz w:val="24"/>
          <w:highlight w:val="none"/>
        </w:rPr>
        <w:t>落实政府采购政策需满足的资格要求选择提供相应的材料；未要求的，无需提供</w:t>
      </w:r>
      <w:r>
        <w:rPr>
          <w:rFonts w:hint="eastAsia" w:ascii="仿宋" w:hAnsi="仿宋" w:eastAsia="仿宋" w:cs="仿宋_GB2312"/>
          <w:sz w:val="24"/>
          <w:highlight w:val="none"/>
        </w:rPr>
        <w:t>）</w:t>
      </w:r>
    </w:p>
    <w:p>
      <w:pPr>
        <w:pStyle w:val="5"/>
        <w:rPr>
          <w:rFonts w:ascii="仿宋" w:eastAsia="仿宋" w:cs="仿宋_GB2312"/>
          <w:sz w:val="24"/>
          <w:highlight w:val="none"/>
        </w:rPr>
      </w:pPr>
    </w:p>
    <w:p>
      <w:pPr>
        <w:rPr>
          <w:rFonts w:ascii="仿宋" w:hAnsi="仿宋" w:eastAsia="仿宋" w:cs="仿宋_GB2312"/>
          <w:sz w:val="24"/>
          <w:highlight w:val="none"/>
        </w:rPr>
      </w:pPr>
    </w:p>
    <w:p>
      <w:pPr>
        <w:pStyle w:val="5"/>
        <w:rPr>
          <w:highlight w:val="none"/>
        </w:rPr>
      </w:pPr>
    </w:p>
    <w:p>
      <w:pPr>
        <w:widowControl/>
        <w:spacing w:line="360" w:lineRule="auto"/>
        <w:ind w:firstLine="480"/>
        <w:jc w:val="left"/>
        <w:rPr>
          <w:rFonts w:ascii="仿宋" w:hAnsi="仿宋" w:eastAsia="仿宋"/>
          <w:sz w:val="24"/>
          <w:highlight w:val="none"/>
        </w:rPr>
      </w:pPr>
    </w:p>
    <w:p>
      <w:pPr>
        <w:widowControl/>
        <w:spacing w:line="360" w:lineRule="auto"/>
        <w:ind w:left="150"/>
        <w:jc w:val="center"/>
        <w:rPr>
          <w:rFonts w:ascii="仿宋" w:hAnsi="仿宋" w:eastAsia="仿宋" w:cs="仿宋_GB2312"/>
          <w:b/>
          <w:kern w:val="0"/>
          <w:sz w:val="32"/>
          <w:szCs w:val="32"/>
          <w:highlight w:val="none"/>
        </w:rPr>
      </w:pPr>
    </w:p>
    <w:p>
      <w:pPr>
        <w:widowControl/>
        <w:spacing w:line="360" w:lineRule="auto"/>
        <w:ind w:left="150"/>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三、本项目的特定资格要求</w:t>
      </w:r>
    </w:p>
    <w:p>
      <w:pPr>
        <w:spacing w:line="360" w:lineRule="auto"/>
        <w:jc w:val="center"/>
        <w:rPr>
          <w:rFonts w:ascii="仿宋" w:hAnsi="仿宋" w:eastAsia="仿宋"/>
          <w:sz w:val="24"/>
          <w:highlight w:val="none"/>
        </w:rPr>
      </w:pPr>
      <w:r>
        <w:rPr>
          <w:rFonts w:hint="eastAsia" w:ascii="仿宋" w:hAnsi="仿宋" w:eastAsia="仿宋" w:cs="仿宋_GB2312"/>
          <w:sz w:val="24"/>
          <w:highlight w:val="none"/>
        </w:rPr>
        <w:t>（根据招标公告本项目的特定资格要求</w:t>
      </w:r>
      <w:r>
        <w:rPr>
          <w:rFonts w:hint="eastAsia" w:ascii="仿宋" w:hAnsi="仿宋" w:eastAsia="仿宋"/>
          <w:sz w:val="24"/>
          <w:highlight w:val="none"/>
        </w:rPr>
        <w:t>提供相应的材料；未要求的，无需提供</w:t>
      </w:r>
      <w:r>
        <w:rPr>
          <w:rFonts w:hint="eastAsia" w:ascii="仿宋" w:hAnsi="仿宋" w:eastAsia="仿宋" w:cs="仿宋_GB2312"/>
          <w:sz w:val="24"/>
          <w:highlight w:val="none"/>
        </w:rPr>
        <w:t>）</w:t>
      </w:r>
    </w:p>
    <w:p>
      <w:pPr>
        <w:rPr>
          <w:rFonts w:ascii="仿宋" w:hAnsi="仿宋" w:eastAsia="仿宋"/>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四、联合体协议（如果有）</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hint="eastAsia" w:ascii="仿宋_GB2312" w:hAnsi="仿宋" w:eastAsia="仿宋_GB2312"/>
          <w:sz w:val="24"/>
          <w:highlight w:val="none"/>
          <w:u w:val="single"/>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pacing w:line="360" w:lineRule="auto"/>
        <w:jc w:val="center"/>
        <w:rPr>
          <w:rFonts w:ascii="仿宋" w:hAnsi="仿宋" w:eastAsia="仿宋"/>
          <w:sz w:val="24"/>
          <w:highlight w:val="none"/>
        </w:rPr>
      </w:pPr>
    </w:p>
    <w:p>
      <w:pPr>
        <w:snapToGrid w:val="0"/>
        <w:spacing w:line="360" w:lineRule="auto"/>
        <w:ind w:right="480"/>
        <w:jc w:val="center"/>
        <w:rPr>
          <w:rFonts w:ascii="仿宋" w:hAnsi="仿宋" w:eastAsia="仿宋" w:cs="仿宋_GB2312"/>
          <w:b/>
          <w:kern w:val="0"/>
          <w:sz w:val="32"/>
          <w:szCs w:val="32"/>
          <w:highlight w:val="none"/>
        </w:rPr>
      </w:pPr>
    </w:p>
    <w:p>
      <w:pPr>
        <w:pStyle w:val="2"/>
        <w:ind w:firstLine="420"/>
        <w:rPr>
          <w:highlight w:val="none"/>
        </w:rPr>
      </w:pPr>
    </w:p>
    <w:p>
      <w:pPr>
        <w:snapToGrid w:val="0"/>
        <w:spacing w:line="360" w:lineRule="auto"/>
        <w:ind w:right="480"/>
        <w:jc w:val="center"/>
        <w:rPr>
          <w:rFonts w:ascii="仿宋" w:hAnsi="仿宋" w:eastAsia="仿宋" w:cs="仿宋_GB2312"/>
          <w:b/>
          <w:kern w:val="0"/>
          <w:sz w:val="32"/>
          <w:szCs w:val="32"/>
          <w:highlight w:val="none"/>
        </w:rPr>
      </w:pPr>
    </w:p>
    <w:p>
      <w:pPr>
        <w:spacing w:line="360" w:lineRule="auto"/>
        <w:ind w:right="420" w:firstLine="3614" w:firstLineChars="100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商务技术文件部分</w:t>
      </w:r>
    </w:p>
    <w:p>
      <w:pPr>
        <w:spacing w:line="360" w:lineRule="auto"/>
        <w:jc w:val="center"/>
        <w:outlineLvl w:val="0"/>
        <w:rPr>
          <w:rFonts w:ascii="仿宋" w:hAnsi="仿宋" w:eastAsia="仿宋" w:cs="仿宋_GB2312"/>
          <w:b/>
          <w:kern w:val="0"/>
          <w:sz w:val="24"/>
          <w:highlight w:val="none"/>
        </w:rPr>
      </w:pPr>
    </w:p>
    <w:p>
      <w:pPr>
        <w:spacing w:line="360" w:lineRule="auto"/>
        <w:jc w:val="center"/>
        <w:outlineLvl w:val="0"/>
        <w:rPr>
          <w:rFonts w:ascii="仿宋" w:hAnsi="仿宋" w:eastAsia="仿宋" w:cs="仿宋_GB2312"/>
          <w:b/>
          <w:kern w:val="0"/>
          <w:sz w:val="28"/>
          <w:szCs w:val="28"/>
          <w:highlight w:val="none"/>
        </w:rPr>
      </w:pPr>
      <w:r>
        <w:rPr>
          <w:rFonts w:hint="eastAsia" w:ascii="仿宋" w:hAnsi="仿宋" w:eastAsia="仿宋" w:cs="仿宋_GB2312"/>
          <w:b/>
          <w:kern w:val="0"/>
          <w:sz w:val="28"/>
          <w:szCs w:val="28"/>
          <w:highlight w:val="none"/>
        </w:rPr>
        <w:t>目录</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（3</w:t>
      </w:r>
      <w:r>
        <w:rPr>
          <w:rFonts w:ascii="仿宋_GB2312" w:hAnsi="仿宋" w:eastAsia="仿宋_GB2312" w:cs="仿宋_GB2312"/>
          <w:sz w:val="24"/>
          <w:highlight w:val="none"/>
        </w:rPr>
        <w:t>）分包意向协议</w:t>
      </w:r>
      <w:r>
        <w:rPr>
          <w:rFonts w:hint="eastAsia" w:ascii="仿宋_GB2312" w:hAnsi="仿宋" w:eastAsia="仿宋_GB2312" w:cs="仿宋_GB2312"/>
          <w:sz w:val="24"/>
          <w:highlight w:val="none"/>
        </w:rPr>
        <w:t>（如果有）</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（4</w:t>
      </w:r>
      <w:r>
        <w:rPr>
          <w:rFonts w:ascii="仿宋_GB2312" w:hAnsi="仿宋" w:eastAsia="仿宋_GB2312" w:cs="仿宋_GB2312"/>
          <w:sz w:val="24"/>
          <w:highlight w:val="none"/>
        </w:rPr>
        <w:t>）符合性审查资料</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（5</w:t>
      </w:r>
      <w:r>
        <w:rPr>
          <w:rFonts w:ascii="仿宋_GB2312" w:hAnsi="仿宋" w:eastAsia="仿宋_GB2312" w:cs="仿宋_GB2312"/>
          <w:sz w:val="24"/>
          <w:highlight w:val="none"/>
        </w:rPr>
        <w:t>）评标标准相应的商务技术资料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（6</w:t>
      </w:r>
      <w:r>
        <w:rPr>
          <w:rFonts w:ascii="仿宋_GB2312" w:hAnsi="仿宋" w:eastAsia="仿宋_GB2312" w:cs="仿宋_GB2312"/>
          <w:sz w:val="24"/>
          <w:highlight w:val="none"/>
        </w:rPr>
        <w:t>）商务技术偏离表</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hint="eastAsia" w:ascii="仿宋_GB2312" w:hAnsi="仿宋" w:eastAsia="仿宋_GB2312" w:cs="仿宋_GB2312"/>
          <w:sz w:val="24"/>
          <w:highlight w:val="none"/>
        </w:rPr>
        <w:t>7</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pPr>
        <w:snapToGrid w:val="0"/>
        <w:spacing w:line="360" w:lineRule="auto"/>
        <w:jc w:val="center"/>
        <w:rPr>
          <w:rFonts w:ascii="仿宋" w:hAnsi="仿宋" w:eastAsia="仿宋" w:cs="仿宋_GB2312"/>
          <w:b/>
          <w:kern w:val="0"/>
          <w:sz w:val="32"/>
          <w:szCs w:val="32"/>
          <w:highlight w:val="none"/>
          <w:lang w:val="zh-CN"/>
        </w:rPr>
      </w:pPr>
    </w:p>
    <w:p>
      <w:pPr>
        <w:snapToGrid w:val="0"/>
        <w:spacing w:line="360" w:lineRule="auto"/>
        <w:jc w:val="center"/>
        <w:rPr>
          <w:rFonts w:ascii="仿宋" w:hAnsi="仿宋" w:eastAsia="仿宋" w:cs="仿宋_GB2312"/>
          <w:b/>
          <w:kern w:val="0"/>
          <w:sz w:val="32"/>
          <w:szCs w:val="32"/>
          <w:highlight w:val="none"/>
          <w:lang w:val="zh-CN"/>
        </w:rPr>
      </w:pPr>
    </w:p>
    <w:p>
      <w:pPr>
        <w:snapToGrid w:val="0"/>
        <w:spacing w:line="360" w:lineRule="auto"/>
        <w:jc w:val="center"/>
        <w:rPr>
          <w:rFonts w:ascii="仿宋" w:hAnsi="仿宋" w:eastAsia="仿宋" w:cs="仿宋_GB2312"/>
          <w:b/>
          <w:kern w:val="0"/>
          <w:sz w:val="32"/>
          <w:szCs w:val="32"/>
          <w:highlight w:val="none"/>
          <w:lang w:val="zh-CN"/>
        </w:rPr>
      </w:pPr>
    </w:p>
    <w:p>
      <w:pPr>
        <w:snapToGrid w:val="0"/>
        <w:spacing w:line="360" w:lineRule="auto"/>
        <w:jc w:val="center"/>
        <w:rPr>
          <w:rFonts w:ascii="仿宋" w:hAnsi="仿宋" w:eastAsia="仿宋" w:cs="仿宋_GB2312"/>
          <w:b/>
          <w:kern w:val="0"/>
          <w:sz w:val="32"/>
          <w:szCs w:val="32"/>
          <w:highlight w:val="none"/>
          <w:lang w:val="zh-CN"/>
        </w:rPr>
      </w:pPr>
    </w:p>
    <w:p>
      <w:pPr>
        <w:snapToGrid w:val="0"/>
        <w:spacing w:line="360" w:lineRule="auto"/>
        <w:jc w:val="center"/>
        <w:rPr>
          <w:rFonts w:ascii="仿宋" w:hAnsi="仿宋" w:eastAsia="仿宋" w:cs="仿宋_GB2312"/>
          <w:b/>
          <w:kern w:val="0"/>
          <w:sz w:val="32"/>
          <w:szCs w:val="32"/>
          <w:highlight w:val="none"/>
          <w:lang w:val="zh-CN"/>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rPr>
          <w:rFonts w:ascii="仿宋" w:hAnsi="仿宋" w:eastAsia="仿宋"/>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kern w:val="0"/>
          <w:sz w:val="32"/>
          <w:szCs w:val="32"/>
          <w:highlight w:val="none"/>
        </w:rPr>
      </w:pPr>
    </w:p>
    <w:p>
      <w:pPr>
        <w:snapToGrid w:val="0"/>
        <w:spacing w:line="360" w:lineRule="auto"/>
        <w:jc w:val="center"/>
        <w:outlineLvl w:val="0"/>
        <w:rPr>
          <w:rFonts w:ascii="仿宋" w:hAnsi="仿宋" w:eastAsia="仿宋" w:cs="仿宋_GB2312"/>
          <w:b/>
          <w:sz w:val="32"/>
          <w:szCs w:val="32"/>
          <w:highlight w:val="none"/>
        </w:rPr>
      </w:pPr>
      <w:r>
        <w:rPr>
          <w:rFonts w:hint="eastAsia" w:ascii="仿宋" w:hAnsi="仿宋" w:eastAsia="仿宋" w:cs="仿宋_GB2312"/>
          <w:b/>
          <w:kern w:val="0"/>
          <w:sz w:val="32"/>
          <w:szCs w:val="32"/>
          <w:highlight w:val="none"/>
        </w:rPr>
        <w:t>一、投标</w:t>
      </w:r>
      <w:r>
        <w:rPr>
          <w:rFonts w:hint="eastAsia" w:ascii="仿宋" w:hAnsi="仿宋" w:eastAsia="仿宋" w:cs="仿宋_GB2312"/>
          <w:b/>
          <w:sz w:val="32"/>
          <w:szCs w:val="32"/>
          <w:highlight w:val="none"/>
        </w:rPr>
        <w:t>函</w:t>
      </w:r>
    </w:p>
    <w:p>
      <w:pPr>
        <w:snapToGrid w:val="0"/>
        <w:spacing w:line="336" w:lineRule="auto"/>
        <w:rPr>
          <w:rFonts w:ascii="仿宋" w:hAnsi="仿宋" w:eastAsia="仿宋" w:cs="仿宋_GB2312"/>
          <w:sz w:val="24"/>
          <w:highlight w:val="none"/>
        </w:rPr>
      </w:pPr>
      <w:r>
        <w:rPr>
          <w:rFonts w:hint="eastAsia" w:ascii="仿宋" w:hAnsi="仿宋" w:eastAsia="仿宋" w:cs="仿宋_GB2312"/>
          <w:sz w:val="24"/>
          <w:highlight w:val="none"/>
        </w:rPr>
        <w:t>（采购人）、（采购代理机构）：</w:t>
      </w:r>
    </w:p>
    <w:p>
      <w:pPr>
        <w:snapToGrid w:val="0"/>
        <w:spacing w:line="336"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我方参加你方组织的（项目名称）【招标编号：</w:t>
      </w:r>
      <w:r>
        <w:rPr>
          <w:rFonts w:hint="eastAsia" w:ascii="仿宋" w:hAnsi="仿宋" w:eastAsia="仿宋"/>
          <w:sz w:val="24"/>
          <w:highlight w:val="none"/>
        </w:rPr>
        <w:t>（采购编号）</w:t>
      </w:r>
      <w:r>
        <w:rPr>
          <w:rFonts w:hint="eastAsia" w:ascii="仿宋" w:hAnsi="仿宋" w:eastAsia="仿宋" w:cs="仿宋_GB2312"/>
          <w:sz w:val="24"/>
          <w:highlight w:val="none"/>
        </w:rPr>
        <w:t>】招标的有关活动，并对此项目进行投标。为此：</w:t>
      </w:r>
    </w:p>
    <w:p>
      <w:pPr>
        <w:snapToGrid w:val="0"/>
        <w:spacing w:line="336" w:lineRule="auto"/>
        <w:ind w:firstLine="480" w:firstLineChars="200"/>
        <w:rPr>
          <w:rFonts w:ascii="仿宋" w:hAnsi="仿宋" w:eastAsia="仿宋" w:cs="仿宋_GB2312"/>
          <w:sz w:val="24"/>
          <w:highlight w:val="none"/>
        </w:rPr>
      </w:pPr>
      <w:r>
        <w:rPr>
          <w:rFonts w:ascii="仿宋" w:hAnsi="仿宋" w:eastAsia="仿宋" w:cs="仿宋_GB2312"/>
          <w:sz w:val="24"/>
          <w:highlight w:val="none"/>
        </w:rPr>
        <w:t>1、我方承诺投标有效期从提交投标文件的截止之日起</w:t>
      </w:r>
      <w:r>
        <w:rPr>
          <w:rFonts w:hint="eastAsia" w:ascii="仿宋" w:hAnsi="仿宋" w:eastAsia="仿宋" w:cs="仿宋_GB2312"/>
          <w:sz w:val="24"/>
          <w:highlight w:val="none"/>
        </w:rPr>
        <w:t>天（不少于</w:t>
      </w:r>
      <w:r>
        <w:rPr>
          <w:rFonts w:ascii="仿宋" w:hAnsi="仿宋" w:eastAsia="仿宋" w:cs="仿宋_GB2312"/>
          <w:sz w:val="24"/>
          <w:highlight w:val="none"/>
        </w:rPr>
        <w:t>90天）</w:t>
      </w:r>
      <w:r>
        <w:rPr>
          <w:rFonts w:hint="eastAsia" w:ascii="仿宋" w:hAnsi="仿宋" w:eastAsia="仿宋"/>
          <w:highlight w:val="none"/>
        </w:rPr>
        <w:t>，</w:t>
      </w:r>
      <w:r>
        <w:rPr>
          <w:rFonts w:hint="eastAsia" w:ascii="仿宋" w:hAnsi="仿宋" w:eastAsia="仿宋" w:cs="仿宋_GB2312"/>
          <w:sz w:val="24"/>
          <w:highlight w:val="none"/>
        </w:rPr>
        <w:t>本投标文件在投标有效期满之前均具有约束力。</w:t>
      </w:r>
    </w:p>
    <w:p>
      <w:pPr>
        <w:snapToGrid w:val="0"/>
        <w:spacing w:line="336" w:lineRule="auto"/>
        <w:ind w:firstLine="480" w:firstLineChars="200"/>
        <w:rPr>
          <w:rFonts w:ascii="仿宋" w:hAnsi="仿宋" w:eastAsia="仿宋" w:cs="仿宋_GB2312"/>
          <w:sz w:val="24"/>
          <w:highlight w:val="none"/>
        </w:rPr>
      </w:pPr>
      <w:r>
        <w:rPr>
          <w:rFonts w:ascii="仿宋" w:hAnsi="仿宋" w:eastAsia="仿宋" w:cs="仿宋_GB2312"/>
          <w:sz w:val="24"/>
          <w:highlight w:val="none"/>
        </w:rPr>
        <w:t>2、我方的投标文件包括以下内容：</w:t>
      </w:r>
    </w:p>
    <w:p>
      <w:pPr>
        <w:snapToGrid w:val="0"/>
        <w:spacing w:line="336"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2.1资格文件：</w:t>
      </w:r>
    </w:p>
    <w:p>
      <w:pPr>
        <w:snapToGrid w:val="0"/>
        <w:spacing w:line="336"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2.1.1符合参加政府采购活动应当具备的一般条件的承诺函</w:t>
      </w:r>
      <w:r>
        <w:rPr>
          <w:rFonts w:hint="eastAsia" w:ascii="仿宋" w:hAnsi="仿宋" w:eastAsia="仿宋" w:cs="仿宋_GB2312"/>
          <w:sz w:val="24"/>
          <w:highlight w:val="none"/>
        </w:rPr>
        <w:t>；</w:t>
      </w:r>
    </w:p>
    <w:p>
      <w:pPr>
        <w:snapToGrid w:val="0"/>
        <w:spacing w:line="336"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2.1.2落实政府采购政策需满足的资格要求</w:t>
      </w:r>
      <w:r>
        <w:rPr>
          <w:rFonts w:hint="eastAsia" w:ascii="仿宋" w:hAnsi="仿宋" w:eastAsia="仿宋" w:cs="仿宋_GB2312"/>
          <w:sz w:val="24"/>
          <w:highlight w:val="none"/>
        </w:rPr>
        <w:t>（如果有）；</w:t>
      </w:r>
    </w:p>
    <w:p>
      <w:pPr>
        <w:snapToGrid w:val="0"/>
        <w:spacing w:line="336"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2.1.3本项目的特定资格要求</w:t>
      </w:r>
      <w:r>
        <w:rPr>
          <w:rFonts w:hint="eastAsia" w:ascii="仿宋" w:hAnsi="仿宋" w:eastAsia="仿宋" w:cs="仿宋_GB2312"/>
          <w:sz w:val="24"/>
          <w:highlight w:val="none"/>
        </w:rPr>
        <w:t>；</w:t>
      </w:r>
    </w:p>
    <w:p>
      <w:pPr>
        <w:snapToGrid w:val="0"/>
        <w:spacing w:line="336" w:lineRule="auto"/>
        <w:ind w:left="420" w:leftChars="200" w:firstLine="480" w:firstLineChars="200"/>
        <w:rPr>
          <w:highlight w:val="none"/>
        </w:rPr>
      </w:pPr>
      <w:r>
        <w:rPr>
          <w:rFonts w:hint="eastAsia" w:ascii="仿宋" w:eastAsia="仿宋" w:cs="仿宋_GB2312"/>
          <w:sz w:val="24"/>
          <w:highlight w:val="none"/>
        </w:rPr>
        <w:t>2.1.4联合体协议（如果有）。</w:t>
      </w:r>
    </w:p>
    <w:p>
      <w:pPr>
        <w:snapToGrid w:val="0"/>
        <w:spacing w:line="336" w:lineRule="auto"/>
        <w:ind w:left="210" w:leftChars="100" w:firstLine="480" w:firstLineChars="200"/>
        <w:rPr>
          <w:rFonts w:ascii="仿宋" w:hAnsi="仿宋" w:eastAsia="仿宋" w:cs="仿宋_GB2312"/>
          <w:sz w:val="24"/>
          <w:highlight w:val="none"/>
          <w:lang w:val="zh-CN"/>
        </w:rPr>
      </w:pPr>
      <w:r>
        <w:rPr>
          <w:rFonts w:ascii="仿宋" w:hAnsi="仿宋" w:eastAsia="仿宋" w:cs="仿宋_GB2312"/>
          <w:sz w:val="24"/>
          <w:highlight w:val="none"/>
        </w:rPr>
        <w:t>2</w:t>
      </w:r>
      <w:r>
        <w:rPr>
          <w:rFonts w:ascii="仿宋" w:hAnsi="仿宋" w:eastAsia="仿宋" w:cs="仿宋_GB2312"/>
          <w:sz w:val="24"/>
          <w:highlight w:val="none"/>
          <w:lang w:val="zh-CN"/>
        </w:rPr>
        <w:t>.</w:t>
      </w:r>
      <w:r>
        <w:rPr>
          <w:rFonts w:ascii="仿宋" w:hAnsi="仿宋" w:eastAsia="仿宋" w:cs="仿宋_GB2312"/>
          <w:sz w:val="24"/>
          <w:highlight w:val="none"/>
        </w:rPr>
        <w:t>2</w:t>
      </w:r>
      <w:r>
        <w:rPr>
          <w:rFonts w:hint="eastAsia" w:ascii="仿宋" w:hAnsi="仿宋" w:eastAsia="仿宋" w:cs="仿宋_GB2312"/>
          <w:sz w:val="24"/>
          <w:highlight w:val="none"/>
        </w:rPr>
        <w:t>商务技术</w:t>
      </w:r>
      <w:r>
        <w:rPr>
          <w:rFonts w:hint="eastAsia" w:ascii="仿宋" w:hAnsi="仿宋" w:eastAsia="仿宋" w:cs="仿宋_GB2312"/>
          <w:sz w:val="24"/>
          <w:highlight w:val="none"/>
          <w:lang w:val="zh-CN"/>
        </w:rPr>
        <w:t>文件：</w:t>
      </w:r>
    </w:p>
    <w:p>
      <w:pPr>
        <w:snapToGrid w:val="0"/>
        <w:spacing w:line="336"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snapToGrid w:val="0"/>
        <w:spacing w:line="336"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snapToGrid w:val="0"/>
        <w:spacing w:line="336"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3</w:t>
      </w:r>
      <w:r>
        <w:rPr>
          <w:rFonts w:ascii="仿宋_GB2312" w:hAnsi="仿宋" w:eastAsia="仿宋_GB2312" w:cs="仿宋_GB2312"/>
          <w:sz w:val="24"/>
          <w:highlight w:val="none"/>
        </w:rPr>
        <w:t>分包意向协议</w:t>
      </w:r>
      <w:r>
        <w:rPr>
          <w:rFonts w:hint="eastAsia" w:ascii="仿宋_GB2312" w:hAnsi="仿宋" w:eastAsia="仿宋_GB2312" w:cs="仿宋_GB2312"/>
          <w:sz w:val="24"/>
          <w:highlight w:val="none"/>
        </w:rPr>
        <w:t>（如果有）；</w:t>
      </w:r>
    </w:p>
    <w:p>
      <w:pPr>
        <w:snapToGrid w:val="0"/>
        <w:spacing w:line="336"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4</w:t>
      </w:r>
      <w:r>
        <w:rPr>
          <w:rFonts w:ascii="仿宋_GB2312" w:hAnsi="仿宋" w:eastAsia="仿宋_GB2312" w:cs="仿宋_GB2312"/>
          <w:sz w:val="24"/>
          <w:highlight w:val="none"/>
        </w:rPr>
        <w:t>符合性审查资料；</w:t>
      </w:r>
    </w:p>
    <w:p>
      <w:pPr>
        <w:snapToGrid w:val="0"/>
        <w:spacing w:line="336"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5</w:t>
      </w:r>
      <w:r>
        <w:rPr>
          <w:rFonts w:ascii="仿宋_GB2312" w:hAnsi="仿宋" w:eastAsia="仿宋_GB2312" w:cs="仿宋_GB2312"/>
          <w:sz w:val="24"/>
          <w:highlight w:val="none"/>
        </w:rPr>
        <w:t>评标标准相应的商务技术资料；</w:t>
      </w:r>
    </w:p>
    <w:p>
      <w:pPr>
        <w:snapToGrid w:val="0"/>
        <w:spacing w:line="336"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6</w:t>
      </w:r>
      <w:r>
        <w:rPr>
          <w:rFonts w:ascii="仿宋_GB2312" w:hAnsi="仿宋" w:eastAsia="仿宋_GB2312" w:cs="仿宋_GB2312"/>
          <w:sz w:val="24"/>
          <w:highlight w:val="none"/>
        </w:rPr>
        <w:t>商务技术偏离表；</w:t>
      </w:r>
    </w:p>
    <w:p>
      <w:pPr>
        <w:snapToGrid w:val="0"/>
        <w:spacing w:line="336" w:lineRule="auto"/>
        <w:ind w:left="420" w:leftChars="200" w:firstLine="480" w:firstLineChars="200"/>
        <w:rPr>
          <w:rFonts w:ascii="仿宋" w:hAnsi="仿宋" w:eastAsia="仿宋"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rPr>
        <w:t>7</w:t>
      </w:r>
      <w:r>
        <w:rPr>
          <w:rFonts w:hint="eastAsia" w:ascii="仿宋_GB2312" w:hAnsi="仿宋" w:eastAsia="仿宋_GB2312" w:cs="仿宋_GB2312"/>
          <w:sz w:val="24"/>
          <w:highlight w:val="none"/>
          <w:lang w:val="zh-CN"/>
        </w:rPr>
        <w:t>政府采购供应商廉洁自律承诺书。</w:t>
      </w:r>
    </w:p>
    <w:p>
      <w:pPr>
        <w:snapToGrid w:val="0"/>
        <w:spacing w:line="336"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2</w:t>
      </w:r>
      <w:r>
        <w:rPr>
          <w:rFonts w:ascii="仿宋" w:hAnsi="仿宋" w:eastAsia="仿宋" w:cs="仿宋_GB2312"/>
          <w:sz w:val="24"/>
          <w:highlight w:val="none"/>
          <w:lang w:val="zh-CN"/>
        </w:rPr>
        <w:t>.</w:t>
      </w:r>
      <w:r>
        <w:rPr>
          <w:rFonts w:ascii="仿宋" w:hAnsi="仿宋" w:eastAsia="仿宋" w:cs="仿宋_GB2312"/>
          <w:sz w:val="24"/>
          <w:highlight w:val="none"/>
        </w:rPr>
        <w:t>3报价文件</w:t>
      </w:r>
    </w:p>
    <w:p>
      <w:pPr>
        <w:snapToGrid w:val="0"/>
        <w:spacing w:line="336"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2.3.1开标一览表（报价表）；</w:t>
      </w:r>
    </w:p>
    <w:p>
      <w:pPr>
        <w:snapToGrid w:val="0"/>
        <w:spacing w:line="336" w:lineRule="auto"/>
        <w:ind w:left="420" w:leftChars="200" w:firstLine="480" w:firstLineChars="200"/>
        <w:rPr>
          <w:rFonts w:ascii="仿宋" w:hAnsi="仿宋" w:eastAsia="仿宋" w:cs="仿宋_GB2312"/>
          <w:sz w:val="24"/>
          <w:highlight w:val="none"/>
        </w:rPr>
      </w:pPr>
      <w:r>
        <w:rPr>
          <w:rFonts w:ascii="仿宋" w:hAnsi="仿宋" w:eastAsia="仿宋" w:cs="仿宋_GB2312"/>
          <w:sz w:val="24"/>
          <w:highlight w:val="none"/>
        </w:rPr>
        <w:t>2.3.2中小企业声明函</w:t>
      </w:r>
      <w:r>
        <w:rPr>
          <w:rFonts w:hint="eastAsia" w:ascii="仿宋" w:hAnsi="仿宋" w:eastAsia="仿宋" w:cs="仿宋_GB2312"/>
          <w:sz w:val="24"/>
          <w:highlight w:val="none"/>
        </w:rPr>
        <w:t>（如果有）。</w:t>
      </w:r>
    </w:p>
    <w:p>
      <w:pPr>
        <w:snapToGrid w:val="0"/>
        <w:spacing w:line="336" w:lineRule="auto"/>
        <w:ind w:firstLine="480" w:firstLineChars="200"/>
        <w:rPr>
          <w:rFonts w:ascii="仿宋" w:hAnsi="仿宋" w:eastAsia="仿宋" w:cs="仿宋_GB2312"/>
          <w:sz w:val="24"/>
          <w:highlight w:val="none"/>
        </w:rPr>
      </w:pPr>
      <w:r>
        <w:rPr>
          <w:rFonts w:ascii="仿宋" w:hAnsi="仿宋" w:eastAsia="仿宋" w:cs="仿宋_GB2312"/>
          <w:sz w:val="24"/>
          <w:highlight w:val="none"/>
        </w:rPr>
        <w:t>3、我方承诺除商务技术偏离表列出的偏离外，我方响应招标文件的全部要求。</w:t>
      </w:r>
    </w:p>
    <w:p>
      <w:pPr>
        <w:snapToGrid w:val="0"/>
        <w:spacing w:line="336" w:lineRule="auto"/>
        <w:ind w:firstLine="480" w:firstLineChars="200"/>
        <w:rPr>
          <w:rFonts w:ascii="仿宋" w:hAnsi="仿宋" w:eastAsia="仿宋" w:cs="仿宋_GB2312"/>
          <w:sz w:val="24"/>
          <w:highlight w:val="none"/>
        </w:rPr>
      </w:pPr>
      <w:r>
        <w:rPr>
          <w:rFonts w:ascii="仿宋" w:hAnsi="仿宋" w:eastAsia="仿宋" w:cs="仿宋_GB2312"/>
          <w:sz w:val="24"/>
          <w:highlight w:val="none"/>
        </w:rPr>
        <w:t>4、如我方中标，我方承诺：</w:t>
      </w:r>
    </w:p>
    <w:p>
      <w:pPr>
        <w:snapToGrid w:val="0"/>
        <w:spacing w:line="336"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4.1在收到中标通知书后，在中标通知书规定的期限内与你方签订合同； </w:t>
      </w:r>
    </w:p>
    <w:p>
      <w:pPr>
        <w:snapToGrid w:val="0"/>
        <w:spacing w:line="336"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4.2在签订合同时不向你方提出附加条件； </w:t>
      </w:r>
    </w:p>
    <w:p>
      <w:pPr>
        <w:snapToGrid w:val="0"/>
        <w:spacing w:line="336"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4.</w:t>
      </w:r>
      <w:r>
        <w:rPr>
          <w:rFonts w:hint="eastAsia" w:ascii="仿宋" w:hAnsi="仿宋" w:eastAsia="仿宋" w:cs="仿宋_GB2312"/>
          <w:sz w:val="24"/>
          <w:highlight w:val="none"/>
        </w:rPr>
        <w:t>3</w:t>
      </w:r>
      <w:r>
        <w:rPr>
          <w:rFonts w:ascii="仿宋" w:hAnsi="仿宋" w:eastAsia="仿宋" w:cs="仿宋_GB2312"/>
          <w:sz w:val="24"/>
          <w:highlight w:val="none"/>
        </w:rPr>
        <w:t xml:space="preserve">在合同约定的期限内完成合同规定的全部义务。 </w:t>
      </w:r>
    </w:p>
    <w:p>
      <w:pPr>
        <w:snapToGrid w:val="0"/>
        <w:spacing w:line="336" w:lineRule="auto"/>
        <w:ind w:firstLine="480" w:firstLineChars="200"/>
        <w:rPr>
          <w:rFonts w:ascii="仿宋" w:hAnsi="仿宋" w:eastAsia="仿宋" w:cs="仿宋_GB2312"/>
          <w:sz w:val="24"/>
          <w:highlight w:val="none"/>
        </w:rPr>
      </w:pPr>
      <w:r>
        <w:rPr>
          <w:rFonts w:ascii="仿宋" w:hAnsi="仿宋" w:eastAsia="仿宋" w:cs="仿宋_GB2312"/>
          <w:sz w:val="24"/>
          <w:highlight w:val="none"/>
        </w:rPr>
        <w:t>5、其他补充说明:</w:t>
      </w:r>
      <w:r>
        <w:rPr>
          <w:rFonts w:hint="eastAsia" w:ascii="仿宋" w:hAnsi="仿宋" w:eastAsia="仿宋" w:cs="仿宋_GB2312"/>
          <w:sz w:val="24"/>
          <w:highlight w:val="none"/>
        </w:rPr>
        <w:t>。</w:t>
      </w:r>
    </w:p>
    <w:p>
      <w:pPr>
        <w:spacing w:line="336" w:lineRule="auto"/>
        <w:rPr>
          <w:rFonts w:ascii="仿宋" w:hAnsi="仿宋" w:eastAsia="仿宋" w:cs="仿宋_GB2312"/>
          <w:b/>
          <w:kern w:val="0"/>
          <w:sz w:val="32"/>
          <w:szCs w:val="32"/>
          <w:highlight w:val="none"/>
          <w:lang w:val="zh-CN"/>
        </w:rPr>
      </w:pPr>
      <w:r>
        <w:rPr>
          <w:rFonts w:hint="eastAsia" w:ascii="仿宋" w:hAnsi="仿宋" w:eastAsia="仿宋" w:cs="仿宋_GB2312"/>
          <w:sz w:val="24"/>
          <w:highlight w:val="none"/>
        </w:rPr>
        <w:t xml:space="preserve">投标人名称（电子签名）：                              </w:t>
      </w:r>
      <w:r>
        <w:rPr>
          <w:rFonts w:ascii="仿宋" w:hAnsi="仿宋" w:eastAsia="仿宋" w:cs="仿宋_GB2312"/>
          <w:sz w:val="24"/>
          <w:highlight w:val="none"/>
        </w:rPr>
        <w:t>日期：  年   月   日</w:t>
      </w:r>
    </w:p>
    <w:p>
      <w:pPr>
        <w:jc w:val="center"/>
        <w:rPr>
          <w:rFonts w:ascii="仿宋" w:hAnsi="仿宋" w:eastAsia="仿宋" w:cs="仿宋_GB2312"/>
          <w:b/>
          <w:kern w:val="0"/>
          <w:sz w:val="32"/>
          <w:szCs w:val="32"/>
          <w:highlight w:val="none"/>
          <w:lang w:val="zh-CN"/>
        </w:rPr>
      </w:pPr>
    </w:p>
    <w:p>
      <w:pPr>
        <w:jc w:val="center"/>
        <w:rPr>
          <w:rFonts w:ascii="仿宋" w:hAnsi="仿宋" w:eastAsia="仿宋" w:cs="仿宋_GB2312"/>
          <w:b/>
          <w:kern w:val="0"/>
          <w:sz w:val="30"/>
          <w:szCs w:val="30"/>
          <w:highlight w:val="none"/>
          <w:lang w:val="zh-CN"/>
        </w:rPr>
      </w:pPr>
    </w:p>
    <w:p>
      <w:pPr>
        <w:jc w:val="center"/>
        <w:rPr>
          <w:rFonts w:ascii="仿宋" w:hAnsi="仿宋" w:eastAsia="仿宋" w:cs="仿宋_GB2312"/>
          <w:b/>
          <w:kern w:val="0"/>
          <w:sz w:val="30"/>
          <w:szCs w:val="30"/>
          <w:highlight w:val="none"/>
          <w:lang w:val="zh-CN"/>
        </w:rPr>
      </w:pPr>
      <w:r>
        <w:rPr>
          <w:rFonts w:hint="eastAsia" w:ascii="仿宋" w:hAnsi="仿宋" w:eastAsia="仿宋" w:cs="仿宋_GB2312"/>
          <w:b/>
          <w:kern w:val="0"/>
          <w:sz w:val="30"/>
          <w:szCs w:val="30"/>
          <w:highlight w:val="none"/>
          <w:lang w:val="zh-CN"/>
        </w:rPr>
        <w:t>二、授权委托书或法定代表人（单位负责人、自然人本人）身份证明</w:t>
      </w:r>
    </w:p>
    <w:p>
      <w:pPr>
        <w:snapToGrid w:val="0"/>
        <w:spacing w:line="360" w:lineRule="auto"/>
        <w:rPr>
          <w:rFonts w:ascii="仿宋" w:hAnsi="仿宋" w:eastAsia="仿宋" w:cs="仿宋_GB2312"/>
          <w:sz w:val="24"/>
          <w:highlight w:val="none"/>
        </w:rPr>
      </w:pPr>
    </w:p>
    <w:p>
      <w:pPr>
        <w:snapToGrid w:val="0"/>
        <w:spacing w:line="360" w:lineRule="auto"/>
        <w:jc w:val="center"/>
        <w:rPr>
          <w:rFonts w:ascii="仿宋" w:hAnsi="仿宋" w:eastAsia="仿宋"/>
          <w:highlight w:val="none"/>
        </w:rPr>
      </w:pPr>
      <w:r>
        <w:rPr>
          <w:rFonts w:hint="eastAsia" w:ascii="仿宋" w:hAnsi="仿宋" w:eastAsia="仿宋" w:cs="仿宋_GB2312"/>
          <w:b/>
          <w:kern w:val="0"/>
          <w:sz w:val="32"/>
          <w:szCs w:val="32"/>
          <w:highlight w:val="none"/>
          <w:lang w:val="zh-CN"/>
        </w:rPr>
        <w:t>授权委托书</w:t>
      </w:r>
    </w:p>
    <w:p>
      <w:pPr>
        <w:snapToGrid w:val="0"/>
        <w:spacing w:line="360" w:lineRule="auto"/>
        <w:rPr>
          <w:rFonts w:ascii="仿宋" w:hAnsi="仿宋" w:eastAsia="仿宋" w:cs="仿宋_GB2312"/>
          <w:kern w:val="0"/>
          <w:sz w:val="24"/>
          <w:highlight w:val="none"/>
        </w:rPr>
      </w:pPr>
      <w:r>
        <w:rPr>
          <w:rFonts w:hint="eastAsia" w:ascii="仿宋" w:hAnsi="仿宋" w:eastAsia="仿宋" w:cs="仿宋_GB2312"/>
          <w:sz w:val="24"/>
          <w:highlight w:val="none"/>
        </w:rPr>
        <w:t>（采购人）、（采购代理机构）</w:t>
      </w:r>
      <w:r>
        <w:rPr>
          <w:rFonts w:hint="eastAsia" w:ascii="仿宋" w:hAnsi="仿宋" w:eastAsia="仿宋" w:cs="仿宋_GB2312"/>
          <w:kern w:val="0"/>
          <w:sz w:val="24"/>
          <w:highlight w:val="none"/>
          <w:lang w:val="zh-CN"/>
        </w:rPr>
        <w:t>：</w:t>
      </w:r>
    </w:p>
    <w:p>
      <w:pPr>
        <w:snapToGrid w:val="0"/>
        <w:spacing w:line="360" w:lineRule="auto"/>
        <w:ind w:firstLine="576"/>
        <w:rPr>
          <w:rFonts w:ascii="仿宋" w:hAnsi="仿宋" w:eastAsia="仿宋" w:cs="仿宋_GB2312"/>
          <w:kern w:val="0"/>
          <w:sz w:val="24"/>
          <w:highlight w:val="none"/>
        </w:rPr>
      </w:pPr>
      <w:r>
        <w:rPr>
          <w:rFonts w:hint="eastAsia" w:ascii="仿宋" w:hAnsi="仿宋" w:eastAsia="仿宋" w:cs="仿宋_GB2312"/>
          <w:kern w:val="0"/>
          <w:sz w:val="24"/>
          <w:highlight w:val="none"/>
        </w:rPr>
        <w:t>现</w:t>
      </w:r>
      <w:r>
        <w:rPr>
          <w:rFonts w:hint="eastAsia" w:ascii="仿宋" w:hAnsi="仿宋" w:eastAsia="仿宋" w:cs="仿宋_GB2312"/>
          <w:kern w:val="0"/>
          <w:sz w:val="24"/>
          <w:highlight w:val="none"/>
          <w:lang w:val="zh-CN"/>
        </w:rPr>
        <w:t>委托（姓名）为我方代理人（身份证号码：，手机：），以我方名义处理</w:t>
      </w:r>
      <w:r>
        <w:rPr>
          <w:rFonts w:hint="eastAsia" w:ascii="仿宋" w:hAnsi="仿宋" w:eastAsia="仿宋" w:cs="仿宋_GB2312"/>
          <w:sz w:val="24"/>
          <w:highlight w:val="none"/>
        </w:rPr>
        <w:t>（项目名称）【招标编号：</w:t>
      </w:r>
      <w:r>
        <w:rPr>
          <w:rFonts w:hint="eastAsia" w:ascii="仿宋" w:hAnsi="仿宋" w:eastAsia="仿宋"/>
          <w:sz w:val="24"/>
          <w:highlight w:val="none"/>
        </w:rPr>
        <w:t>（采购编号）</w:t>
      </w:r>
      <w:r>
        <w:rPr>
          <w:rFonts w:hint="eastAsia" w:ascii="仿宋" w:hAnsi="仿宋" w:eastAsia="仿宋" w:cs="仿宋_GB2312"/>
          <w:sz w:val="24"/>
          <w:highlight w:val="none"/>
        </w:rPr>
        <w:t>】</w:t>
      </w:r>
      <w:r>
        <w:rPr>
          <w:rFonts w:hint="eastAsia" w:ascii="仿宋" w:hAnsi="仿宋" w:eastAsia="仿宋" w:cs="仿宋_GB2312"/>
          <w:kern w:val="0"/>
          <w:sz w:val="24"/>
          <w:highlight w:val="none"/>
          <w:lang w:val="zh-CN"/>
        </w:rPr>
        <w:t>政府采购投标的一切事项，其法律后果由我方承担。</w:t>
      </w:r>
    </w:p>
    <w:p>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委托期限</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自年月日起至年月日止。</w:t>
      </w:r>
    </w:p>
    <w:p>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特此告知。</w:t>
      </w:r>
    </w:p>
    <w:p>
      <w:pPr>
        <w:snapToGrid w:val="0"/>
        <w:spacing w:line="360" w:lineRule="auto"/>
        <w:rPr>
          <w:rFonts w:ascii="仿宋" w:hAnsi="仿宋" w:eastAsia="仿宋" w:cs="仿宋_GB2312"/>
          <w:kern w:val="0"/>
          <w:sz w:val="24"/>
          <w:highlight w:val="none"/>
        </w:rPr>
      </w:pPr>
      <w:r>
        <w:rPr>
          <w:rFonts w:ascii="仿宋" w:hAnsi="仿宋" w:eastAsia="仿宋" w:cs="仿宋_GB2312"/>
          <w:kern w:val="0"/>
          <w:sz w:val="24"/>
          <w:highlight w:val="none"/>
          <w:lang w:val="zh-CN"/>
        </w:rPr>
        <w:t xml:space="preserve">                                                 投标人名称(电子签名)：</w:t>
      </w:r>
    </w:p>
    <w:p>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签发日期：  年  月   日</w:t>
      </w:r>
    </w:p>
    <w:p>
      <w:pPr>
        <w:snapToGrid w:val="0"/>
        <w:spacing w:line="360" w:lineRule="auto"/>
        <w:rPr>
          <w:rFonts w:ascii="仿宋" w:hAnsi="仿宋" w:eastAsia="仿宋" w:cs="仿宋_GB2312"/>
          <w:sz w:val="24"/>
          <w:highlight w:val="none"/>
        </w:rPr>
      </w:pPr>
    </w:p>
    <w:p>
      <w:pPr>
        <w:autoSpaceDE w:val="0"/>
        <w:autoSpaceDN w:val="0"/>
        <w:spacing w:line="360" w:lineRule="auto"/>
        <w:jc w:val="center"/>
        <w:rPr>
          <w:rFonts w:ascii="仿宋" w:hAnsi="仿宋" w:eastAsia="仿宋" w:cs="仿宋_GB2312"/>
          <w:b/>
          <w:sz w:val="24"/>
          <w:highlight w:val="none"/>
        </w:rPr>
      </w:pPr>
      <w:r>
        <w:rPr>
          <w:rFonts w:hint="eastAsia" w:ascii="仿宋" w:hAnsi="仿宋" w:eastAsia="仿宋" w:cs="仿宋_GB2312"/>
          <w:b/>
          <w:kern w:val="0"/>
          <w:sz w:val="32"/>
          <w:szCs w:val="32"/>
          <w:highlight w:val="none"/>
          <w:lang w:val="zh-CN"/>
        </w:rPr>
        <w:t>法定代表人、单位负责人或自然人本人</w:t>
      </w:r>
      <w:r>
        <w:rPr>
          <w:rFonts w:hint="eastAsia" w:ascii="仿宋" w:hAnsi="仿宋" w:eastAsia="仿宋" w:cs="仿宋_GB2312"/>
          <w:b/>
          <w:sz w:val="30"/>
          <w:szCs w:val="30"/>
          <w:highlight w:val="none"/>
        </w:rPr>
        <w:t>的身份证明（适用于法定代表人、单位负责人或者自然人本人代表投标人参加投标）</w:t>
      </w:r>
    </w:p>
    <w:p>
      <w:pPr>
        <w:pStyle w:val="146"/>
        <w:spacing w:line="360" w:lineRule="auto"/>
        <w:rPr>
          <w:rFonts w:ascii="仿宋" w:hAnsi="仿宋" w:eastAsia="仿宋"/>
          <w:bCs/>
          <w:sz w:val="24"/>
          <w:highlight w:val="none"/>
        </w:rPr>
      </w:pPr>
      <w:r>
        <w:rPr>
          <w:rFonts w:hint="eastAsia" w:ascii="仿宋" w:hAnsi="仿宋" w:eastAsia="仿宋"/>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 w:hAnsi="仿宋" w:eastAsia="仿宋"/>
                <w:bCs/>
                <w:sz w:val="24"/>
                <w:highlight w:val="none"/>
              </w:rPr>
            </w:pPr>
            <w:r>
              <w:rPr>
                <w:rFonts w:hint="eastAsia" w:ascii="仿宋" w:hAnsi="仿宋" w:eastAsia="仿宋"/>
                <w:bCs/>
                <w:sz w:val="24"/>
                <w:highlight w:val="none"/>
              </w:rPr>
              <w:t>正面：反面：</w:t>
            </w:r>
          </w:p>
          <w:p>
            <w:pPr>
              <w:pStyle w:val="146"/>
              <w:adjustRightInd w:val="0"/>
              <w:spacing w:line="360" w:lineRule="auto"/>
              <w:rPr>
                <w:rFonts w:ascii="仿宋" w:hAnsi="仿宋" w:eastAsia="仿宋"/>
                <w:bCs/>
                <w:sz w:val="24"/>
                <w:highlight w:val="none"/>
              </w:rPr>
            </w:pPr>
          </w:p>
        </w:tc>
      </w:tr>
    </w:tbl>
    <w:p>
      <w:pPr>
        <w:snapToGrid w:val="0"/>
        <w:spacing w:line="360" w:lineRule="auto"/>
        <w:ind w:firstLine="576"/>
        <w:jc w:val="center"/>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投标人名称(电子签名)：                              </w:t>
      </w:r>
    </w:p>
    <w:p>
      <w:pPr>
        <w:spacing w:line="360" w:lineRule="auto"/>
        <w:jc w:val="center"/>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日期：  年  月  日</w:t>
      </w:r>
    </w:p>
    <w:p>
      <w:pPr>
        <w:jc w:val="center"/>
        <w:rPr>
          <w:rFonts w:ascii="仿宋" w:hAnsi="仿宋" w:eastAsia="仿宋" w:cs="仿宋_GB2312"/>
          <w:b/>
          <w:kern w:val="0"/>
          <w:sz w:val="32"/>
          <w:szCs w:val="32"/>
          <w:highlight w:val="none"/>
        </w:rPr>
      </w:pPr>
    </w:p>
    <w:p>
      <w:pPr>
        <w:snapToGrid w:val="0"/>
        <w:spacing w:line="360" w:lineRule="auto"/>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三、分包意向协议（如果有）</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u w:val="single"/>
        </w:rPr>
        <w:t xml:space="preserve">XX工作内容 </w:t>
      </w:r>
      <w:r>
        <w:rPr>
          <w:rFonts w:ascii="仿宋_GB2312" w:hAnsi="仿宋" w:eastAsia="仿宋_GB2312"/>
          <w:highlight w:val="none"/>
          <w:u w:val="single"/>
        </w:rPr>
        <w:t xml:space="preserve">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5"/>
        <w:ind w:left="664" w:leftChars="316" w:firstLine="228"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kern w:val="0"/>
          <w:sz w:val="24"/>
          <w:highlight w:val="none"/>
          <w:lang w:val="zh-CN"/>
        </w:rPr>
      </w:pP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ascii="仿宋_GB2312" w:hAnsi="仿宋" w:eastAsia="仿宋_GB2312" w:cs="仿宋_GB2312"/>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jc w:val="center"/>
        <w:rPr>
          <w:rFonts w:ascii="仿宋" w:hAnsi="仿宋" w:eastAsia="仿宋" w:cs="仿宋_GB2312"/>
          <w:b/>
          <w:kern w:val="0"/>
          <w:sz w:val="32"/>
          <w:szCs w:val="32"/>
          <w:highlight w:val="none"/>
        </w:rPr>
      </w:pPr>
      <w:r>
        <w:rPr>
          <w:rFonts w:ascii="仿宋_GB2312" w:hAnsi="仿宋" w:eastAsia="仿宋_GB2312" w:cs="仿宋_GB2312"/>
          <w:kern w:val="0"/>
          <w:sz w:val="24"/>
          <w:highlight w:val="none"/>
          <w:lang w:val="zh-CN"/>
        </w:rPr>
        <w:t xml:space="preserve">                                        日期：  年  月   日</w:t>
      </w: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四、符合性审查资料</w:t>
      </w:r>
    </w:p>
    <w:p>
      <w:pPr>
        <w:jc w:val="center"/>
        <w:rPr>
          <w:rFonts w:ascii="仿宋" w:hAnsi="仿宋" w:eastAsia="仿宋" w:cs="仿宋_GB2312"/>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highlight w:val="none"/>
              </w:rPr>
            </w:pPr>
            <w:r>
              <w:rPr>
                <w:rFonts w:ascii="仿宋" w:hAnsi="仿宋" w:eastAsia="仿宋"/>
                <w:sz w:val="24"/>
                <w:highlight w:val="none"/>
              </w:rPr>
              <w:t>1</w:t>
            </w:r>
          </w:p>
        </w:tc>
        <w:tc>
          <w:tcPr>
            <w:tcW w:w="4991" w:type="dxa"/>
            <w:vAlign w:val="center"/>
          </w:tcPr>
          <w:p>
            <w:pPr>
              <w:spacing w:line="360" w:lineRule="auto"/>
              <w:rPr>
                <w:rFonts w:ascii="仿宋" w:hAnsi="仿宋" w:eastAsia="仿宋" w:cs="仿宋_GB2312"/>
                <w:sz w:val="24"/>
                <w:highlight w:val="none"/>
              </w:rPr>
            </w:pPr>
            <w:r>
              <w:rPr>
                <w:rFonts w:hint="eastAsia" w:ascii="仿宋" w:hAnsi="仿宋" w:eastAsia="仿宋" w:cs="仿宋_GB2312"/>
                <w:sz w:val="24"/>
                <w:highlight w:val="none"/>
              </w:rPr>
              <w:t>投标文件按照招标文件要求签署、盖章。</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vAlign w:val="center"/>
          </w:tcPr>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rPr>
                <w:rFonts w:ascii="仿宋" w:hAnsi="仿宋" w:eastAsia="仿宋"/>
                <w:highlight w:val="none"/>
              </w:rPr>
            </w:pPr>
            <w:r>
              <w:rPr>
                <w:rFonts w:hint="eastAsia" w:ascii="仿宋" w:hAnsi="仿宋" w:eastAsia="仿宋" w:cs="仿宋_GB2312"/>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sz w:val="24"/>
                <w:highlight w:val="none"/>
              </w:rPr>
            </w:pPr>
            <w:r>
              <w:rPr>
                <w:rFonts w:ascii="仿宋" w:hAnsi="仿宋" w:eastAsia="仿宋"/>
                <w:sz w:val="24"/>
                <w:highlight w:val="none"/>
              </w:rPr>
              <w:t>2</w:t>
            </w:r>
          </w:p>
        </w:tc>
        <w:tc>
          <w:tcPr>
            <w:tcW w:w="4991" w:type="dxa"/>
            <w:vAlign w:val="center"/>
          </w:tcPr>
          <w:p>
            <w:pPr>
              <w:spacing w:line="360" w:lineRule="auto"/>
              <w:rPr>
                <w:rFonts w:ascii="仿宋" w:hAnsi="仿宋" w:eastAsia="仿宋"/>
                <w:sz w:val="24"/>
                <w:highlight w:val="none"/>
              </w:rPr>
            </w:pPr>
            <w:r>
              <w:rPr>
                <w:rFonts w:hint="eastAsia" w:ascii="仿宋" w:hAnsi="仿宋" w:eastAsia="仿宋"/>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highlight w:val="none"/>
              </w:rPr>
            </w:pPr>
            <w:r>
              <w:rPr>
                <w:rFonts w:hint="eastAsia" w:ascii="仿宋" w:hAnsi="仿宋" w:eastAsia="仿宋" w:cs="仿宋_GB2312"/>
                <w:sz w:val="24"/>
                <w:highlight w:val="none"/>
              </w:rPr>
              <w:t>节能产品认证证书（本项目</w:t>
            </w:r>
            <w:r>
              <w:rPr>
                <w:rFonts w:hint="eastAsia" w:ascii="仿宋" w:hAnsi="仿宋" w:eastAsia="仿宋"/>
                <w:sz w:val="24"/>
                <w:highlight w:val="none"/>
              </w:rPr>
              <w:t>拟采购的产品不属于政府强制采购的节能产品品目清单范围的</w:t>
            </w:r>
            <w:r>
              <w:rPr>
                <w:rFonts w:hint="eastAsia" w:ascii="仿宋" w:hAnsi="仿宋" w:eastAsia="仿宋" w:cs="仿宋_GB2312"/>
                <w:sz w:val="24"/>
                <w:highlight w:val="none"/>
              </w:rPr>
              <w:t>，无需提供）</w:t>
            </w:r>
          </w:p>
        </w:tc>
        <w:tc>
          <w:tcPr>
            <w:tcW w:w="1418" w:type="dxa"/>
            <w:vAlign w:val="center"/>
          </w:tcPr>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pStyle w:val="5"/>
              <w:jc w:val="both"/>
              <w:rPr>
                <w:rFonts w:ascii="仿宋" w:eastAsia="仿宋"/>
                <w:highlight w:val="none"/>
                <w:lang w:val="en-US"/>
              </w:rPr>
            </w:pPr>
            <w:r>
              <w:rPr>
                <w:rFonts w:hint="eastAsia" w:ascii="仿宋" w:eastAsia="仿宋" w:cs="仿宋_GB2312"/>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highlight w:val="none"/>
              </w:rPr>
            </w:pPr>
            <w:r>
              <w:rPr>
                <w:rFonts w:ascii="仿宋" w:hAnsi="仿宋" w:eastAsia="仿宋"/>
                <w:sz w:val="24"/>
                <w:highlight w:val="none"/>
              </w:rPr>
              <w:t>3</w:t>
            </w:r>
          </w:p>
        </w:tc>
        <w:tc>
          <w:tcPr>
            <w:tcW w:w="4991" w:type="dxa"/>
            <w:vAlign w:val="center"/>
          </w:tcPr>
          <w:p>
            <w:pPr>
              <w:spacing w:line="360" w:lineRule="auto"/>
              <w:rPr>
                <w:rFonts w:ascii="仿宋" w:hAnsi="仿宋" w:eastAsia="仿宋" w:cs="仿宋_GB2312"/>
                <w:sz w:val="24"/>
                <w:highlight w:val="none"/>
              </w:rPr>
            </w:pPr>
            <w:r>
              <w:rPr>
                <w:rFonts w:hint="eastAsia" w:ascii="仿宋" w:hAnsi="仿宋" w:eastAsia="仿宋"/>
                <w:sz w:val="24"/>
                <w:highlight w:val="none"/>
              </w:rPr>
              <w:t>投标文件中承诺的投标有效期不少于招标文件中载明的投标有效期。</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投标函</w:t>
            </w:r>
          </w:p>
        </w:tc>
        <w:tc>
          <w:tcPr>
            <w:tcW w:w="1418" w:type="dxa"/>
            <w:vAlign w:val="center"/>
          </w:tcPr>
          <w:p>
            <w:pPr>
              <w:rPr>
                <w:rFonts w:ascii="仿宋" w:hAnsi="仿宋" w:eastAsia="仿宋"/>
                <w:highlight w:val="none"/>
              </w:rPr>
            </w:pPr>
            <w:r>
              <w:rPr>
                <w:rFonts w:hint="eastAsia" w:ascii="仿宋" w:hAnsi="仿宋" w:eastAsia="仿宋" w:cs="仿宋_GB2312"/>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highlight w:val="none"/>
              </w:rPr>
            </w:pPr>
            <w:r>
              <w:rPr>
                <w:rFonts w:ascii="仿宋" w:hAnsi="仿宋" w:eastAsia="仿宋"/>
                <w:sz w:val="24"/>
                <w:highlight w:val="none"/>
              </w:rPr>
              <w:t>4</w:t>
            </w:r>
          </w:p>
        </w:tc>
        <w:tc>
          <w:tcPr>
            <w:tcW w:w="4991" w:type="dxa"/>
            <w:vAlign w:val="center"/>
          </w:tcPr>
          <w:p>
            <w:pPr>
              <w:spacing w:line="360" w:lineRule="auto"/>
              <w:rPr>
                <w:rFonts w:ascii="仿宋" w:hAnsi="仿宋" w:eastAsia="仿宋"/>
                <w:sz w:val="24"/>
                <w:highlight w:val="none"/>
              </w:rPr>
            </w:pPr>
            <w:r>
              <w:rPr>
                <w:rFonts w:hint="eastAsia" w:ascii="仿宋" w:hAnsi="仿宋" w:eastAsia="仿宋"/>
                <w:sz w:val="24"/>
                <w:highlight w:val="none"/>
              </w:rPr>
              <w:t>投标文件满足招标文件的其它实质性要求。</w:t>
            </w:r>
          </w:p>
        </w:tc>
        <w:tc>
          <w:tcPr>
            <w:tcW w:w="2551" w:type="dxa"/>
            <w:vAlign w:val="center"/>
          </w:tcPr>
          <w:p>
            <w:pPr>
              <w:rPr>
                <w:rFonts w:ascii="仿宋" w:hAnsi="仿宋" w:eastAsia="仿宋"/>
                <w:sz w:val="24"/>
                <w:highlight w:val="none"/>
              </w:rPr>
            </w:pPr>
            <w:r>
              <w:rPr>
                <w:rFonts w:hint="eastAsia" w:ascii="仿宋" w:hAnsi="仿宋" w:eastAsia="仿宋" w:cs="仿宋_GB2312"/>
                <w:kern w:val="0"/>
                <w:sz w:val="24"/>
                <w:highlight w:val="none"/>
              </w:rPr>
              <w:t>招标文件其它实质性要求相应的材料（“▲”系指实质性要求条款，招标文件无其它实质性要求的，无需提供）</w:t>
            </w:r>
          </w:p>
        </w:tc>
        <w:tc>
          <w:tcPr>
            <w:tcW w:w="1418" w:type="dxa"/>
            <w:vAlign w:val="center"/>
          </w:tcPr>
          <w:p>
            <w:pPr>
              <w:rPr>
                <w:rFonts w:ascii="仿宋" w:hAnsi="仿宋" w:eastAsia="仿宋"/>
                <w:highlight w:val="none"/>
              </w:rPr>
            </w:pPr>
            <w:r>
              <w:rPr>
                <w:rFonts w:hint="eastAsia" w:ascii="仿宋" w:hAnsi="仿宋" w:eastAsia="仿宋" w:cs="仿宋_GB2312"/>
                <w:sz w:val="24"/>
                <w:highlight w:val="none"/>
              </w:rPr>
              <w:t>见投标文件第页</w:t>
            </w:r>
          </w:p>
        </w:tc>
      </w:tr>
    </w:tbl>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highlight w:val="none"/>
        </w:rPr>
      </w:pPr>
      <w:r>
        <w:rPr>
          <w:rFonts w:hint="eastAsia" w:ascii="仿宋" w:hAnsi="仿宋" w:eastAsia="仿宋" w:cs="仿宋_GB2312"/>
          <w:b/>
          <w:kern w:val="0"/>
          <w:sz w:val="32"/>
          <w:szCs w:val="32"/>
          <w:highlight w:val="none"/>
        </w:rPr>
        <w:t>五、评标标准相应的商务技术资料</w:t>
      </w:r>
    </w:p>
    <w:p>
      <w:pPr>
        <w:snapToGrid w:val="0"/>
        <w:spacing w:line="360" w:lineRule="auto"/>
        <w:jc w:val="left"/>
        <w:rPr>
          <w:rFonts w:ascii="仿宋" w:hAnsi="仿宋" w:eastAsia="仿宋" w:cs="仿宋_GB2312"/>
          <w:b/>
          <w:sz w:val="24"/>
          <w:highlight w:val="none"/>
        </w:rPr>
      </w:pPr>
      <w:r>
        <w:rPr>
          <w:rFonts w:hint="eastAsia" w:ascii="仿宋" w:hAnsi="仿宋" w:eastAsia="仿宋" w:cs="仿宋_GB2312"/>
          <w:b/>
          <w:sz w:val="24"/>
          <w:highlight w:val="none"/>
        </w:rPr>
        <w:t>（按招标文件第四部分评标办法前附表中“投标文件中评标标准相应的商务技术资料目录”提供资料）</w:t>
      </w: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b/>
                <w:bCs/>
                <w:sz w:val="24"/>
                <w:highlight w:val="none"/>
              </w:rPr>
            </w:pPr>
            <w:r>
              <w:rPr>
                <w:rFonts w:hint="eastAsia" w:ascii="仿宋" w:hAnsi="仿宋" w:eastAsia="仿宋"/>
                <w:b/>
                <w:bCs/>
                <w:sz w:val="24"/>
                <w:highlight w:val="none"/>
              </w:rPr>
              <w:t>序号</w:t>
            </w:r>
          </w:p>
        </w:tc>
        <w:tc>
          <w:tcPr>
            <w:tcW w:w="3683" w:type="dxa"/>
          </w:tcPr>
          <w:p>
            <w:pPr>
              <w:jc w:val="center"/>
              <w:rPr>
                <w:rFonts w:ascii="仿宋" w:hAnsi="仿宋" w:eastAsia="仿宋"/>
                <w:b/>
                <w:bCs/>
                <w:sz w:val="24"/>
                <w:highlight w:val="none"/>
              </w:rPr>
            </w:pPr>
            <w:r>
              <w:rPr>
                <w:rFonts w:hint="eastAsia" w:ascii="仿宋" w:hAnsi="仿宋" w:eastAsia="仿宋"/>
                <w:b/>
                <w:bCs/>
                <w:sz w:val="24"/>
                <w:highlight w:val="none"/>
              </w:rPr>
              <w:t>招标文件章节及具体内容</w:t>
            </w:r>
          </w:p>
        </w:tc>
        <w:tc>
          <w:tcPr>
            <w:tcW w:w="3546" w:type="dxa"/>
          </w:tcPr>
          <w:p>
            <w:pPr>
              <w:jc w:val="center"/>
              <w:rPr>
                <w:rFonts w:ascii="仿宋" w:hAnsi="仿宋" w:eastAsia="仿宋"/>
                <w:b/>
                <w:bCs/>
                <w:sz w:val="24"/>
                <w:highlight w:val="none"/>
              </w:rPr>
            </w:pPr>
            <w:r>
              <w:rPr>
                <w:rFonts w:hint="eastAsia" w:ascii="仿宋" w:hAnsi="仿宋" w:eastAsia="仿宋"/>
                <w:b/>
                <w:bCs/>
                <w:sz w:val="24"/>
                <w:highlight w:val="none"/>
              </w:rPr>
              <w:t>投标文件章节及具体内容</w:t>
            </w:r>
          </w:p>
        </w:tc>
        <w:tc>
          <w:tcPr>
            <w:tcW w:w="1276" w:type="dxa"/>
          </w:tcPr>
          <w:p>
            <w:pPr>
              <w:jc w:val="center"/>
              <w:rPr>
                <w:rFonts w:ascii="仿宋" w:hAnsi="仿宋" w:eastAsia="仿宋"/>
                <w:b/>
                <w:bCs/>
                <w:sz w:val="24"/>
                <w:highlight w:val="none"/>
              </w:rPr>
            </w:pPr>
            <w:r>
              <w:rPr>
                <w:rFonts w:hint="eastAsia" w:ascii="仿宋" w:hAnsi="仿宋" w:eastAsia="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_GB2312"/>
                <w:kern w:val="0"/>
                <w:sz w:val="24"/>
                <w:highlight w:val="none"/>
              </w:rPr>
            </w:pPr>
            <w:r>
              <w:rPr>
                <w:rFonts w:ascii="仿宋" w:hAnsi="仿宋" w:eastAsia="仿宋" w:cs="仿宋_GB2312"/>
                <w:kern w:val="0"/>
                <w:sz w:val="24"/>
                <w:highlight w:val="none"/>
              </w:rPr>
              <w:t>1</w:t>
            </w:r>
          </w:p>
        </w:tc>
        <w:tc>
          <w:tcPr>
            <w:tcW w:w="3683" w:type="dxa"/>
          </w:tcPr>
          <w:p>
            <w:pPr>
              <w:jc w:val="center"/>
              <w:rPr>
                <w:rFonts w:ascii="仿宋" w:hAnsi="仿宋" w:eastAsia="仿宋" w:cs="仿宋_GB2312"/>
                <w:b/>
                <w:kern w:val="0"/>
                <w:sz w:val="32"/>
                <w:szCs w:val="32"/>
                <w:highlight w:val="none"/>
              </w:rPr>
            </w:pPr>
          </w:p>
        </w:tc>
        <w:tc>
          <w:tcPr>
            <w:tcW w:w="3546" w:type="dxa"/>
          </w:tcPr>
          <w:p>
            <w:pPr>
              <w:jc w:val="center"/>
              <w:rPr>
                <w:rFonts w:ascii="仿宋" w:hAnsi="仿宋" w:eastAsia="仿宋" w:cs="仿宋_GB2312"/>
                <w:b/>
                <w:kern w:val="0"/>
                <w:sz w:val="32"/>
                <w:szCs w:val="32"/>
                <w:highlight w:val="none"/>
              </w:rPr>
            </w:pPr>
          </w:p>
        </w:tc>
        <w:tc>
          <w:tcPr>
            <w:tcW w:w="1276" w:type="dxa"/>
          </w:tcPr>
          <w:p>
            <w:pPr>
              <w:jc w:val="center"/>
              <w:rPr>
                <w:rFonts w:ascii="仿宋" w:hAnsi="仿宋" w:eastAsia="仿宋"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_GB2312"/>
                <w:kern w:val="0"/>
                <w:sz w:val="24"/>
                <w:highlight w:val="none"/>
              </w:rPr>
            </w:pPr>
            <w:r>
              <w:rPr>
                <w:rFonts w:ascii="仿宋" w:hAnsi="仿宋" w:eastAsia="仿宋" w:cs="仿宋_GB2312"/>
                <w:kern w:val="0"/>
                <w:sz w:val="24"/>
                <w:highlight w:val="none"/>
              </w:rPr>
              <w:t>2</w:t>
            </w:r>
          </w:p>
        </w:tc>
        <w:tc>
          <w:tcPr>
            <w:tcW w:w="3683" w:type="dxa"/>
          </w:tcPr>
          <w:p>
            <w:pPr>
              <w:jc w:val="center"/>
              <w:rPr>
                <w:rFonts w:ascii="仿宋" w:hAnsi="仿宋" w:eastAsia="仿宋" w:cs="仿宋_GB2312"/>
                <w:b/>
                <w:kern w:val="0"/>
                <w:sz w:val="32"/>
                <w:szCs w:val="32"/>
                <w:highlight w:val="none"/>
              </w:rPr>
            </w:pPr>
          </w:p>
        </w:tc>
        <w:tc>
          <w:tcPr>
            <w:tcW w:w="3546" w:type="dxa"/>
          </w:tcPr>
          <w:p>
            <w:pPr>
              <w:jc w:val="center"/>
              <w:rPr>
                <w:rFonts w:ascii="仿宋" w:hAnsi="仿宋" w:eastAsia="仿宋" w:cs="仿宋_GB2312"/>
                <w:b/>
                <w:kern w:val="0"/>
                <w:sz w:val="32"/>
                <w:szCs w:val="32"/>
                <w:highlight w:val="none"/>
              </w:rPr>
            </w:pPr>
          </w:p>
        </w:tc>
        <w:tc>
          <w:tcPr>
            <w:tcW w:w="1276" w:type="dxa"/>
          </w:tcPr>
          <w:p>
            <w:pPr>
              <w:jc w:val="center"/>
              <w:rPr>
                <w:rFonts w:ascii="仿宋" w:hAnsi="仿宋" w:eastAsia="仿宋"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_GB2312"/>
                <w:kern w:val="0"/>
                <w:sz w:val="24"/>
                <w:highlight w:val="none"/>
              </w:rPr>
            </w:pPr>
            <w:r>
              <w:rPr>
                <w:rFonts w:hint="eastAsia" w:ascii="仿宋" w:hAnsi="仿宋" w:eastAsia="仿宋" w:cs="仿宋_GB2312"/>
                <w:kern w:val="0"/>
                <w:sz w:val="24"/>
                <w:highlight w:val="none"/>
              </w:rPr>
              <w:t>……</w:t>
            </w:r>
          </w:p>
        </w:tc>
        <w:tc>
          <w:tcPr>
            <w:tcW w:w="3683" w:type="dxa"/>
          </w:tcPr>
          <w:p>
            <w:pPr>
              <w:jc w:val="center"/>
              <w:rPr>
                <w:rFonts w:ascii="仿宋" w:hAnsi="仿宋" w:eastAsia="仿宋" w:cs="仿宋_GB2312"/>
                <w:b/>
                <w:kern w:val="0"/>
                <w:sz w:val="32"/>
                <w:szCs w:val="32"/>
                <w:highlight w:val="none"/>
              </w:rPr>
            </w:pPr>
          </w:p>
        </w:tc>
        <w:tc>
          <w:tcPr>
            <w:tcW w:w="3546" w:type="dxa"/>
          </w:tcPr>
          <w:p>
            <w:pPr>
              <w:jc w:val="center"/>
              <w:rPr>
                <w:rFonts w:ascii="仿宋" w:hAnsi="仿宋" w:eastAsia="仿宋" w:cs="仿宋_GB2312"/>
                <w:b/>
                <w:kern w:val="0"/>
                <w:sz w:val="32"/>
                <w:szCs w:val="32"/>
                <w:highlight w:val="none"/>
              </w:rPr>
            </w:pPr>
          </w:p>
        </w:tc>
        <w:tc>
          <w:tcPr>
            <w:tcW w:w="1276" w:type="dxa"/>
          </w:tcPr>
          <w:p>
            <w:pPr>
              <w:jc w:val="center"/>
              <w:rPr>
                <w:rFonts w:ascii="仿宋" w:hAnsi="仿宋" w:eastAsia="仿宋" w:cs="仿宋_GB2312"/>
                <w:b/>
                <w:kern w:val="0"/>
                <w:sz w:val="32"/>
                <w:szCs w:val="32"/>
                <w:highlight w:val="none"/>
              </w:rPr>
            </w:pPr>
          </w:p>
        </w:tc>
      </w:tr>
    </w:tbl>
    <w:p>
      <w:pPr>
        <w:jc w:val="left"/>
        <w:rPr>
          <w:rFonts w:ascii="仿宋" w:hAnsi="仿宋" w:eastAsia="仿宋" w:cs="仿宋_GB2312"/>
          <w:kern w:val="0"/>
          <w:sz w:val="24"/>
          <w:highlight w:val="none"/>
        </w:rPr>
      </w:pPr>
      <w:r>
        <w:rPr>
          <w:rFonts w:hint="eastAsia" w:ascii="仿宋" w:hAnsi="仿宋" w:eastAsia="仿宋" w:cs="仿宋_GB2312"/>
          <w:kern w:val="0"/>
          <w:sz w:val="24"/>
          <w:highlight w:val="none"/>
        </w:rPr>
        <w:t>投标人保证：除商务技术偏离表列出的偏离外，投标人响应招标文件的全部要求</w:t>
      </w: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jc w:val="center"/>
        <w:rPr>
          <w:rFonts w:ascii="仿宋" w:hAnsi="仿宋" w:eastAsia="仿宋" w:cs="仿宋_GB2312"/>
          <w:b/>
          <w:kern w:val="0"/>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b/>
          <w:bCs/>
          <w:sz w:val="32"/>
          <w:szCs w:val="32"/>
          <w:highlight w:val="none"/>
        </w:rPr>
      </w:pPr>
    </w:p>
    <w:p>
      <w:pPr>
        <w:ind w:firstLine="2891" w:firstLineChars="900"/>
        <w:rPr>
          <w:rFonts w:ascii="仿宋" w:hAnsi="仿宋" w:eastAsia="仿宋" w:cs="仿宋_GB2312"/>
          <w:b/>
          <w:kern w:val="0"/>
          <w:sz w:val="32"/>
          <w:szCs w:val="32"/>
          <w:highlight w:val="none"/>
        </w:rPr>
      </w:pPr>
    </w:p>
    <w:p>
      <w:pPr>
        <w:ind w:firstLine="2891" w:firstLineChars="900"/>
        <w:rPr>
          <w:rFonts w:ascii="仿宋" w:hAnsi="仿宋" w:eastAsia="仿宋" w:cs="仿宋_GB2312"/>
          <w:b/>
          <w:kern w:val="0"/>
          <w:sz w:val="32"/>
          <w:szCs w:val="32"/>
          <w:highlight w:val="none"/>
        </w:rPr>
      </w:pPr>
    </w:p>
    <w:p>
      <w:pPr>
        <w:ind w:firstLine="2891" w:firstLineChars="900"/>
        <w:rPr>
          <w:rFonts w:ascii="仿宋" w:hAnsi="仿宋" w:eastAsia="仿宋" w:cs="仿宋_GB2312"/>
          <w:b/>
          <w:kern w:val="0"/>
          <w:sz w:val="32"/>
          <w:szCs w:val="32"/>
          <w:highlight w:val="none"/>
        </w:rPr>
      </w:pPr>
    </w:p>
    <w:p>
      <w:pPr>
        <w:ind w:firstLine="2891" w:firstLineChars="900"/>
        <w:rPr>
          <w:rFonts w:ascii="仿宋" w:hAnsi="仿宋" w:eastAsia="仿宋" w:cs="仿宋_GB2312"/>
          <w:b/>
          <w:kern w:val="0"/>
          <w:sz w:val="32"/>
          <w:szCs w:val="32"/>
          <w:highlight w:val="none"/>
        </w:rPr>
      </w:pPr>
    </w:p>
    <w:p>
      <w:pPr>
        <w:ind w:firstLine="2891" w:firstLineChars="900"/>
        <w:rPr>
          <w:rFonts w:ascii="仿宋" w:hAnsi="仿宋" w:eastAsia="仿宋" w:cs="仿宋_GB2312"/>
          <w:b/>
          <w:kern w:val="0"/>
          <w:sz w:val="32"/>
          <w:szCs w:val="32"/>
          <w:highlight w:val="none"/>
        </w:rPr>
      </w:pPr>
    </w:p>
    <w:p>
      <w:pPr>
        <w:ind w:firstLine="2891" w:firstLineChars="900"/>
        <w:rPr>
          <w:rFonts w:ascii="仿宋" w:hAnsi="仿宋" w:eastAsia="仿宋" w:cs="仿宋_GB2312"/>
          <w:b/>
          <w:kern w:val="0"/>
          <w:sz w:val="32"/>
          <w:szCs w:val="32"/>
          <w:highlight w:val="none"/>
        </w:rPr>
      </w:pPr>
    </w:p>
    <w:p>
      <w:pPr>
        <w:ind w:firstLine="2891" w:firstLineChars="900"/>
        <w:rPr>
          <w:rFonts w:ascii="仿宋" w:hAnsi="仿宋" w:eastAsia="仿宋" w:cs="仿宋_GB2312"/>
          <w:b/>
          <w:kern w:val="0"/>
          <w:sz w:val="32"/>
          <w:szCs w:val="32"/>
          <w:highlight w:val="none"/>
        </w:rPr>
      </w:pPr>
    </w:p>
    <w:p>
      <w:pPr>
        <w:ind w:firstLine="2891" w:firstLineChars="900"/>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p>
    <w:p>
      <w:pPr>
        <w:ind w:firstLine="1911" w:firstLineChars="595"/>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七、</w:t>
      </w:r>
      <w:r>
        <w:rPr>
          <w:rFonts w:hint="eastAsia" w:ascii="仿宋" w:hAnsi="仿宋" w:eastAsia="仿宋" w:cs="仿宋_GB2312"/>
          <w:b/>
          <w:kern w:val="0"/>
          <w:sz w:val="32"/>
          <w:szCs w:val="32"/>
          <w:highlight w:val="none"/>
          <w:lang w:val="zh-CN"/>
        </w:rPr>
        <w:t>政府采购供应商廉洁自律承诺书</w:t>
      </w:r>
    </w:p>
    <w:p>
      <w:pPr>
        <w:snapToGrid w:val="0"/>
        <w:spacing w:line="360" w:lineRule="auto"/>
        <w:rPr>
          <w:rFonts w:ascii="仿宋" w:hAnsi="仿宋" w:eastAsia="仿宋" w:cs="仿宋_GB2312"/>
          <w:sz w:val="24"/>
          <w:highlight w:val="none"/>
        </w:rPr>
      </w:pPr>
    </w:p>
    <w:p>
      <w:pPr>
        <w:snapToGrid w:val="0"/>
        <w:spacing w:line="360" w:lineRule="auto"/>
        <w:rPr>
          <w:rFonts w:ascii="仿宋" w:hAnsi="仿宋" w:eastAsia="仿宋" w:cs="仿宋_GB2312"/>
          <w:kern w:val="0"/>
          <w:sz w:val="24"/>
          <w:highlight w:val="none"/>
        </w:rPr>
      </w:pPr>
      <w:r>
        <w:rPr>
          <w:rFonts w:hint="eastAsia" w:ascii="仿宋" w:hAnsi="仿宋" w:eastAsia="仿宋" w:cs="仿宋_GB2312"/>
          <w:sz w:val="24"/>
          <w:highlight w:val="none"/>
        </w:rPr>
        <w:t>（采购人）、（采购代理机构）</w:t>
      </w:r>
      <w:r>
        <w:rPr>
          <w:rFonts w:hint="eastAsia" w:ascii="仿宋" w:hAnsi="仿宋" w:eastAsia="仿宋" w:cs="仿宋_GB2312"/>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我单位响应你</w:t>
      </w:r>
      <w:r>
        <w:rPr>
          <w:rFonts w:hint="eastAsia" w:ascii="仿宋" w:hAnsi="仿宋" w:eastAsia="仿宋" w:cs="仿宋_GB2312"/>
          <w:sz w:val="24"/>
          <w:highlight w:val="none"/>
        </w:rPr>
        <w:t>单位</w:t>
      </w:r>
      <w:r>
        <w:rPr>
          <w:rFonts w:hint="eastAsia" w:ascii="仿宋" w:hAnsi="仿宋" w:eastAsia="仿宋" w:cs="仿宋_GB2312"/>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好处；</w:t>
      </w:r>
    </w:p>
    <w:p>
      <w:pPr>
        <w:autoSpaceDE w:val="0"/>
        <w:autoSpaceDN w:val="0"/>
        <w:spacing w:line="360" w:lineRule="auto"/>
        <w:ind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六、严格遵守《</w:t>
      </w:r>
      <w:r>
        <w:rPr>
          <w:rFonts w:hint="eastAsia" w:ascii="仿宋" w:hAnsi="仿宋" w:eastAsia="仿宋"/>
          <w:sz w:val="24"/>
          <w:highlight w:val="none"/>
          <w:lang w:val="zh-CN"/>
        </w:rPr>
        <w:t>中华人民共和国</w:t>
      </w:r>
      <w:r>
        <w:rPr>
          <w:rFonts w:hint="eastAsia" w:ascii="仿宋" w:hAnsi="仿宋" w:eastAsia="仿宋" w:cs="仿宋_GB2312"/>
          <w:kern w:val="0"/>
          <w:sz w:val="24"/>
          <w:highlight w:val="none"/>
          <w:lang w:val="zh-CN"/>
        </w:rPr>
        <w:t>政府采购法》《</w:t>
      </w:r>
      <w:r>
        <w:rPr>
          <w:rFonts w:hint="eastAsia" w:ascii="仿宋" w:hAnsi="仿宋" w:eastAsia="仿宋"/>
          <w:sz w:val="24"/>
          <w:highlight w:val="none"/>
          <w:lang w:val="zh-CN"/>
        </w:rPr>
        <w:t>中华人民共和国</w:t>
      </w:r>
      <w:r>
        <w:rPr>
          <w:rFonts w:hint="eastAsia" w:ascii="仿宋" w:hAnsi="仿宋" w:eastAsia="仿宋" w:cs="仿宋_GB2312"/>
          <w:kern w:val="0"/>
          <w:sz w:val="24"/>
          <w:highlight w:val="none"/>
          <w:lang w:val="zh-CN"/>
        </w:rPr>
        <w:t>招标投标法》</w:t>
      </w:r>
      <w:r>
        <w:rPr>
          <w:rFonts w:hint="eastAsia" w:ascii="仿宋" w:hAnsi="仿宋" w:eastAsia="仿宋"/>
          <w:sz w:val="24"/>
          <w:highlight w:val="none"/>
          <w:lang w:val="zh-CN"/>
        </w:rPr>
        <w:t>《中华人民共和国民法典》</w:t>
      </w:r>
      <w:r>
        <w:rPr>
          <w:rFonts w:hint="eastAsia" w:ascii="仿宋" w:hAnsi="仿宋" w:eastAsia="仿宋" w:cs="仿宋_GB2312"/>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如违反上述承诺，你</w:t>
      </w:r>
      <w:r>
        <w:rPr>
          <w:rFonts w:hint="eastAsia" w:ascii="仿宋" w:hAnsi="仿宋" w:eastAsia="仿宋" w:cs="仿宋_GB2312"/>
          <w:sz w:val="24"/>
          <w:highlight w:val="none"/>
        </w:rPr>
        <w:t>单位</w:t>
      </w:r>
      <w:r>
        <w:rPr>
          <w:rFonts w:hint="eastAsia" w:ascii="仿宋" w:hAnsi="仿宋" w:eastAsia="仿宋" w:cs="仿宋_GB2312"/>
          <w:kern w:val="0"/>
          <w:sz w:val="24"/>
          <w:highlight w:val="none"/>
          <w:lang w:val="zh-CN"/>
        </w:rPr>
        <w:t>有权立即取消我单位投标、中标或在建项目的建设资格，有权拒绝我单位在一定时期内进入你</w:t>
      </w:r>
      <w:r>
        <w:rPr>
          <w:rFonts w:hint="eastAsia" w:ascii="仿宋" w:hAnsi="仿宋" w:eastAsia="仿宋" w:cs="仿宋_GB2312"/>
          <w:sz w:val="24"/>
          <w:highlight w:val="none"/>
        </w:rPr>
        <w:t>单位</w:t>
      </w:r>
      <w:r>
        <w:rPr>
          <w:rFonts w:hint="eastAsia" w:ascii="仿宋" w:hAnsi="仿宋" w:eastAsia="仿宋"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kern w:val="0"/>
          <w:sz w:val="24"/>
          <w:highlight w:val="none"/>
          <w:lang w:val="zh-CN"/>
        </w:rPr>
      </w:pPr>
    </w:p>
    <w:p>
      <w:pPr>
        <w:autoSpaceDE w:val="0"/>
        <w:autoSpaceDN w:val="0"/>
        <w:spacing w:line="360" w:lineRule="auto"/>
        <w:ind w:left="2"/>
        <w:jc w:val="left"/>
        <w:rPr>
          <w:rFonts w:ascii="仿宋" w:hAnsi="仿宋" w:eastAsia="仿宋" w:cs="仿宋_GB2312"/>
          <w:kern w:val="0"/>
          <w:sz w:val="24"/>
          <w:highlight w:val="none"/>
          <w:lang w:val="zh-CN"/>
        </w:rPr>
      </w:pPr>
    </w:p>
    <w:p>
      <w:pPr>
        <w:autoSpaceDE w:val="0"/>
        <w:autoSpaceDN w:val="0"/>
        <w:spacing w:line="360" w:lineRule="auto"/>
        <w:ind w:left="2"/>
        <w:jc w:val="left"/>
        <w:rPr>
          <w:rFonts w:ascii="仿宋" w:hAnsi="仿宋" w:eastAsia="仿宋" w:cs="仿宋_GB2312"/>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投标人名称（</w:t>
      </w:r>
      <w:r>
        <w:rPr>
          <w:rFonts w:hint="eastAsia" w:ascii="仿宋" w:hAnsi="仿宋" w:eastAsia="仿宋" w:cs="仿宋_GB2312"/>
          <w:sz w:val="24"/>
          <w:highlight w:val="none"/>
        </w:rPr>
        <w:t>电子签名</w:t>
      </w:r>
      <w:r>
        <w:rPr>
          <w:rFonts w:hint="eastAsia" w:ascii="仿宋" w:hAnsi="仿宋" w:eastAsia="仿宋" w:cs="仿宋_GB2312"/>
          <w:kern w:val="0"/>
          <w:sz w:val="24"/>
          <w:highlight w:val="none"/>
          <w:lang w:val="zh-CN"/>
        </w:rPr>
        <w:t>）：</w:t>
      </w:r>
    </w:p>
    <w:p>
      <w:pPr>
        <w:spacing w:line="360" w:lineRule="auto"/>
        <w:ind w:left="4620" w:leftChars="2200"/>
        <w:rPr>
          <w:rFonts w:ascii="仿宋" w:hAnsi="仿宋" w:eastAsia="仿宋"/>
          <w:sz w:val="24"/>
          <w:highlight w:val="none"/>
        </w:rPr>
      </w:pPr>
      <w:r>
        <w:rPr>
          <w:rFonts w:hint="eastAsia" w:ascii="仿宋" w:hAnsi="仿宋" w:eastAsia="仿宋" w:cs="仿宋_GB2312"/>
          <w:kern w:val="0"/>
          <w:sz w:val="24"/>
          <w:highlight w:val="none"/>
          <w:lang w:val="zh-CN"/>
        </w:rPr>
        <w:t>日期</w:t>
      </w:r>
      <w:r>
        <w:rPr>
          <w:rFonts w:hint="eastAsia" w:ascii="仿宋" w:hAnsi="仿宋" w:eastAsia="仿宋" w:cs="仿宋_GB2312"/>
          <w:kern w:val="0"/>
          <w:sz w:val="24"/>
          <w:highlight w:val="none"/>
        </w:rPr>
        <w:t>：</w:t>
      </w:r>
      <w:r>
        <w:rPr>
          <w:rFonts w:ascii="仿宋" w:hAnsi="仿宋" w:eastAsia="仿宋" w:cs="仿宋_GB2312"/>
          <w:kern w:val="0"/>
          <w:sz w:val="24"/>
          <w:highlight w:val="none"/>
          <w:lang w:val="zh-CN"/>
        </w:rPr>
        <w:t xml:space="preserve">   年   月   日</w:t>
      </w:r>
    </w:p>
    <w:p>
      <w:pPr>
        <w:spacing w:line="360" w:lineRule="auto"/>
        <w:jc w:val="center"/>
        <w:rPr>
          <w:rFonts w:ascii="仿宋" w:hAnsi="仿宋" w:eastAsia="仿宋" w:cs="仿宋_GB2312"/>
          <w:b/>
          <w:bCs/>
          <w:sz w:val="24"/>
          <w:highlight w:val="none"/>
        </w:rPr>
      </w:pPr>
    </w:p>
    <w:p>
      <w:pPr>
        <w:spacing w:line="360" w:lineRule="auto"/>
        <w:jc w:val="center"/>
        <w:rPr>
          <w:rFonts w:ascii="仿宋" w:hAnsi="仿宋" w:eastAsia="仿宋" w:cs="仿宋_GB2312"/>
          <w:b/>
          <w:bCs/>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报价文件部分</w:t>
      </w:r>
    </w:p>
    <w:p>
      <w:pPr>
        <w:spacing w:line="360" w:lineRule="auto"/>
        <w:jc w:val="center"/>
        <w:outlineLvl w:val="0"/>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pPr>
        <w:spacing w:line="360" w:lineRule="auto"/>
        <w:jc w:val="center"/>
        <w:outlineLvl w:val="0"/>
        <w:rPr>
          <w:rFonts w:ascii="仿宋" w:hAnsi="仿宋" w:eastAsia="仿宋" w:cs="仿宋_GB2312"/>
          <w:b/>
          <w:kern w:val="0"/>
          <w:sz w:val="36"/>
          <w:szCs w:val="36"/>
          <w:highlight w:val="none"/>
        </w:rPr>
      </w:pPr>
    </w:p>
    <w:p>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1）开标一览表（报价表）……</w:t>
      </w:r>
      <w:r>
        <w:rPr>
          <w:rFonts w:hint="eastAsia" w:ascii="仿宋" w:hAnsi="仿宋" w:eastAsia="仿宋" w:cs="仿宋_GB2312"/>
          <w:sz w:val="24"/>
          <w:highlight w:val="none"/>
        </w:rPr>
        <w:t>…………………………………………………（页码）</w:t>
      </w:r>
    </w:p>
    <w:p>
      <w:pPr>
        <w:spacing w:line="360" w:lineRule="auto"/>
        <w:jc w:val="center"/>
        <w:outlineLvl w:val="0"/>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2）中小企业声明函</w:t>
      </w:r>
      <w:r>
        <w:rPr>
          <w:rFonts w:hint="eastAsia" w:ascii="仿宋" w:hAnsi="仿宋" w:eastAsia="仿宋" w:cs="仿宋_GB2312"/>
          <w:sz w:val="24"/>
          <w:highlight w:val="none"/>
        </w:rPr>
        <w:t>（如果有）</w:t>
      </w:r>
      <w:r>
        <w:rPr>
          <w:rFonts w:ascii="仿宋" w:hAnsi="仿宋" w:eastAsia="仿宋" w:cs="仿宋_GB2312"/>
          <w:sz w:val="24"/>
          <w:highlight w:val="none"/>
        </w:rPr>
        <w:t>……</w:t>
      </w:r>
      <w:r>
        <w:rPr>
          <w:rFonts w:hint="eastAsia" w:ascii="仿宋" w:hAnsi="仿宋" w:eastAsia="仿宋" w:cs="仿宋_GB2312"/>
          <w:sz w:val="24"/>
          <w:highlight w:val="none"/>
        </w:rPr>
        <w:t>……………………………………………（页码）</w:t>
      </w: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snapToGrid w:val="0"/>
        <w:spacing w:line="360" w:lineRule="auto"/>
        <w:ind w:right="480"/>
        <w:jc w:val="center"/>
        <w:rPr>
          <w:rFonts w:ascii="仿宋" w:hAnsi="仿宋" w:eastAsia="仿宋" w:cs="仿宋_GB2312"/>
          <w:b/>
          <w:kern w:val="0"/>
          <w:sz w:val="32"/>
          <w:szCs w:val="32"/>
          <w:highlight w:val="none"/>
        </w:rPr>
      </w:pPr>
    </w:p>
    <w:p>
      <w:pPr>
        <w:pStyle w:val="690"/>
        <w:keepNext w:val="0"/>
        <w:pageBreakBefore w:val="0"/>
        <w:tabs>
          <w:tab w:val="clear" w:pos="720"/>
        </w:tabs>
        <w:snapToGrid w:val="0"/>
        <w:spacing w:before="120" w:after="120"/>
        <w:ind w:firstLine="643"/>
        <w:outlineLvl w:val="9"/>
        <w:rPr>
          <w:rFonts w:ascii="仿宋" w:hAnsi="仿宋" w:eastAsia="仿宋" w:cs="仿宋_GB2312"/>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_GB2312"/>
          <w:kern w:val="2"/>
          <w:sz w:val="32"/>
          <w:szCs w:val="32"/>
          <w:highlight w:val="none"/>
        </w:rPr>
      </w:pPr>
      <w:r>
        <w:rPr>
          <w:rFonts w:hint="eastAsia" w:ascii="仿宋" w:hAnsi="仿宋" w:eastAsia="仿宋" w:cs="仿宋_GB2312"/>
          <w:kern w:val="2"/>
          <w:sz w:val="32"/>
          <w:szCs w:val="32"/>
          <w:highlight w:val="none"/>
        </w:rPr>
        <w:t>一、开标一览表（报价表）</w:t>
      </w:r>
    </w:p>
    <w:p>
      <w:pPr>
        <w:snapToGrid w:val="0"/>
        <w:spacing w:line="360" w:lineRule="auto"/>
        <w:rPr>
          <w:rFonts w:ascii="仿宋" w:hAnsi="仿宋" w:eastAsia="仿宋" w:cs="仿宋_GB2312"/>
          <w:kern w:val="0"/>
          <w:sz w:val="24"/>
          <w:highlight w:val="none"/>
        </w:rPr>
      </w:pPr>
      <w:r>
        <w:rPr>
          <w:rFonts w:hint="eastAsia" w:ascii="仿宋" w:hAnsi="仿宋" w:eastAsia="仿宋" w:cs="仿宋_GB2312"/>
          <w:sz w:val="24"/>
          <w:highlight w:val="none"/>
        </w:rPr>
        <w:t>（采购人）、（采购代理机构）</w:t>
      </w:r>
      <w:r>
        <w:rPr>
          <w:rFonts w:hint="eastAsia" w:ascii="仿宋" w:hAnsi="仿宋" w:eastAsia="仿宋" w:cs="仿宋_GB2312"/>
          <w:kern w:val="0"/>
          <w:sz w:val="24"/>
          <w:highlight w:val="none"/>
          <w:lang w:val="zh-CN"/>
        </w:rPr>
        <w:t>：</w:t>
      </w:r>
    </w:p>
    <w:p>
      <w:pPr>
        <w:snapToGrid w:val="0"/>
        <w:spacing w:line="360" w:lineRule="auto"/>
        <w:ind w:firstLine="482"/>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 w:val="24"/>
          <w:highlight w:val="none"/>
        </w:rPr>
        <w:t>（项目名称）</w:t>
      </w:r>
      <w:r>
        <w:rPr>
          <w:rFonts w:hint="eastAsia" w:ascii="仿宋" w:hAnsi="仿宋" w:eastAsia="仿宋" w:cs="仿宋_GB2312"/>
          <w:kern w:val="0"/>
          <w:sz w:val="24"/>
          <w:highlight w:val="none"/>
          <w:lang w:val="zh-CN"/>
        </w:rPr>
        <w:t>【招标编号：</w:t>
      </w:r>
      <w:r>
        <w:rPr>
          <w:rFonts w:hint="eastAsia" w:ascii="仿宋" w:hAnsi="仿宋" w:eastAsia="仿宋"/>
          <w:sz w:val="24"/>
          <w:highlight w:val="none"/>
        </w:rPr>
        <w:t>（采购编号）</w:t>
      </w:r>
      <w:r>
        <w:rPr>
          <w:rFonts w:hint="eastAsia" w:ascii="仿宋" w:hAnsi="仿宋" w:eastAsia="仿宋" w:cs="仿宋_GB2312"/>
          <w:sz w:val="24"/>
          <w:highlight w:val="none"/>
        </w:rPr>
        <w:t>】的实施</w:t>
      </w:r>
      <w:r>
        <w:rPr>
          <w:rFonts w:hint="eastAsia" w:ascii="仿宋" w:hAnsi="仿宋" w:eastAsia="仿宋" w:cs="仿宋_GB2312"/>
          <w:kern w:val="0"/>
          <w:sz w:val="24"/>
          <w:highlight w:val="none"/>
          <w:lang w:val="zh-CN"/>
        </w:rPr>
        <w:t>。</w:t>
      </w:r>
    </w:p>
    <w:p>
      <w:pPr>
        <w:spacing w:line="360" w:lineRule="auto"/>
        <w:jc w:val="center"/>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开标一览表（报价表）</w:t>
      </w:r>
      <w:r>
        <w:rPr>
          <w:rFonts w:ascii="仿宋" w:hAnsi="仿宋" w:eastAsia="仿宋" w:cs="仿宋_GB2312"/>
          <w:b/>
          <w:kern w:val="0"/>
          <w:sz w:val="24"/>
          <w:highlight w:val="none"/>
          <w:lang w:val="zh-CN"/>
        </w:rPr>
        <w:t>(单位均为人民币元)</w:t>
      </w:r>
    </w:p>
    <w:tbl>
      <w:tblPr>
        <w:tblStyle w:val="62"/>
        <w:tblW w:w="5099" w:type="pct"/>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148"/>
        <w:gridCol w:w="1262"/>
        <w:gridCol w:w="1452"/>
        <w:gridCol w:w="1189"/>
        <w:gridCol w:w="1677"/>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09" w:type="pct"/>
            <w:vAlign w:val="center"/>
          </w:tcPr>
          <w:p>
            <w:pPr>
              <w:spacing w:line="360" w:lineRule="auto"/>
              <w:jc w:val="center"/>
              <w:rPr>
                <w:rFonts w:ascii="仿宋" w:hAnsi="仿宋" w:eastAsia="仿宋" w:cs="仿宋_GB2312"/>
                <w:b/>
                <w:sz w:val="24"/>
                <w:highlight w:val="none"/>
              </w:rPr>
            </w:pPr>
            <w:r>
              <w:rPr>
                <w:rFonts w:hint="eastAsia" w:ascii="仿宋" w:hAnsi="仿宋" w:eastAsia="仿宋"/>
                <w:b/>
                <w:sz w:val="24"/>
                <w:highlight w:val="none"/>
              </w:rPr>
              <w:t>序号</w:t>
            </w:r>
          </w:p>
        </w:tc>
        <w:tc>
          <w:tcPr>
            <w:tcW w:w="1133" w:type="pct"/>
            <w:vAlign w:val="center"/>
          </w:tcPr>
          <w:p>
            <w:pPr>
              <w:spacing w:line="360" w:lineRule="auto"/>
              <w:jc w:val="center"/>
              <w:rPr>
                <w:rFonts w:ascii="仿宋" w:hAnsi="仿宋" w:eastAsia="仿宋" w:cs="仿宋_GB2312"/>
                <w:b/>
                <w:sz w:val="24"/>
                <w:highlight w:val="none"/>
              </w:rPr>
            </w:pPr>
            <w:r>
              <w:rPr>
                <w:rFonts w:hint="eastAsia" w:ascii="仿宋" w:hAnsi="仿宋" w:eastAsia="仿宋"/>
                <w:b/>
                <w:sz w:val="24"/>
                <w:highlight w:val="none"/>
              </w:rPr>
              <w:t>名称</w:t>
            </w:r>
          </w:p>
        </w:tc>
        <w:tc>
          <w:tcPr>
            <w:tcW w:w="666" w:type="pct"/>
            <w:vAlign w:val="center"/>
          </w:tcPr>
          <w:p>
            <w:pPr>
              <w:spacing w:line="360" w:lineRule="auto"/>
              <w:jc w:val="center"/>
              <w:rPr>
                <w:rFonts w:ascii="仿宋" w:hAnsi="仿宋" w:eastAsia="仿宋"/>
                <w:b/>
                <w:sz w:val="24"/>
                <w:highlight w:val="none"/>
              </w:rPr>
            </w:pPr>
            <w:r>
              <w:rPr>
                <w:rFonts w:hint="eastAsia" w:ascii="仿宋" w:hAnsi="仿宋" w:eastAsia="仿宋"/>
                <w:b/>
                <w:sz w:val="24"/>
                <w:highlight w:val="none"/>
              </w:rPr>
              <w:t>最高限价</w:t>
            </w:r>
          </w:p>
        </w:tc>
        <w:tc>
          <w:tcPr>
            <w:tcW w:w="766" w:type="pct"/>
            <w:vAlign w:val="center"/>
          </w:tcPr>
          <w:p>
            <w:pPr>
              <w:spacing w:line="360" w:lineRule="auto"/>
              <w:jc w:val="center"/>
              <w:rPr>
                <w:rFonts w:ascii="仿宋" w:hAnsi="仿宋" w:eastAsia="仿宋" w:cs="仿宋_GB2312"/>
                <w:b/>
                <w:sz w:val="24"/>
                <w:highlight w:val="none"/>
              </w:rPr>
            </w:pPr>
            <w:r>
              <w:rPr>
                <w:rFonts w:hint="eastAsia" w:ascii="仿宋" w:hAnsi="仿宋" w:eastAsia="仿宋"/>
                <w:b/>
                <w:sz w:val="24"/>
                <w:highlight w:val="none"/>
              </w:rPr>
              <w:t>折扣系数</w:t>
            </w:r>
          </w:p>
        </w:tc>
        <w:tc>
          <w:tcPr>
            <w:tcW w:w="627" w:type="pct"/>
            <w:vAlign w:val="center"/>
          </w:tcPr>
          <w:p>
            <w:pPr>
              <w:spacing w:line="360" w:lineRule="auto"/>
              <w:jc w:val="center"/>
              <w:rPr>
                <w:rFonts w:ascii="仿宋" w:hAnsi="仿宋" w:eastAsia="仿宋"/>
                <w:b/>
                <w:sz w:val="24"/>
                <w:highlight w:val="none"/>
              </w:rPr>
            </w:pPr>
            <w:r>
              <w:rPr>
                <w:rFonts w:hint="eastAsia" w:ascii="仿宋" w:hAnsi="仿宋" w:eastAsia="仿宋"/>
                <w:b/>
                <w:sz w:val="24"/>
                <w:highlight w:val="none"/>
              </w:rPr>
              <w:t>单项报价</w:t>
            </w:r>
          </w:p>
        </w:tc>
        <w:tc>
          <w:tcPr>
            <w:tcW w:w="885" w:type="pct"/>
            <w:vAlign w:val="center"/>
          </w:tcPr>
          <w:p>
            <w:pPr>
              <w:spacing w:line="360" w:lineRule="auto"/>
              <w:jc w:val="center"/>
              <w:rPr>
                <w:rFonts w:ascii="仿宋" w:hAnsi="仿宋" w:eastAsia="仿宋"/>
                <w:b/>
                <w:sz w:val="24"/>
                <w:highlight w:val="none"/>
              </w:rPr>
            </w:pPr>
            <w:r>
              <w:rPr>
                <w:rFonts w:hint="eastAsia" w:ascii="仿宋" w:hAnsi="仿宋" w:eastAsia="仿宋"/>
                <w:b/>
                <w:sz w:val="24"/>
                <w:highlight w:val="none"/>
              </w:rPr>
              <w:t>总计</w:t>
            </w:r>
          </w:p>
        </w:tc>
        <w:tc>
          <w:tcPr>
            <w:tcW w:w="511" w:type="pct"/>
            <w:vAlign w:val="center"/>
          </w:tcPr>
          <w:p>
            <w:pPr>
              <w:spacing w:line="360" w:lineRule="auto"/>
              <w:jc w:val="center"/>
              <w:rPr>
                <w:rFonts w:hint="eastAsia" w:ascii="仿宋" w:hAnsi="仿宋" w:eastAsia="仿宋"/>
                <w:b/>
                <w:sz w:val="24"/>
                <w:highlight w:val="none"/>
              </w:rPr>
            </w:pPr>
            <w:r>
              <w:rPr>
                <w:rFonts w:hint="eastAsia" w:ascii="仿宋" w:hAnsi="仿宋" w:eastAsia="仿宋"/>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09" w:type="pct"/>
            <w:vAlign w:val="center"/>
          </w:tcPr>
          <w:p>
            <w:pPr>
              <w:spacing w:line="360" w:lineRule="auto"/>
              <w:jc w:val="center"/>
              <w:rPr>
                <w:rFonts w:ascii="仿宋" w:hAnsi="仿宋" w:eastAsia="仿宋" w:cs="仿宋_GB2312"/>
                <w:sz w:val="24"/>
                <w:highlight w:val="none"/>
              </w:rPr>
            </w:pPr>
            <w:r>
              <w:rPr>
                <w:rFonts w:ascii="仿宋" w:hAnsi="仿宋" w:eastAsia="仿宋" w:cs="仿宋_GB2312"/>
                <w:sz w:val="24"/>
                <w:highlight w:val="none"/>
              </w:rPr>
              <w:t>1</w:t>
            </w:r>
          </w:p>
        </w:tc>
        <w:tc>
          <w:tcPr>
            <w:tcW w:w="1133" w:type="pct"/>
            <w:vAlign w:val="center"/>
          </w:tcPr>
          <w:p>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富阳</w:t>
            </w:r>
            <w:r>
              <w:rPr>
                <w:rFonts w:hint="eastAsia" w:ascii="仿宋" w:hAnsi="仿宋" w:eastAsia="仿宋" w:cs="仿宋_GB2312"/>
                <w:sz w:val="24"/>
                <w:highlight w:val="none"/>
                <w:lang w:val="en-US" w:eastAsia="zh-CN"/>
              </w:rPr>
              <w:t>区农业农村</w:t>
            </w:r>
            <w:r>
              <w:rPr>
                <w:rFonts w:hint="eastAsia" w:ascii="仿宋" w:hAnsi="仿宋" w:eastAsia="仿宋" w:cs="仿宋_GB2312"/>
                <w:sz w:val="24"/>
                <w:highlight w:val="none"/>
              </w:rPr>
              <w:t>局</w:t>
            </w:r>
          </w:p>
        </w:tc>
        <w:tc>
          <w:tcPr>
            <w:tcW w:w="666" w:type="pct"/>
            <w:vAlign w:val="center"/>
          </w:tcPr>
          <w:p>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100万元</w:t>
            </w:r>
          </w:p>
        </w:tc>
        <w:tc>
          <w:tcPr>
            <w:tcW w:w="766" w:type="pct"/>
            <w:vMerge w:val="restart"/>
            <w:vAlign w:val="center"/>
          </w:tcPr>
          <w:p>
            <w:pPr>
              <w:snapToGrid w:val="0"/>
              <w:spacing w:line="360" w:lineRule="auto"/>
              <w:jc w:val="center"/>
              <w:rPr>
                <w:rFonts w:ascii="仿宋" w:hAnsi="仿宋" w:eastAsia="仿宋" w:cs="仿宋_GB2312"/>
                <w:sz w:val="24"/>
                <w:highlight w:val="none"/>
              </w:rPr>
            </w:pPr>
          </w:p>
        </w:tc>
        <w:tc>
          <w:tcPr>
            <w:tcW w:w="627" w:type="pct"/>
            <w:vAlign w:val="center"/>
          </w:tcPr>
          <w:p>
            <w:pPr>
              <w:snapToGrid w:val="0"/>
              <w:spacing w:line="360" w:lineRule="auto"/>
              <w:jc w:val="center"/>
              <w:rPr>
                <w:rFonts w:ascii="仿宋" w:hAnsi="仿宋" w:eastAsia="仿宋" w:cs="仿宋_GB2312"/>
                <w:sz w:val="24"/>
                <w:highlight w:val="none"/>
              </w:rPr>
            </w:pPr>
          </w:p>
        </w:tc>
        <w:tc>
          <w:tcPr>
            <w:tcW w:w="885" w:type="pct"/>
            <w:vMerge w:val="restart"/>
            <w:vAlign w:val="center"/>
          </w:tcPr>
          <w:p>
            <w:pPr>
              <w:snapToGrid w:val="0"/>
              <w:spacing w:line="360" w:lineRule="auto"/>
              <w:jc w:val="center"/>
              <w:rPr>
                <w:rFonts w:hint="eastAsia" w:ascii="仿宋" w:hAnsi="仿宋" w:eastAsia="仿宋" w:cs="仿宋_GB2312"/>
                <w:sz w:val="24"/>
                <w:highlight w:val="none"/>
                <w:lang w:eastAsia="zh-CN"/>
              </w:rPr>
            </w:pPr>
            <w:r>
              <w:rPr>
                <w:rFonts w:hint="eastAsia" w:ascii="仿宋" w:hAnsi="仿宋" w:eastAsia="仿宋" w:cs="仿宋_GB2312"/>
                <w:sz w:val="24"/>
                <w:highlight w:val="none"/>
                <w:lang w:eastAsia="zh-CN"/>
              </w:rPr>
              <w:t>大写：</w:t>
            </w:r>
          </w:p>
          <w:p>
            <w:pPr>
              <w:snapToGrid w:val="0"/>
              <w:spacing w:line="360" w:lineRule="auto"/>
              <w:jc w:val="center"/>
              <w:rPr>
                <w:rFonts w:hint="eastAsia" w:ascii="仿宋" w:hAnsi="仿宋" w:eastAsia="仿宋" w:cs="仿宋_GB2312"/>
                <w:sz w:val="24"/>
                <w:highlight w:val="none"/>
                <w:lang w:eastAsia="zh-CN"/>
              </w:rPr>
            </w:pPr>
            <w:r>
              <w:rPr>
                <w:rFonts w:hint="eastAsia" w:ascii="仿宋" w:hAnsi="仿宋" w:eastAsia="仿宋" w:cs="仿宋_GB2312"/>
                <w:sz w:val="24"/>
                <w:highlight w:val="none"/>
                <w:lang w:eastAsia="zh-CN"/>
              </w:rPr>
              <w:t>小写：</w:t>
            </w:r>
          </w:p>
        </w:tc>
        <w:tc>
          <w:tcPr>
            <w:tcW w:w="511" w:type="pct"/>
            <w:vAlign w:val="center"/>
          </w:tcPr>
          <w:p>
            <w:pPr>
              <w:snapToGrid w:val="0"/>
              <w:spacing w:line="360" w:lineRule="auto"/>
              <w:jc w:val="center"/>
              <w:rPr>
                <w:rFonts w:ascii="仿宋" w:hAnsi="仿宋" w:eastAsia="仿宋"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09" w:type="pct"/>
            <w:vAlign w:val="center"/>
          </w:tcPr>
          <w:p>
            <w:pPr>
              <w:spacing w:line="360" w:lineRule="auto"/>
              <w:jc w:val="center"/>
              <w:rPr>
                <w:rFonts w:ascii="仿宋" w:hAnsi="仿宋" w:eastAsia="仿宋" w:cs="仿宋_GB2312"/>
                <w:sz w:val="24"/>
                <w:highlight w:val="none"/>
              </w:rPr>
            </w:pPr>
            <w:r>
              <w:rPr>
                <w:rFonts w:ascii="仿宋" w:hAnsi="仿宋" w:eastAsia="仿宋" w:cs="仿宋_GB2312"/>
                <w:sz w:val="24"/>
                <w:highlight w:val="none"/>
              </w:rPr>
              <w:t>2</w:t>
            </w:r>
          </w:p>
        </w:tc>
        <w:tc>
          <w:tcPr>
            <w:tcW w:w="1133" w:type="pct"/>
            <w:vAlign w:val="center"/>
          </w:tcPr>
          <w:p>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桐庐县林</w:t>
            </w:r>
            <w:r>
              <w:rPr>
                <w:rFonts w:hint="eastAsia" w:ascii="仿宋" w:hAnsi="仿宋" w:eastAsia="仿宋" w:cs="仿宋_GB2312"/>
                <w:sz w:val="24"/>
                <w:highlight w:val="none"/>
                <w:lang w:val="en-US" w:eastAsia="zh-CN"/>
              </w:rPr>
              <w:t>水</w:t>
            </w:r>
            <w:r>
              <w:rPr>
                <w:rFonts w:hint="eastAsia" w:ascii="仿宋" w:hAnsi="仿宋" w:eastAsia="仿宋" w:cs="仿宋_GB2312"/>
                <w:sz w:val="24"/>
                <w:highlight w:val="none"/>
              </w:rPr>
              <w:t>局</w:t>
            </w:r>
          </w:p>
        </w:tc>
        <w:tc>
          <w:tcPr>
            <w:tcW w:w="666" w:type="pct"/>
            <w:vAlign w:val="center"/>
          </w:tcPr>
          <w:p>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170万元</w:t>
            </w:r>
          </w:p>
        </w:tc>
        <w:tc>
          <w:tcPr>
            <w:tcW w:w="766" w:type="pct"/>
            <w:vMerge w:val="continue"/>
            <w:vAlign w:val="center"/>
          </w:tcPr>
          <w:p>
            <w:pPr>
              <w:snapToGrid w:val="0"/>
              <w:spacing w:line="360" w:lineRule="auto"/>
              <w:jc w:val="center"/>
              <w:rPr>
                <w:rFonts w:ascii="仿宋" w:hAnsi="仿宋" w:eastAsia="仿宋" w:cs="仿宋_GB2312"/>
                <w:sz w:val="24"/>
                <w:highlight w:val="none"/>
              </w:rPr>
            </w:pPr>
          </w:p>
        </w:tc>
        <w:tc>
          <w:tcPr>
            <w:tcW w:w="627" w:type="pct"/>
            <w:vAlign w:val="center"/>
          </w:tcPr>
          <w:p>
            <w:pPr>
              <w:snapToGrid w:val="0"/>
              <w:spacing w:line="360" w:lineRule="auto"/>
              <w:jc w:val="center"/>
              <w:rPr>
                <w:rFonts w:ascii="仿宋" w:hAnsi="仿宋" w:eastAsia="仿宋" w:cs="仿宋_GB2312"/>
                <w:sz w:val="24"/>
                <w:highlight w:val="none"/>
              </w:rPr>
            </w:pPr>
          </w:p>
        </w:tc>
        <w:tc>
          <w:tcPr>
            <w:tcW w:w="885" w:type="pct"/>
            <w:vMerge w:val="continue"/>
            <w:vAlign w:val="center"/>
          </w:tcPr>
          <w:p>
            <w:pPr>
              <w:snapToGrid w:val="0"/>
              <w:spacing w:line="360" w:lineRule="auto"/>
              <w:jc w:val="center"/>
              <w:rPr>
                <w:rFonts w:ascii="仿宋" w:hAnsi="仿宋" w:eastAsia="仿宋" w:cs="仿宋_GB2312"/>
                <w:sz w:val="24"/>
                <w:highlight w:val="none"/>
              </w:rPr>
            </w:pPr>
          </w:p>
        </w:tc>
        <w:tc>
          <w:tcPr>
            <w:tcW w:w="511" w:type="pct"/>
            <w:vAlign w:val="center"/>
          </w:tcPr>
          <w:p>
            <w:pPr>
              <w:snapToGrid w:val="0"/>
              <w:spacing w:line="360" w:lineRule="auto"/>
              <w:jc w:val="center"/>
              <w:rPr>
                <w:rFonts w:ascii="仿宋" w:hAnsi="仿宋" w:eastAsia="仿宋"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09" w:type="pct"/>
            <w:vAlign w:val="center"/>
          </w:tcPr>
          <w:p>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3</w:t>
            </w:r>
          </w:p>
        </w:tc>
        <w:tc>
          <w:tcPr>
            <w:tcW w:w="1133" w:type="pct"/>
            <w:vAlign w:val="center"/>
          </w:tcPr>
          <w:p>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建德市林业局</w:t>
            </w:r>
          </w:p>
        </w:tc>
        <w:tc>
          <w:tcPr>
            <w:tcW w:w="666" w:type="pct"/>
            <w:vAlign w:val="center"/>
          </w:tcPr>
          <w:p>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150万元</w:t>
            </w:r>
          </w:p>
        </w:tc>
        <w:tc>
          <w:tcPr>
            <w:tcW w:w="766" w:type="pct"/>
            <w:vMerge w:val="continue"/>
            <w:vAlign w:val="center"/>
          </w:tcPr>
          <w:p>
            <w:pPr>
              <w:snapToGrid w:val="0"/>
              <w:spacing w:line="360" w:lineRule="auto"/>
              <w:jc w:val="center"/>
              <w:rPr>
                <w:rFonts w:ascii="仿宋" w:hAnsi="仿宋" w:eastAsia="仿宋" w:cs="仿宋_GB2312"/>
                <w:sz w:val="24"/>
                <w:highlight w:val="none"/>
              </w:rPr>
            </w:pPr>
          </w:p>
        </w:tc>
        <w:tc>
          <w:tcPr>
            <w:tcW w:w="627" w:type="pct"/>
            <w:vAlign w:val="center"/>
          </w:tcPr>
          <w:p>
            <w:pPr>
              <w:snapToGrid w:val="0"/>
              <w:spacing w:line="360" w:lineRule="auto"/>
              <w:jc w:val="center"/>
              <w:rPr>
                <w:rFonts w:ascii="仿宋" w:hAnsi="仿宋" w:eastAsia="仿宋" w:cs="仿宋_GB2312"/>
                <w:sz w:val="24"/>
                <w:highlight w:val="none"/>
              </w:rPr>
            </w:pPr>
          </w:p>
        </w:tc>
        <w:tc>
          <w:tcPr>
            <w:tcW w:w="885" w:type="pct"/>
            <w:vMerge w:val="continue"/>
            <w:vAlign w:val="center"/>
          </w:tcPr>
          <w:p>
            <w:pPr>
              <w:snapToGrid w:val="0"/>
              <w:spacing w:line="360" w:lineRule="auto"/>
              <w:jc w:val="center"/>
              <w:rPr>
                <w:rFonts w:ascii="仿宋" w:hAnsi="仿宋" w:eastAsia="仿宋" w:cs="仿宋_GB2312"/>
                <w:sz w:val="24"/>
                <w:highlight w:val="none"/>
              </w:rPr>
            </w:pPr>
          </w:p>
        </w:tc>
        <w:tc>
          <w:tcPr>
            <w:tcW w:w="511" w:type="pct"/>
            <w:vAlign w:val="center"/>
          </w:tcPr>
          <w:p>
            <w:pPr>
              <w:snapToGrid w:val="0"/>
              <w:spacing w:line="360" w:lineRule="auto"/>
              <w:jc w:val="center"/>
              <w:rPr>
                <w:rFonts w:ascii="仿宋" w:hAnsi="仿宋" w:eastAsia="仿宋"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09" w:type="pct"/>
            <w:tcBorders>
              <w:right w:val="single" w:color="000000" w:sz="4" w:space="0"/>
            </w:tcBorders>
            <w:vAlign w:val="center"/>
          </w:tcPr>
          <w:p>
            <w:pPr>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4</w:t>
            </w:r>
          </w:p>
        </w:tc>
        <w:tc>
          <w:tcPr>
            <w:tcW w:w="1133" w:type="pct"/>
            <w:tcBorders>
              <w:left w:val="single" w:color="000000" w:sz="4" w:space="0"/>
            </w:tcBorders>
            <w:vAlign w:val="center"/>
          </w:tcPr>
          <w:p>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淳安县林业局</w:t>
            </w:r>
          </w:p>
        </w:tc>
        <w:tc>
          <w:tcPr>
            <w:tcW w:w="666" w:type="pct"/>
            <w:tcBorders>
              <w:right w:val="single" w:color="000000" w:sz="4" w:space="0"/>
            </w:tcBorders>
            <w:vAlign w:val="center"/>
          </w:tcPr>
          <w:p>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350万元</w:t>
            </w:r>
          </w:p>
        </w:tc>
        <w:tc>
          <w:tcPr>
            <w:tcW w:w="766" w:type="pct"/>
            <w:vMerge w:val="continue"/>
            <w:tcBorders>
              <w:left w:val="single" w:color="000000" w:sz="4" w:space="0"/>
            </w:tcBorders>
            <w:vAlign w:val="center"/>
          </w:tcPr>
          <w:p>
            <w:pPr>
              <w:snapToGrid w:val="0"/>
              <w:spacing w:line="360" w:lineRule="auto"/>
              <w:jc w:val="center"/>
              <w:rPr>
                <w:rFonts w:ascii="仿宋" w:hAnsi="仿宋" w:eastAsia="仿宋" w:cs="仿宋_GB2312"/>
                <w:sz w:val="24"/>
                <w:highlight w:val="none"/>
              </w:rPr>
            </w:pPr>
          </w:p>
        </w:tc>
        <w:tc>
          <w:tcPr>
            <w:tcW w:w="627" w:type="pct"/>
            <w:vAlign w:val="center"/>
          </w:tcPr>
          <w:p>
            <w:pPr>
              <w:snapToGrid w:val="0"/>
              <w:spacing w:line="360" w:lineRule="auto"/>
              <w:jc w:val="center"/>
              <w:rPr>
                <w:rFonts w:ascii="仿宋" w:hAnsi="仿宋" w:eastAsia="仿宋" w:cs="仿宋_GB2312"/>
                <w:sz w:val="24"/>
                <w:highlight w:val="none"/>
              </w:rPr>
            </w:pPr>
          </w:p>
        </w:tc>
        <w:tc>
          <w:tcPr>
            <w:tcW w:w="885" w:type="pct"/>
            <w:vMerge w:val="continue"/>
            <w:vAlign w:val="center"/>
          </w:tcPr>
          <w:p>
            <w:pPr>
              <w:snapToGrid w:val="0"/>
              <w:spacing w:line="360" w:lineRule="auto"/>
              <w:jc w:val="center"/>
              <w:rPr>
                <w:rFonts w:ascii="仿宋" w:hAnsi="仿宋" w:eastAsia="仿宋" w:cs="仿宋_GB2312"/>
                <w:sz w:val="24"/>
                <w:highlight w:val="none"/>
              </w:rPr>
            </w:pPr>
          </w:p>
        </w:tc>
        <w:tc>
          <w:tcPr>
            <w:tcW w:w="511" w:type="pct"/>
            <w:vAlign w:val="center"/>
          </w:tcPr>
          <w:p>
            <w:pPr>
              <w:snapToGrid w:val="0"/>
              <w:spacing w:line="360" w:lineRule="auto"/>
              <w:jc w:val="center"/>
              <w:rPr>
                <w:rFonts w:ascii="仿宋" w:hAnsi="仿宋" w:eastAsia="仿宋" w:cs="仿宋_GB2312"/>
                <w:sz w:val="24"/>
                <w:highlight w:val="none"/>
              </w:rPr>
            </w:pPr>
          </w:p>
        </w:tc>
      </w:tr>
    </w:tbl>
    <w:p>
      <w:pPr>
        <w:snapToGrid w:val="0"/>
        <w:spacing w:line="360" w:lineRule="auto"/>
        <w:ind w:left="480"/>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注：</w:t>
      </w:r>
    </w:p>
    <w:p>
      <w:pPr>
        <w:spacing w:line="360" w:lineRule="auto"/>
        <w:ind w:left="-2" w:leftChars="-1" w:firstLine="480" w:firstLineChars="200"/>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1、投标人需按本表格式填写，不得自行更改。</w:t>
      </w:r>
    </w:p>
    <w:p>
      <w:pPr>
        <w:spacing w:line="360" w:lineRule="auto"/>
        <w:ind w:firstLine="480" w:firstLineChars="200"/>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2、有关本项目实施所涉及的一切费用均计入报价。</w:t>
      </w:r>
      <w:r>
        <w:rPr>
          <w:rFonts w:hint="eastAsia" w:ascii="仿宋" w:hAnsi="仿宋" w:eastAsia="仿宋" w:cs="仿宋_GB2312"/>
          <w:b/>
          <w:kern w:val="0"/>
          <w:sz w:val="24"/>
          <w:highlight w:val="none"/>
          <w:lang w:val="zh-CN"/>
        </w:rPr>
        <w:t>采购人将以合同形式有偿取得服务，不接受投标人给予的赠品、回扣或者与采购无关的其他商品、服务</w:t>
      </w:r>
      <w:r>
        <w:rPr>
          <w:rFonts w:hint="eastAsia" w:ascii="仿宋" w:hAnsi="仿宋" w:eastAsia="仿宋" w:cs="仿宋_GB2312"/>
          <w:kern w:val="0"/>
          <w:sz w:val="24"/>
          <w:highlight w:val="none"/>
          <w:lang w:val="zh-CN"/>
        </w:rPr>
        <w:t>，</w:t>
      </w:r>
      <w:r>
        <w:rPr>
          <w:rFonts w:hint="eastAsia" w:ascii="仿宋" w:hAnsi="仿宋" w:eastAsia="仿宋" w:cs="仿宋_GB2312"/>
          <w:b/>
          <w:kern w:val="0"/>
          <w:sz w:val="24"/>
          <w:highlight w:val="none"/>
          <w:lang w:val="zh-CN"/>
        </w:rPr>
        <w:t>不得出现“</w:t>
      </w:r>
      <w:r>
        <w:rPr>
          <w:rFonts w:ascii="仿宋" w:hAnsi="仿宋" w:eastAsia="仿宋" w:cs="仿宋_GB2312"/>
          <w:b/>
          <w:kern w:val="0"/>
          <w:sz w:val="24"/>
          <w:highlight w:val="none"/>
          <w:lang w:val="zh-CN"/>
        </w:rPr>
        <w:t>0元”“免费赠送”等形式的无偿报价</w:t>
      </w:r>
      <w:r>
        <w:rPr>
          <w:rFonts w:hint="eastAsia" w:ascii="仿宋" w:hAnsi="仿宋" w:eastAsia="仿宋" w:cs="仿宋_GB2312"/>
          <w:b/>
          <w:kern w:val="0"/>
          <w:sz w:val="24"/>
          <w:highlight w:val="none"/>
          <w:lang w:val="zh-CN"/>
        </w:rPr>
        <w:t>，</w:t>
      </w:r>
      <w:r>
        <w:rPr>
          <w:rFonts w:hint="eastAsia" w:ascii="仿宋" w:hAnsi="仿宋" w:eastAsia="仿宋" w:cs="仿宋_GB2312"/>
          <w:b/>
          <w:kern w:val="0"/>
          <w:sz w:val="24"/>
          <w:highlight w:val="none"/>
        </w:rPr>
        <w:t>否则视为</w:t>
      </w:r>
      <w:r>
        <w:rPr>
          <w:rFonts w:hint="eastAsia" w:ascii="仿宋" w:hAnsi="仿宋" w:eastAsia="仿宋"/>
          <w:b/>
          <w:sz w:val="24"/>
          <w:highlight w:val="none"/>
        </w:rPr>
        <w:t>投标文件含有采购人不能接受的附加条件的，投标无效</w:t>
      </w:r>
      <w:r>
        <w:rPr>
          <w:rFonts w:hint="eastAsia" w:ascii="仿宋" w:hAnsi="仿宋" w:eastAsia="仿宋" w:cs="仿宋_GB2312"/>
          <w:b/>
          <w:kern w:val="0"/>
          <w:sz w:val="24"/>
          <w:highlight w:val="none"/>
          <w:lang w:val="zh-CN"/>
        </w:rPr>
        <w:t>。</w:t>
      </w:r>
    </w:p>
    <w:p>
      <w:pPr>
        <w:snapToGrid w:val="0"/>
        <w:spacing w:line="360" w:lineRule="auto"/>
        <w:ind w:firstLine="480" w:firstLineChars="200"/>
        <w:jc w:val="left"/>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3、以上表格要求细分项目及</w:t>
      </w:r>
      <w:r>
        <w:rPr>
          <w:rFonts w:hint="eastAsia" w:ascii="仿宋" w:hAnsi="仿宋" w:eastAsia="仿宋" w:cs="仿宋_GB2312"/>
          <w:kern w:val="0"/>
          <w:sz w:val="24"/>
          <w:highlight w:val="none"/>
          <w:lang w:val="zh-CN"/>
        </w:rPr>
        <w:t>折扣系数</w:t>
      </w:r>
      <w:r>
        <w:rPr>
          <w:rFonts w:ascii="仿宋" w:hAnsi="仿宋" w:eastAsia="仿宋" w:cs="仿宋_GB2312"/>
          <w:kern w:val="0"/>
          <w:sz w:val="24"/>
          <w:highlight w:val="none"/>
          <w:lang w:val="zh-CN"/>
        </w:rPr>
        <w:t>，在“</w:t>
      </w:r>
      <w:r>
        <w:rPr>
          <w:rFonts w:hint="eastAsia" w:ascii="仿宋" w:hAnsi="仿宋" w:eastAsia="仿宋" w:cs="仿宋_GB2312"/>
          <w:kern w:val="0"/>
          <w:sz w:val="24"/>
          <w:highlight w:val="none"/>
          <w:lang w:val="zh-CN"/>
        </w:rPr>
        <w:t>折扣系数</w:t>
      </w:r>
      <w:r>
        <w:rPr>
          <w:rFonts w:ascii="仿宋" w:hAnsi="仿宋" w:eastAsia="仿宋" w:cs="仿宋_GB2312"/>
          <w:kern w:val="0"/>
          <w:sz w:val="24"/>
          <w:highlight w:val="none"/>
          <w:lang w:val="zh-CN"/>
        </w:rPr>
        <w:t>”一栏中，</w:t>
      </w:r>
      <w:r>
        <w:rPr>
          <w:rFonts w:hint="eastAsia" w:ascii="仿宋" w:hAnsi="仿宋" w:eastAsia="仿宋" w:cs="仿宋_GB2312"/>
          <w:kern w:val="0"/>
          <w:sz w:val="24"/>
          <w:highlight w:val="none"/>
          <w:lang w:val="zh-CN"/>
        </w:rPr>
        <w:t>填写针对甲方各主体的统一折扣系数</w:t>
      </w:r>
      <w:r>
        <w:rPr>
          <w:rFonts w:ascii="仿宋" w:hAnsi="仿宋" w:eastAsia="仿宋" w:cs="仿宋_GB2312"/>
          <w:kern w:val="0"/>
          <w:sz w:val="24"/>
          <w:highlight w:val="none"/>
          <w:lang w:val="zh-CN"/>
        </w:rPr>
        <w:t>。</w:t>
      </w:r>
    </w:p>
    <w:p>
      <w:pPr>
        <w:snapToGrid w:val="0"/>
        <w:spacing w:line="360" w:lineRule="auto"/>
        <w:ind w:firstLine="480" w:firstLineChars="200"/>
        <w:jc w:val="left"/>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4、特别提示：采购机构将对项目名称和项目编号，中标供应商名称、地址和中标金额，主要中标标的</w:t>
      </w:r>
      <w:r>
        <w:rPr>
          <w:rFonts w:hint="eastAsia" w:ascii="仿宋" w:hAnsi="仿宋" w:eastAsia="仿宋" w:cs="仿宋_GB2312"/>
          <w:kern w:val="0"/>
          <w:sz w:val="24"/>
          <w:highlight w:val="none"/>
          <w:lang w:val="zh-CN"/>
        </w:rPr>
        <w:t>的名称、数量、单价、服务要求等予以公示。</w:t>
      </w:r>
    </w:p>
    <w:p>
      <w:pPr>
        <w:snapToGrid w:val="0"/>
        <w:spacing w:line="360" w:lineRule="auto"/>
        <w:ind w:firstLine="480" w:firstLineChars="200"/>
        <w:jc w:val="left"/>
        <w:rPr>
          <w:rFonts w:ascii="仿宋" w:hAnsi="仿宋" w:eastAsia="仿宋" w:cs="仿宋_GB2312"/>
          <w:sz w:val="32"/>
          <w:szCs w:val="32"/>
          <w:highlight w:val="none"/>
        </w:rPr>
      </w:pPr>
      <w:r>
        <w:rPr>
          <w:rFonts w:ascii="仿宋" w:hAnsi="仿宋" w:eastAsia="仿宋" w:cs="仿宋_GB2312"/>
          <w:kern w:val="0"/>
          <w:sz w:val="24"/>
          <w:szCs w:val="22"/>
          <w:highlight w:val="none"/>
          <w:lang w:val="zh-CN"/>
        </w:rPr>
        <w:t>5、</w:t>
      </w:r>
      <w:r>
        <w:rPr>
          <w:rFonts w:hint="eastAsia" w:ascii="仿宋" w:hAnsi="仿宋" w:eastAsia="仿宋" w:cs="仿宋_GB2312"/>
          <w:kern w:val="0"/>
          <w:sz w:val="24"/>
          <w:highlight w:val="none"/>
          <w:lang w:val="zh-CN"/>
        </w:rPr>
        <w:t>符合招标文件中列明的可享受中小企业扶持政策的投标人，请填写中小企业声明函。注：投标人</w:t>
      </w:r>
      <w:r>
        <w:rPr>
          <w:rFonts w:ascii="仿宋" w:hAnsi="仿宋" w:eastAsia="仿宋" w:cs="仿宋_GB2312"/>
          <w:kern w:val="0"/>
          <w:sz w:val="24"/>
          <w:highlight w:val="none"/>
          <w:lang w:val="zh-CN"/>
        </w:rPr>
        <w:t>提供</w:t>
      </w:r>
      <w:r>
        <w:rPr>
          <w:rFonts w:hint="eastAsia" w:ascii="仿宋" w:hAnsi="仿宋" w:eastAsia="仿宋" w:cs="仿宋_GB2312"/>
          <w:kern w:val="0"/>
          <w:sz w:val="24"/>
          <w:highlight w:val="none"/>
          <w:lang w:val="zh-CN"/>
        </w:rPr>
        <w:t>的中小企业</w:t>
      </w:r>
      <w:r>
        <w:rPr>
          <w:rFonts w:ascii="仿宋" w:hAnsi="仿宋" w:eastAsia="仿宋" w:cs="仿宋_GB2312"/>
          <w:kern w:val="0"/>
          <w:sz w:val="24"/>
          <w:highlight w:val="none"/>
          <w:lang w:val="zh-CN"/>
        </w:rPr>
        <w:t>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仿宋" w:hAnsi="仿宋" w:eastAsia="仿宋" w:cs="仿宋_GB2312"/>
          <w:kern w:val="2"/>
          <w:sz w:val="32"/>
          <w:szCs w:val="32"/>
          <w:highlight w:val="none"/>
        </w:rPr>
        <w:sectPr>
          <w:pgSz w:w="11906" w:h="16838"/>
          <w:pgMar w:top="1247" w:right="1418" w:bottom="1276"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sz w:val="32"/>
          <w:szCs w:val="32"/>
          <w:highlight w:val="none"/>
        </w:rPr>
      </w:pPr>
      <w:r>
        <w:rPr>
          <w:rFonts w:hint="eastAsia" w:ascii="仿宋" w:hAnsi="仿宋" w:eastAsia="仿宋" w:cs="仿宋_GB2312"/>
          <w:kern w:val="2"/>
          <w:sz w:val="32"/>
          <w:szCs w:val="32"/>
          <w:highlight w:val="none"/>
        </w:rPr>
        <w:t>二、</w:t>
      </w:r>
      <w:r>
        <w:rPr>
          <w:rFonts w:hint="eastAsia" w:ascii="仿宋" w:hAnsi="仿宋" w:eastAsia="仿宋"/>
          <w:sz w:val="32"/>
          <w:szCs w:val="32"/>
          <w:highlight w:val="none"/>
        </w:rPr>
        <w:t>中小企业声明函（如果有）</w:t>
      </w:r>
    </w:p>
    <w:p>
      <w:pPr>
        <w:widowControl/>
        <w:spacing w:line="360" w:lineRule="auto"/>
        <w:ind w:firstLine="120" w:firstLineChars="50"/>
        <w:jc w:val="left"/>
        <w:rPr>
          <w:rFonts w:ascii="仿宋" w:hAnsi="仿宋" w:eastAsia="仿宋" w:cs="仿宋_GB2312"/>
          <w:b/>
          <w:sz w:val="24"/>
          <w:highlight w:val="none"/>
        </w:rPr>
      </w:pPr>
      <w:r>
        <w:rPr>
          <w:rFonts w:hint="eastAsia" w:ascii="仿宋" w:hAnsi="仿宋" w:eastAsia="仿宋" w:cs="仿宋_GB2312"/>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sz w:val="24"/>
          <w:highlight w:val="none"/>
        </w:rPr>
        <w:t>5）。</w:t>
      </w:r>
      <w:r>
        <w:rPr>
          <w:rFonts w:hint="eastAsia" w:ascii="仿宋" w:hAnsi="仿宋" w:eastAsia="仿宋" w:cs="仿宋_GB2312"/>
          <w:b/>
          <w:sz w:val="24"/>
          <w:highlight w:val="none"/>
        </w:rPr>
        <w:t>]</w:t>
      </w:r>
    </w:p>
    <w:p>
      <w:pPr>
        <w:pStyle w:val="690"/>
        <w:keepNext w:val="0"/>
        <w:pageBreakBefore w:val="0"/>
        <w:tabs>
          <w:tab w:val="clear" w:pos="720"/>
        </w:tabs>
        <w:snapToGrid w:val="0"/>
        <w:spacing w:before="120" w:after="120"/>
        <w:ind w:firstLine="643"/>
        <w:outlineLvl w:val="9"/>
        <w:rPr>
          <w:rFonts w:ascii="仿宋" w:hAnsi="仿宋" w:eastAsia="仿宋"/>
          <w:b w:val="0"/>
          <w:sz w:val="32"/>
          <w:szCs w:val="32"/>
          <w:highlight w:val="none"/>
        </w:rPr>
      </w:pPr>
    </w:p>
    <w:p>
      <w:pPr>
        <w:spacing w:line="360" w:lineRule="auto"/>
        <w:ind w:right="420" w:firstLine="3614" w:firstLineChars="1000"/>
        <w:rPr>
          <w:rFonts w:ascii="仿宋" w:hAnsi="仿宋" w:eastAsia="仿宋" w:cs="仿宋_GB2312"/>
          <w:b/>
          <w:kern w:val="0"/>
          <w:sz w:val="36"/>
          <w:szCs w:val="36"/>
          <w:highlight w:val="none"/>
        </w:rPr>
      </w:pPr>
    </w:p>
    <w:p>
      <w:pPr>
        <w:spacing w:line="360" w:lineRule="auto"/>
        <w:ind w:right="420" w:firstLine="3614" w:firstLineChars="1000"/>
        <w:rPr>
          <w:rFonts w:ascii="仿宋" w:hAnsi="仿宋" w:eastAsia="仿宋" w:cs="仿宋_GB2312"/>
          <w:b/>
          <w:kern w:val="0"/>
          <w:sz w:val="36"/>
          <w:szCs w:val="36"/>
          <w:highlight w:val="none"/>
        </w:rPr>
      </w:pPr>
    </w:p>
    <w:p>
      <w:pPr>
        <w:spacing w:line="360" w:lineRule="auto"/>
        <w:ind w:right="420" w:firstLine="3614" w:firstLineChars="1000"/>
        <w:rPr>
          <w:rFonts w:ascii="仿宋" w:hAnsi="仿宋" w:eastAsia="仿宋" w:cs="仿宋_GB2312"/>
          <w:b/>
          <w:kern w:val="0"/>
          <w:sz w:val="36"/>
          <w:szCs w:val="36"/>
          <w:highlight w:val="none"/>
        </w:rPr>
      </w:pPr>
    </w:p>
    <w:p>
      <w:pPr>
        <w:spacing w:line="360" w:lineRule="auto"/>
        <w:ind w:right="420" w:firstLine="3614" w:firstLineChars="1000"/>
        <w:rPr>
          <w:rFonts w:ascii="仿宋" w:hAnsi="仿宋" w:eastAsia="仿宋" w:cs="仿宋_GB2312"/>
          <w:b/>
          <w:kern w:val="0"/>
          <w:sz w:val="36"/>
          <w:szCs w:val="36"/>
          <w:highlight w:val="none"/>
        </w:rPr>
      </w:pPr>
    </w:p>
    <w:p>
      <w:pPr>
        <w:spacing w:line="360" w:lineRule="auto"/>
        <w:ind w:right="420" w:firstLine="3614" w:firstLineChars="1000"/>
        <w:rPr>
          <w:rFonts w:ascii="仿宋" w:hAnsi="仿宋" w:eastAsia="仿宋" w:cs="仿宋_GB2312"/>
          <w:b/>
          <w:kern w:val="0"/>
          <w:sz w:val="36"/>
          <w:szCs w:val="36"/>
          <w:highlight w:val="none"/>
        </w:rPr>
      </w:pPr>
    </w:p>
    <w:p>
      <w:pPr>
        <w:spacing w:line="360" w:lineRule="auto"/>
        <w:ind w:right="420" w:firstLine="3614" w:firstLineChars="1000"/>
        <w:rPr>
          <w:rFonts w:ascii="仿宋" w:hAnsi="仿宋" w:eastAsia="仿宋" w:cs="仿宋_GB2312"/>
          <w:b/>
          <w:kern w:val="0"/>
          <w:sz w:val="36"/>
          <w:szCs w:val="36"/>
          <w:highlight w:val="none"/>
        </w:rPr>
      </w:pPr>
    </w:p>
    <w:p>
      <w:pPr>
        <w:spacing w:line="360" w:lineRule="auto"/>
        <w:ind w:right="420" w:firstLine="3614" w:firstLineChars="1000"/>
        <w:rPr>
          <w:rFonts w:ascii="仿宋" w:hAnsi="仿宋" w:eastAsia="仿宋" w:cs="仿宋_GB2312"/>
          <w:b/>
          <w:kern w:val="0"/>
          <w:sz w:val="36"/>
          <w:szCs w:val="36"/>
          <w:highlight w:val="none"/>
        </w:rPr>
      </w:pPr>
    </w:p>
    <w:p>
      <w:pPr>
        <w:spacing w:line="360" w:lineRule="auto"/>
        <w:ind w:right="420" w:firstLine="3614" w:firstLineChars="1000"/>
        <w:rPr>
          <w:rFonts w:ascii="仿宋" w:hAnsi="仿宋" w:eastAsia="仿宋" w:cs="仿宋_GB2312"/>
          <w:b/>
          <w:kern w:val="0"/>
          <w:sz w:val="36"/>
          <w:szCs w:val="36"/>
          <w:highlight w:val="none"/>
        </w:rPr>
      </w:pPr>
    </w:p>
    <w:p>
      <w:pPr>
        <w:pStyle w:val="4"/>
        <w:keepNext w:val="0"/>
        <w:keepLines w:val="0"/>
        <w:spacing w:before="100" w:beforeAutospacing="1" w:after="100" w:afterAutospacing="1" w:line="360" w:lineRule="auto"/>
        <w:ind w:left="0" w:firstLine="0"/>
        <w:rPr>
          <w:rFonts w:ascii="仿宋" w:hAnsi="仿宋" w:eastAsia="仿宋"/>
          <w:highlight w:val="none"/>
        </w:rPr>
      </w:pPr>
      <w:bookmarkStart w:id="398" w:name="_Toc465665161"/>
    </w:p>
    <w:p>
      <w:pPr>
        <w:pStyle w:val="4"/>
        <w:keepNext w:val="0"/>
        <w:keepLines w:val="0"/>
        <w:spacing w:before="100" w:beforeAutospacing="1" w:after="100" w:afterAutospacing="1" w:line="360" w:lineRule="auto"/>
        <w:ind w:left="1293" w:firstLine="3092" w:firstLineChars="700"/>
        <w:rPr>
          <w:rFonts w:ascii="仿宋" w:hAnsi="仿宋" w:eastAsia="仿宋"/>
          <w:highlight w:val="none"/>
        </w:rPr>
      </w:pPr>
    </w:p>
    <w:p>
      <w:pPr>
        <w:pStyle w:val="4"/>
        <w:keepNext w:val="0"/>
        <w:keepLines w:val="0"/>
        <w:spacing w:before="100" w:beforeAutospacing="1" w:after="100" w:afterAutospacing="1" w:line="360" w:lineRule="auto"/>
        <w:ind w:left="1293" w:firstLine="3092" w:firstLineChars="700"/>
        <w:rPr>
          <w:rFonts w:ascii="仿宋" w:hAnsi="仿宋" w:eastAsia="仿宋"/>
          <w:highlight w:val="none"/>
        </w:rPr>
      </w:pPr>
    </w:p>
    <w:p>
      <w:pPr>
        <w:pStyle w:val="4"/>
        <w:keepNext w:val="0"/>
        <w:keepLines w:val="0"/>
        <w:spacing w:before="100" w:beforeAutospacing="1" w:after="100" w:afterAutospacing="1" w:line="360" w:lineRule="auto"/>
        <w:ind w:left="1293" w:firstLine="3092" w:firstLineChars="700"/>
        <w:rPr>
          <w:rFonts w:ascii="仿宋" w:hAnsi="仿宋" w:eastAsia="仿宋"/>
          <w:highlight w:val="none"/>
        </w:rPr>
      </w:pPr>
    </w:p>
    <w:p>
      <w:pPr>
        <w:pStyle w:val="4"/>
        <w:keepNext w:val="0"/>
        <w:keepLines w:val="0"/>
        <w:spacing w:before="100" w:beforeAutospacing="1" w:after="100" w:afterAutospacing="1" w:line="360" w:lineRule="auto"/>
        <w:ind w:left="1293" w:firstLine="3092" w:firstLineChars="700"/>
        <w:rPr>
          <w:rFonts w:ascii="仿宋" w:hAnsi="仿宋" w:eastAsia="仿宋"/>
          <w:highlight w:val="none"/>
        </w:rPr>
      </w:pPr>
    </w:p>
    <w:p>
      <w:pPr>
        <w:pStyle w:val="4"/>
        <w:keepNext w:val="0"/>
        <w:keepLines w:val="0"/>
        <w:spacing w:before="100" w:beforeAutospacing="1" w:after="100" w:afterAutospacing="1" w:line="360" w:lineRule="auto"/>
        <w:ind w:left="1293" w:firstLine="3092" w:firstLineChars="700"/>
        <w:rPr>
          <w:rFonts w:ascii="仿宋" w:hAnsi="仿宋" w:eastAsia="仿宋"/>
          <w:highlight w:val="none"/>
        </w:rPr>
      </w:pPr>
      <w:r>
        <w:rPr>
          <w:rFonts w:hint="eastAsia" w:ascii="仿宋" w:hAnsi="仿宋" w:eastAsia="仿宋"/>
          <w:highlight w:val="none"/>
        </w:rPr>
        <w:t>附件</w:t>
      </w:r>
      <w:bookmarkEnd w:id="398"/>
    </w:p>
    <w:p>
      <w:pPr>
        <w:spacing w:line="360" w:lineRule="auto"/>
        <w:rPr>
          <w:rFonts w:ascii="仿宋" w:hAnsi="仿宋" w:eastAsia="仿宋"/>
          <w:b/>
          <w:spacing w:val="6"/>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1：</w:t>
      </w:r>
    </w:p>
    <w:p>
      <w:pPr>
        <w:spacing w:line="360" w:lineRule="auto"/>
        <w:jc w:val="center"/>
        <w:rPr>
          <w:rFonts w:ascii="仿宋" w:hAnsi="仿宋" w:eastAsia="仿宋"/>
          <w:b/>
          <w:spacing w:val="6"/>
          <w:sz w:val="32"/>
          <w:szCs w:val="32"/>
          <w:highlight w:val="none"/>
        </w:rPr>
      </w:pPr>
      <w:bookmarkStart w:id="399" w:name="OLE_LINK13"/>
      <w:bookmarkStart w:id="400" w:name="OLE_LINK14"/>
      <w:r>
        <w:rPr>
          <w:rFonts w:hint="eastAsia" w:ascii="仿宋" w:hAnsi="仿宋" w:eastAsia="仿宋"/>
          <w:b/>
          <w:spacing w:val="6"/>
          <w:sz w:val="32"/>
          <w:szCs w:val="32"/>
          <w:highlight w:val="none"/>
        </w:rPr>
        <w:t>残疾人福利性单位声明函</w:t>
      </w:r>
    </w:p>
    <w:bookmarkEnd w:id="399"/>
    <w:bookmarkEnd w:id="400"/>
    <w:p>
      <w:pPr>
        <w:spacing w:line="360" w:lineRule="auto"/>
        <w:rPr>
          <w:rFonts w:ascii="仿宋" w:hAnsi="仿宋" w:eastAsia="仿宋"/>
          <w:b/>
          <w:spacing w:val="6"/>
          <w:sz w:val="30"/>
          <w:szCs w:val="30"/>
          <w:highlight w:val="none"/>
        </w:rPr>
      </w:pP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本单位郑重声明，根据《财政部民政部中国残疾人联合会关于促进残疾人就业政府采购政策的通知》（财库〔</w:t>
      </w:r>
      <w:r>
        <w:rPr>
          <w:rFonts w:ascii="仿宋" w:hAnsi="仿宋" w:eastAsia="仿宋" w:cs="仿宋_GB2312"/>
          <w:sz w:val="24"/>
          <w:highlight w:val="none"/>
        </w:rPr>
        <w:t>2017〕 141号）的规定，本单位为符合条件的残疾人福利性单位，且本单位参加______单位的______项目采购活动提供服务。</w:t>
      </w:r>
    </w:p>
    <w:p>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本单位对上述声明的真实性负责。如有虚假，将依法承担相应责任。</w:t>
      </w:r>
    </w:p>
    <w:p>
      <w:pPr>
        <w:spacing w:line="360" w:lineRule="auto"/>
        <w:ind w:firstLine="480" w:firstLineChars="200"/>
        <w:rPr>
          <w:rFonts w:ascii="仿宋" w:hAnsi="仿宋" w:eastAsia="仿宋" w:cs="仿宋_GB2312"/>
          <w:sz w:val="24"/>
          <w:highlight w:val="none"/>
        </w:rPr>
      </w:pPr>
    </w:p>
    <w:p>
      <w:pPr>
        <w:spacing w:line="360" w:lineRule="auto"/>
        <w:ind w:firstLine="480" w:firstLineChars="200"/>
        <w:rPr>
          <w:rFonts w:ascii="仿宋" w:hAnsi="仿宋" w:eastAsia="仿宋" w:cs="仿宋_GB2312"/>
          <w:sz w:val="24"/>
          <w:highlight w:val="none"/>
        </w:rPr>
      </w:pPr>
    </w:p>
    <w:p>
      <w:pPr>
        <w:tabs>
          <w:tab w:val="left" w:pos="4860"/>
        </w:tabs>
        <w:spacing w:line="360" w:lineRule="auto"/>
        <w:ind w:right="1560" w:firstLine="480" w:firstLineChars="200"/>
        <w:jc w:val="center"/>
        <w:rPr>
          <w:rFonts w:ascii="仿宋" w:hAnsi="仿宋" w:eastAsia="仿宋" w:cs="仿宋_GB2312"/>
          <w:sz w:val="24"/>
          <w:highlight w:val="none"/>
        </w:rPr>
      </w:pPr>
      <w:r>
        <w:rPr>
          <w:rFonts w:hint="eastAsia" w:ascii="仿宋" w:hAnsi="仿宋" w:eastAsia="仿宋" w:cs="仿宋_GB2312"/>
          <w:kern w:val="0"/>
          <w:sz w:val="24"/>
          <w:highlight w:val="none"/>
          <w:lang w:val="zh-CN"/>
        </w:rPr>
        <w:t>投标人名称（电子签名）</w:t>
      </w:r>
      <w:r>
        <w:rPr>
          <w:rFonts w:hint="eastAsia" w:ascii="仿宋" w:hAnsi="仿宋" w:eastAsia="仿宋" w:cs="仿宋_GB2312"/>
          <w:sz w:val="24"/>
          <w:highlight w:val="none"/>
        </w:rPr>
        <w:t>：</w:t>
      </w:r>
    </w:p>
    <w:p>
      <w:pPr>
        <w:tabs>
          <w:tab w:val="left" w:pos="4860"/>
        </w:tabs>
        <w:spacing w:line="360" w:lineRule="auto"/>
        <w:ind w:right="1560" w:firstLine="480" w:firstLineChars="200"/>
        <w:jc w:val="center"/>
        <w:rPr>
          <w:rFonts w:ascii="仿宋" w:hAnsi="仿宋" w:eastAsia="仿宋" w:cs="仿宋_GB2312"/>
          <w:sz w:val="24"/>
          <w:highlight w:val="none"/>
        </w:rPr>
      </w:pPr>
      <w:r>
        <w:rPr>
          <w:rFonts w:ascii="仿宋" w:hAnsi="仿宋" w:eastAsia="仿宋" w:cs="仿宋_GB2312"/>
          <w:sz w:val="24"/>
          <w:highlight w:val="none"/>
        </w:rPr>
        <w:t xml:space="preserve">       日  期：</w:t>
      </w:r>
    </w:p>
    <w:p>
      <w:pPr>
        <w:spacing w:line="360" w:lineRule="auto"/>
        <w:ind w:firstLine="480" w:firstLineChars="200"/>
        <w:rPr>
          <w:rFonts w:ascii="仿宋" w:hAnsi="仿宋" w:eastAsia="仿宋" w:cs="仿宋_GB2312"/>
          <w:sz w:val="24"/>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spacing w:line="360" w:lineRule="auto"/>
        <w:rPr>
          <w:rFonts w:ascii="仿宋" w:hAnsi="仿宋" w:eastAsia="仿宋" w:cs="仿宋_GB2312"/>
          <w:b/>
          <w:sz w:val="24"/>
          <w:highlight w:val="none"/>
        </w:rPr>
      </w:pPr>
    </w:p>
    <w:p>
      <w:pPr>
        <w:spacing w:line="360" w:lineRule="auto"/>
        <w:jc w:val="left"/>
        <w:rPr>
          <w:rFonts w:ascii="仿宋" w:hAnsi="仿宋" w:eastAsia="仿宋"/>
          <w:b/>
          <w:spacing w:val="6"/>
          <w:sz w:val="32"/>
          <w:szCs w:val="32"/>
          <w:highlight w:val="none"/>
        </w:rPr>
      </w:pPr>
    </w:p>
    <w:p>
      <w:pPr>
        <w:spacing w:line="360" w:lineRule="auto"/>
        <w:jc w:val="left"/>
        <w:rPr>
          <w:rFonts w:ascii="仿宋" w:hAnsi="仿宋" w:eastAsia="仿宋"/>
          <w:b/>
          <w:spacing w:val="6"/>
          <w:sz w:val="32"/>
          <w:szCs w:val="32"/>
          <w:highlight w:val="none"/>
        </w:rPr>
      </w:pPr>
    </w:p>
    <w:p>
      <w:pPr>
        <w:spacing w:line="360" w:lineRule="auto"/>
        <w:jc w:val="left"/>
        <w:rPr>
          <w:rFonts w:ascii="仿宋" w:hAnsi="仿宋" w:eastAsia="仿宋"/>
          <w:b/>
          <w:spacing w:val="6"/>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2：质疑函范本及制作说明</w:t>
      </w:r>
    </w:p>
    <w:p>
      <w:pPr>
        <w:spacing w:line="360" w:lineRule="auto"/>
        <w:jc w:val="center"/>
        <w:rPr>
          <w:rFonts w:ascii="仿宋" w:hAnsi="仿宋" w:eastAsia="仿宋"/>
          <w:b/>
          <w:spacing w:val="6"/>
          <w:sz w:val="32"/>
          <w:szCs w:val="32"/>
          <w:highlight w:val="none"/>
        </w:rPr>
      </w:pPr>
      <w:r>
        <w:rPr>
          <w:rFonts w:hint="eastAsia" w:ascii="仿宋" w:hAnsi="仿宋" w:eastAsia="仿宋"/>
          <w:b/>
          <w:spacing w:val="6"/>
          <w:sz w:val="32"/>
          <w:szCs w:val="32"/>
          <w:highlight w:val="none"/>
        </w:rPr>
        <w:t>质疑函范本</w:t>
      </w:r>
    </w:p>
    <w:p>
      <w:pPr>
        <w:snapToGrid w:val="0"/>
        <w:spacing w:before="240" w:beforeLines="100" w:line="360" w:lineRule="auto"/>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质疑供应商：</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联系人：联系电话：</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联系电话：</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二、质疑项目基本情况</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质疑项目的名称：</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质疑项目的编号：包号：</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采购人名称：</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采购文件获取日期：</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三、质疑事项具体内容</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w:t>
      </w:r>
      <w:r>
        <w:rPr>
          <w:rFonts w:ascii="仿宋" w:hAnsi="仿宋" w:eastAsia="仿宋" w:cs="仿宋"/>
          <w:sz w:val="24"/>
          <w:highlight w:val="none"/>
        </w:rPr>
        <w:t>1：</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p>
    <w:p>
      <w:pPr>
        <w:snapToGrid w:val="0"/>
        <w:spacing w:line="360" w:lineRule="auto"/>
        <w:rPr>
          <w:rFonts w:ascii="仿宋" w:hAnsi="仿宋" w:eastAsia="仿宋" w:cs="仿宋"/>
          <w:sz w:val="24"/>
          <w:highlight w:val="none"/>
        </w:rPr>
      </w:pP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p>
    <w:p>
      <w:pPr>
        <w:snapToGrid w:val="0"/>
        <w:spacing w:line="360" w:lineRule="auto"/>
        <w:rPr>
          <w:rFonts w:ascii="仿宋" w:hAnsi="仿宋" w:eastAsia="仿宋" w:cs="仿宋"/>
          <w:sz w:val="24"/>
          <w:highlight w:val="none"/>
          <w:u w:val="dotted"/>
        </w:rPr>
      </w:pP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w:t>
      </w:r>
      <w:r>
        <w:rPr>
          <w:rFonts w:ascii="仿宋" w:hAnsi="仿宋" w:eastAsia="仿宋" w:cs="仿宋"/>
          <w:sz w:val="24"/>
          <w:highlight w:val="none"/>
        </w:rPr>
        <w:t>2</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请求：</w:t>
      </w:r>
    </w:p>
    <w:p>
      <w:pPr>
        <w:spacing w:line="360" w:lineRule="auto"/>
        <w:rPr>
          <w:rFonts w:ascii="仿宋" w:hAnsi="仿宋" w:eastAsia="仿宋"/>
          <w:sz w:val="24"/>
          <w:highlight w:val="none"/>
        </w:rPr>
      </w:pPr>
      <w:r>
        <w:rPr>
          <w:rFonts w:hint="eastAsia" w:ascii="仿宋" w:hAnsi="仿宋" w:eastAsia="仿宋"/>
          <w:sz w:val="24"/>
          <w:highlight w:val="none"/>
        </w:rPr>
        <w:t>签字</w:t>
      </w:r>
      <w:r>
        <w:rPr>
          <w:rFonts w:ascii="仿宋" w:hAnsi="仿宋" w:eastAsia="仿宋"/>
          <w:sz w:val="24"/>
          <w:highlight w:val="none"/>
        </w:rPr>
        <w:t xml:space="preserve">(签章)：                   公章：                      </w:t>
      </w:r>
    </w:p>
    <w:p>
      <w:pPr>
        <w:spacing w:line="360" w:lineRule="auto"/>
        <w:rPr>
          <w:rFonts w:ascii="仿宋" w:hAnsi="仿宋" w:eastAsia="仿宋"/>
          <w:sz w:val="24"/>
          <w:highlight w:val="none"/>
        </w:rPr>
      </w:pPr>
      <w:r>
        <w:rPr>
          <w:rFonts w:hint="eastAsia" w:ascii="仿宋" w:hAnsi="仿宋" w:eastAsia="仿宋"/>
          <w:sz w:val="24"/>
          <w:highlight w:val="none"/>
        </w:rPr>
        <w:t>日期：</w:t>
      </w:r>
    </w:p>
    <w:p>
      <w:pPr>
        <w:spacing w:line="360" w:lineRule="auto"/>
        <w:jc w:val="center"/>
        <w:rPr>
          <w:rFonts w:ascii="仿宋" w:hAnsi="仿宋" w:eastAsia="仿宋" w:cs="仿宋"/>
          <w:b/>
          <w:bCs/>
          <w:sz w:val="24"/>
          <w:highlight w:val="none"/>
        </w:rPr>
      </w:pPr>
    </w:p>
    <w:p>
      <w:pPr>
        <w:spacing w:line="360" w:lineRule="auto"/>
        <w:rPr>
          <w:rFonts w:ascii="仿宋" w:hAnsi="仿宋" w:eastAsia="仿宋"/>
          <w:b/>
          <w:sz w:val="24"/>
          <w:highlight w:val="none"/>
        </w:rPr>
      </w:pPr>
    </w:p>
    <w:p>
      <w:pPr>
        <w:spacing w:line="360" w:lineRule="auto"/>
        <w:rPr>
          <w:rFonts w:ascii="仿宋" w:hAnsi="仿宋" w:eastAsia="仿宋"/>
          <w:b/>
          <w:sz w:val="24"/>
          <w:highlight w:val="none"/>
        </w:rPr>
      </w:pPr>
    </w:p>
    <w:p>
      <w:pPr>
        <w:spacing w:line="360" w:lineRule="auto"/>
        <w:rPr>
          <w:rFonts w:ascii="仿宋" w:hAnsi="仿宋" w:eastAsia="仿宋"/>
          <w:b/>
          <w:sz w:val="24"/>
          <w:highlight w:val="none"/>
        </w:rPr>
      </w:pPr>
    </w:p>
    <w:p>
      <w:pPr>
        <w:spacing w:line="360" w:lineRule="auto"/>
        <w:rPr>
          <w:rFonts w:ascii="仿宋" w:hAnsi="仿宋" w:eastAsia="仿宋"/>
          <w:b/>
          <w:sz w:val="24"/>
          <w:highlight w:val="none"/>
        </w:rPr>
      </w:pPr>
      <w:r>
        <w:rPr>
          <w:rFonts w:hint="eastAsia" w:ascii="仿宋" w:hAnsi="仿宋" w:eastAsia="仿宋"/>
          <w:b/>
          <w:sz w:val="24"/>
          <w:highlight w:val="none"/>
        </w:rPr>
        <w:t>质疑函制作说明：</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1.供应商提出质疑时，应提交质疑函和必要的证明材料。</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2.质疑供应商若委托代理人进行质疑的，</w:t>
      </w:r>
      <w:r>
        <w:rPr>
          <w:rFonts w:hint="eastAsia" w:ascii="仿宋" w:hAnsi="仿宋" w:eastAsia="仿宋"/>
          <w:sz w:val="24"/>
          <w:highlight w:val="none"/>
        </w:rPr>
        <w:t>质疑函应按要求列明“授权代表”的有关内容，并在附件中提交由质疑</w:t>
      </w:r>
      <w:r>
        <w:rPr>
          <w:rFonts w:hint="eastAsia" w:ascii="仿宋" w:hAnsi="仿宋" w:eastAsia="仿宋"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5.质疑函的质疑请求应与质疑事项相关。</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6.质疑供应商为自然人的，</w:t>
      </w:r>
      <w:r>
        <w:rPr>
          <w:rFonts w:hint="eastAsia" w:ascii="仿宋" w:hAnsi="仿宋" w:eastAsia="仿宋"/>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center"/>
        <w:rPr>
          <w:rFonts w:ascii="仿宋" w:hAnsi="仿宋" w:eastAsia="仿宋"/>
          <w:b/>
          <w:spacing w:val="6"/>
          <w:sz w:val="32"/>
          <w:szCs w:val="32"/>
          <w:highlight w:val="none"/>
        </w:rPr>
      </w:pPr>
    </w:p>
    <w:p>
      <w:pPr>
        <w:spacing w:line="360" w:lineRule="auto"/>
        <w:jc w:val="left"/>
        <w:rPr>
          <w:rFonts w:ascii="仿宋" w:hAnsi="仿宋" w:eastAsia="仿宋"/>
          <w:b/>
          <w:spacing w:val="6"/>
          <w:sz w:val="32"/>
          <w:szCs w:val="32"/>
          <w:highlight w:val="none"/>
        </w:rPr>
      </w:pPr>
    </w:p>
    <w:p>
      <w:pPr>
        <w:spacing w:line="360" w:lineRule="auto"/>
        <w:jc w:val="left"/>
        <w:rPr>
          <w:rFonts w:ascii="仿宋" w:hAnsi="仿宋" w:eastAsia="仿宋"/>
          <w:b/>
          <w:spacing w:val="6"/>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3：投诉书范本及制作说明</w:t>
      </w:r>
    </w:p>
    <w:p>
      <w:pPr>
        <w:spacing w:line="360" w:lineRule="auto"/>
        <w:jc w:val="center"/>
        <w:rPr>
          <w:rFonts w:ascii="仿宋" w:hAnsi="仿宋" w:eastAsia="仿宋"/>
          <w:b/>
          <w:sz w:val="24"/>
          <w:highlight w:val="none"/>
        </w:rPr>
      </w:pPr>
    </w:p>
    <w:p>
      <w:pPr>
        <w:spacing w:line="360" w:lineRule="auto"/>
        <w:jc w:val="center"/>
        <w:rPr>
          <w:rFonts w:ascii="仿宋" w:hAnsi="仿宋" w:eastAsia="仿宋"/>
          <w:b/>
          <w:spacing w:val="6"/>
          <w:sz w:val="32"/>
          <w:szCs w:val="32"/>
          <w:highlight w:val="none"/>
        </w:rPr>
      </w:pPr>
      <w:r>
        <w:rPr>
          <w:rFonts w:hint="eastAsia" w:ascii="仿宋" w:hAnsi="仿宋" w:eastAsia="仿宋"/>
          <w:b/>
          <w:spacing w:val="6"/>
          <w:sz w:val="32"/>
          <w:szCs w:val="32"/>
          <w:highlight w:val="none"/>
        </w:rPr>
        <w:t>投诉书范本</w:t>
      </w:r>
    </w:p>
    <w:p>
      <w:pPr>
        <w:spacing w:line="360" w:lineRule="auto"/>
        <w:rPr>
          <w:rFonts w:ascii="仿宋" w:hAnsi="仿宋" w:eastAsia="仿宋"/>
          <w:sz w:val="24"/>
          <w:highlight w:val="none"/>
        </w:rPr>
      </w:pPr>
      <w:r>
        <w:rPr>
          <w:rFonts w:hint="eastAsia" w:ascii="仿宋" w:hAnsi="仿宋" w:eastAsia="仿宋"/>
          <w:sz w:val="24"/>
          <w:highlight w:val="none"/>
        </w:rPr>
        <w:t>一、投诉相关主体基本情况</w:t>
      </w:r>
    </w:p>
    <w:p>
      <w:pPr>
        <w:spacing w:line="360" w:lineRule="auto"/>
        <w:rPr>
          <w:rFonts w:ascii="仿宋" w:hAnsi="仿宋" w:eastAsia="仿宋"/>
          <w:sz w:val="24"/>
          <w:highlight w:val="none"/>
          <w:u w:val="dotted"/>
        </w:rPr>
      </w:pPr>
      <w:r>
        <w:rPr>
          <w:rFonts w:hint="eastAsia" w:ascii="仿宋" w:hAnsi="仿宋" w:eastAsia="仿宋"/>
          <w:sz w:val="24"/>
          <w:highlight w:val="none"/>
        </w:rPr>
        <w:t>投诉人：</w:t>
      </w:r>
    </w:p>
    <w:p>
      <w:pPr>
        <w:spacing w:line="360" w:lineRule="auto"/>
        <w:rPr>
          <w:rFonts w:ascii="仿宋" w:hAnsi="仿宋" w:eastAsia="仿宋"/>
          <w:sz w:val="24"/>
          <w:highlight w:val="none"/>
          <w:u w:val="single"/>
        </w:rPr>
      </w:pPr>
      <w:r>
        <w:rPr>
          <w:rFonts w:hint="eastAsia" w:ascii="仿宋" w:hAnsi="仿宋" w:eastAsia="仿宋"/>
          <w:sz w:val="24"/>
          <w:highlight w:val="none"/>
        </w:rPr>
        <w:t>地址：邮编：</w:t>
      </w:r>
    </w:p>
    <w:p>
      <w:pPr>
        <w:tabs>
          <w:tab w:val="left" w:pos="6510"/>
        </w:tabs>
        <w:spacing w:line="360" w:lineRule="auto"/>
        <w:jc w:val="left"/>
        <w:rPr>
          <w:rFonts w:ascii="仿宋" w:hAnsi="仿宋" w:eastAsia="仿宋"/>
          <w:sz w:val="24"/>
          <w:highlight w:val="none"/>
        </w:rPr>
      </w:pPr>
      <w:r>
        <w:rPr>
          <w:rFonts w:hint="eastAsia" w:ascii="仿宋" w:hAnsi="仿宋" w:eastAsia="仿宋"/>
          <w:sz w:val="24"/>
          <w:highlight w:val="none"/>
        </w:rPr>
        <w:t>法定代表人</w:t>
      </w:r>
      <w:r>
        <w:rPr>
          <w:rFonts w:ascii="仿宋" w:hAnsi="仿宋" w:eastAsia="仿宋"/>
          <w:sz w:val="24"/>
          <w:highlight w:val="none"/>
        </w:rPr>
        <w:t>/主要负责人：</w:t>
      </w:r>
    </w:p>
    <w:p>
      <w:pPr>
        <w:tabs>
          <w:tab w:val="left" w:pos="6510"/>
        </w:tabs>
        <w:spacing w:line="360" w:lineRule="auto"/>
        <w:rPr>
          <w:rFonts w:ascii="仿宋" w:hAnsi="仿宋" w:eastAsia="仿宋"/>
          <w:sz w:val="24"/>
          <w:highlight w:val="none"/>
          <w:u w:val="dotted"/>
        </w:rPr>
      </w:pPr>
      <w:r>
        <w:rPr>
          <w:rFonts w:hint="eastAsia" w:ascii="仿宋" w:hAnsi="仿宋" w:eastAsia="仿宋"/>
          <w:sz w:val="24"/>
          <w:highlight w:val="none"/>
        </w:rPr>
        <w:t>联系电话：</w:t>
      </w:r>
    </w:p>
    <w:p>
      <w:pPr>
        <w:spacing w:line="360" w:lineRule="auto"/>
        <w:rPr>
          <w:rFonts w:ascii="仿宋" w:hAnsi="仿宋" w:eastAsia="仿宋"/>
          <w:sz w:val="24"/>
          <w:highlight w:val="none"/>
          <w:u w:val="dotted"/>
        </w:rPr>
      </w:pPr>
      <w:r>
        <w:rPr>
          <w:rFonts w:hint="eastAsia" w:ascii="仿宋" w:hAnsi="仿宋" w:eastAsia="仿宋"/>
          <w:sz w:val="24"/>
          <w:highlight w:val="none"/>
        </w:rPr>
        <w:t>授权代表：联系电话</w:t>
      </w:r>
      <w:r>
        <w:rPr>
          <w:rFonts w:hint="eastAsia" w:ascii="仿宋" w:hAnsi="仿宋" w:eastAsia="仿宋"/>
          <w:sz w:val="24"/>
          <w:highlight w:val="none"/>
          <w:u w:val="dotted"/>
        </w:rPr>
        <w:t>：</w:t>
      </w:r>
    </w:p>
    <w:p>
      <w:pPr>
        <w:spacing w:line="360" w:lineRule="auto"/>
        <w:rPr>
          <w:rFonts w:ascii="仿宋" w:hAnsi="仿宋" w:eastAsia="仿宋"/>
          <w:sz w:val="24"/>
          <w:highlight w:val="none"/>
          <w:u w:val="dotted"/>
        </w:rPr>
      </w:pPr>
      <w:r>
        <w:rPr>
          <w:rFonts w:hint="eastAsia" w:ascii="仿宋" w:hAnsi="仿宋" w:eastAsia="仿宋"/>
          <w:sz w:val="24"/>
          <w:highlight w:val="none"/>
        </w:rPr>
        <w:t>地址：邮编：</w:t>
      </w:r>
    </w:p>
    <w:p>
      <w:pPr>
        <w:spacing w:line="360" w:lineRule="auto"/>
        <w:rPr>
          <w:rFonts w:ascii="仿宋" w:hAnsi="仿宋" w:eastAsia="仿宋"/>
          <w:sz w:val="24"/>
          <w:highlight w:val="none"/>
          <w:u w:val="single"/>
        </w:rPr>
      </w:pPr>
      <w:r>
        <w:rPr>
          <w:rFonts w:hint="eastAsia" w:ascii="仿宋" w:hAnsi="仿宋" w:eastAsia="仿宋"/>
          <w:sz w:val="24"/>
          <w:highlight w:val="none"/>
        </w:rPr>
        <w:t>被投诉人</w:t>
      </w:r>
      <w:r>
        <w:rPr>
          <w:rFonts w:ascii="仿宋" w:hAnsi="仿宋" w:eastAsia="仿宋"/>
          <w:sz w:val="24"/>
          <w:highlight w:val="none"/>
        </w:rPr>
        <w:t>1：</w:t>
      </w:r>
    </w:p>
    <w:p>
      <w:pPr>
        <w:spacing w:line="360" w:lineRule="auto"/>
        <w:rPr>
          <w:rFonts w:ascii="仿宋" w:hAnsi="仿宋" w:eastAsia="仿宋"/>
          <w:sz w:val="24"/>
          <w:highlight w:val="none"/>
          <w:u w:val="single"/>
        </w:rPr>
      </w:pPr>
      <w:r>
        <w:rPr>
          <w:rFonts w:hint="eastAsia" w:ascii="仿宋" w:hAnsi="仿宋" w:eastAsia="仿宋"/>
          <w:sz w:val="24"/>
          <w:highlight w:val="none"/>
        </w:rPr>
        <w:t>地址：邮编：</w:t>
      </w:r>
    </w:p>
    <w:p>
      <w:pPr>
        <w:spacing w:line="360" w:lineRule="auto"/>
        <w:rPr>
          <w:rFonts w:ascii="仿宋" w:hAnsi="仿宋" w:eastAsia="仿宋"/>
          <w:sz w:val="24"/>
          <w:highlight w:val="none"/>
          <w:u w:val="single"/>
        </w:rPr>
      </w:pPr>
      <w:r>
        <w:rPr>
          <w:rFonts w:hint="eastAsia" w:ascii="仿宋" w:hAnsi="仿宋" w:eastAsia="仿宋"/>
          <w:sz w:val="24"/>
          <w:highlight w:val="none"/>
        </w:rPr>
        <w:t>联系人：联系电话：</w:t>
      </w:r>
    </w:p>
    <w:p>
      <w:pPr>
        <w:spacing w:line="360" w:lineRule="auto"/>
        <w:rPr>
          <w:rFonts w:ascii="仿宋" w:hAnsi="仿宋" w:eastAsia="仿宋"/>
          <w:sz w:val="24"/>
          <w:highlight w:val="none"/>
        </w:rPr>
      </w:pPr>
      <w:r>
        <w:rPr>
          <w:rFonts w:hint="eastAsia" w:ascii="仿宋" w:hAnsi="仿宋" w:eastAsia="仿宋"/>
          <w:sz w:val="24"/>
          <w:highlight w:val="none"/>
        </w:rPr>
        <w:t>被投诉人</w:t>
      </w:r>
      <w:r>
        <w:rPr>
          <w:rFonts w:ascii="仿宋" w:hAnsi="仿宋" w:eastAsia="仿宋"/>
          <w:sz w:val="24"/>
          <w:highlight w:val="none"/>
        </w:rPr>
        <w:t>2</w:t>
      </w:r>
    </w:p>
    <w:p>
      <w:pPr>
        <w:spacing w:line="360" w:lineRule="auto"/>
        <w:rPr>
          <w:rFonts w:ascii="仿宋" w:hAnsi="仿宋" w:eastAsia="仿宋"/>
          <w:sz w:val="24"/>
          <w:highlight w:val="none"/>
          <w:u w:val="dotted"/>
        </w:rPr>
      </w:pPr>
      <w:r>
        <w:rPr>
          <w:rFonts w:hint="eastAsia" w:ascii="仿宋" w:hAnsi="仿宋" w:eastAsia="仿宋"/>
          <w:sz w:val="24"/>
          <w:highlight w:val="none"/>
        </w:rPr>
        <w:t>……</w:t>
      </w:r>
    </w:p>
    <w:p>
      <w:pPr>
        <w:spacing w:line="360" w:lineRule="auto"/>
        <w:rPr>
          <w:rFonts w:ascii="仿宋" w:hAnsi="仿宋" w:eastAsia="仿宋"/>
          <w:sz w:val="24"/>
          <w:highlight w:val="none"/>
          <w:u w:val="single"/>
        </w:rPr>
      </w:pPr>
      <w:r>
        <w:rPr>
          <w:rFonts w:hint="eastAsia" w:ascii="仿宋" w:hAnsi="仿宋" w:eastAsia="仿宋"/>
          <w:sz w:val="24"/>
          <w:highlight w:val="none"/>
        </w:rPr>
        <w:t>相关供应商：</w:t>
      </w:r>
    </w:p>
    <w:p>
      <w:pPr>
        <w:spacing w:line="360" w:lineRule="auto"/>
        <w:rPr>
          <w:rFonts w:ascii="仿宋" w:hAnsi="仿宋" w:eastAsia="仿宋"/>
          <w:sz w:val="24"/>
          <w:highlight w:val="none"/>
          <w:u w:val="single"/>
        </w:rPr>
      </w:pPr>
      <w:r>
        <w:rPr>
          <w:rFonts w:hint="eastAsia" w:ascii="仿宋" w:hAnsi="仿宋" w:eastAsia="仿宋"/>
          <w:sz w:val="24"/>
          <w:highlight w:val="none"/>
        </w:rPr>
        <w:t>地址：邮编：</w:t>
      </w:r>
    </w:p>
    <w:p>
      <w:pPr>
        <w:spacing w:line="360" w:lineRule="auto"/>
        <w:rPr>
          <w:rFonts w:ascii="仿宋" w:hAnsi="仿宋" w:eastAsia="仿宋"/>
          <w:sz w:val="24"/>
          <w:highlight w:val="none"/>
          <w:u w:val="single"/>
        </w:rPr>
      </w:pPr>
      <w:r>
        <w:rPr>
          <w:rFonts w:hint="eastAsia" w:ascii="仿宋" w:hAnsi="仿宋" w:eastAsia="仿宋"/>
          <w:sz w:val="24"/>
          <w:highlight w:val="none"/>
        </w:rPr>
        <w:t>联系人：联系电话：</w:t>
      </w:r>
    </w:p>
    <w:p>
      <w:pPr>
        <w:spacing w:line="360" w:lineRule="auto"/>
        <w:rPr>
          <w:rFonts w:ascii="仿宋" w:hAnsi="仿宋" w:eastAsia="仿宋"/>
          <w:sz w:val="24"/>
          <w:highlight w:val="none"/>
        </w:rPr>
      </w:pPr>
      <w:r>
        <w:rPr>
          <w:rFonts w:hint="eastAsia" w:ascii="仿宋" w:hAnsi="仿宋" w:eastAsia="仿宋"/>
          <w:sz w:val="24"/>
          <w:highlight w:val="none"/>
        </w:rPr>
        <w:t>二、投诉项目基本情况</w:t>
      </w:r>
    </w:p>
    <w:p>
      <w:pPr>
        <w:spacing w:line="360" w:lineRule="auto"/>
        <w:rPr>
          <w:rFonts w:ascii="仿宋" w:hAnsi="仿宋" w:eastAsia="仿宋"/>
          <w:sz w:val="24"/>
          <w:highlight w:val="none"/>
          <w:u w:val="dotted"/>
        </w:rPr>
      </w:pPr>
      <w:r>
        <w:rPr>
          <w:rFonts w:hint="eastAsia" w:ascii="仿宋" w:hAnsi="仿宋" w:eastAsia="仿宋"/>
          <w:sz w:val="24"/>
          <w:highlight w:val="none"/>
        </w:rPr>
        <w:t>采购项目名称：</w:t>
      </w:r>
    </w:p>
    <w:p>
      <w:pPr>
        <w:spacing w:line="360" w:lineRule="auto"/>
        <w:rPr>
          <w:rFonts w:ascii="仿宋" w:hAnsi="仿宋" w:eastAsia="仿宋"/>
          <w:sz w:val="24"/>
          <w:highlight w:val="none"/>
          <w:u w:val="single"/>
        </w:rPr>
      </w:pPr>
      <w:r>
        <w:rPr>
          <w:rFonts w:hint="eastAsia" w:ascii="仿宋" w:hAnsi="仿宋" w:eastAsia="仿宋"/>
          <w:sz w:val="24"/>
          <w:highlight w:val="none"/>
        </w:rPr>
        <w:t>采购项目编号：包号：</w:t>
      </w:r>
    </w:p>
    <w:p>
      <w:pPr>
        <w:spacing w:line="360" w:lineRule="auto"/>
        <w:rPr>
          <w:rFonts w:ascii="仿宋" w:hAnsi="仿宋" w:eastAsia="仿宋"/>
          <w:sz w:val="24"/>
          <w:highlight w:val="none"/>
        </w:rPr>
      </w:pPr>
      <w:r>
        <w:rPr>
          <w:rFonts w:hint="eastAsia" w:ascii="仿宋" w:hAnsi="仿宋" w:eastAsia="仿宋"/>
          <w:sz w:val="24"/>
          <w:highlight w:val="none"/>
        </w:rPr>
        <w:t>采购人名称：</w:t>
      </w:r>
    </w:p>
    <w:p>
      <w:pPr>
        <w:spacing w:line="360" w:lineRule="auto"/>
        <w:rPr>
          <w:rFonts w:ascii="仿宋" w:hAnsi="仿宋" w:eastAsia="仿宋"/>
          <w:sz w:val="24"/>
          <w:highlight w:val="none"/>
          <w:u w:val="single"/>
        </w:rPr>
      </w:pPr>
      <w:r>
        <w:rPr>
          <w:rFonts w:hint="eastAsia" w:ascii="仿宋" w:hAnsi="仿宋" w:eastAsia="仿宋"/>
          <w:sz w:val="24"/>
          <w:highlight w:val="none"/>
        </w:rPr>
        <w:t>代理机构名称：</w:t>
      </w:r>
    </w:p>
    <w:p>
      <w:pPr>
        <w:spacing w:line="360" w:lineRule="auto"/>
        <w:rPr>
          <w:rFonts w:ascii="仿宋" w:hAnsi="仿宋" w:eastAsia="仿宋"/>
          <w:sz w:val="24"/>
          <w:highlight w:val="none"/>
          <w:u w:val="dotted"/>
        </w:rPr>
      </w:pPr>
      <w:r>
        <w:rPr>
          <w:rFonts w:hint="eastAsia" w:ascii="仿宋" w:hAnsi="仿宋" w:eastAsia="仿宋"/>
          <w:sz w:val="24"/>
          <w:highlight w:val="none"/>
        </w:rPr>
        <w:t>采购文件公告</w:t>
      </w:r>
      <w:r>
        <w:rPr>
          <w:rFonts w:ascii="仿宋" w:hAnsi="仿宋" w:eastAsia="仿宋"/>
          <w:sz w:val="24"/>
          <w:highlight w:val="none"/>
        </w:rPr>
        <w:t>:</w:t>
      </w:r>
      <w:r>
        <w:rPr>
          <w:rFonts w:hint="eastAsia" w:ascii="仿宋" w:hAnsi="仿宋" w:eastAsia="仿宋"/>
          <w:sz w:val="24"/>
          <w:highlight w:val="none"/>
          <w:u w:val="dotted"/>
        </w:rPr>
        <w:t>是</w:t>
      </w:r>
      <w:r>
        <w:rPr>
          <w:rFonts w:ascii="仿宋" w:hAnsi="仿宋" w:eastAsia="仿宋"/>
          <w:sz w:val="24"/>
          <w:highlight w:val="none"/>
          <w:u w:val="dotted"/>
        </w:rPr>
        <w:t xml:space="preserve">/否 </w:t>
      </w:r>
      <w:r>
        <w:rPr>
          <w:rFonts w:hint="eastAsia" w:ascii="仿宋" w:hAnsi="仿宋" w:eastAsia="仿宋"/>
          <w:sz w:val="24"/>
          <w:highlight w:val="none"/>
        </w:rPr>
        <w:t>公告期限：</w:t>
      </w:r>
    </w:p>
    <w:p>
      <w:pPr>
        <w:spacing w:line="360" w:lineRule="auto"/>
        <w:rPr>
          <w:rFonts w:ascii="仿宋" w:hAnsi="仿宋" w:eastAsia="仿宋"/>
          <w:sz w:val="24"/>
          <w:highlight w:val="none"/>
          <w:u w:val="single"/>
        </w:rPr>
      </w:pPr>
      <w:r>
        <w:rPr>
          <w:rFonts w:hint="eastAsia" w:ascii="仿宋" w:hAnsi="仿宋" w:eastAsia="仿宋"/>
          <w:sz w:val="24"/>
          <w:highlight w:val="none"/>
        </w:rPr>
        <w:t>采购结果公告</w:t>
      </w:r>
      <w:r>
        <w:rPr>
          <w:rFonts w:ascii="仿宋" w:hAnsi="仿宋" w:eastAsia="仿宋"/>
          <w:sz w:val="24"/>
          <w:highlight w:val="none"/>
        </w:rPr>
        <w:t>:</w:t>
      </w:r>
      <w:r>
        <w:rPr>
          <w:rFonts w:hint="eastAsia" w:ascii="仿宋" w:hAnsi="仿宋" w:eastAsia="仿宋"/>
          <w:sz w:val="24"/>
          <w:highlight w:val="none"/>
          <w:u w:val="dotted"/>
        </w:rPr>
        <w:t>是</w:t>
      </w:r>
      <w:r>
        <w:rPr>
          <w:rFonts w:ascii="仿宋" w:hAnsi="仿宋" w:eastAsia="仿宋"/>
          <w:sz w:val="24"/>
          <w:highlight w:val="none"/>
          <w:u w:val="dotted"/>
        </w:rPr>
        <w:t xml:space="preserve">/否 </w:t>
      </w:r>
      <w:r>
        <w:rPr>
          <w:rFonts w:hint="eastAsia" w:ascii="仿宋" w:hAnsi="仿宋" w:eastAsia="仿宋"/>
          <w:sz w:val="24"/>
          <w:highlight w:val="none"/>
        </w:rPr>
        <w:t>公告期限：</w:t>
      </w:r>
    </w:p>
    <w:p>
      <w:pPr>
        <w:spacing w:line="360" w:lineRule="auto"/>
        <w:rPr>
          <w:rFonts w:ascii="仿宋" w:hAnsi="仿宋" w:eastAsia="仿宋"/>
          <w:sz w:val="24"/>
          <w:highlight w:val="none"/>
        </w:rPr>
      </w:pPr>
      <w:r>
        <w:rPr>
          <w:rFonts w:hint="eastAsia" w:ascii="仿宋" w:hAnsi="仿宋" w:eastAsia="仿宋"/>
          <w:sz w:val="24"/>
          <w:highlight w:val="none"/>
        </w:rPr>
        <w:t>三、质疑基本情况</w:t>
      </w:r>
    </w:p>
    <w:p>
      <w:pPr>
        <w:spacing w:line="360" w:lineRule="auto"/>
        <w:ind w:firstLine="480" w:firstLineChars="200"/>
        <w:rPr>
          <w:rFonts w:ascii="仿宋" w:hAnsi="仿宋" w:eastAsia="仿宋"/>
          <w:sz w:val="24"/>
          <w:highlight w:val="none"/>
          <w:u w:val="dotted"/>
        </w:rPr>
      </w:pPr>
      <w:r>
        <w:rPr>
          <w:rFonts w:hint="eastAsia" w:ascii="仿宋" w:hAnsi="仿宋" w:eastAsia="仿宋"/>
          <w:sz w:val="24"/>
          <w:highlight w:val="none"/>
        </w:rPr>
        <w:t>投诉人于年月日</w:t>
      </w:r>
      <w:r>
        <w:rPr>
          <w:rFonts w:ascii="仿宋" w:hAnsi="仿宋" w:eastAsia="仿宋"/>
          <w:sz w:val="24"/>
          <w:highlight w:val="none"/>
        </w:rPr>
        <w:t>,向</w:t>
      </w:r>
      <w:r>
        <w:rPr>
          <w:rFonts w:hint="eastAsia" w:ascii="仿宋" w:hAnsi="仿宋" w:eastAsia="仿宋"/>
          <w:sz w:val="24"/>
          <w:highlight w:val="none"/>
        </w:rPr>
        <w:t>提出质疑，质疑事项为：</w:t>
      </w:r>
    </w:p>
    <w:p>
      <w:pPr>
        <w:spacing w:line="360" w:lineRule="auto"/>
        <w:rPr>
          <w:rFonts w:ascii="仿宋" w:hAnsi="仿宋" w:eastAsia="仿宋"/>
          <w:sz w:val="24"/>
          <w:highlight w:val="none"/>
          <w:u w:val="dotted"/>
        </w:rPr>
      </w:pPr>
    </w:p>
    <w:p>
      <w:pPr>
        <w:spacing w:line="360" w:lineRule="auto"/>
        <w:ind w:firstLine="360" w:firstLineChars="150"/>
        <w:rPr>
          <w:rFonts w:ascii="仿宋" w:hAnsi="仿宋" w:eastAsia="仿宋"/>
          <w:sz w:val="24"/>
          <w:highlight w:val="none"/>
        </w:rPr>
      </w:pPr>
      <w:r>
        <w:rPr>
          <w:rFonts w:hint="eastAsia" w:ascii="仿宋" w:hAnsi="仿宋" w:eastAsia="仿宋"/>
          <w:sz w:val="24"/>
          <w:highlight w:val="none"/>
          <w:u w:val="dotted"/>
        </w:rPr>
        <w:t>采购人</w:t>
      </w:r>
      <w:r>
        <w:rPr>
          <w:rFonts w:ascii="仿宋" w:hAnsi="仿宋" w:eastAsia="仿宋"/>
          <w:sz w:val="24"/>
          <w:highlight w:val="none"/>
          <w:u w:val="dotted"/>
        </w:rPr>
        <w:t>/代理机构</w:t>
      </w:r>
      <w:r>
        <w:rPr>
          <w:rFonts w:hint="eastAsia" w:ascii="仿宋" w:hAnsi="仿宋" w:eastAsia="仿宋"/>
          <w:sz w:val="24"/>
          <w:highlight w:val="none"/>
        </w:rPr>
        <w:t>于年月日</w:t>
      </w:r>
      <w:r>
        <w:rPr>
          <w:rFonts w:ascii="仿宋" w:hAnsi="仿宋" w:eastAsia="仿宋"/>
          <w:sz w:val="24"/>
          <w:highlight w:val="none"/>
        </w:rPr>
        <w:t>,就质疑事项</w:t>
      </w:r>
      <w:r>
        <w:rPr>
          <w:rFonts w:hint="eastAsia" w:ascii="仿宋" w:hAnsi="仿宋" w:eastAsia="仿宋"/>
          <w:sz w:val="24"/>
          <w:highlight w:val="none"/>
        </w:rPr>
        <w:t>作出了答复</w:t>
      </w:r>
      <w:r>
        <w:rPr>
          <w:rFonts w:ascii="仿宋" w:hAnsi="仿宋" w:eastAsia="仿宋"/>
          <w:sz w:val="24"/>
          <w:highlight w:val="none"/>
        </w:rPr>
        <w:t>/没有在法定期限内</w:t>
      </w:r>
      <w:r>
        <w:rPr>
          <w:rFonts w:hint="eastAsia" w:ascii="仿宋" w:hAnsi="仿宋" w:eastAsia="仿宋"/>
          <w:sz w:val="24"/>
          <w:highlight w:val="none"/>
        </w:rPr>
        <w:t>作出答复。</w:t>
      </w:r>
    </w:p>
    <w:p>
      <w:pPr>
        <w:spacing w:line="360" w:lineRule="auto"/>
        <w:rPr>
          <w:rFonts w:ascii="仿宋" w:hAnsi="仿宋" w:eastAsia="仿宋"/>
          <w:sz w:val="24"/>
          <w:highlight w:val="none"/>
        </w:rPr>
      </w:pPr>
      <w:r>
        <w:rPr>
          <w:rFonts w:hint="eastAsia" w:ascii="仿宋" w:hAnsi="仿宋" w:eastAsia="仿宋"/>
          <w:sz w:val="24"/>
          <w:highlight w:val="none"/>
        </w:rPr>
        <w:t>四、投诉事项具体内容</w:t>
      </w:r>
    </w:p>
    <w:p>
      <w:pPr>
        <w:spacing w:line="360" w:lineRule="auto"/>
        <w:rPr>
          <w:rFonts w:ascii="仿宋" w:hAnsi="仿宋" w:eastAsia="仿宋"/>
          <w:sz w:val="24"/>
          <w:highlight w:val="none"/>
          <w:u w:val="single"/>
        </w:rPr>
      </w:pPr>
      <w:r>
        <w:rPr>
          <w:rFonts w:hint="eastAsia" w:ascii="仿宋" w:hAnsi="仿宋" w:eastAsia="仿宋"/>
          <w:sz w:val="24"/>
          <w:highlight w:val="none"/>
        </w:rPr>
        <w:t>投诉事项</w:t>
      </w:r>
      <w:r>
        <w:rPr>
          <w:rFonts w:ascii="仿宋" w:hAnsi="仿宋" w:eastAsia="仿宋"/>
          <w:sz w:val="24"/>
          <w:highlight w:val="none"/>
        </w:rPr>
        <w:t xml:space="preserve"> 1：</w:t>
      </w:r>
    </w:p>
    <w:p>
      <w:pPr>
        <w:spacing w:line="360" w:lineRule="auto"/>
        <w:rPr>
          <w:rFonts w:ascii="仿宋" w:hAnsi="仿宋" w:eastAsia="仿宋"/>
          <w:sz w:val="24"/>
          <w:highlight w:val="none"/>
        </w:rPr>
      </w:pPr>
      <w:r>
        <w:rPr>
          <w:rFonts w:hint="eastAsia" w:ascii="仿宋" w:hAnsi="仿宋" w:eastAsia="仿宋"/>
          <w:sz w:val="24"/>
          <w:highlight w:val="none"/>
        </w:rPr>
        <w:t>事实依据：</w:t>
      </w:r>
    </w:p>
    <w:p>
      <w:pPr>
        <w:spacing w:line="360" w:lineRule="auto"/>
        <w:rPr>
          <w:rFonts w:ascii="仿宋" w:hAnsi="仿宋" w:eastAsia="仿宋"/>
          <w:sz w:val="24"/>
          <w:highlight w:val="none"/>
          <w:u w:val="dotted"/>
        </w:rPr>
      </w:pPr>
    </w:p>
    <w:p>
      <w:pPr>
        <w:spacing w:line="360" w:lineRule="auto"/>
        <w:rPr>
          <w:rFonts w:ascii="仿宋" w:hAnsi="仿宋" w:eastAsia="仿宋"/>
          <w:sz w:val="24"/>
          <w:highlight w:val="none"/>
          <w:u w:val="single"/>
        </w:rPr>
      </w:pPr>
      <w:r>
        <w:rPr>
          <w:rFonts w:hint="eastAsia" w:ascii="仿宋" w:hAnsi="仿宋" w:eastAsia="仿宋"/>
          <w:sz w:val="24"/>
          <w:highlight w:val="none"/>
        </w:rPr>
        <w:t>法律依据：</w:t>
      </w:r>
    </w:p>
    <w:p>
      <w:pPr>
        <w:spacing w:line="360" w:lineRule="auto"/>
        <w:rPr>
          <w:rFonts w:ascii="仿宋" w:hAnsi="仿宋" w:eastAsia="仿宋"/>
          <w:sz w:val="24"/>
          <w:highlight w:val="none"/>
          <w:u w:val="dotted"/>
        </w:rPr>
      </w:pPr>
    </w:p>
    <w:p>
      <w:pPr>
        <w:spacing w:line="360" w:lineRule="auto"/>
        <w:rPr>
          <w:rFonts w:ascii="仿宋" w:hAnsi="仿宋" w:eastAsia="仿宋"/>
          <w:sz w:val="24"/>
          <w:highlight w:val="none"/>
        </w:rPr>
      </w:pPr>
      <w:r>
        <w:rPr>
          <w:rFonts w:hint="eastAsia" w:ascii="仿宋" w:hAnsi="仿宋" w:eastAsia="仿宋"/>
          <w:sz w:val="24"/>
          <w:highlight w:val="none"/>
        </w:rPr>
        <w:t>投诉事项</w:t>
      </w:r>
      <w:r>
        <w:rPr>
          <w:rFonts w:ascii="仿宋" w:hAnsi="仿宋" w:eastAsia="仿宋"/>
          <w:sz w:val="24"/>
          <w:highlight w:val="none"/>
        </w:rPr>
        <w:t>2</w:t>
      </w:r>
    </w:p>
    <w:p>
      <w:pPr>
        <w:spacing w:line="360" w:lineRule="auto"/>
        <w:rPr>
          <w:rFonts w:ascii="仿宋" w:hAnsi="仿宋" w:eastAsia="仿宋"/>
          <w:sz w:val="24"/>
          <w:highlight w:val="none"/>
          <w:u w:val="dotted"/>
        </w:rPr>
      </w:pPr>
      <w:r>
        <w:rPr>
          <w:rFonts w:hint="eastAsia" w:ascii="仿宋" w:hAnsi="仿宋" w:eastAsia="仿宋"/>
          <w:sz w:val="24"/>
          <w:highlight w:val="none"/>
        </w:rPr>
        <w:t>……</w:t>
      </w:r>
    </w:p>
    <w:p>
      <w:pPr>
        <w:spacing w:line="360" w:lineRule="auto"/>
        <w:rPr>
          <w:rFonts w:ascii="仿宋" w:hAnsi="仿宋" w:eastAsia="仿宋"/>
          <w:sz w:val="24"/>
          <w:highlight w:val="none"/>
        </w:rPr>
      </w:pPr>
      <w:r>
        <w:rPr>
          <w:rFonts w:hint="eastAsia" w:ascii="仿宋" w:hAnsi="仿宋" w:eastAsia="仿宋"/>
          <w:sz w:val="24"/>
          <w:highlight w:val="none"/>
        </w:rPr>
        <w:t>五、与投诉事项相关的投诉请求</w:t>
      </w:r>
    </w:p>
    <w:p>
      <w:pPr>
        <w:spacing w:line="360" w:lineRule="auto"/>
        <w:rPr>
          <w:rFonts w:ascii="仿宋" w:hAnsi="仿宋" w:eastAsia="仿宋"/>
          <w:sz w:val="24"/>
          <w:highlight w:val="none"/>
        </w:rPr>
      </w:pPr>
      <w:r>
        <w:rPr>
          <w:rFonts w:hint="eastAsia" w:ascii="仿宋" w:hAnsi="仿宋" w:eastAsia="仿宋"/>
          <w:sz w:val="24"/>
          <w:highlight w:val="none"/>
        </w:rPr>
        <w:t>请求：</w:t>
      </w:r>
    </w:p>
    <w:p>
      <w:pPr>
        <w:spacing w:line="360" w:lineRule="auto"/>
        <w:rPr>
          <w:rFonts w:ascii="仿宋" w:hAnsi="仿宋" w:eastAsia="仿宋"/>
          <w:sz w:val="24"/>
          <w:highlight w:val="none"/>
          <w:u w:val="single"/>
        </w:rPr>
      </w:pPr>
    </w:p>
    <w:p>
      <w:pPr>
        <w:spacing w:line="360" w:lineRule="auto"/>
        <w:rPr>
          <w:rFonts w:ascii="仿宋" w:hAnsi="仿宋" w:eastAsia="仿宋"/>
          <w:sz w:val="24"/>
          <w:highlight w:val="none"/>
        </w:rPr>
      </w:pPr>
      <w:r>
        <w:rPr>
          <w:rFonts w:hint="eastAsia" w:ascii="仿宋" w:hAnsi="仿宋" w:eastAsia="仿宋"/>
          <w:sz w:val="24"/>
          <w:highlight w:val="none"/>
        </w:rPr>
        <w:t>签字</w:t>
      </w:r>
      <w:r>
        <w:rPr>
          <w:rFonts w:ascii="仿宋" w:hAnsi="仿宋" w:eastAsia="仿宋"/>
          <w:sz w:val="24"/>
          <w:highlight w:val="none"/>
        </w:rPr>
        <w:t xml:space="preserve">(签章)：                   公章：                      </w:t>
      </w:r>
    </w:p>
    <w:p>
      <w:pPr>
        <w:spacing w:line="360" w:lineRule="auto"/>
        <w:rPr>
          <w:rFonts w:ascii="仿宋" w:hAnsi="仿宋" w:eastAsia="仿宋"/>
          <w:sz w:val="24"/>
          <w:highlight w:val="none"/>
        </w:rPr>
      </w:pPr>
      <w:r>
        <w:rPr>
          <w:rFonts w:hint="eastAsia" w:ascii="仿宋" w:hAnsi="仿宋" w:eastAsia="仿宋"/>
          <w:sz w:val="24"/>
          <w:highlight w:val="none"/>
        </w:rPr>
        <w:t>日期：</w:t>
      </w:r>
    </w:p>
    <w:p>
      <w:pPr>
        <w:spacing w:line="360" w:lineRule="auto"/>
        <w:rPr>
          <w:rFonts w:ascii="仿宋" w:hAnsi="仿宋" w:eastAsia="仿宋"/>
          <w:b/>
          <w:sz w:val="24"/>
          <w:highlight w:val="none"/>
        </w:rPr>
      </w:pPr>
    </w:p>
    <w:p>
      <w:pPr>
        <w:spacing w:line="360" w:lineRule="auto"/>
        <w:rPr>
          <w:rFonts w:ascii="仿宋" w:hAnsi="仿宋" w:eastAsia="仿宋"/>
          <w:b/>
          <w:sz w:val="24"/>
          <w:highlight w:val="none"/>
        </w:rPr>
      </w:pPr>
    </w:p>
    <w:p>
      <w:pPr>
        <w:spacing w:line="360" w:lineRule="auto"/>
        <w:rPr>
          <w:rFonts w:ascii="仿宋" w:hAnsi="仿宋" w:eastAsia="仿宋"/>
          <w:b/>
          <w:sz w:val="24"/>
          <w:highlight w:val="none"/>
        </w:rPr>
      </w:pPr>
      <w:r>
        <w:rPr>
          <w:rFonts w:hint="eastAsia" w:ascii="仿宋" w:hAnsi="仿宋" w:eastAsia="仿宋"/>
          <w:b/>
          <w:sz w:val="24"/>
          <w:highlight w:val="none"/>
        </w:rPr>
        <w:t>投诉书制作说明：</w:t>
      </w:r>
    </w:p>
    <w:p>
      <w:pPr>
        <w:widowControl/>
        <w:spacing w:line="360" w:lineRule="auto"/>
        <w:ind w:firstLine="480" w:firstLineChars="200"/>
        <w:rPr>
          <w:rFonts w:ascii="仿宋" w:hAnsi="仿宋" w:eastAsia="仿宋" w:cs="宋体"/>
          <w:kern w:val="0"/>
          <w:sz w:val="24"/>
          <w:highlight w:val="none"/>
        </w:rPr>
      </w:pPr>
      <w:r>
        <w:rPr>
          <w:rFonts w:ascii="仿宋" w:hAnsi="仿宋" w:eastAsia="仿宋"/>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sz w:val="24"/>
          <w:highlight w:val="none"/>
        </w:rPr>
        <w:t>2.投诉人若委托代理人进行投诉的，投诉书应按照要求列明“授权代表”的有关内容，并在附件中提交由</w:t>
      </w:r>
      <w:r>
        <w:rPr>
          <w:rFonts w:hint="eastAsia" w:ascii="仿宋" w:hAnsi="仿宋" w:eastAsia="仿宋"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sz w:val="24"/>
          <w:highlight w:val="none"/>
        </w:rPr>
      </w:pPr>
      <w:r>
        <w:rPr>
          <w:rFonts w:ascii="仿宋" w:hAnsi="仿宋" w:eastAsia="仿宋"/>
          <w:sz w:val="24"/>
          <w:highlight w:val="none"/>
        </w:rPr>
        <w:t>6.投诉书的投诉请求应与投诉事项相关。</w:t>
      </w:r>
    </w:p>
    <w:p>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sz w:val="24"/>
          <w:highlight w:val="none"/>
        </w:rPr>
      </w:pPr>
    </w:p>
    <w:p>
      <w:pPr>
        <w:autoSpaceDE w:val="0"/>
        <w:autoSpaceDN w:val="0"/>
        <w:jc w:val="center"/>
        <w:rPr>
          <w:rFonts w:ascii="仿宋" w:hAnsi="仿宋" w:eastAsia="仿宋"/>
          <w:b/>
          <w:spacing w:val="6"/>
          <w:sz w:val="32"/>
          <w:szCs w:val="32"/>
          <w:highlight w:val="none"/>
        </w:rPr>
      </w:pPr>
    </w:p>
    <w:p>
      <w:pPr>
        <w:pStyle w:val="5"/>
        <w:rPr>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pPr>
        <w:spacing w:line="360" w:lineRule="auto"/>
        <w:rPr>
          <w:rFonts w:ascii="仿宋" w:hAnsi="仿宋" w:eastAsia="仿宋"/>
          <w:sz w:val="24"/>
          <w:highlight w:val="none"/>
        </w:rPr>
      </w:pPr>
      <w:r>
        <w:rPr>
          <w:rFonts w:hint="eastAsia" w:ascii="仿宋" w:hAnsi="仿宋" w:eastAsia="仿宋" w:cs="仿宋_GB2312"/>
          <w:sz w:val="24"/>
          <w:highlight w:val="none"/>
          <w:u w:val="single"/>
        </w:rPr>
        <w:t>（采购人）、（采购代理机构）</w:t>
      </w:r>
    </w:p>
    <w:p>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你方组织的（项目名称）项目【招标编号：（采购编号）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pPr>
        <w:rPr>
          <w:rFonts w:ascii="仿宋" w:hAnsi="仿宋" w:eastAsia="仿宋" w:cs="宋体"/>
          <w:sz w:val="24"/>
          <w:highlight w:val="none"/>
        </w:rPr>
      </w:pPr>
      <w:r>
        <w:rPr>
          <w:rFonts w:hint="eastAsia" w:ascii="仿宋" w:hAnsi="仿宋" w:eastAsia="仿宋" w:cs="宋体"/>
          <w:b/>
          <w:bCs/>
          <w:sz w:val="24"/>
          <w:highlight w:val="none"/>
        </w:rPr>
        <w:t>附：</w:t>
      </w:r>
    </w:p>
    <w:p>
      <w:pPr>
        <w:spacing w:line="360" w:lineRule="auto"/>
        <w:rPr>
          <w:rFonts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txbxContent>
                </v:textbox>
              </v:rect>
            </w:pict>
          </mc:Fallback>
        </mc:AlternateContent>
      </w:r>
      <w:r>
        <w:rPr>
          <w:rFonts w:ascii="仿宋" w:hAnsi="仿宋" w:eastAsia="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txbxContent>
                </v:textbox>
              </v:rect>
            </w:pict>
          </mc:Fallback>
        </mc:AlternateContent>
      </w:r>
      <w:r>
        <w:rPr>
          <w:rFonts w:hint="eastAsia" w:ascii="仿宋" w:hAnsi="仿宋" w:eastAsia="仿宋" w:cs="宋体"/>
          <w:sz w:val="24"/>
          <w:highlight w:val="none"/>
        </w:rPr>
        <w:t>投标单位法定名称章（印模）投标单位“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pStyle w:val="26"/>
        <w:rPr>
          <w:highlight w:val="none"/>
          <w:lang w:val="en-US"/>
        </w:rPr>
      </w:pPr>
    </w:p>
    <w:p>
      <w:pPr>
        <w:rPr>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 w:hAnsi="仿宋" w:eastAsia="仿宋"/>
          <w:b/>
          <w:sz w:val="32"/>
          <w:szCs w:val="32"/>
          <w:highlight w:val="none"/>
        </w:rPr>
        <w:t>中小企业声明函</w:t>
      </w:r>
    </w:p>
    <w:p>
      <w:pPr>
        <w:spacing w:line="360" w:lineRule="auto"/>
        <w:jc w:val="center"/>
        <w:rPr>
          <w:rFonts w:ascii="仿宋" w:hAnsi="仿宋" w:eastAsia="仿宋"/>
          <w:b/>
          <w:sz w:val="32"/>
          <w:szCs w:val="32"/>
          <w:highlight w:val="none"/>
        </w:rPr>
      </w:pPr>
      <w:r>
        <w:rPr>
          <w:rFonts w:hint="eastAsia" w:ascii="仿宋" w:hAnsi="仿宋" w:eastAsia="仿宋" w:cs="仿宋_GB2312"/>
          <w:b/>
          <w:sz w:val="32"/>
          <w:szCs w:val="32"/>
          <w:highlight w:val="none"/>
        </w:rPr>
        <w:t>中小企业声明函</w:t>
      </w:r>
      <w:r>
        <w:rPr>
          <w:rFonts w:hint="eastAsia" w:ascii="仿宋" w:hAnsi="仿宋" w:eastAsia="仿宋"/>
          <w:b/>
          <w:sz w:val="32"/>
          <w:szCs w:val="32"/>
          <w:highlight w:val="none"/>
        </w:rPr>
        <w:t>（服务）</w:t>
      </w:r>
    </w:p>
    <w:p>
      <w:pPr>
        <w:spacing w:line="360" w:lineRule="auto"/>
        <w:rPr>
          <w:rFonts w:ascii="仿宋" w:hAnsi="仿宋" w:eastAsia="仿宋"/>
          <w:highlight w:val="none"/>
        </w:rPr>
      </w:pPr>
    </w:p>
    <w:p>
      <w:pPr>
        <w:spacing w:line="360" w:lineRule="auto"/>
        <w:ind w:firstLine="360" w:firstLineChars="150"/>
        <w:jc w:val="left"/>
        <w:rPr>
          <w:rFonts w:ascii="仿宋" w:hAnsi="仿宋" w:eastAsia="仿宋"/>
          <w:sz w:val="24"/>
          <w:highlight w:val="none"/>
        </w:rPr>
      </w:pPr>
      <w:r>
        <w:rPr>
          <w:rFonts w:hint="eastAsia" w:ascii="仿宋" w:hAnsi="仿宋" w:eastAsia="仿宋"/>
          <w:sz w:val="24"/>
          <w:highlight w:val="none"/>
        </w:rPr>
        <w:t>本公司（联合体）郑重声明，根据《政府采购促进中小企业发展管理办法》（财库﹝</w:t>
      </w:r>
      <w:r>
        <w:rPr>
          <w:rFonts w:ascii="仿宋" w:hAnsi="仿宋" w:eastAsia="仿宋"/>
          <w:sz w:val="24"/>
          <w:highlight w:val="none"/>
        </w:rPr>
        <w:t xml:space="preserve">2020﹞46 </w:t>
      </w:r>
      <w:r>
        <w:rPr>
          <w:rFonts w:hint="eastAsia" w:ascii="仿宋" w:hAnsi="仿宋" w:eastAsia="仿宋"/>
          <w:sz w:val="24"/>
          <w:highlight w:val="none"/>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u w:val="single"/>
        </w:rPr>
        <w:t>（标的名称）</w:t>
      </w:r>
      <w:r>
        <w:rPr>
          <w:rFonts w:hint="eastAsia" w:ascii="仿宋" w:hAnsi="仿宋" w:eastAsia="仿宋"/>
          <w:sz w:val="24"/>
          <w:highlight w:val="none"/>
        </w:rPr>
        <w:t>，属于</w:t>
      </w:r>
      <w:r>
        <w:rPr>
          <w:rFonts w:hint="eastAsia" w:ascii="仿宋" w:hAnsi="仿宋" w:eastAsia="仿宋"/>
          <w:sz w:val="24"/>
          <w:highlight w:val="none"/>
          <w:u w:val="single"/>
        </w:rPr>
        <w:t>（采购文件中明确的所属行业）</w:t>
      </w:r>
      <w:r>
        <w:rPr>
          <w:rFonts w:ascii="仿宋" w:hAnsi="仿宋" w:eastAsia="仿宋"/>
          <w:sz w:val="24"/>
          <w:highlight w:val="none"/>
        </w:rPr>
        <w:t xml:space="preserve"> ；承接企业为 </w:t>
      </w:r>
      <w:r>
        <w:rPr>
          <w:rFonts w:hint="eastAsia" w:ascii="仿宋" w:hAnsi="仿宋" w:eastAsia="仿宋"/>
          <w:sz w:val="24"/>
          <w:highlight w:val="none"/>
          <w:u w:val="single"/>
        </w:rPr>
        <w:t>（企业名称）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 </w:t>
      </w:r>
      <w:r>
        <w:rPr>
          <w:rFonts w:hint="eastAsia" w:ascii="仿宋" w:hAnsi="仿宋" w:eastAsia="仿宋"/>
          <w:sz w:val="24"/>
          <w:highlight w:val="none"/>
        </w:rPr>
        <w:t>；</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本企业对上述声明内容的真实性负责。如有虚假，将依法承担相应责任。</w:t>
      </w:r>
    </w:p>
    <w:p>
      <w:pPr>
        <w:spacing w:line="360" w:lineRule="auto"/>
        <w:ind w:right="1760"/>
        <w:jc w:val="right"/>
        <w:rPr>
          <w:rFonts w:ascii="仿宋" w:hAnsi="仿宋" w:eastAsia="仿宋"/>
          <w:sz w:val="24"/>
          <w:highlight w:val="none"/>
        </w:rPr>
      </w:pPr>
      <w:r>
        <w:rPr>
          <w:rFonts w:hint="eastAsia" w:ascii="仿宋" w:hAnsi="仿宋" w:eastAsia="仿宋" w:cs="仿宋_GB2312"/>
          <w:sz w:val="24"/>
          <w:highlight w:val="none"/>
        </w:rPr>
        <w:t>投标人</w:t>
      </w:r>
      <w:r>
        <w:rPr>
          <w:rFonts w:hint="eastAsia" w:ascii="仿宋" w:hAnsi="仿宋" w:eastAsia="仿宋"/>
          <w:sz w:val="24"/>
          <w:highlight w:val="none"/>
        </w:rPr>
        <w:t>名称（</w:t>
      </w:r>
      <w:r>
        <w:rPr>
          <w:rFonts w:hint="eastAsia" w:ascii="仿宋" w:hAnsi="仿宋" w:eastAsia="仿宋" w:cs="仿宋_GB2312"/>
          <w:sz w:val="24"/>
          <w:highlight w:val="none"/>
        </w:rPr>
        <w:t>电子签名</w:t>
      </w:r>
      <w:r>
        <w:rPr>
          <w:rFonts w:hint="eastAsia" w:ascii="仿宋" w:hAnsi="仿宋" w:eastAsia="仿宋"/>
          <w:sz w:val="24"/>
          <w:highlight w:val="none"/>
        </w:rPr>
        <w:t>）：</w:t>
      </w:r>
    </w:p>
    <w:p>
      <w:pPr>
        <w:spacing w:line="360" w:lineRule="auto"/>
        <w:ind w:right="1120" w:firstLine="4680" w:firstLineChars="1950"/>
        <w:rPr>
          <w:rFonts w:ascii="仿宋" w:hAnsi="仿宋" w:eastAsia="仿宋"/>
          <w:sz w:val="24"/>
          <w:highlight w:val="none"/>
        </w:rPr>
      </w:pPr>
      <w:r>
        <w:rPr>
          <w:rFonts w:hint="eastAsia" w:ascii="仿宋" w:hAnsi="仿宋" w:eastAsia="仿宋"/>
          <w:sz w:val="24"/>
          <w:highlight w:val="none"/>
        </w:rPr>
        <w:t>日期：</w:t>
      </w:r>
    </w:p>
    <w:p>
      <w:pPr>
        <w:spacing w:line="360" w:lineRule="auto"/>
        <w:ind w:firstLine="310" w:firstLineChars="147"/>
        <w:jc w:val="left"/>
        <w:rPr>
          <w:rFonts w:ascii="仿宋" w:hAnsi="仿宋" w:eastAsia="仿宋"/>
          <w:b/>
          <w:szCs w:val="21"/>
          <w:highlight w:val="none"/>
        </w:rPr>
      </w:pPr>
      <w:r>
        <w:rPr>
          <w:rFonts w:hint="eastAsia" w:ascii="仿宋" w:hAnsi="仿宋" w:eastAsia="仿宋"/>
          <w:b/>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_GB2312"/>
          <w:sz w:val="24"/>
          <w:highlight w:val="none"/>
        </w:rPr>
      </w:pPr>
    </w:p>
    <w:p>
      <w:pPr>
        <w:spacing w:line="360" w:lineRule="auto"/>
        <w:ind w:right="420"/>
        <w:rPr>
          <w:rFonts w:ascii="仿宋" w:hAnsi="仿宋" w:eastAsia="仿宋" w:cs="仿宋_GB2312"/>
          <w:sz w:val="24"/>
          <w:highlight w:val="none"/>
        </w:rPr>
      </w:pPr>
      <w:r>
        <w:rPr>
          <w:rFonts w:ascii="仿宋" w:hAnsi="仿宋" w:eastAsia="仿宋"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仿宋" w:eastAsia="仿宋"/>
          <w:highlight w:val="none"/>
          <w:lang w:val="en-US"/>
        </w:rPr>
      </w:pPr>
    </w:p>
    <w:p>
      <w:pPr>
        <w:spacing w:line="360" w:lineRule="auto"/>
        <w:rPr>
          <w:rFonts w:ascii="仿宋" w:hAnsi="仿宋" w:eastAsia="仿宋"/>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rebuchet MS"/>
    <w:panose1 w:val="00000000000000000000"/>
    <w:charset w:val="00"/>
    <w:family w:val="modern"/>
    <w:pitch w:val="default"/>
    <w:sig w:usb0="00000000" w:usb1="00000000" w:usb2="00000000" w:usb3="00000000" w:csb0="00000011" w:csb1="00000000"/>
  </w:font>
  <w:font w:name="Trebuchet MS">
    <w:panose1 w:val="020B0603020202020204"/>
    <w:charset w:val="00"/>
    <w:family w:val="auto"/>
    <w:pitch w:val="default"/>
    <w:sig w:usb0="00000287" w:usb1="00000003"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modern"/>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modern"/>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Courier New"/>
    <w:panose1 w:val="00000000000000000000"/>
    <w:charset w:val="00"/>
    <w:family w:val="roma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modern"/>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decorative"/>
    <w:pitch w:val="default"/>
    <w:sig w:usb0="00000000" w:usb1="00000000" w:usb2="00000000" w:usb3="00000000" w:csb0="00000011" w:csb1="00000000"/>
  </w:font>
  <w:font w:name=".PingFang SC">
    <w:altName w:val="宋体"/>
    <w:panose1 w:val="00000000000000000000"/>
    <w:charset w:val="86"/>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0228"/>
    </w:sdtPr>
    <w:sdtContent>
      <w:p>
        <w:pPr>
          <w:pStyle w:val="40"/>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 PAGE   \* MERGEFORMAT </w:instrText>
    </w:r>
    <w:r>
      <w:fldChar w:fldCharType="separate"/>
    </w:r>
    <w:r>
      <w:rPr>
        <w:lang w:val="zh-CN"/>
      </w:rPr>
      <w:t>51</w:t>
    </w:r>
    <w:r>
      <w:rPr>
        <w:lang w:val="zh-CN"/>
      </w:rPr>
      <w:fldChar w:fldCharType="end"/>
    </w:r>
  </w:p>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0229"/>
    </w:sdtPr>
    <w:sdtContent>
      <w:p>
        <w:pPr>
          <w:pStyle w:val="4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1621"/>
    </w:sdtPr>
    <w:sdtContent>
      <w:p>
        <w:pPr>
          <w:pStyle w:val="40"/>
          <w:jc w:val="center"/>
        </w:pPr>
        <w:r>
          <w:fldChar w:fldCharType="begin"/>
        </w:r>
        <w:r>
          <w:instrText xml:space="preserve"> PAGE   \* MERGEFORMAT </w:instrText>
        </w:r>
        <w:r>
          <w:fldChar w:fldCharType="separate"/>
        </w:r>
        <w:r>
          <w:rPr>
            <w:lang w:val="zh-CN"/>
          </w:rPr>
          <w:t>36</w:t>
        </w:r>
        <w:r>
          <w:rPr>
            <w:lang w:val="zh-CN"/>
          </w:rPr>
          <w:fldChar w:fldCharType="end"/>
        </w:r>
      </w:p>
    </w:sdtContent>
  </w:sdt>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1620"/>
    </w:sdtPr>
    <w:sdtContent>
      <w:p>
        <w:pPr>
          <w:pStyle w:val="40"/>
          <w:jc w:val="center"/>
        </w:pPr>
        <w:r>
          <w:fldChar w:fldCharType="begin"/>
        </w:r>
        <w:r>
          <w:instrText xml:space="preserve"> PAGE   \* MERGEFORMAT </w:instrText>
        </w:r>
        <w:r>
          <w:fldChar w:fldCharType="separate"/>
        </w:r>
        <w:r>
          <w:rPr>
            <w:lang w:val="zh-CN"/>
          </w:rPr>
          <w:t>20</w:t>
        </w:r>
        <w:r>
          <w:rPr>
            <w:lang w:val="zh-CN"/>
          </w:rPr>
          <w:fldChar w:fldCharType="end"/>
        </w:r>
      </w:p>
    </w:sdtContent>
  </w:sdt>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1622"/>
    </w:sdtPr>
    <w:sdtContent>
      <w:p>
        <w:pPr>
          <w:pStyle w:val="40"/>
          <w:jc w:val="center"/>
        </w:pPr>
        <w:r>
          <w:fldChar w:fldCharType="begin"/>
        </w:r>
        <w:r>
          <w:instrText xml:space="preserve"> PAGE   \* MERGEFORMAT </w:instrText>
        </w:r>
        <w:r>
          <w:fldChar w:fldCharType="separate"/>
        </w:r>
        <w:r>
          <w:rPr>
            <w:lang w:val="zh-CN"/>
          </w:rPr>
          <w:t>49</w:t>
        </w:r>
        <w:r>
          <w:rPr>
            <w:lang w:val="zh-CN"/>
          </w:rPr>
          <w:fldChar w:fldCharType="end"/>
        </w:r>
      </w:p>
    </w:sdtContent>
  </w:sdt>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 PAGE   \* MERGEFORMAT </w:instrText>
    </w:r>
    <w:r>
      <w:fldChar w:fldCharType="separate"/>
    </w:r>
    <w:r>
      <w:rPr>
        <w:lang w:val="zh-CN"/>
      </w:rPr>
      <w:t>58</w:t>
    </w:r>
    <w:r>
      <w:rPr>
        <w:lang w:val="zh-CN"/>
      </w:rPr>
      <w:fldChar w:fldCharType="end"/>
    </w:r>
  </w:p>
  <w:p>
    <w:pPr>
      <w:pStyle w:val="40"/>
      <w:rPr>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E5CB6"/>
    <w:multiLevelType w:val="singleLevel"/>
    <w:tmpl w:val="CEEE5CB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iNGIxMDJmYWFmN2E4N2Q0Y2E2MjJiYzE4YWYyNDMifQ=="/>
  </w:docVars>
  <w:rsids>
    <w:rsidRoot w:val="00172A27"/>
    <w:rsid w:val="00000451"/>
    <w:rsid w:val="0000108B"/>
    <w:rsid w:val="0000133D"/>
    <w:rsid w:val="00001509"/>
    <w:rsid w:val="000032B2"/>
    <w:rsid w:val="0000363B"/>
    <w:rsid w:val="000056BC"/>
    <w:rsid w:val="000058BD"/>
    <w:rsid w:val="00006109"/>
    <w:rsid w:val="00006150"/>
    <w:rsid w:val="000063E8"/>
    <w:rsid w:val="00006725"/>
    <w:rsid w:val="0000675E"/>
    <w:rsid w:val="00007CAA"/>
    <w:rsid w:val="00010EBE"/>
    <w:rsid w:val="00010FE9"/>
    <w:rsid w:val="0001122F"/>
    <w:rsid w:val="00011A4B"/>
    <w:rsid w:val="00012251"/>
    <w:rsid w:val="0001337C"/>
    <w:rsid w:val="000138C4"/>
    <w:rsid w:val="00013C1F"/>
    <w:rsid w:val="00013F31"/>
    <w:rsid w:val="000140D8"/>
    <w:rsid w:val="00014530"/>
    <w:rsid w:val="00014BBC"/>
    <w:rsid w:val="000150EE"/>
    <w:rsid w:val="00016233"/>
    <w:rsid w:val="000168D8"/>
    <w:rsid w:val="000170C8"/>
    <w:rsid w:val="000173F4"/>
    <w:rsid w:val="00020287"/>
    <w:rsid w:val="000202FE"/>
    <w:rsid w:val="00020B5F"/>
    <w:rsid w:val="000211BC"/>
    <w:rsid w:val="0002207B"/>
    <w:rsid w:val="00022A59"/>
    <w:rsid w:val="000232FD"/>
    <w:rsid w:val="00023323"/>
    <w:rsid w:val="000233E4"/>
    <w:rsid w:val="00023495"/>
    <w:rsid w:val="00023777"/>
    <w:rsid w:val="00023FA6"/>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66A"/>
    <w:rsid w:val="00034FA7"/>
    <w:rsid w:val="0003533D"/>
    <w:rsid w:val="000357E4"/>
    <w:rsid w:val="00035ACA"/>
    <w:rsid w:val="0004002D"/>
    <w:rsid w:val="00040447"/>
    <w:rsid w:val="00040494"/>
    <w:rsid w:val="00040B70"/>
    <w:rsid w:val="00042441"/>
    <w:rsid w:val="00042533"/>
    <w:rsid w:val="00042DBB"/>
    <w:rsid w:val="00042E65"/>
    <w:rsid w:val="0004347C"/>
    <w:rsid w:val="00043907"/>
    <w:rsid w:val="000439B9"/>
    <w:rsid w:val="00044F48"/>
    <w:rsid w:val="00046A0C"/>
    <w:rsid w:val="00047354"/>
    <w:rsid w:val="0004799C"/>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F78"/>
    <w:rsid w:val="00067821"/>
    <w:rsid w:val="0006785E"/>
    <w:rsid w:val="00067F92"/>
    <w:rsid w:val="00067FA7"/>
    <w:rsid w:val="0007038E"/>
    <w:rsid w:val="00070592"/>
    <w:rsid w:val="0007077C"/>
    <w:rsid w:val="00070825"/>
    <w:rsid w:val="00071CD8"/>
    <w:rsid w:val="00071DB2"/>
    <w:rsid w:val="000724F0"/>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F5B"/>
    <w:rsid w:val="00077577"/>
    <w:rsid w:val="00077607"/>
    <w:rsid w:val="00077756"/>
    <w:rsid w:val="00077B7F"/>
    <w:rsid w:val="000808C1"/>
    <w:rsid w:val="00080970"/>
    <w:rsid w:val="00081671"/>
    <w:rsid w:val="00082AD4"/>
    <w:rsid w:val="00083C7A"/>
    <w:rsid w:val="00083E07"/>
    <w:rsid w:val="00084D27"/>
    <w:rsid w:val="00084ED6"/>
    <w:rsid w:val="0008580E"/>
    <w:rsid w:val="00085A0E"/>
    <w:rsid w:val="00085C4F"/>
    <w:rsid w:val="000862AD"/>
    <w:rsid w:val="00086EFD"/>
    <w:rsid w:val="00086F8A"/>
    <w:rsid w:val="00087031"/>
    <w:rsid w:val="00090243"/>
    <w:rsid w:val="000904F6"/>
    <w:rsid w:val="00090918"/>
    <w:rsid w:val="00090ED8"/>
    <w:rsid w:val="00090F9F"/>
    <w:rsid w:val="0009145F"/>
    <w:rsid w:val="0009184E"/>
    <w:rsid w:val="00091B4E"/>
    <w:rsid w:val="00092379"/>
    <w:rsid w:val="00092467"/>
    <w:rsid w:val="00092FE9"/>
    <w:rsid w:val="000936BF"/>
    <w:rsid w:val="0009382F"/>
    <w:rsid w:val="00093A30"/>
    <w:rsid w:val="00094342"/>
    <w:rsid w:val="000945BA"/>
    <w:rsid w:val="00095954"/>
    <w:rsid w:val="000960BA"/>
    <w:rsid w:val="0009662A"/>
    <w:rsid w:val="0009690D"/>
    <w:rsid w:val="00096DFF"/>
    <w:rsid w:val="000A0729"/>
    <w:rsid w:val="000A0857"/>
    <w:rsid w:val="000A0E69"/>
    <w:rsid w:val="000A1A52"/>
    <w:rsid w:val="000A1F98"/>
    <w:rsid w:val="000A3D58"/>
    <w:rsid w:val="000A3FE3"/>
    <w:rsid w:val="000A42FA"/>
    <w:rsid w:val="000A47B0"/>
    <w:rsid w:val="000A4851"/>
    <w:rsid w:val="000A49BB"/>
    <w:rsid w:val="000A4F22"/>
    <w:rsid w:val="000A5674"/>
    <w:rsid w:val="000A5A46"/>
    <w:rsid w:val="000A7299"/>
    <w:rsid w:val="000A752E"/>
    <w:rsid w:val="000B0E04"/>
    <w:rsid w:val="000B13F2"/>
    <w:rsid w:val="000B268D"/>
    <w:rsid w:val="000B291B"/>
    <w:rsid w:val="000B3BE3"/>
    <w:rsid w:val="000B456C"/>
    <w:rsid w:val="000B45B9"/>
    <w:rsid w:val="000B47CE"/>
    <w:rsid w:val="000B4B56"/>
    <w:rsid w:val="000B4C62"/>
    <w:rsid w:val="000B541D"/>
    <w:rsid w:val="000B54C1"/>
    <w:rsid w:val="000B5553"/>
    <w:rsid w:val="000B5D2C"/>
    <w:rsid w:val="000B5FE8"/>
    <w:rsid w:val="000B666E"/>
    <w:rsid w:val="000C0A43"/>
    <w:rsid w:val="000C0CB1"/>
    <w:rsid w:val="000C1411"/>
    <w:rsid w:val="000C1ADE"/>
    <w:rsid w:val="000C1C38"/>
    <w:rsid w:val="000C1E96"/>
    <w:rsid w:val="000C21DC"/>
    <w:rsid w:val="000C2264"/>
    <w:rsid w:val="000C256B"/>
    <w:rsid w:val="000C3970"/>
    <w:rsid w:val="000C3B1A"/>
    <w:rsid w:val="000C4057"/>
    <w:rsid w:val="000C4727"/>
    <w:rsid w:val="000C47AE"/>
    <w:rsid w:val="000C51AD"/>
    <w:rsid w:val="000C5374"/>
    <w:rsid w:val="000C5EC0"/>
    <w:rsid w:val="000C6162"/>
    <w:rsid w:val="000C63D6"/>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3D93"/>
    <w:rsid w:val="000D453A"/>
    <w:rsid w:val="000D4AFA"/>
    <w:rsid w:val="000D5EA6"/>
    <w:rsid w:val="000D5F00"/>
    <w:rsid w:val="000D6C9F"/>
    <w:rsid w:val="000D6E3B"/>
    <w:rsid w:val="000D6F30"/>
    <w:rsid w:val="000D74E4"/>
    <w:rsid w:val="000D7C9D"/>
    <w:rsid w:val="000D7CE0"/>
    <w:rsid w:val="000E2785"/>
    <w:rsid w:val="000E27BB"/>
    <w:rsid w:val="000E291D"/>
    <w:rsid w:val="000E3153"/>
    <w:rsid w:val="000E3484"/>
    <w:rsid w:val="000E386F"/>
    <w:rsid w:val="000E4051"/>
    <w:rsid w:val="000E4139"/>
    <w:rsid w:val="000E4765"/>
    <w:rsid w:val="000E5B7E"/>
    <w:rsid w:val="000E5FF9"/>
    <w:rsid w:val="000E62EC"/>
    <w:rsid w:val="000E6AE1"/>
    <w:rsid w:val="000E7142"/>
    <w:rsid w:val="000E7632"/>
    <w:rsid w:val="000E7737"/>
    <w:rsid w:val="000E7739"/>
    <w:rsid w:val="000E77EE"/>
    <w:rsid w:val="000F0EFF"/>
    <w:rsid w:val="000F1604"/>
    <w:rsid w:val="000F287A"/>
    <w:rsid w:val="000F2940"/>
    <w:rsid w:val="000F2AB3"/>
    <w:rsid w:val="000F37EA"/>
    <w:rsid w:val="000F3C52"/>
    <w:rsid w:val="000F3D08"/>
    <w:rsid w:val="000F4377"/>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B8E"/>
    <w:rsid w:val="00111C7D"/>
    <w:rsid w:val="00112038"/>
    <w:rsid w:val="001127FF"/>
    <w:rsid w:val="00112B0B"/>
    <w:rsid w:val="00112EB5"/>
    <w:rsid w:val="0011383E"/>
    <w:rsid w:val="00113EE3"/>
    <w:rsid w:val="0011408F"/>
    <w:rsid w:val="00114847"/>
    <w:rsid w:val="0011585B"/>
    <w:rsid w:val="00115B1A"/>
    <w:rsid w:val="001160FF"/>
    <w:rsid w:val="001164F4"/>
    <w:rsid w:val="001168F8"/>
    <w:rsid w:val="001176FF"/>
    <w:rsid w:val="00117F54"/>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BC"/>
    <w:rsid w:val="00131C2D"/>
    <w:rsid w:val="0013202C"/>
    <w:rsid w:val="00132704"/>
    <w:rsid w:val="0013299F"/>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870"/>
    <w:rsid w:val="001433BC"/>
    <w:rsid w:val="00143872"/>
    <w:rsid w:val="00143A85"/>
    <w:rsid w:val="00144649"/>
    <w:rsid w:val="00145022"/>
    <w:rsid w:val="00145662"/>
    <w:rsid w:val="00145C6D"/>
    <w:rsid w:val="001460FC"/>
    <w:rsid w:val="00146151"/>
    <w:rsid w:val="00146326"/>
    <w:rsid w:val="00147032"/>
    <w:rsid w:val="00147EA7"/>
    <w:rsid w:val="001503BF"/>
    <w:rsid w:val="00151820"/>
    <w:rsid w:val="00151B2F"/>
    <w:rsid w:val="00151D5C"/>
    <w:rsid w:val="001524DC"/>
    <w:rsid w:val="001525E5"/>
    <w:rsid w:val="00153859"/>
    <w:rsid w:val="00153915"/>
    <w:rsid w:val="001539F0"/>
    <w:rsid w:val="00154BBA"/>
    <w:rsid w:val="00155B95"/>
    <w:rsid w:val="00156853"/>
    <w:rsid w:val="00157432"/>
    <w:rsid w:val="00157AC9"/>
    <w:rsid w:val="00161185"/>
    <w:rsid w:val="001620BA"/>
    <w:rsid w:val="001620D7"/>
    <w:rsid w:val="001623AC"/>
    <w:rsid w:val="00162BAA"/>
    <w:rsid w:val="00163C40"/>
    <w:rsid w:val="0016488B"/>
    <w:rsid w:val="00165758"/>
    <w:rsid w:val="00165A65"/>
    <w:rsid w:val="00166162"/>
    <w:rsid w:val="00166317"/>
    <w:rsid w:val="001672F1"/>
    <w:rsid w:val="00167478"/>
    <w:rsid w:val="00167594"/>
    <w:rsid w:val="001702BE"/>
    <w:rsid w:val="001704B3"/>
    <w:rsid w:val="0017059C"/>
    <w:rsid w:val="00170BEB"/>
    <w:rsid w:val="0017105C"/>
    <w:rsid w:val="00171622"/>
    <w:rsid w:val="00171785"/>
    <w:rsid w:val="00171AB5"/>
    <w:rsid w:val="0017204F"/>
    <w:rsid w:val="001721CF"/>
    <w:rsid w:val="00172325"/>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4E65"/>
    <w:rsid w:val="001852A8"/>
    <w:rsid w:val="0018620A"/>
    <w:rsid w:val="001866CA"/>
    <w:rsid w:val="00186EB0"/>
    <w:rsid w:val="00187121"/>
    <w:rsid w:val="00187243"/>
    <w:rsid w:val="00187C29"/>
    <w:rsid w:val="001902A8"/>
    <w:rsid w:val="00190782"/>
    <w:rsid w:val="00190942"/>
    <w:rsid w:val="001909A7"/>
    <w:rsid w:val="001909C3"/>
    <w:rsid w:val="00190CE7"/>
    <w:rsid w:val="00191459"/>
    <w:rsid w:val="00191603"/>
    <w:rsid w:val="0019173E"/>
    <w:rsid w:val="0019174E"/>
    <w:rsid w:val="0019196B"/>
    <w:rsid w:val="001923D5"/>
    <w:rsid w:val="00192991"/>
    <w:rsid w:val="00192D86"/>
    <w:rsid w:val="00193470"/>
    <w:rsid w:val="00193B94"/>
    <w:rsid w:val="001940A7"/>
    <w:rsid w:val="0019491E"/>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D2A"/>
    <w:rsid w:val="001A1F0E"/>
    <w:rsid w:val="001A2D36"/>
    <w:rsid w:val="001A3335"/>
    <w:rsid w:val="001A473A"/>
    <w:rsid w:val="001A4ED9"/>
    <w:rsid w:val="001A5785"/>
    <w:rsid w:val="001A5FD7"/>
    <w:rsid w:val="001A66A6"/>
    <w:rsid w:val="001A6BAF"/>
    <w:rsid w:val="001A6BBB"/>
    <w:rsid w:val="001A79A2"/>
    <w:rsid w:val="001B06A6"/>
    <w:rsid w:val="001B13BF"/>
    <w:rsid w:val="001B16F5"/>
    <w:rsid w:val="001B17C1"/>
    <w:rsid w:val="001B1C1F"/>
    <w:rsid w:val="001B219B"/>
    <w:rsid w:val="001B2703"/>
    <w:rsid w:val="001B3DCD"/>
    <w:rsid w:val="001B45B9"/>
    <w:rsid w:val="001B46B2"/>
    <w:rsid w:val="001B4725"/>
    <w:rsid w:val="001B48B2"/>
    <w:rsid w:val="001B49DA"/>
    <w:rsid w:val="001B4CA8"/>
    <w:rsid w:val="001B4FB7"/>
    <w:rsid w:val="001B50CA"/>
    <w:rsid w:val="001B572D"/>
    <w:rsid w:val="001B576E"/>
    <w:rsid w:val="001B5B10"/>
    <w:rsid w:val="001B6025"/>
    <w:rsid w:val="001B6D58"/>
    <w:rsid w:val="001B6FA7"/>
    <w:rsid w:val="001B7A15"/>
    <w:rsid w:val="001B7B69"/>
    <w:rsid w:val="001B7DC1"/>
    <w:rsid w:val="001C08DB"/>
    <w:rsid w:val="001C10BD"/>
    <w:rsid w:val="001C1296"/>
    <w:rsid w:val="001C1F01"/>
    <w:rsid w:val="001C2092"/>
    <w:rsid w:val="001C232F"/>
    <w:rsid w:val="001C2544"/>
    <w:rsid w:val="001C2A17"/>
    <w:rsid w:val="001C31F5"/>
    <w:rsid w:val="001C330B"/>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73B"/>
    <w:rsid w:val="001E17E3"/>
    <w:rsid w:val="001E2052"/>
    <w:rsid w:val="001E2492"/>
    <w:rsid w:val="001E257C"/>
    <w:rsid w:val="001E286C"/>
    <w:rsid w:val="001E2F34"/>
    <w:rsid w:val="001E35EE"/>
    <w:rsid w:val="001E4B2C"/>
    <w:rsid w:val="001E507F"/>
    <w:rsid w:val="001E56C2"/>
    <w:rsid w:val="001E59FB"/>
    <w:rsid w:val="001E652C"/>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28"/>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B7C"/>
    <w:rsid w:val="00217E1F"/>
    <w:rsid w:val="002203CC"/>
    <w:rsid w:val="002204BC"/>
    <w:rsid w:val="00220F7B"/>
    <w:rsid w:val="002213CE"/>
    <w:rsid w:val="00221AF7"/>
    <w:rsid w:val="00222494"/>
    <w:rsid w:val="00222775"/>
    <w:rsid w:val="00222A31"/>
    <w:rsid w:val="00222CF6"/>
    <w:rsid w:val="002233B6"/>
    <w:rsid w:val="00224037"/>
    <w:rsid w:val="002244E4"/>
    <w:rsid w:val="00224D2A"/>
    <w:rsid w:val="00224D8D"/>
    <w:rsid w:val="0022555A"/>
    <w:rsid w:val="00227214"/>
    <w:rsid w:val="00227DDC"/>
    <w:rsid w:val="0023079F"/>
    <w:rsid w:val="00231135"/>
    <w:rsid w:val="00231B0B"/>
    <w:rsid w:val="00232555"/>
    <w:rsid w:val="00233007"/>
    <w:rsid w:val="00233538"/>
    <w:rsid w:val="00234248"/>
    <w:rsid w:val="0023449F"/>
    <w:rsid w:val="002344F5"/>
    <w:rsid w:val="0023454D"/>
    <w:rsid w:val="00234679"/>
    <w:rsid w:val="002359FC"/>
    <w:rsid w:val="0023619B"/>
    <w:rsid w:val="002361C8"/>
    <w:rsid w:val="00236690"/>
    <w:rsid w:val="0023669D"/>
    <w:rsid w:val="00237EAE"/>
    <w:rsid w:val="00237FA2"/>
    <w:rsid w:val="0024012F"/>
    <w:rsid w:val="002403D5"/>
    <w:rsid w:val="00240C1F"/>
    <w:rsid w:val="00240F55"/>
    <w:rsid w:val="00240F67"/>
    <w:rsid w:val="00241144"/>
    <w:rsid w:val="002420F6"/>
    <w:rsid w:val="00242510"/>
    <w:rsid w:val="00242593"/>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5C"/>
    <w:rsid w:val="0026119C"/>
    <w:rsid w:val="00261AFE"/>
    <w:rsid w:val="00261B00"/>
    <w:rsid w:val="0026212A"/>
    <w:rsid w:val="002621D7"/>
    <w:rsid w:val="00262996"/>
    <w:rsid w:val="00263044"/>
    <w:rsid w:val="00263759"/>
    <w:rsid w:val="002638BD"/>
    <w:rsid w:val="0026470B"/>
    <w:rsid w:val="0026486D"/>
    <w:rsid w:val="00264C4B"/>
    <w:rsid w:val="00264ED0"/>
    <w:rsid w:val="00265346"/>
    <w:rsid w:val="00265498"/>
    <w:rsid w:val="00266045"/>
    <w:rsid w:val="002660C3"/>
    <w:rsid w:val="00266C21"/>
    <w:rsid w:val="00266DE1"/>
    <w:rsid w:val="00267A92"/>
    <w:rsid w:val="00267E43"/>
    <w:rsid w:val="00270282"/>
    <w:rsid w:val="00270780"/>
    <w:rsid w:val="00270CF6"/>
    <w:rsid w:val="00271097"/>
    <w:rsid w:val="00271C53"/>
    <w:rsid w:val="0027244F"/>
    <w:rsid w:val="00272462"/>
    <w:rsid w:val="00272FD2"/>
    <w:rsid w:val="00273052"/>
    <w:rsid w:val="002739CE"/>
    <w:rsid w:val="00273C5F"/>
    <w:rsid w:val="002741D4"/>
    <w:rsid w:val="002743AC"/>
    <w:rsid w:val="0027499D"/>
    <w:rsid w:val="002751CA"/>
    <w:rsid w:val="0027544D"/>
    <w:rsid w:val="00275767"/>
    <w:rsid w:val="00277196"/>
    <w:rsid w:val="002775ED"/>
    <w:rsid w:val="002778AB"/>
    <w:rsid w:val="002802A5"/>
    <w:rsid w:val="00280CFB"/>
    <w:rsid w:val="00280D24"/>
    <w:rsid w:val="002815C4"/>
    <w:rsid w:val="00281BCB"/>
    <w:rsid w:val="00281C76"/>
    <w:rsid w:val="0028316D"/>
    <w:rsid w:val="00283296"/>
    <w:rsid w:val="00284F9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53C"/>
    <w:rsid w:val="00295888"/>
    <w:rsid w:val="00296C32"/>
    <w:rsid w:val="002977CE"/>
    <w:rsid w:val="00297AF5"/>
    <w:rsid w:val="002A02D6"/>
    <w:rsid w:val="002A07C4"/>
    <w:rsid w:val="002A0921"/>
    <w:rsid w:val="002A0CB3"/>
    <w:rsid w:val="002A150D"/>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2A"/>
    <w:rsid w:val="002B5AEE"/>
    <w:rsid w:val="002B6177"/>
    <w:rsid w:val="002B650C"/>
    <w:rsid w:val="002B68E6"/>
    <w:rsid w:val="002B6985"/>
    <w:rsid w:val="002B6D7A"/>
    <w:rsid w:val="002C02BA"/>
    <w:rsid w:val="002C0301"/>
    <w:rsid w:val="002C0326"/>
    <w:rsid w:val="002C0A9F"/>
    <w:rsid w:val="002C1AB3"/>
    <w:rsid w:val="002C1BB7"/>
    <w:rsid w:val="002C1FB3"/>
    <w:rsid w:val="002C253B"/>
    <w:rsid w:val="002C2665"/>
    <w:rsid w:val="002C28E1"/>
    <w:rsid w:val="002C327D"/>
    <w:rsid w:val="002C37EA"/>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869"/>
    <w:rsid w:val="002E0E87"/>
    <w:rsid w:val="002E1031"/>
    <w:rsid w:val="002E12FA"/>
    <w:rsid w:val="002E13CF"/>
    <w:rsid w:val="002E201C"/>
    <w:rsid w:val="002E22CA"/>
    <w:rsid w:val="002E236F"/>
    <w:rsid w:val="002E2473"/>
    <w:rsid w:val="002E37C5"/>
    <w:rsid w:val="002E3956"/>
    <w:rsid w:val="002E3C08"/>
    <w:rsid w:val="002E3CF2"/>
    <w:rsid w:val="002E469E"/>
    <w:rsid w:val="002E4C01"/>
    <w:rsid w:val="002E4D50"/>
    <w:rsid w:val="002E55FF"/>
    <w:rsid w:val="002E587E"/>
    <w:rsid w:val="002E672A"/>
    <w:rsid w:val="002E6853"/>
    <w:rsid w:val="002E6CD1"/>
    <w:rsid w:val="002E7EC1"/>
    <w:rsid w:val="002E7EE5"/>
    <w:rsid w:val="002F0323"/>
    <w:rsid w:val="002F0DFB"/>
    <w:rsid w:val="002F134F"/>
    <w:rsid w:val="002F1CDA"/>
    <w:rsid w:val="002F1D0B"/>
    <w:rsid w:val="002F1E1D"/>
    <w:rsid w:val="002F1F02"/>
    <w:rsid w:val="002F25AA"/>
    <w:rsid w:val="002F27E5"/>
    <w:rsid w:val="002F2D81"/>
    <w:rsid w:val="002F2F66"/>
    <w:rsid w:val="002F39D4"/>
    <w:rsid w:val="002F4AC3"/>
    <w:rsid w:val="002F4BA9"/>
    <w:rsid w:val="002F541B"/>
    <w:rsid w:val="002F5BFE"/>
    <w:rsid w:val="002F5DA5"/>
    <w:rsid w:val="002F5E17"/>
    <w:rsid w:val="002F647C"/>
    <w:rsid w:val="002F6C6B"/>
    <w:rsid w:val="002F6CB0"/>
    <w:rsid w:val="002F6EFF"/>
    <w:rsid w:val="002F7DF0"/>
    <w:rsid w:val="002F7F5E"/>
    <w:rsid w:val="002F7FAF"/>
    <w:rsid w:val="00300573"/>
    <w:rsid w:val="0030237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F6"/>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7A8"/>
    <w:rsid w:val="00326805"/>
    <w:rsid w:val="003269B7"/>
    <w:rsid w:val="00326C0E"/>
    <w:rsid w:val="00327136"/>
    <w:rsid w:val="003272A3"/>
    <w:rsid w:val="003272E4"/>
    <w:rsid w:val="00327B71"/>
    <w:rsid w:val="00331461"/>
    <w:rsid w:val="003316A8"/>
    <w:rsid w:val="00331C80"/>
    <w:rsid w:val="00331CC9"/>
    <w:rsid w:val="003320D7"/>
    <w:rsid w:val="00332265"/>
    <w:rsid w:val="00332862"/>
    <w:rsid w:val="00332D52"/>
    <w:rsid w:val="00332D7A"/>
    <w:rsid w:val="00333337"/>
    <w:rsid w:val="00333A28"/>
    <w:rsid w:val="00333B6C"/>
    <w:rsid w:val="00334927"/>
    <w:rsid w:val="00335342"/>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3C7C"/>
    <w:rsid w:val="00344066"/>
    <w:rsid w:val="00344B25"/>
    <w:rsid w:val="00344BBF"/>
    <w:rsid w:val="0034509B"/>
    <w:rsid w:val="00345423"/>
    <w:rsid w:val="00345644"/>
    <w:rsid w:val="00345D0E"/>
    <w:rsid w:val="00345D7A"/>
    <w:rsid w:val="0034607E"/>
    <w:rsid w:val="00346A96"/>
    <w:rsid w:val="00346B6D"/>
    <w:rsid w:val="00346BA3"/>
    <w:rsid w:val="00346C69"/>
    <w:rsid w:val="00347356"/>
    <w:rsid w:val="0035005C"/>
    <w:rsid w:val="00350083"/>
    <w:rsid w:val="003507EA"/>
    <w:rsid w:val="00350896"/>
    <w:rsid w:val="00350C31"/>
    <w:rsid w:val="00350C9F"/>
    <w:rsid w:val="00351391"/>
    <w:rsid w:val="003519CD"/>
    <w:rsid w:val="00351A3A"/>
    <w:rsid w:val="0035455F"/>
    <w:rsid w:val="00355D75"/>
    <w:rsid w:val="00355D8F"/>
    <w:rsid w:val="003565D2"/>
    <w:rsid w:val="00356A73"/>
    <w:rsid w:val="00356FF0"/>
    <w:rsid w:val="003573C2"/>
    <w:rsid w:val="003577EF"/>
    <w:rsid w:val="00357A60"/>
    <w:rsid w:val="00360304"/>
    <w:rsid w:val="00360A78"/>
    <w:rsid w:val="00361750"/>
    <w:rsid w:val="00361A79"/>
    <w:rsid w:val="00362894"/>
    <w:rsid w:val="00363894"/>
    <w:rsid w:val="00363B2A"/>
    <w:rsid w:val="00363BF1"/>
    <w:rsid w:val="00363E05"/>
    <w:rsid w:val="00364F1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3D"/>
    <w:rsid w:val="003919D9"/>
    <w:rsid w:val="00391BDD"/>
    <w:rsid w:val="003922DE"/>
    <w:rsid w:val="00392E35"/>
    <w:rsid w:val="00393247"/>
    <w:rsid w:val="00393551"/>
    <w:rsid w:val="00393806"/>
    <w:rsid w:val="00393816"/>
    <w:rsid w:val="00393FCD"/>
    <w:rsid w:val="003944EA"/>
    <w:rsid w:val="00394639"/>
    <w:rsid w:val="00394DF6"/>
    <w:rsid w:val="00394EC6"/>
    <w:rsid w:val="00395A02"/>
    <w:rsid w:val="00395CD9"/>
    <w:rsid w:val="003962E6"/>
    <w:rsid w:val="00396831"/>
    <w:rsid w:val="003971A1"/>
    <w:rsid w:val="00397D02"/>
    <w:rsid w:val="003A0F6B"/>
    <w:rsid w:val="003A12B6"/>
    <w:rsid w:val="003A1C44"/>
    <w:rsid w:val="003A20D5"/>
    <w:rsid w:val="003A24CC"/>
    <w:rsid w:val="003A2512"/>
    <w:rsid w:val="003A2A53"/>
    <w:rsid w:val="003A2EE8"/>
    <w:rsid w:val="003A373C"/>
    <w:rsid w:val="003A5378"/>
    <w:rsid w:val="003A553C"/>
    <w:rsid w:val="003A56DF"/>
    <w:rsid w:val="003A5FAC"/>
    <w:rsid w:val="003A6008"/>
    <w:rsid w:val="003A703F"/>
    <w:rsid w:val="003A7E2B"/>
    <w:rsid w:val="003A7E40"/>
    <w:rsid w:val="003B0336"/>
    <w:rsid w:val="003B0A3A"/>
    <w:rsid w:val="003B0D79"/>
    <w:rsid w:val="003B24AF"/>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C3B"/>
    <w:rsid w:val="003C3292"/>
    <w:rsid w:val="003C3C1E"/>
    <w:rsid w:val="003C3D88"/>
    <w:rsid w:val="003C4134"/>
    <w:rsid w:val="003C435B"/>
    <w:rsid w:val="003C4EBE"/>
    <w:rsid w:val="003C62EC"/>
    <w:rsid w:val="003C685A"/>
    <w:rsid w:val="003C6E9C"/>
    <w:rsid w:val="003C746F"/>
    <w:rsid w:val="003C7570"/>
    <w:rsid w:val="003C75E1"/>
    <w:rsid w:val="003C76E6"/>
    <w:rsid w:val="003C7E59"/>
    <w:rsid w:val="003C7F12"/>
    <w:rsid w:val="003D03D6"/>
    <w:rsid w:val="003D075D"/>
    <w:rsid w:val="003D0EE2"/>
    <w:rsid w:val="003D1283"/>
    <w:rsid w:val="003D14C8"/>
    <w:rsid w:val="003D1517"/>
    <w:rsid w:val="003D16C5"/>
    <w:rsid w:val="003D1CA9"/>
    <w:rsid w:val="003D283E"/>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57"/>
    <w:rsid w:val="003D75D8"/>
    <w:rsid w:val="003E006E"/>
    <w:rsid w:val="003E0947"/>
    <w:rsid w:val="003E0E96"/>
    <w:rsid w:val="003E20F7"/>
    <w:rsid w:val="003E2DBA"/>
    <w:rsid w:val="003E336A"/>
    <w:rsid w:val="003E3C1D"/>
    <w:rsid w:val="003E3E2F"/>
    <w:rsid w:val="003E4048"/>
    <w:rsid w:val="003E434F"/>
    <w:rsid w:val="003E4BDB"/>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A4B"/>
    <w:rsid w:val="003F4B48"/>
    <w:rsid w:val="003F4DDC"/>
    <w:rsid w:val="003F56B8"/>
    <w:rsid w:val="003F59E5"/>
    <w:rsid w:val="003F5F1A"/>
    <w:rsid w:val="003F6327"/>
    <w:rsid w:val="003F6E11"/>
    <w:rsid w:val="003F7425"/>
    <w:rsid w:val="003F765B"/>
    <w:rsid w:val="003F7CB8"/>
    <w:rsid w:val="00400CB4"/>
    <w:rsid w:val="00401386"/>
    <w:rsid w:val="004013E6"/>
    <w:rsid w:val="00401E31"/>
    <w:rsid w:val="00402BBA"/>
    <w:rsid w:val="004035D0"/>
    <w:rsid w:val="0040361D"/>
    <w:rsid w:val="00403776"/>
    <w:rsid w:val="00403795"/>
    <w:rsid w:val="004041FB"/>
    <w:rsid w:val="0040443E"/>
    <w:rsid w:val="004046E2"/>
    <w:rsid w:val="00405115"/>
    <w:rsid w:val="004056B6"/>
    <w:rsid w:val="00405764"/>
    <w:rsid w:val="00406745"/>
    <w:rsid w:val="0040674B"/>
    <w:rsid w:val="00406B32"/>
    <w:rsid w:val="004074FA"/>
    <w:rsid w:val="00407A56"/>
    <w:rsid w:val="00407FCC"/>
    <w:rsid w:val="0041035A"/>
    <w:rsid w:val="00410923"/>
    <w:rsid w:val="00410E76"/>
    <w:rsid w:val="004112D1"/>
    <w:rsid w:val="004113C9"/>
    <w:rsid w:val="00411BDB"/>
    <w:rsid w:val="00411D1E"/>
    <w:rsid w:val="00411DF2"/>
    <w:rsid w:val="00411F4A"/>
    <w:rsid w:val="004120DF"/>
    <w:rsid w:val="004126B5"/>
    <w:rsid w:val="004130C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5A3"/>
    <w:rsid w:val="00424867"/>
    <w:rsid w:val="00425341"/>
    <w:rsid w:val="004255FE"/>
    <w:rsid w:val="00425674"/>
    <w:rsid w:val="00425A7F"/>
    <w:rsid w:val="00425A82"/>
    <w:rsid w:val="00425C60"/>
    <w:rsid w:val="00426B2C"/>
    <w:rsid w:val="00427FA8"/>
    <w:rsid w:val="0043009D"/>
    <w:rsid w:val="0043026B"/>
    <w:rsid w:val="00430299"/>
    <w:rsid w:val="00430556"/>
    <w:rsid w:val="004306D4"/>
    <w:rsid w:val="00431A2A"/>
    <w:rsid w:val="00432ECA"/>
    <w:rsid w:val="0043554E"/>
    <w:rsid w:val="004355D4"/>
    <w:rsid w:val="004357B1"/>
    <w:rsid w:val="00435821"/>
    <w:rsid w:val="0043583E"/>
    <w:rsid w:val="00436012"/>
    <w:rsid w:val="00436CCE"/>
    <w:rsid w:val="00436EAD"/>
    <w:rsid w:val="004375E1"/>
    <w:rsid w:val="004377B7"/>
    <w:rsid w:val="00437A2F"/>
    <w:rsid w:val="00440262"/>
    <w:rsid w:val="004406BF"/>
    <w:rsid w:val="00440814"/>
    <w:rsid w:val="00440EE7"/>
    <w:rsid w:val="0044105D"/>
    <w:rsid w:val="00441424"/>
    <w:rsid w:val="00442731"/>
    <w:rsid w:val="00442C12"/>
    <w:rsid w:val="004434DF"/>
    <w:rsid w:val="0044354B"/>
    <w:rsid w:val="0044493E"/>
    <w:rsid w:val="00444A1F"/>
    <w:rsid w:val="00444FC6"/>
    <w:rsid w:val="004455D2"/>
    <w:rsid w:val="00445874"/>
    <w:rsid w:val="00445C38"/>
    <w:rsid w:val="0044686B"/>
    <w:rsid w:val="00446AEE"/>
    <w:rsid w:val="004475F7"/>
    <w:rsid w:val="0045057B"/>
    <w:rsid w:val="0045069B"/>
    <w:rsid w:val="00450B22"/>
    <w:rsid w:val="00451709"/>
    <w:rsid w:val="004518FA"/>
    <w:rsid w:val="00451A02"/>
    <w:rsid w:val="0045277C"/>
    <w:rsid w:val="00452909"/>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36A"/>
    <w:rsid w:val="004705FA"/>
    <w:rsid w:val="004708AC"/>
    <w:rsid w:val="00471387"/>
    <w:rsid w:val="0047146C"/>
    <w:rsid w:val="0047149F"/>
    <w:rsid w:val="00471963"/>
    <w:rsid w:val="004724B8"/>
    <w:rsid w:val="0047254E"/>
    <w:rsid w:val="004728FB"/>
    <w:rsid w:val="004729AD"/>
    <w:rsid w:val="00472CA7"/>
    <w:rsid w:val="00472CEC"/>
    <w:rsid w:val="00473308"/>
    <w:rsid w:val="0047377C"/>
    <w:rsid w:val="0047471E"/>
    <w:rsid w:val="004749DA"/>
    <w:rsid w:val="00474DEF"/>
    <w:rsid w:val="00475729"/>
    <w:rsid w:val="004758E7"/>
    <w:rsid w:val="00475BAB"/>
    <w:rsid w:val="00476221"/>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99E"/>
    <w:rsid w:val="0049117E"/>
    <w:rsid w:val="00492503"/>
    <w:rsid w:val="004925C8"/>
    <w:rsid w:val="00492AF9"/>
    <w:rsid w:val="00492B76"/>
    <w:rsid w:val="00492CA7"/>
    <w:rsid w:val="0049333E"/>
    <w:rsid w:val="00493E6A"/>
    <w:rsid w:val="0049418F"/>
    <w:rsid w:val="0049570D"/>
    <w:rsid w:val="00495C48"/>
    <w:rsid w:val="00495DC6"/>
    <w:rsid w:val="00496CCE"/>
    <w:rsid w:val="004978C1"/>
    <w:rsid w:val="00497AAD"/>
    <w:rsid w:val="00497BD7"/>
    <w:rsid w:val="00497D1A"/>
    <w:rsid w:val="004A00C9"/>
    <w:rsid w:val="004A03D0"/>
    <w:rsid w:val="004A0431"/>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84C"/>
    <w:rsid w:val="004A7B84"/>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6"/>
    <w:rsid w:val="004C61B8"/>
    <w:rsid w:val="004C69FE"/>
    <w:rsid w:val="004C6C0A"/>
    <w:rsid w:val="004C6C6D"/>
    <w:rsid w:val="004C77FF"/>
    <w:rsid w:val="004C7DB0"/>
    <w:rsid w:val="004C7FFC"/>
    <w:rsid w:val="004D0223"/>
    <w:rsid w:val="004D0881"/>
    <w:rsid w:val="004D0C4C"/>
    <w:rsid w:val="004D11F7"/>
    <w:rsid w:val="004D16A3"/>
    <w:rsid w:val="004D1934"/>
    <w:rsid w:val="004D1E41"/>
    <w:rsid w:val="004D2326"/>
    <w:rsid w:val="004D2A22"/>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38C"/>
    <w:rsid w:val="004F1523"/>
    <w:rsid w:val="004F1847"/>
    <w:rsid w:val="004F19CC"/>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714"/>
    <w:rsid w:val="004F6874"/>
    <w:rsid w:val="004F7922"/>
    <w:rsid w:val="004F7A1F"/>
    <w:rsid w:val="004F7B47"/>
    <w:rsid w:val="0050079C"/>
    <w:rsid w:val="0050106A"/>
    <w:rsid w:val="005010BC"/>
    <w:rsid w:val="005016A8"/>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380"/>
    <w:rsid w:val="005256D6"/>
    <w:rsid w:val="00525AD8"/>
    <w:rsid w:val="00526429"/>
    <w:rsid w:val="005266C1"/>
    <w:rsid w:val="005267F4"/>
    <w:rsid w:val="005269D3"/>
    <w:rsid w:val="00527317"/>
    <w:rsid w:val="00527ED6"/>
    <w:rsid w:val="00527F87"/>
    <w:rsid w:val="0053024F"/>
    <w:rsid w:val="00531064"/>
    <w:rsid w:val="005312CB"/>
    <w:rsid w:val="005313B2"/>
    <w:rsid w:val="00531911"/>
    <w:rsid w:val="00531E92"/>
    <w:rsid w:val="00532109"/>
    <w:rsid w:val="005324D7"/>
    <w:rsid w:val="005326F0"/>
    <w:rsid w:val="00532764"/>
    <w:rsid w:val="00532AA5"/>
    <w:rsid w:val="00532C5F"/>
    <w:rsid w:val="00533233"/>
    <w:rsid w:val="005335A2"/>
    <w:rsid w:val="00533D13"/>
    <w:rsid w:val="00533DEC"/>
    <w:rsid w:val="00534026"/>
    <w:rsid w:val="005346FA"/>
    <w:rsid w:val="00534D55"/>
    <w:rsid w:val="0053544F"/>
    <w:rsid w:val="00535B53"/>
    <w:rsid w:val="00536B03"/>
    <w:rsid w:val="00537456"/>
    <w:rsid w:val="0053790C"/>
    <w:rsid w:val="00537B3D"/>
    <w:rsid w:val="00540401"/>
    <w:rsid w:val="005405B2"/>
    <w:rsid w:val="0054076A"/>
    <w:rsid w:val="00540D47"/>
    <w:rsid w:val="00540EE7"/>
    <w:rsid w:val="005416EB"/>
    <w:rsid w:val="00541A22"/>
    <w:rsid w:val="00541EAD"/>
    <w:rsid w:val="005424C2"/>
    <w:rsid w:val="005426B2"/>
    <w:rsid w:val="0054275B"/>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5E5"/>
    <w:rsid w:val="00554C03"/>
    <w:rsid w:val="00554C58"/>
    <w:rsid w:val="00554D5D"/>
    <w:rsid w:val="005550F9"/>
    <w:rsid w:val="00555B42"/>
    <w:rsid w:val="00556338"/>
    <w:rsid w:val="00556441"/>
    <w:rsid w:val="00556777"/>
    <w:rsid w:val="00557031"/>
    <w:rsid w:val="005577B3"/>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C0B"/>
    <w:rsid w:val="00564DA7"/>
    <w:rsid w:val="00565204"/>
    <w:rsid w:val="00565473"/>
    <w:rsid w:val="005656E0"/>
    <w:rsid w:val="00565DAC"/>
    <w:rsid w:val="00565F0D"/>
    <w:rsid w:val="005662DC"/>
    <w:rsid w:val="00566329"/>
    <w:rsid w:val="005668B9"/>
    <w:rsid w:val="00566C18"/>
    <w:rsid w:val="00566E39"/>
    <w:rsid w:val="0056704E"/>
    <w:rsid w:val="00567623"/>
    <w:rsid w:val="005701C2"/>
    <w:rsid w:val="00570763"/>
    <w:rsid w:val="0057200B"/>
    <w:rsid w:val="00572297"/>
    <w:rsid w:val="00572748"/>
    <w:rsid w:val="0057345D"/>
    <w:rsid w:val="0057347D"/>
    <w:rsid w:val="00573560"/>
    <w:rsid w:val="00574E7B"/>
    <w:rsid w:val="00574F36"/>
    <w:rsid w:val="005755D4"/>
    <w:rsid w:val="00576B5C"/>
    <w:rsid w:val="005770CC"/>
    <w:rsid w:val="005802F9"/>
    <w:rsid w:val="005806D5"/>
    <w:rsid w:val="00580DFC"/>
    <w:rsid w:val="00581129"/>
    <w:rsid w:val="0058134C"/>
    <w:rsid w:val="005815CD"/>
    <w:rsid w:val="005827A7"/>
    <w:rsid w:val="00583D43"/>
    <w:rsid w:val="00583E09"/>
    <w:rsid w:val="005846C3"/>
    <w:rsid w:val="00584F04"/>
    <w:rsid w:val="0058544C"/>
    <w:rsid w:val="00585623"/>
    <w:rsid w:val="005857F7"/>
    <w:rsid w:val="005865E9"/>
    <w:rsid w:val="005868FD"/>
    <w:rsid w:val="00587A4A"/>
    <w:rsid w:val="00587D7B"/>
    <w:rsid w:val="005904DB"/>
    <w:rsid w:val="005905ED"/>
    <w:rsid w:val="00590D11"/>
    <w:rsid w:val="00591BA6"/>
    <w:rsid w:val="00592825"/>
    <w:rsid w:val="0059298A"/>
    <w:rsid w:val="00592C6D"/>
    <w:rsid w:val="00594437"/>
    <w:rsid w:val="00594B70"/>
    <w:rsid w:val="00594E57"/>
    <w:rsid w:val="00596CFA"/>
    <w:rsid w:val="00596EC6"/>
    <w:rsid w:val="005975CE"/>
    <w:rsid w:val="005A0088"/>
    <w:rsid w:val="005A04F6"/>
    <w:rsid w:val="005A14F0"/>
    <w:rsid w:val="005A1861"/>
    <w:rsid w:val="005A1A31"/>
    <w:rsid w:val="005A361D"/>
    <w:rsid w:val="005A36C2"/>
    <w:rsid w:val="005A3719"/>
    <w:rsid w:val="005A3DD7"/>
    <w:rsid w:val="005A40FA"/>
    <w:rsid w:val="005A465C"/>
    <w:rsid w:val="005A47D9"/>
    <w:rsid w:val="005A4C20"/>
    <w:rsid w:val="005A4F48"/>
    <w:rsid w:val="005A54F1"/>
    <w:rsid w:val="005A57B8"/>
    <w:rsid w:val="005A5DDE"/>
    <w:rsid w:val="005A64A8"/>
    <w:rsid w:val="005A65C5"/>
    <w:rsid w:val="005A6875"/>
    <w:rsid w:val="005A6AF9"/>
    <w:rsid w:val="005A6E96"/>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D83"/>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578"/>
    <w:rsid w:val="005D01C3"/>
    <w:rsid w:val="005D05FF"/>
    <w:rsid w:val="005D0FB4"/>
    <w:rsid w:val="005D1176"/>
    <w:rsid w:val="005D1747"/>
    <w:rsid w:val="005D2057"/>
    <w:rsid w:val="005D266D"/>
    <w:rsid w:val="005D2E20"/>
    <w:rsid w:val="005D306D"/>
    <w:rsid w:val="005D3327"/>
    <w:rsid w:val="005D456B"/>
    <w:rsid w:val="005D4854"/>
    <w:rsid w:val="005D5BCF"/>
    <w:rsid w:val="005D65BF"/>
    <w:rsid w:val="005D6D84"/>
    <w:rsid w:val="005D70A1"/>
    <w:rsid w:val="005D79F2"/>
    <w:rsid w:val="005D7CB1"/>
    <w:rsid w:val="005D7F57"/>
    <w:rsid w:val="005E0067"/>
    <w:rsid w:val="005E0141"/>
    <w:rsid w:val="005E0873"/>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1D8A"/>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369"/>
    <w:rsid w:val="00605217"/>
    <w:rsid w:val="006054A5"/>
    <w:rsid w:val="006059E4"/>
    <w:rsid w:val="00605D60"/>
    <w:rsid w:val="006062A0"/>
    <w:rsid w:val="00607015"/>
    <w:rsid w:val="0061098D"/>
    <w:rsid w:val="00610B78"/>
    <w:rsid w:val="006113AF"/>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4D4"/>
    <w:rsid w:val="006178B7"/>
    <w:rsid w:val="00617EFC"/>
    <w:rsid w:val="00620055"/>
    <w:rsid w:val="00620336"/>
    <w:rsid w:val="006204B3"/>
    <w:rsid w:val="006204C2"/>
    <w:rsid w:val="006212D3"/>
    <w:rsid w:val="00621639"/>
    <w:rsid w:val="00622B22"/>
    <w:rsid w:val="00622F67"/>
    <w:rsid w:val="00623571"/>
    <w:rsid w:val="00623A5E"/>
    <w:rsid w:val="00625008"/>
    <w:rsid w:val="0062548B"/>
    <w:rsid w:val="0062591F"/>
    <w:rsid w:val="00625B03"/>
    <w:rsid w:val="00626710"/>
    <w:rsid w:val="00626930"/>
    <w:rsid w:val="00626AD3"/>
    <w:rsid w:val="00626BAC"/>
    <w:rsid w:val="00626D00"/>
    <w:rsid w:val="006271C3"/>
    <w:rsid w:val="00627B14"/>
    <w:rsid w:val="0063001E"/>
    <w:rsid w:val="00630023"/>
    <w:rsid w:val="006308EE"/>
    <w:rsid w:val="00630C70"/>
    <w:rsid w:val="00630D67"/>
    <w:rsid w:val="00631005"/>
    <w:rsid w:val="00631C79"/>
    <w:rsid w:val="00632727"/>
    <w:rsid w:val="0063283D"/>
    <w:rsid w:val="00633769"/>
    <w:rsid w:val="00633C6A"/>
    <w:rsid w:val="00633FE3"/>
    <w:rsid w:val="00634276"/>
    <w:rsid w:val="00634570"/>
    <w:rsid w:val="0063487C"/>
    <w:rsid w:val="00635B73"/>
    <w:rsid w:val="00635BB7"/>
    <w:rsid w:val="00636CC7"/>
    <w:rsid w:val="00637F27"/>
    <w:rsid w:val="00637FD1"/>
    <w:rsid w:val="00640275"/>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487"/>
    <w:rsid w:val="006468ED"/>
    <w:rsid w:val="00647664"/>
    <w:rsid w:val="00650D19"/>
    <w:rsid w:val="00651DCA"/>
    <w:rsid w:val="00652CF5"/>
    <w:rsid w:val="0065343E"/>
    <w:rsid w:val="006536BB"/>
    <w:rsid w:val="0065393D"/>
    <w:rsid w:val="0065398F"/>
    <w:rsid w:val="00653C7C"/>
    <w:rsid w:val="00653E3C"/>
    <w:rsid w:val="00654252"/>
    <w:rsid w:val="006543B7"/>
    <w:rsid w:val="00654D45"/>
    <w:rsid w:val="00654EA5"/>
    <w:rsid w:val="0065587E"/>
    <w:rsid w:val="006558CD"/>
    <w:rsid w:val="00655C26"/>
    <w:rsid w:val="0065637A"/>
    <w:rsid w:val="00656998"/>
    <w:rsid w:val="00656E4D"/>
    <w:rsid w:val="006576BA"/>
    <w:rsid w:val="006600BF"/>
    <w:rsid w:val="006609FE"/>
    <w:rsid w:val="00660AF7"/>
    <w:rsid w:val="00660D3E"/>
    <w:rsid w:val="00661691"/>
    <w:rsid w:val="00662D3D"/>
    <w:rsid w:val="00662F1F"/>
    <w:rsid w:val="00663D15"/>
    <w:rsid w:val="00665030"/>
    <w:rsid w:val="00665670"/>
    <w:rsid w:val="006659EA"/>
    <w:rsid w:val="006661E8"/>
    <w:rsid w:val="00666424"/>
    <w:rsid w:val="006665B9"/>
    <w:rsid w:val="0066676C"/>
    <w:rsid w:val="006673B9"/>
    <w:rsid w:val="0066790C"/>
    <w:rsid w:val="00667FF0"/>
    <w:rsid w:val="00670C7C"/>
    <w:rsid w:val="00670F39"/>
    <w:rsid w:val="00671480"/>
    <w:rsid w:val="006717E7"/>
    <w:rsid w:val="00671C71"/>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77B9A"/>
    <w:rsid w:val="00680326"/>
    <w:rsid w:val="006804EA"/>
    <w:rsid w:val="00680714"/>
    <w:rsid w:val="0068071D"/>
    <w:rsid w:val="00680C6B"/>
    <w:rsid w:val="006811F3"/>
    <w:rsid w:val="00681240"/>
    <w:rsid w:val="00682EF6"/>
    <w:rsid w:val="00683068"/>
    <w:rsid w:val="0068367F"/>
    <w:rsid w:val="006838DE"/>
    <w:rsid w:val="00683DAD"/>
    <w:rsid w:val="00684592"/>
    <w:rsid w:val="00684840"/>
    <w:rsid w:val="00684963"/>
    <w:rsid w:val="00685033"/>
    <w:rsid w:val="0068517F"/>
    <w:rsid w:val="00685D65"/>
    <w:rsid w:val="00685FC8"/>
    <w:rsid w:val="00686051"/>
    <w:rsid w:val="00686E80"/>
    <w:rsid w:val="00687262"/>
    <w:rsid w:val="0068790B"/>
    <w:rsid w:val="00687AF2"/>
    <w:rsid w:val="006901AC"/>
    <w:rsid w:val="00690A5E"/>
    <w:rsid w:val="00690C8D"/>
    <w:rsid w:val="00691663"/>
    <w:rsid w:val="00691890"/>
    <w:rsid w:val="00691AAD"/>
    <w:rsid w:val="00692416"/>
    <w:rsid w:val="00692AFF"/>
    <w:rsid w:val="00692D2D"/>
    <w:rsid w:val="00693327"/>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05"/>
    <w:rsid w:val="006A150D"/>
    <w:rsid w:val="006A1B00"/>
    <w:rsid w:val="006A2766"/>
    <w:rsid w:val="006A33F7"/>
    <w:rsid w:val="006A39D0"/>
    <w:rsid w:val="006A3E91"/>
    <w:rsid w:val="006A4321"/>
    <w:rsid w:val="006A4B8E"/>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5D"/>
    <w:rsid w:val="006B5FBC"/>
    <w:rsid w:val="006B6ED2"/>
    <w:rsid w:val="006B7F74"/>
    <w:rsid w:val="006C0230"/>
    <w:rsid w:val="006C05C7"/>
    <w:rsid w:val="006C25AB"/>
    <w:rsid w:val="006C2DA6"/>
    <w:rsid w:val="006C3581"/>
    <w:rsid w:val="006C39A0"/>
    <w:rsid w:val="006C3EFE"/>
    <w:rsid w:val="006C445A"/>
    <w:rsid w:val="006C46C7"/>
    <w:rsid w:val="006C4767"/>
    <w:rsid w:val="006C4A1A"/>
    <w:rsid w:val="006C4D02"/>
    <w:rsid w:val="006C53A4"/>
    <w:rsid w:val="006C54DF"/>
    <w:rsid w:val="006C5D5D"/>
    <w:rsid w:val="006C627E"/>
    <w:rsid w:val="006C6303"/>
    <w:rsid w:val="006C6996"/>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935"/>
    <w:rsid w:val="006E11D6"/>
    <w:rsid w:val="006E17AC"/>
    <w:rsid w:val="006E189B"/>
    <w:rsid w:val="006E20D9"/>
    <w:rsid w:val="006E27AF"/>
    <w:rsid w:val="006E27DC"/>
    <w:rsid w:val="006E2902"/>
    <w:rsid w:val="006E2F9D"/>
    <w:rsid w:val="006E37C6"/>
    <w:rsid w:val="006E3CF3"/>
    <w:rsid w:val="006E41ED"/>
    <w:rsid w:val="006E4667"/>
    <w:rsid w:val="006E46B7"/>
    <w:rsid w:val="006E475A"/>
    <w:rsid w:val="006E486D"/>
    <w:rsid w:val="006E4880"/>
    <w:rsid w:val="006E48BB"/>
    <w:rsid w:val="006E51A0"/>
    <w:rsid w:val="006E727B"/>
    <w:rsid w:val="006E76C8"/>
    <w:rsid w:val="006E7A92"/>
    <w:rsid w:val="006F01FF"/>
    <w:rsid w:val="006F0CB2"/>
    <w:rsid w:val="006F116F"/>
    <w:rsid w:val="006F1DE9"/>
    <w:rsid w:val="006F2046"/>
    <w:rsid w:val="006F2165"/>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C67"/>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E4D"/>
    <w:rsid w:val="00714F9D"/>
    <w:rsid w:val="007154D8"/>
    <w:rsid w:val="00715577"/>
    <w:rsid w:val="0071604D"/>
    <w:rsid w:val="0071646F"/>
    <w:rsid w:val="00716C67"/>
    <w:rsid w:val="007170AB"/>
    <w:rsid w:val="0071779C"/>
    <w:rsid w:val="00717808"/>
    <w:rsid w:val="007208A7"/>
    <w:rsid w:val="00720B6A"/>
    <w:rsid w:val="007210F6"/>
    <w:rsid w:val="0072129A"/>
    <w:rsid w:val="0072139F"/>
    <w:rsid w:val="00721584"/>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FE0"/>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6DAC"/>
    <w:rsid w:val="00747165"/>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8B7"/>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489"/>
    <w:rsid w:val="007705F0"/>
    <w:rsid w:val="00770CA7"/>
    <w:rsid w:val="00771CAC"/>
    <w:rsid w:val="00772036"/>
    <w:rsid w:val="00773098"/>
    <w:rsid w:val="007736C2"/>
    <w:rsid w:val="007739A3"/>
    <w:rsid w:val="00773BD9"/>
    <w:rsid w:val="00773CB0"/>
    <w:rsid w:val="00773D71"/>
    <w:rsid w:val="00775526"/>
    <w:rsid w:val="00775651"/>
    <w:rsid w:val="00775E85"/>
    <w:rsid w:val="00775F3F"/>
    <w:rsid w:val="007768CE"/>
    <w:rsid w:val="0077710B"/>
    <w:rsid w:val="0077765A"/>
    <w:rsid w:val="00777808"/>
    <w:rsid w:val="00780032"/>
    <w:rsid w:val="00780636"/>
    <w:rsid w:val="00780A69"/>
    <w:rsid w:val="00780E86"/>
    <w:rsid w:val="0078108C"/>
    <w:rsid w:val="00781727"/>
    <w:rsid w:val="007823E8"/>
    <w:rsid w:val="00782CF3"/>
    <w:rsid w:val="00782DD6"/>
    <w:rsid w:val="00783959"/>
    <w:rsid w:val="00783BA5"/>
    <w:rsid w:val="007844A9"/>
    <w:rsid w:val="00785091"/>
    <w:rsid w:val="00785738"/>
    <w:rsid w:val="0078638C"/>
    <w:rsid w:val="007869F9"/>
    <w:rsid w:val="00786CBB"/>
    <w:rsid w:val="00786E21"/>
    <w:rsid w:val="0079038E"/>
    <w:rsid w:val="00790EBB"/>
    <w:rsid w:val="007916DF"/>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8E"/>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C4A"/>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B8C"/>
    <w:rsid w:val="007C7DD9"/>
    <w:rsid w:val="007D03BC"/>
    <w:rsid w:val="007D0DC9"/>
    <w:rsid w:val="007D0ECD"/>
    <w:rsid w:val="007D2882"/>
    <w:rsid w:val="007D296C"/>
    <w:rsid w:val="007D2C31"/>
    <w:rsid w:val="007D2E50"/>
    <w:rsid w:val="007D3D74"/>
    <w:rsid w:val="007D445F"/>
    <w:rsid w:val="007D4B02"/>
    <w:rsid w:val="007D4DED"/>
    <w:rsid w:val="007D5BA2"/>
    <w:rsid w:val="007D5ED3"/>
    <w:rsid w:val="007D682F"/>
    <w:rsid w:val="007D6FB9"/>
    <w:rsid w:val="007D7211"/>
    <w:rsid w:val="007E0595"/>
    <w:rsid w:val="007E0A63"/>
    <w:rsid w:val="007E0C63"/>
    <w:rsid w:val="007E0E05"/>
    <w:rsid w:val="007E0F5D"/>
    <w:rsid w:val="007E1C4E"/>
    <w:rsid w:val="007E1E2A"/>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940"/>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58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054B"/>
    <w:rsid w:val="008109AC"/>
    <w:rsid w:val="00812657"/>
    <w:rsid w:val="00812A1A"/>
    <w:rsid w:val="00812DFF"/>
    <w:rsid w:val="0081362F"/>
    <w:rsid w:val="0081383A"/>
    <w:rsid w:val="0081497F"/>
    <w:rsid w:val="00814B90"/>
    <w:rsid w:val="00814FC7"/>
    <w:rsid w:val="00816593"/>
    <w:rsid w:val="0081660C"/>
    <w:rsid w:val="00817195"/>
    <w:rsid w:val="00817416"/>
    <w:rsid w:val="00817658"/>
    <w:rsid w:val="008206AE"/>
    <w:rsid w:val="00820C6F"/>
    <w:rsid w:val="00821271"/>
    <w:rsid w:val="00821306"/>
    <w:rsid w:val="008213D9"/>
    <w:rsid w:val="008216CE"/>
    <w:rsid w:val="008218AE"/>
    <w:rsid w:val="00821D85"/>
    <w:rsid w:val="00821E47"/>
    <w:rsid w:val="008220F6"/>
    <w:rsid w:val="00822456"/>
    <w:rsid w:val="00822543"/>
    <w:rsid w:val="00822641"/>
    <w:rsid w:val="00823819"/>
    <w:rsid w:val="00823C4B"/>
    <w:rsid w:val="0082427D"/>
    <w:rsid w:val="008247D2"/>
    <w:rsid w:val="00825441"/>
    <w:rsid w:val="00826855"/>
    <w:rsid w:val="00827564"/>
    <w:rsid w:val="00830052"/>
    <w:rsid w:val="0083009C"/>
    <w:rsid w:val="008300D0"/>
    <w:rsid w:val="008308D8"/>
    <w:rsid w:val="008320D2"/>
    <w:rsid w:val="008321CE"/>
    <w:rsid w:val="0083257C"/>
    <w:rsid w:val="0083261B"/>
    <w:rsid w:val="0083273D"/>
    <w:rsid w:val="00832B44"/>
    <w:rsid w:val="00832EBA"/>
    <w:rsid w:val="00832EC9"/>
    <w:rsid w:val="00833307"/>
    <w:rsid w:val="00833583"/>
    <w:rsid w:val="00833B5B"/>
    <w:rsid w:val="00833E9A"/>
    <w:rsid w:val="00834386"/>
    <w:rsid w:val="00834A7E"/>
    <w:rsid w:val="00834FEF"/>
    <w:rsid w:val="00836323"/>
    <w:rsid w:val="00837D3D"/>
    <w:rsid w:val="00837E9B"/>
    <w:rsid w:val="00840163"/>
    <w:rsid w:val="008404AA"/>
    <w:rsid w:val="008406D7"/>
    <w:rsid w:val="0084074F"/>
    <w:rsid w:val="008407BA"/>
    <w:rsid w:val="00840AA3"/>
    <w:rsid w:val="00840AAC"/>
    <w:rsid w:val="0084101C"/>
    <w:rsid w:val="0084181B"/>
    <w:rsid w:val="00841F29"/>
    <w:rsid w:val="008422F6"/>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956"/>
    <w:rsid w:val="00862011"/>
    <w:rsid w:val="00862A15"/>
    <w:rsid w:val="00862CC9"/>
    <w:rsid w:val="00862D8E"/>
    <w:rsid w:val="00862EF2"/>
    <w:rsid w:val="008647AE"/>
    <w:rsid w:val="0086598A"/>
    <w:rsid w:val="00865C3D"/>
    <w:rsid w:val="00865F4C"/>
    <w:rsid w:val="00866453"/>
    <w:rsid w:val="0086707F"/>
    <w:rsid w:val="00867501"/>
    <w:rsid w:val="00867D8E"/>
    <w:rsid w:val="008700C0"/>
    <w:rsid w:val="0087058B"/>
    <w:rsid w:val="0087099A"/>
    <w:rsid w:val="00870D79"/>
    <w:rsid w:val="00871333"/>
    <w:rsid w:val="00871952"/>
    <w:rsid w:val="008719AD"/>
    <w:rsid w:val="00871E5D"/>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3A"/>
    <w:rsid w:val="00880354"/>
    <w:rsid w:val="0088093C"/>
    <w:rsid w:val="00880BC0"/>
    <w:rsid w:val="0088127A"/>
    <w:rsid w:val="00881D59"/>
    <w:rsid w:val="00882991"/>
    <w:rsid w:val="00882EC1"/>
    <w:rsid w:val="0088324E"/>
    <w:rsid w:val="00883304"/>
    <w:rsid w:val="008839E3"/>
    <w:rsid w:val="0088434F"/>
    <w:rsid w:val="00884371"/>
    <w:rsid w:val="008848E2"/>
    <w:rsid w:val="00884B7A"/>
    <w:rsid w:val="00884D47"/>
    <w:rsid w:val="008856C5"/>
    <w:rsid w:val="0088596B"/>
    <w:rsid w:val="00885A5E"/>
    <w:rsid w:val="00886112"/>
    <w:rsid w:val="008872B3"/>
    <w:rsid w:val="00887392"/>
    <w:rsid w:val="00887CDC"/>
    <w:rsid w:val="00890A45"/>
    <w:rsid w:val="00890A64"/>
    <w:rsid w:val="00890C40"/>
    <w:rsid w:val="0089122E"/>
    <w:rsid w:val="008912A7"/>
    <w:rsid w:val="0089183A"/>
    <w:rsid w:val="008920B4"/>
    <w:rsid w:val="00892427"/>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A55"/>
    <w:rsid w:val="008A3182"/>
    <w:rsid w:val="008A3C76"/>
    <w:rsid w:val="008A3D54"/>
    <w:rsid w:val="008A3E10"/>
    <w:rsid w:val="008A3F37"/>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7C7"/>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54C"/>
    <w:rsid w:val="008B770C"/>
    <w:rsid w:val="008C0325"/>
    <w:rsid w:val="008C065A"/>
    <w:rsid w:val="008C094A"/>
    <w:rsid w:val="008C1570"/>
    <w:rsid w:val="008C1792"/>
    <w:rsid w:val="008C17B2"/>
    <w:rsid w:val="008C1E3E"/>
    <w:rsid w:val="008C2059"/>
    <w:rsid w:val="008C213E"/>
    <w:rsid w:val="008C2150"/>
    <w:rsid w:val="008C21D0"/>
    <w:rsid w:val="008C2DBC"/>
    <w:rsid w:val="008C3A4E"/>
    <w:rsid w:val="008C511D"/>
    <w:rsid w:val="008C5371"/>
    <w:rsid w:val="008C623D"/>
    <w:rsid w:val="008C65F4"/>
    <w:rsid w:val="008C6683"/>
    <w:rsid w:val="008C6E0C"/>
    <w:rsid w:val="008C7273"/>
    <w:rsid w:val="008C78F8"/>
    <w:rsid w:val="008D05DF"/>
    <w:rsid w:val="008D09E8"/>
    <w:rsid w:val="008D0E65"/>
    <w:rsid w:val="008D110A"/>
    <w:rsid w:val="008D1612"/>
    <w:rsid w:val="008D1E2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6A1"/>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342"/>
    <w:rsid w:val="0090446A"/>
    <w:rsid w:val="00904537"/>
    <w:rsid w:val="00904DC3"/>
    <w:rsid w:val="0090534A"/>
    <w:rsid w:val="00905469"/>
    <w:rsid w:val="00906078"/>
    <w:rsid w:val="0090629C"/>
    <w:rsid w:val="0090662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FCF"/>
    <w:rsid w:val="0092077A"/>
    <w:rsid w:val="00920DC0"/>
    <w:rsid w:val="009214D3"/>
    <w:rsid w:val="00921892"/>
    <w:rsid w:val="009219F3"/>
    <w:rsid w:val="009221CB"/>
    <w:rsid w:val="00922320"/>
    <w:rsid w:val="00923643"/>
    <w:rsid w:val="00923E1A"/>
    <w:rsid w:val="009245CC"/>
    <w:rsid w:val="0092490A"/>
    <w:rsid w:val="009258F0"/>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3DF"/>
    <w:rsid w:val="0093386D"/>
    <w:rsid w:val="00934C8E"/>
    <w:rsid w:val="00935194"/>
    <w:rsid w:val="00935B24"/>
    <w:rsid w:val="00936EA5"/>
    <w:rsid w:val="00937114"/>
    <w:rsid w:val="0094015D"/>
    <w:rsid w:val="00940916"/>
    <w:rsid w:val="009412B7"/>
    <w:rsid w:val="00941B13"/>
    <w:rsid w:val="0094215C"/>
    <w:rsid w:val="00942F8E"/>
    <w:rsid w:val="00943543"/>
    <w:rsid w:val="00943735"/>
    <w:rsid w:val="00943833"/>
    <w:rsid w:val="009441DB"/>
    <w:rsid w:val="00944834"/>
    <w:rsid w:val="00946128"/>
    <w:rsid w:val="0094633F"/>
    <w:rsid w:val="00947BA5"/>
    <w:rsid w:val="009500E6"/>
    <w:rsid w:val="00950805"/>
    <w:rsid w:val="009517E4"/>
    <w:rsid w:val="009518D4"/>
    <w:rsid w:val="009520BC"/>
    <w:rsid w:val="009521D2"/>
    <w:rsid w:val="00952403"/>
    <w:rsid w:val="00952589"/>
    <w:rsid w:val="00952BD8"/>
    <w:rsid w:val="0095339E"/>
    <w:rsid w:val="00953573"/>
    <w:rsid w:val="009537C0"/>
    <w:rsid w:val="009543EC"/>
    <w:rsid w:val="00954BDB"/>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93A"/>
    <w:rsid w:val="00962FB8"/>
    <w:rsid w:val="00963183"/>
    <w:rsid w:val="009633AF"/>
    <w:rsid w:val="0096373F"/>
    <w:rsid w:val="00964007"/>
    <w:rsid w:val="00964283"/>
    <w:rsid w:val="009642A4"/>
    <w:rsid w:val="009643F4"/>
    <w:rsid w:val="009645A6"/>
    <w:rsid w:val="00964CF6"/>
    <w:rsid w:val="00964F5A"/>
    <w:rsid w:val="0096527F"/>
    <w:rsid w:val="009653ED"/>
    <w:rsid w:val="00966A21"/>
    <w:rsid w:val="00966AD2"/>
    <w:rsid w:val="00971415"/>
    <w:rsid w:val="009716D8"/>
    <w:rsid w:val="009719BD"/>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6E37"/>
    <w:rsid w:val="0098055B"/>
    <w:rsid w:val="00980B30"/>
    <w:rsid w:val="009810BE"/>
    <w:rsid w:val="009817BC"/>
    <w:rsid w:val="00981877"/>
    <w:rsid w:val="009819A7"/>
    <w:rsid w:val="0098220A"/>
    <w:rsid w:val="00982790"/>
    <w:rsid w:val="00982E75"/>
    <w:rsid w:val="00983337"/>
    <w:rsid w:val="009836AA"/>
    <w:rsid w:val="009846BF"/>
    <w:rsid w:val="009851F5"/>
    <w:rsid w:val="0098534B"/>
    <w:rsid w:val="00985F89"/>
    <w:rsid w:val="00986019"/>
    <w:rsid w:val="00986281"/>
    <w:rsid w:val="00986A1C"/>
    <w:rsid w:val="00986FC9"/>
    <w:rsid w:val="0098764E"/>
    <w:rsid w:val="00987683"/>
    <w:rsid w:val="00987826"/>
    <w:rsid w:val="00987AFC"/>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C22"/>
    <w:rsid w:val="00993E49"/>
    <w:rsid w:val="00994120"/>
    <w:rsid w:val="009942A4"/>
    <w:rsid w:val="009942F5"/>
    <w:rsid w:val="00994568"/>
    <w:rsid w:val="00994602"/>
    <w:rsid w:val="00995B01"/>
    <w:rsid w:val="00995E23"/>
    <w:rsid w:val="00996055"/>
    <w:rsid w:val="00996EF4"/>
    <w:rsid w:val="00997044"/>
    <w:rsid w:val="00997988"/>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216"/>
    <w:rsid w:val="009B66F5"/>
    <w:rsid w:val="009B7505"/>
    <w:rsid w:val="009B79ED"/>
    <w:rsid w:val="009C0020"/>
    <w:rsid w:val="009C03F7"/>
    <w:rsid w:val="009C10DA"/>
    <w:rsid w:val="009C19FC"/>
    <w:rsid w:val="009C21B9"/>
    <w:rsid w:val="009C27F7"/>
    <w:rsid w:val="009C3BC4"/>
    <w:rsid w:val="009C3C93"/>
    <w:rsid w:val="009C3E97"/>
    <w:rsid w:val="009C4017"/>
    <w:rsid w:val="009C424E"/>
    <w:rsid w:val="009C4708"/>
    <w:rsid w:val="009C47C5"/>
    <w:rsid w:val="009C4870"/>
    <w:rsid w:val="009C4C4E"/>
    <w:rsid w:val="009C4D37"/>
    <w:rsid w:val="009C574C"/>
    <w:rsid w:val="009C5753"/>
    <w:rsid w:val="009C5E42"/>
    <w:rsid w:val="009C620F"/>
    <w:rsid w:val="009C657D"/>
    <w:rsid w:val="009C6809"/>
    <w:rsid w:val="009C724B"/>
    <w:rsid w:val="009C7266"/>
    <w:rsid w:val="009C748A"/>
    <w:rsid w:val="009D03B7"/>
    <w:rsid w:val="009D07AD"/>
    <w:rsid w:val="009D0824"/>
    <w:rsid w:val="009D1172"/>
    <w:rsid w:val="009D13CC"/>
    <w:rsid w:val="009D1654"/>
    <w:rsid w:val="009D1AAC"/>
    <w:rsid w:val="009D1BDB"/>
    <w:rsid w:val="009D298F"/>
    <w:rsid w:val="009D2F9C"/>
    <w:rsid w:val="009D34CE"/>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1D7"/>
    <w:rsid w:val="009F020A"/>
    <w:rsid w:val="009F05AD"/>
    <w:rsid w:val="009F0659"/>
    <w:rsid w:val="009F1109"/>
    <w:rsid w:val="009F143E"/>
    <w:rsid w:val="009F1D72"/>
    <w:rsid w:val="009F1DE8"/>
    <w:rsid w:val="009F2186"/>
    <w:rsid w:val="009F227C"/>
    <w:rsid w:val="009F28DC"/>
    <w:rsid w:val="009F2EDB"/>
    <w:rsid w:val="009F33DC"/>
    <w:rsid w:val="009F4550"/>
    <w:rsid w:val="009F5511"/>
    <w:rsid w:val="009F56C0"/>
    <w:rsid w:val="009F5C76"/>
    <w:rsid w:val="009F6890"/>
    <w:rsid w:val="00A000C5"/>
    <w:rsid w:val="00A004F2"/>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196"/>
    <w:rsid w:val="00A0700C"/>
    <w:rsid w:val="00A102F8"/>
    <w:rsid w:val="00A10A20"/>
    <w:rsid w:val="00A117D5"/>
    <w:rsid w:val="00A11C11"/>
    <w:rsid w:val="00A12720"/>
    <w:rsid w:val="00A12ED1"/>
    <w:rsid w:val="00A13121"/>
    <w:rsid w:val="00A131F5"/>
    <w:rsid w:val="00A133C1"/>
    <w:rsid w:val="00A1340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73D"/>
    <w:rsid w:val="00A21838"/>
    <w:rsid w:val="00A22C3E"/>
    <w:rsid w:val="00A22C4D"/>
    <w:rsid w:val="00A22D41"/>
    <w:rsid w:val="00A2334E"/>
    <w:rsid w:val="00A23442"/>
    <w:rsid w:val="00A249D2"/>
    <w:rsid w:val="00A254AB"/>
    <w:rsid w:val="00A259F2"/>
    <w:rsid w:val="00A26060"/>
    <w:rsid w:val="00A266CC"/>
    <w:rsid w:val="00A26DB4"/>
    <w:rsid w:val="00A27425"/>
    <w:rsid w:val="00A3023E"/>
    <w:rsid w:val="00A305C5"/>
    <w:rsid w:val="00A30919"/>
    <w:rsid w:val="00A31F05"/>
    <w:rsid w:val="00A31FD2"/>
    <w:rsid w:val="00A3404D"/>
    <w:rsid w:val="00A341AB"/>
    <w:rsid w:val="00A34290"/>
    <w:rsid w:val="00A355F9"/>
    <w:rsid w:val="00A357D3"/>
    <w:rsid w:val="00A35856"/>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37E"/>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8DB"/>
    <w:rsid w:val="00A50EE7"/>
    <w:rsid w:val="00A526CE"/>
    <w:rsid w:val="00A541A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4E2"/>
    <w:rsid w:val="00A64545"/>
    <w:rsid w:val="00A645AC"/>
    <w:rsid w:val="00A64C79"/>
    <w:rsid w:val="00A64EC7"/>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77FB1"/>
    <w:rsid w:val="00A800F9"/>
    <w:rsid w:val="00A803A6"/>
    <w:rsid w:val="00A8073D"/>
    <w:rsid w:val="00A80D02"/>
    <w:rsid w:val="00A80FA3"/>
    <w:rsid w:val="00A815FB"/>
    <w:rsid w:val="00A81AEB"/>
    <w:rsid w:val="00A81D77"/>
    <w:rsid w:val="00A82D32"/>
    <w:rsid w:val="00A82EAE"/>
    <w:rsid w:val="00A82FC7"/>
    <w:rsid w:val="00A847F9"/>
    <w:rsid w:val="00A84F27"/>
    <w:rsid w:val="00A8519C"/>
    <w:rsid w:val="00A855EE"/>
    <w:rsid w:val="00A8597A"/>
    <w:rsid w:val="00A85B87"/>
    <w:rsid w:val="00A85F83"/>
    <w:rsid w:val="00A86019"/>
    <w:rsid w:val="00A86EED"/>
    <w:rsid w:val="00A8733A"/>
    <w:rsid w:val="00A90B59"/>
    <w:rsid w:val="00A9151F"/>
    <w:rsid w:val="00A91531"/>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09"/>
    <w:rsid w:val="00AB110C"/>
    <w:rsid w:val="00AB227A"/>
    <w:rsid w:val="00AB22BF"/>
    <w:rsid w:val="00AB256E"/>
    <w:rsid w:val="00AB2864"/>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4C9"/>
    <w:rsid w:val="00AC2D5F"/>
    <w:rsid w:val="00AC4094"/>
    <w:rsid w:val="00AC42B6"/>
    <w:rsid w:val="00AC4AB7"/>
    <w:rsid w:val="00AC51E0"/>
    <w:rsid w:val="00AC6D24"/>
    <w:rsid w:val="00AC6E18"/>
    <w:rsid w:val="00AC6E78"/>
    <w:rsid w:val="00AC7F64"/>
    <w:rsid w:val="00AD019C"/>
    <w:rsid w:val="00AD1065"/>
    <w:rsid w:val="00AD159E"/>
    <w:rsid w:val="00AD1ACC"/>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95"/>
    <w:rsid w:val="00AE3CF0"/>
    <w:rsid w:val="00AE4546"/>
    <w:rsid w:val="00AE4EBA"/>
    <w:rsid w:val="00AE6575"/>
    <w:rsid w:val="00AE71EE"/>
    <w:rsid w:val="00AF03CF"/>
    <w:rsid w:val="00AF0A0A"/>
    <w:rsid w:val="00AF12C7"/>
    <w:rsid w:val="00AF14FC"/>
    <w:rsid w:val="00AF1ED2"/>
    <w:rsid w:val="00AF1F4E"/>
    <w:rsid w:val="00AF2302"/>
    <w:rsid w:val="00AF262A"/>
    <w:rsid w:val="00AF3557"/>
    <w:rsid w:val="00AF3F86"/>
    <w:rsid w:val="00AF4CEE"/>
    <w:rsid w:val="00AF4F4A"/>
    <w:rsid w:val="00AF584C"/>
    <w:rsid w:val="00AF5D84"/>
    <w:rsid w:val="00AF6476"/>
    <w:rsid w:val="00AF64E4"/>
    <w:rsid w:val="00AF669D"/>
    <w:rsid w:val="00AF672C"/>
    <w:rsid w:val="00AF673E"/>
    <w:rsid w:val="00AF6935"/>
    <w:rsid w:val="00AF6ABE"/>
    <w:rsid w:val="00AF7389"/>
    <w:rsid w:val="00AF79DF"/>
    <w:rsid w:val="00AF7C37"/>
    <w:rsid w:val="00B00378"/>
    <w:rsid w:val="00B00D91"/>
    <w:rsid w:val="00B00E84"/>
    <w:rsid w:val="00B01DD9"/>
    <w:rsid w:val="00B01F0E"/>
    <w:rsid w:val="00B038F1"/>
    <w:rsid w:val="00B03ADB"/>
    <w:rsid w:val="00B03C1B"/>
    <w:rsid w:val="00B04678"/>
    <w:rsid w:val="00B047C9"/>
    <w:rsid w:val="00B04A04"/>
    <w:rsid w:val="00B04B78"/>
    <w:rsid w:val="00B04C37"/>
    <w:rsid w:val="00B04F00"/>
    <w:rsid w:val="00B05BA6"/>
    <w:rsid w:val="00B066FE"/>
    <w:rsid w:val="00B06912"/>
    <w:rsid w:val="00B07316"/>
    <w:rsid w:val="00B07F74"/>
    <w:rsid w:val="00B10618"/>
    <w:rsid w:val="00B106B2"/>
    <w:rsid w:val="00B10B04"/>
    <w:rsid w:val="00B10CC6"/>
    <w:rsid w:val="00B11932"/>
    <w:rsid w:val="00B11A61"/>
    <w:rsid w:val="00B12082"/>
    <w:rsid w:val="00B120AC"/>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20F"/>
    <w:rsid w:val="00B30563"/>
    <w:rsid w:val="00B3069E"/>
    <w:rsid w:val="00B30A76"/>
    <w:rsid w:val="00B31246"/>
    <w:rsid w:val="00B32295"/>
    <w:rsid w:val="00B33AB5"/>
    <w:rsid w:val="00B3412E"/>
    <w:rsid w:val="00B343E0"/>
    <w:rsid w:val="00B358EF"/>
    <w:rsid w:val="00B35B6D"/>
    <w:rsid w:val="00B35D53"/>
    <w:rsid w:val="00B367C4"/>
    <w:rsid w:val="00B36D3E"/>
    <w:rsid w:val="00B37B8E"/>
    <w:rsid w:val="00B40222"/>
    <w:rsid w:val="00B404C3"/>
    <w:rsid w:val="00B41A04"/>
    <w:rsid w:val="00B42743"/>
    <w:rsid w:val="00B430E9"/>
    <w:rsid w:val="00B4311F"/>
    <w:rsid w:val="00B431AE"/>
    <w:rsid w:val="00B4320C"/>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2"/>
    <w:rsid w:val="00B60613"/>
    <w:rsid w:val="00B61AEC"/>
    <w:rsid w:val="00B6244C"/>
    <w:rsid w:val="00B62A2F"/>
    <w:rsid w:val="00B62B7B"/>
    <w:rsid w:val="00B62EC1"/>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088"/>
    <w:rsid w:val="00B70200"/>
    <w:rsid w:val="00B702D7"/>
    <w:rsid w:val="00B702F5"/>
    <w:rsid w:val="00B70389"/>
    <w:rsid w:val="00B70E01"/>
    <w:rsid w:val="00B72CF0"/>
    <w:rsid w:val="00B7380E"/>
    <w:rsid w:val="00B7392D"/>
    <w:rsid w:val="00B740F6"/>
    <w:rsid w:val="00B74615"/>
    <w:rsid w:val="00B74789"/>
    <w:rsid w:val="00B755B6"/>
    <w:rsid w:val="00B75977"/>
    <w:rsid w:val="00B75A48"/>
    <w:rsid w:val="00B75CC0"/>
    <w:rsid w:val="00B76021"/>
    <w:rsid w:val="00B76FCD"/>
    <w:rsid w:val="00B77364"/>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0C"/>
    <w:rsid w:val="00B954D0"/>
    <w:rsid w:val="00B96DD9"/>
    <w:rsid w:val="00B96EA6"/>
    <w:rsid w:val="00B9789D"/>
    <w:rsid w:val="00B97A4C"/>
    <w:rsid w:val="00BA050E"/>
    <w:rsid w:val="00BA1289"/>
    <w:rsid w:val="00BA14B2"/>
    <w:rsid w:val="00BA1512"/>
    <w:rsid w:val="00BA15DC"/>
    <w:rsid w:val="00BA1E2F"/>
    <w:rsid w:val="00BA1EB8"/>
    <w:rsid w:val="00BA2039"/>
    <w:rsid w:val="00BA2C82"/>
    <w:rsid w:val="00BA3869"/>
    <w:rsid w:val="00BA4399"/>
    <w:rsid w:val="00BA4452"/>
    <w:rsid w:val="00BA46C6"/>
    <w:rsid w:val="00BA4ACF"/>
    <w:rsid w:val="00BA5039"/>
    <w:rsid w:val="00BA583B"/>
    <w:rsid w:val="00BA5993"/>
    <w:rsid w:val="00BA5DF2"/>
    <w:rsid w:val="00BA5EC7"/>
    <w:rsid w:val="00BA6319"/>
    <w:rsid w:val="00BA63CE"/>
    <w:rsid w:val="00BA676E"/>
    <w:rsid w:val="00BA6980"/>
    <w:rsid w:val="00BA6EF2"/>
    <w:rsid w:val="00BA7227"/>
    <w:rsid w:val="00BA763C"/>
    <w:rsid w:val="00BA784D"/>
    <w:rsid w:val="00BA7CD7"/>
    <w:rsid w:val="00BB00E5"/>
    <w:rsid w:val="00BB1688"/>
    <w:rsid w:val="00BB1C8D"/>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670"/>
    <w:rsid w:val="00BC692A"/>
    <w:rsid w:val="00BC76C5"/>
    <w:rsid w:val="00BC7F94"/>
    <w:rsid w:val="00BD0FBF"/>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4D1"/>
    <w:rsid w:val="00BF7EF5"/>
    <w:rsid w:val="00C00BF6"/>
    <w:rsid w:val="00C0234A"/>
    <w:rsid w:val="00C0247B"/>
    <w:rsid w:val="00C0378E"/>
    <w:rsid w:val="00C04314"/>
    <w:rsid w:val="00C04844"/>
    <w:rsid w:val="00C04BD0"/>
    <w:rsid w:val="00C05730"/>
    <w:rsid w:val="00C05AF4"/>
    <w:rsid w:val="00C05AFD"/>
    <w:rsid w:val="00C0661C"/>
    <w:rsid w:val="00C0675F"/>
    <w:rsid w:val="00C0702A"/>
    <w:rsid w:val="00C0724C"/>
    <w:rsid w:val="00C07C11"/>
    <w:rsid w:val="00C07E10"/>
    <w:rsid w:val="00C10015"/>
    <w:rsid w:val="00C10963"/>
    <w:rsid w:val="00C10DC5"/>
    <w:rsid w:val="00C1110A"/>
    <w:rsid w:val="00C11689"/>
    <w:rsid w:val="00C12414"/>
    <w:rsid w:val="00C12ECB"/>
    <w:rsid w:val="00C147A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5EF9"/>
    <w:rsid w:val="00C26164"/>
    <w:rsid w:val="00C261C1"/>
    <w:rsid w:val="00C26574"/>
    <w:rsid w:val="00C26DBF"/>
    <w:rsid w:val="00C27199"/>
    <w:rsid w:val="00C27204"/>
    <w:rsid w:val="00C304E9"/>
    <w:rsid w:val="00C30B0B"/>
    <w:rsid w:val="00C31320"/>
    <w:rsid w:val="00C316B4"/>
    <w:rsid w:val="00C32EED"/>
    <w:rsid w:val="00C332D4"/>
    <w:rsid w:val="00C33994"/>
    <w:rsid w:val="00C33A66"/>
    <w:rsid w:val="00C33E51"/>
    <w:rsid w:val="00C34C45"/>
    <w:rsid w:val="00C34C47"/>
    <w:rsid w:val="00C34FCE"/>
    <w:rsid w:val="00C35411"/>
    <w:rsid w:val="00C35B7E"/>
    <w:rsid w:val="00C35EED"/>
    <w:rsid w:val="00C36B2C"/>
    <w:rsid w:val="00C3701A"/>
    <w:rsid w:val="00C379EF"/>
    <w:rsid w:val="00C405C8"/>
    <w:rsid w:val="00C40C2F"/>
    <w:rsid w:val="00C415AC"/>
    <w:rsid w:val="00C4297A"/>
    <w:rsid w:val="00C4360C"/>
    <w:rsid w:val="00C439B8"/>
    <w:rsid w:val="00C43A0B"/>
    <w:rsid w:val="00C43EDA"/>
    <w:rsid w:val="00C43FEC"/>
    <w:rsid w:val="00C44134"/>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1F20"/>
    <w:rsid w:val="00C52E53"/>
    <w:rsid w:val="00C5301D"/>
    <w:rsid w:val="00C53511"/>
    <w:rsid w:val="00C53CE9"/>
    <w:rsid w:val="00C53FD2"/>
    <w:rsid w:val="00C5531B"/>
    <w:rsid w:val="00C55375"/>
    <w:rsid w:val="00C5570F"/>
    <w:rsid w:val="00C56C98"/>
    <w:rsid w:val="00C56DE1"/>
    <w:rsid w:val="00C56DEE"/>
    <w:rsid w:val="00C57120"/>
    <w:rsid w:val="00C571D5"/>
    <w:rsid w:val="00C575D4"/>
    <w:rsid w:val="00C61223"/>
    <w:rsid w:val="00C61246"/>
    <w:rsid w:val="00C618A8"/>
    <w:rsid w:val="00C61A78"/>
    <w:rsid w:val="00C61E22"/>
    <w:rsid w:val="00C629F3"/>
    <w:rsid w:val="00C62B88"/>
    <w:rsid w:val="00C62CD3"/>
    <w:rsid w:val="00C6335F"/>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C20"/>
    <w:rsid w:val="00C72F44"/>
    <w:rsid w:val="00C73670"/>
    <w:rsid w:val="00C737D1"/>
    <w:rsid w:val="00C738A0"/>
    <w:rsid w:val="00C73DE0"/>
    <w:rsid w:val="00C741D3"/>
    <w:rsid w:val="00C74609"/>
    <w:rsid w:val="00C749AB"/>
    <w:rsid w:val="00C75A8F"/>
    <w:rsid w:val="00C76129"/>
    <w:rsid w:val="00C76612"/>
    <w:rsid w:val="00C76C0C"/>
    <w:rsid w:val="00C76C30"/>
    <w:rsid w:val="00C76FFC"/>
    <w:rsid w:val="00C774E0"/>
    <w:rsid w:val="00C776BA"/>
    <w:rsid w:val="00C7791E"/>
    <w:rsid w:val="00C8112A"/>
    <w:rsid w:val="00C81716"/>
    <w:rsid w:val="00C82C2D"/>
    <w:rsid w:val="00C82EE9"/>
    <w:rsid w:val="00C832CB"/>
    <w:rsid w:val="00C84085"/>
    <w:rsid w:val="00C84A30"/>
    <w:rsid w:val="00C852DC"/>
    <w:rsid w:val="00C854A8"/>
    <w:rsid w:val="00C85677"/>
    <w:rsid w:val="00C85E17"/>
    <w:rsid w:val="00C85F02"/>
    <w:rsid w:val="00C85FE8"/>
    <w:rsid w:val="00C864EB"/>
    <w:rsid w:val="00C868A7"/>
    <w:rsid w:val="00C86ABA"/>
    <w:rsid w:val="00C86BF7"/>
    <w:rsid w:val="00C87164"/>
    <w:rsid w:val="00C8786A"/>
    <w:rsid w:val="00C87B8C"/>
    <w:rsid w:val="00C87BBA"/>
    <w:rsid w:val="00C87BD0"/>
    <w:rsid w:val="00C905E5"/>
    <w:rsid w:val="00C90754"/>
    <w:rsid w:val="00C90B95"/>
    <w:rsid w:val="00C90BC4"/>
    <w:rsid w:val="00C90CA9"/>
    <w:rsid w:val="00C91802"/>
    <w:rsid w:val="00C92E41"/>
    <w:rsid w:val="00C92F62"/>
    <w:rsid w:val="00C93097"/>
    <w:rsid w:val="00C93B40"/>
    <w:rsid w:val="00C93DB5"/>
    <w:rsid w:val="00C946A6"/>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55E"/>
    <w:rsid w:val="00CB0662"/>
    <w:rsid w:val="00CB0A82"/>
    <w:rsid w:val="00CB0F2F"/>
    <w:rsid w:val="00CB1556"/>
    <w:rsid w:val="00CB1AC4"/>
    <w:rsid w:val="00CB2913"/>
    <w:rsid w:val="00CB3970"/>
    <w:rsid w:val="00CB42B9"/>
    <w:rsid w:val="00CB4550"/>
    <w:rsid w:val="00CB4F39"/>
    <w:rsid w:val="00CB52A4"/>
    <w:rsid w:val="00CB537C"/>
    <w:rsid w:val="00CB58AE"/>
    <w:rsid w:val="00CB5A26"/>
    <w:rsid w:val="00CB645B"/>
    <w:rsid w:val="00CB688A"/>
    <w:rsid w:val="00CB6A93"/>
    <w:rsid w:val="00CB6C79"/>
    <w:rsid w:val="00CB77C3"/>
    <w:rsid w:val="00CB7BB1"/>
    <w:rsid w:val="00CB7E9C"/>
    <w:rsid w:val="00CC0072"/>
    <w:rsid w:val="00CC027A"/>
    <w:rsid w:val="00CC0915"/>
    <w:rsid w:val="00CC0CDC"/>
    <w:rsid w:val="00CC1398"/>
    <w:rsid w:val="00CC1AF5"/>
    <w:rsid w:val="00CC1B74"/>
    <w:rsid w:val="00CC291E"/>
    <w:rsid w:val="00CC2D03"/>
    <w:rsid w:val="00CC2EB0"/>
    <w:rsid w:val="00CC392C"/>
    <w:rsid w:val="00CC4701"/>
    <w:rsid w:val="00CC56B4"/>
    <w:rsid w:val="00CC5F95"/>
    <w:rsid w:val="00CC642A"/>
    <w:rsid w:val="00CC6AC7"/>
    <w:rsid w:val="00CC733D"/>
    <w:rsid w:val="00CC7617"/>
    <w:rsid w:val="00CC7E0D"/>
    <w:rsid w:val="00CC7E97"/>
    <w:rsid w:val="00CD00EB"/>
    <w:rsid w:val="00CD0AC3"/>
    <w:rsid w:val="00CD1255"/>
    <w:rsid w:val="00CD1484"/>
    <w:rsid w:val="00CD1892"/>
    <w:rsid w:val="00CD1C01"/>
    <w:rsid w:val="00CD1D00"/>
    <w:rsid w:val="00CD2009"/>
    <w:rsid w:val="00CD27AC"/>
    <w:rsid w:val="00CD2A82"/>
    <w:rsid w:val="00CD3CAB"/>
    <w:rsid w:val="00CD40FF"/>
    <w:rsid w:val="00CD420C"/>
    <w:rsid w:val="00CD44FF"/>
    <w:rsid w:val="00CD46A7"/>
    <w:rsid w:val="00CD47BC"/>
    <w:rsid w:val="00CD4E50"/>
    <w:rsid w:val="00CD57CB"/>
    <w:rsid w:val="00CD64E1"/>
    <w:rsid w:val="00CD66BA"/>
    <w:rsid w:val="00CD699D"/>
    <w:rsid w:val="00CD6AD3"/>
    <w:rsid w:val="00CD6BA3"/>
    <w:rsid w:val="00CD70DB"/>
    <w:rsid w:val="00CD7544"/>
    <w:rsid w:val="00CD78D4"/>
    <w:rsid w:val="00CE0697"/>
    <w:rsid w:val="00CE14CB"/>
    <w:rsid w:val="00CE2E2E"/>
    <w:rsid w:val="00CE3A51"/>
    <w:rsid w:val="00CE41F9"/>
    <w:rsid w:val="00CE59F6"/>
    <w:rsid w:val="00CE5FF3"/>
    <w:rsid w:val="00CE66CD"/>
    <w:rsid w:val="00CE6BA9"/>
    <w:rsid w:val="00CE71C3"/>
    <w:rsid w:val="00CE727A"/>
    <w:rsid w:val="00CF029C"/>
    <w:rsid w:val="00CF0AF0"/>
    <w:rsid w:val="00CF0EEA"/>
    <w:rsid w:val="00CF157E"/>
    <w:rsid w:val="00CF1631"/>
    <w:rsid w:val="00CF1834"/>
    <w:rsid w:val="00CF1AAA"/>
    <w:rsid w:val="00CF1EC2"/>
    <w:rsid w:val="00CF2ACF"/>
    <w:rsid w:val="00CF345B"/>
    <w:rsid w:val="00CF475F"/>
    <w:rsid w:val="00CF4D1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375"/>
    <w:rsid w:val="00D11FE3"/>
    <w:rsid w:val="00D12268"/>
    <w:rsid w:val="00D12393"/>
    <w:rsid w:val="00D12945"/>
    <w:rsid w:val="00D12CC0"/>
    <w:rsid w:val="00D12DA1"/>
    <w:rsid w:val="00D130C0"/>
    <w:rsid w:val="00D1343A"/>
    <w:rsid w:val="00D139ED"/>
    <w:rsid w:val="00D13D50"/>
    <w:rsid w:val="00D14101"/>
    <w:rsid w:val="00D144D8"/>
    <w:rsid w:val="00D14919"/>
    <w:rsid w:val="00D14E25"/>
    <w:rsid w:val="00D15470"/>
    <w:rsid w:val="00D1590E"/>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A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AC3"/>
    <w:rsid w:val="00D35F2F"/>
    <w:rsid w:val="00D35FC6"/>
    <w:rsid w:val="00D367E5"/>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26A"/>
    <w:rsid w:val="00D47E13"/>
    <w:rsid w:val="00D5064C"/>
    <w:rsid w:val="00D50C94"/>
    <w:rsid w:val="00D511E7"/>
    <w:rsid w:val="00D517ED"/>
    <w:rsid w:val="00D51A34"/>
    <w:rsid w:val="00D5251C"/>
    <w:rsid w:val="00D52F56"/>
    <w:rsid w:val="00D5340D"/>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5C3"/>
    <w:rsid w:val="00D671C7"/>
    <w:rsid w:val="00D675B0"/>
    <w:rsid w:val="00D675DE"/>
    <w:rsid w:val="00D678BB"/>
    <w:rsid w:val="00D67C79"/>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ADE"/>
    <w:rsid w:val="00D75D63"/>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048"/>
    <w:rsid w:val="00D8553D"/>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D65"/>
    <w:rsid w:val="00D92078"/>
    <w:rsid w:val="00D926F0"/>
    <w:rsid w:val="00D92A87"/>
    <w:rsid w:val="00D9384E"/>
    <w:rsid w:val="00D93AEE"/>
    <w:rsid w:val="00D9413E"/>
    <w:rsid w:val="00D94C8D"/>
    <w:rsid w:val="00D95F88"/>
    <w:rsid w:val="00D96698"/>
    <w:rsid w:val="00D96876"/>
    <w:rsid w:val="00D96940"/>
    <w:rsid w:val="00D96B12"/>
    <w:rsid w:val="00D96F59"/>
    <w:rsid w:val="00D97E43"/>
    <w:rsid w:val="00DA0175"/>
    <w:rsid w:val="00DA099C"/>
    <w:rsid w:val="00DA0F18"/>
    <w:rsid w:val="00DA2125"/>
    <w:rsid w:val="00DA21EC"/>
    <w:rsid w:val="00DA24DE"/>
    <w:rsid w:val="00DA270C"/>
    <w:rsid w:val="00DA281F"/>
    <w:rsid w:val="00DA3C5B"/>
    <w:rsid w:val="00DA3D23"/>
    <w:rsid w:val="00DA4A61"/>
    <w:rsid w:val="00DA5AFE"/>
    <w:rsid w:val="00DA5C8F"/>
    <w:rsid w:val="00DA61AB"/>
    <w:rsid w:val="00DA61CD"/>
    <w:rsid w:val="00DA624D"/>
    <w:rsid w:val="00DA6EE2"/>
    <w:rsid w:val="00DA718A"/>
    <w:rsid w:val="00DA78CF"/>
    <w:rsid w:val="00DA78D5"/>
    <w:rsid w:val="00DA7A89"/>
    <w:rsid w:val="00DA7BF4"/>
    <w:rsid w:val="00DB052F"/>
    <w:rsid w:val="00DB14D3"/>
    <w:rsid w:val="00DB154B"/>
    <w:rsid w:val="00DB1BDC"/>
    <w:rsid w:val="00DB2E0F"/>
    <w:rsid w:val="00DB3490"/>
    <w:rsid w:val="00DB3593"/>
    <w:rsid w:val="00DB4074"/>
    <w:rsid w:val="00DB440B"/>
    <w:rsid w:val="00DB4426"/>
    <w:rsid w:val="00DB4522"/>
    <w:rsid w:val="00DB4B40"/>
    <w:rsid w:val="00DB4F12"/>
    <w:rsid w:val="00DB4F21"/>
    <w:rsid w:val="00DB4F42"/>
    <w:rsid w:val="00DB540C"/>
    <w:rsid w:val="00DB65F7"/>
    <w:rsid w:val="00DB6F96"/>
    <w:rsid w:val="00DB71B9"/>
    <w:rsid w:val="00DB7662"/>
    <w:rsid w:val="00DB7E46"/>
    <w:rsid w:val="00DC073C"/>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143"/>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F06"/>
    <w:rsid w:val="00DD720D"/>
    <w:rsid w:val="00DD76D8"/>
    <w:rsid w:val="00DE0229"/>
    <w:rsid w:val="00DE04E0"/>
    <w:rsid w:val="00DE12F1"/>
    <w:rsid w:val="00DE1A9D"/>
    <w:rsid w:val="00DE1CB1"/>
    <w:rsid w:val="00DE2073"/>
    <w:rsid w:val="00DE30AC"/>
    <w:rsid w:val="00DE38D1"/>
    <w:rsid w:val="00DE4106"/>
    <w:rsid w:val="00DE466B"/>
    <w:rsid w:val="00DE48F4"/>
    <w:rsid w:val="00DE5069"/>
    <w:rsid w:val="00DE5563"/>
    <w:rsid w:val="00DE5925"/>
    <w:rsid w:val="00DE5C19"/>
    <w:rsid w:val="00DE5D48"/>
    <w:rsid w:val="00DE6346"/>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304"/>
    <w:rsid w:val="00DF6FD2"/>
    <w:rsid w:val="00DF72EF"/>
    <w:rsid w:val="00DF743D"/>
    <w:rsid w:val="00DF7724"/>
    <w:rsid w:val="00E000D8"/>
    <w:rsid w:val="00E00C1E"/>
    <w:rsid w:val="00E00F5F"/>
    <w:rsid w:val="00E010E6"/>
    <w:rsid w:val="00E01377"/>
    <w:rsid w:val="00E014E7"/>
    <w:rsid w:val="00E0218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EF"/>
    <w:rsid w:val="00E06E97"/>
    <w:rsid w:val="00E07B8F"/>
    <w:rsid w:val="00E07C04"/>
    <w:rsid w:val="00E10712"/>
    <w:rsid w:val="00E10DD1"/>
    <w:rsid w:val="00E1120B"/>
    <w:rsid w:val="00E1224C"/>
    <w:rsid w:val="00E1254C"/>
    <w:rsid w:val="00E12BDF"/>
    <w:rsid w:val="00E13326"/>
    <w:rsid w:val="00E13D07"/>
    <w:rsid w:val="00E14356"/>
    <w:rsid w:val="00E14961"/>
    <w:rsid w:val="00E14D76"/>
    <w:rsid w:val="00E15183"/>
    <w:rsid w:val="00E1590B"/>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EC0"/>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F30"/>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CCA"/>
    <w:rsid w:val="00E453D0"/>
    <w:rsid w:val="00E45A2C"/>
    <w:rsid w:val="00E46A6B"/>
    <w:rsid w:val="00E46A9C"/>
    <w:rsid w:val="00E47DB1"/>
    <w:rsid w:val="00E50BDD"/>
    <w:rsid w:val="00E510CF"/>
    <w:rsid w:val="00E513D7"/>
    <w:rsid w:val="00E519FE"/>
    <w:rsid w:val="00E5206C"/>
    <w:rsid w:val="00E52AAB"/>
    <w:rsid w:val="00E5448E"/>
    <w:rsid w:val="00E54A2B"/>
    <w:rsid w:val="00E54E0D"/>
    <w:rsid w:val="00E55247"/>
    <w:rsid w:val="00E558E5"/>
    <w:rsid w:val="00E55B3C"/>
    <w:rsid w:val="00E56795"/>
    <w:rsid w:val="00E57932"/>
    <w:rsid w:val="00E606C4"/>
    <w:rsid w:val="00E60811"/>
    <w:rsid w:val="00E60AB8"/>
    <w:rsid w:val="00E6103E"/>
    <w:rsid w:val="00E6185F"/>
    <w:rsid w:val="00E61D32"/>
    <w:rsid w:val="00E61D88"/>
    <w:rsid w:val="00E622D9"/>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3B07"/>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26"/>
    <w:rsid w:val="00E821B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6B2"/>
    <w:rsid w:val="00E9391C"/>
    <w:rsid w:val="00E93D05"/>
    <w:rsid w:val="00E949D7"/>
    <w:rsid w:val="00E951D8"/>
    <w:rsid w:val="00E953FB"/>
    <w:rsid w:val="00E95C2A"/>
    <w:rsid w:val="00E961CB"/>
    <w:rsid w:val="00E963BC"/>
    <w:rsid w:val="00E966A6"/>
    <w:rsid w:val="00E96E91"/>
    <w:rsid w:val="00E9751D"/>
    <w:rsid w:val="00E97DC6"/>
    <w:rsid w:val="00E97F7A"/>
    <w:rsid w:val="00EA0010"/>
    <w:rsid w:val="00EA0143"/>
    <w:rsid w:val="00EA032F"/>
    <w:rsid w:val="00EA089B"/>
    <w:rsid w:val="00EA1ACC"/>
    <w:rsid w:val="00EA2E21"/>
    <w:rsid w:val="00EA2EAA"/>
    <w:rsid w:val="00EA380C"/>
    <w:rsid w:val="00EA55C1"/>
    <w:rsid w:val="00EA613D"/>
    <w:rsid w:val="00EA6744"/>
    <w:rsid w:val="00EA7308"/>
    <w:rsid w:val="00EA7474"/>
    <w:rsid w:val="00EA74F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76A"/>
    <w:rsid w:val="00EB68E6"/>
    <w:rsid w:val="00EB6AE9"/>
    <w:rsid w:val="00EB6B2D"/>
    <w:rsid w:val="00EB71C9"/>
    <w:rsid w:val="00EB763E"/>
    <w:rsid w:val="00EB7B67"/>
    <w:rsid w:val="00EC07F1"/>
    <w:rsid w:val="00EC1AE7"/>
    <w:rsid w:val="00EC1E8A"/>
    <w:rsid w:val="00EC328C"/>
    <w:rsid w:val="00EC32F5"/>
    <w:rsid w:val="00EC3852"/>
    <w:rsid w:val="00EC41BC"/>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2BF"/>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305"/>
    <w:rsid w:val="00EF4DB4"/>
    <w:rsid w:val="00EF5234"/>
    <w:rsid w:val="00EF55E9"/>
    <w:rsid w:val="00EF59F0"/>
    <w:rsid w:val="00EF5B41"/>
    <w:rsid w:val="00EF5DA8"/>
    <w:rsid w:val="00EF611C"/>
    <w:rsid w:val="00EF625F"/>
    <w:rsid w:val="00EF62C0"/>
    <w:rsid w:val="00EF6D5A"/>
    <w:rsid w:val="00EF71E6"/>
    <w:rsid w:val="00F002BD"/>
    <w:rsid w:val="00F0058A"/>
    <w:rsid w:val="00F00630"/>
    <w:rsid w:val="00F00922"/>
    <w:rsid w:val="00F00924"/>
    <w:rsid w:val="00F0187E"/>
    <w:rsid w:val="00F01BE6"/>
    <w:rsid w:val="00F01F75"/>
    <w:rsid w:val="00F0217A"/>
    <w:rsid w:val="00F026D3"/>
    <w:rsid w:val="00F027E8"/>
    <w:rsid w:val="00F029C6"/>
    <w:rsid w:val="00F03395"/>
    <w:rsid w:val="00F034E6"/>
    <w:rsid w:val="00F03E4C"/>
    <w:rsid w:val="00F0470B"/>
    <w:rsid w:val="00F04D19"/>
    <w:rsid w:val="00F050A3"/>
    <w:rsid w:val="00F056BA"/>
    <w:rsid w:val="00F06340"/>
    <w:rsid w:val="00F0665D"/>
    <w:rsid w:val="00F06D42"/>
    <w:rsid w:val="00F07134"/>
    <w:rsid w:val="00F0724D"/>
    <w:rsid w:val="00F07378"/>
    <w:rsid w:val="00F104AD"/>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BA6"/>
    <w:rsid w:val="00F21C13"/>
    <w:rsid w:val="00F21E96"/>
    <w:rsid w:val="00F22362"/>
    <w:rsid w:val="00F22796"/>
    <w:rsid w:val="00F2296A"/>
    <w:rsid w:val="00F234A4"/>
    <w:rsid w:val="00F23562"/>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A6F"/>
    <w:rsid w:val="00F31CF5"/>
    <w:rsid w:val="00F3265C"/>
    <w:rsid w:val="00F328D4"/>
    <w:rsid w:val="00F32C4A"/>
    <w:rsid w:val="00F33262"/>
    <w:rsid w:val="00F343EE"/>
    <w:rsid w:val="00F353F4"/>
    <w:rsid w:val="00F35494"/>
    <w:rsid w:val="00F35607"/>
    <w:rsid w:val="00F359AB"/>
    <w:rsid w:val="00F35DBA"/>
    <w:rsid w:val="00F3619D"/>
    <w:rsid w:val="00F36B95"/>
    <w:rsid w:val="00F36D4E"/>
    <w:rsid w:val="00F36DDE"/>
    <w:rsid w:val="00F3722A"/>
    <w:rsid w:val="00F37366"/>
    <w:rsid w:val="00F379F0"/>
    <w:rsid w:val="00F37C99"/>
    <w:rsid w:val="00F37FCC"/>
    <w:rsid w:val="00F4081C"/>
    <w:rsid w:val="00F419B8"/>
    <w:rsid w:val="00F41ADD"/>
    <w:rsid w:val="00F41C0F"/>
    <w:rsid w:val="00F42856"/>
    <w:rsid w:val="00F42DF8"/>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5C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3F06"/>
    <w:rsid w:val="00F64991"/>
    <w:rsid w:val="00F64F09"/>
    <w:rsid w:val="00F651A4"/>
    <w:rsid w:val="00F65BA9"/>
    <w:rsid w:val="00F65BC8"/>
    <w:rsid w:val="00F65EEA"/>
    <w:rsid w:val="00F66205"/>
    <w:rsid w:val="00F6630F"/>
    <w:rsid w:val="00F66419"/>
    <w:rsid w:val="00F66F8C"/>
    <w:rsid w:val="00F67079"/>
    <w:rsid w:val="00F67B58"/>
    <w:rsid w:val="00F67E81"/>
    <w:rsid w:val="00F701EC"/>
    <w:rsid w:val="00F7044B"/>
    <w:rsid w:val="00F70FD4"/>
    <w:rsid w:val="00F71342"/>
    <w:rsid w:val="00F71C68"/>
    <w:rsid w:val="00F724E2"/>
    <w:rsid w:val="00F74103"/>
    <w:rsid w:val="00F7410A"/>
    <w:rsid w:val="00F745A4"/>
    <w:rsid w:val="00F74C0C"/>
    <w:rsid w:val="00F75003"/>
    <w:rsid w:val="00F758E1"/>
    <w:rsid w:val="00F75BB5"/>
    <w:rsid w:val="00F75FD5"/>
    <w:rsid w:val="00F7604C"/>
    <w:rsid w:val="00F762B6"/>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EA5"/>
    <w:rsid w:val="00F87282"/>
    <w:rsid w:val="00F878CD"/>
    <w:rsid w:val="00F87905"/>
    <w:rsid w:val="00F87A66"/>
    <w:rsid w:val="00F90A75"/>
    <w:rsid w:val="00F90C1F"/>
    <w:rsid w:val="00F90D01"/>
    <w:rsid w:val="00F912D9"/>
    <w:rsid w:val="00F91A44"/>
    <w:rsid w:val="00F91BFA"/>
    <w:rsid w:val="00F91F8F"/>
    <w:rsid w:val="00F9217B"/>
    <w:rsid w:val="00F9774C"/>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D64"/>
    <w:rsid w:val="00FB20EA"/>
    <w:rsid w:val="00FB2A34"/>
    <w:rsid w:val="00FB2BF5"/>
    <w:rsid w:val="00FB2F8E"/>
    <w:rsid w:val="00FB30C3"/>
    <w:rsid w:val="00FB39B0"/>
    <w:rsid w:val="00FB5138"/>
    <w:rsid w:val="00FB547F"/>
    <w:rsid w:val="00FB5537"/>
    <w:rsid w:val="00FB5A71"/>
    <w:rsid w:val="00FB63F6"/>
    <w:rsid w:val="00FB7823"/>
    <w:rsid w:val="00FC05B2"/>
    <w:rsid w:val="00FC08B3"/>
    <w:rsid w:val="00FC09D7"/>
    <w:rsid w:val="00FC0ABE"/>
    <w:rsid w:val="00FC1269"/>
    <w:rsid w:val="00FC22D0"/>
    <w:rsid w:val="00FC248E"/>
    <w:rsid w:val="00FC250E"/>
    <w:rsid w:val="00FC38D4"/>
    <w:rsid w:val="00FC391E"/>
    <w:rsid w:val="00FC39B3"/>
    <w:rsid w:val="00FC3BB7"/>
    <w:rsid w:val="00FC4345"/>
    <w:rsid w:val="00FC444A"/>
    <w:rsid w:val="00FC453D"/>
    <w:rsid w:val="00FC4A89"/>
    <w:rsid w:val="00FC600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648"/>
    <w:rsid w:val="00FE4783"/>
    <w:rsid w:val="00FE480D"/>
    <w:rsid w:val="00FE4ACC"/>
    <w:rsid w:val="00FE4F80"/>
    <w:rsid w:val="00FE570E"/>
    <w:rsid w:val="00FE6870"/>
    <w:rsid w:val="00FE6D8D"/>
    <w:rsid w:val="00FE713E"/>
    <w:rsid w:val="00FE7877"/>
    <w:rsid w:val="00FE7DD1"/>
    <w:rsid w:val="00FF0B4F"/>
    <w:rsid w:val="00FF0F58"/>
    <w:rsid w:val="00FF0FEC"/>
    <w:rsid w:val="00FF183C"/>
    <w:rsid w:val="00FF1A06"/>
    <w:rsid w:val="00FF1AD3"/>
    <w:rsid w:val="00FF1B46"/>
    <w:rsid w:val="00FF219D"/>
    <w:rsid w:val="00FF2A7B"/>
    <w:rsid w:val="00FF2AF6"/>
    <w:rsid w:val="00FF3D2B"/>
    <w:rsid w:val="00FF49B4"/>
    <w:rsid w:val="00FF49F4"/>
    <w:rsid w:val="00FF54BF"/>
    <w:rsid w:val="00FF5C6A"/>
    <w:rsid w:val="00FF651D"/>
    <w:rsid w:val="00FF6843"/>
    <w:rsid w:val="00FF6C25"/>
    <w:rsid w:val="010651D9"/>
    <w:rsid w:val="011F6449"/>
    <w:rsid w:val="01236AFB"/>
    <w:rsid w:val="019F7441"/>
    <w:rsid w:val="01B37585"/>
    <w:rsid w:val="01D1000E"/>
    <w:rsid w:val="01D55165"/>
    <w:rsid w:val="01DF6BF8"/>
    <w:rsid w:val="01EC2C57"/>
    <w:rsid w:val="026B2E25"/>
    <w:rsid w:val="02824D4D"/>
    <w:rsid w:val="02A14C7A"/>
    <w:rsid w:val="02DC4B10"/>
    <w:rsid w:val="02DD76CE"/>
    <w:rsid w:val="02F36323"/>
    <w:rsid w:val="02F5619C"/>
    <w:rsid w:val="0326446A"/>
    <w:rsid w:val="032D5555"/>
    <w:rsid w:val="036634D2"/>
    <w:rsid w:val="03853EB9"/>
    <w:rsid w:val="03DD35E4"/>
    <w:rsid w:val="04076900"/>
    <w:rsid w:val="041A5A3B"/>
    <w:rsid w:val="042311BA"/>
    <w:rsid w:val="042B157A"/>
    <w:rsid w:val="045E472C"/>
    <w:rsid w:val="048F763B"/>
    <w:rsid w:val="049F330E"/>
    <w:rsid w:val="04AA775C"/>
    <w:rsid w:val="04AF1889"/>
    <w:rsid w:val="04F66F48"/>
    <w:rsid w:val="05251E14"/>
    <w:rsid w:val="05A14F91"/>
    <w:rsid w:val="05A16594"/>
    <w:rsid w:val="05A7762D"/>
    <w:rsid w:val="060E5941"/>
    <w:rsid w:val="06110FAF"/>
    <w:rsid w:val="06493CA7"/>
    <w:rsid w:val="065A6178"/>
    <w:rsid w:val="066F1CF3"/>
    <w:rsid w:val="06930BB8"/>
    <w:rsid w:val="071D3900"/>
    <w:rsid w:val="07245D42"/>
    <w:rsid w:val="07264C62"/>
    <w:rsid w:val="077911D1"/>
    <w:rsid w:val="0779354C"/>
    <w:rsid w:val="07C724BB"/>
    <w:rsid w:val="07D016DD"/>
    <w:rsid w:val="08061376"/>
    <w:rsid w:val="08452D77"/>
    <w:rsid w:val="08455BEA"/>
    <w:rsid w:val="086401F8"/>
    <w:rsid w:val="08751CAA"/>
    <w:rsid w:val="087E4C40"/>
    <w:rsid w:val="08D66AD6"/>
    <w:rsid w:val="08DA33A3"/>
    <w:rsid w:val="08E17762"/>
    <w:rsid w:val="08E80F13"/>
    <w:rsid w:val="09335624"/>
    <w:rsid w:val="0944690F"/>
    <w:rsid w:val="09534647"/>
    <w:rsid w:val="09535675"/>
    <w:rsid w:val="095F057D"/>
    <w:rsid w:val="09642282"/>
    <w:rsid w:val="09733572"/>
    <w:rsid w:val="09772C16"/>
    <w:rsid w:val="09816D93"/>
    <w:rsid w:val="098353B5"/>
    <w:rsid w:val="09A92330"/>
    <w:rsid w:val="09B06B87"/>
    <w:rsid w:val="09C13146"/>
    <w:rsid w:val="09E04166"/>
    <w:rsid w:val="0A1C0718"/>
    <w:rsid w:val="0A262EFC"/>
    <w:rsid w:val="0A3E7710"/>
    <w:rsid w:val="0A47715C"/>
    <w:rsid w:val="0A517CAA"/>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5007C"/>
    <w:rsid w:val="0D4A7419"/>
    <w:rsid w:val="0D827401"/>
    <w:rsid w:val="0D84094E"/>
    <w:rsid w:val="0D8A00E9"/>
    <w:rsid w:val="0D8D589E"/>
    <w:rsid w:val="0DA01C73"/>
    <w:rsid w:val="0DD63300"/>
    <w:rsid w:val="0DF50604"/>
    <w:rsid w:val="0DF702FE"/>
    <w:rsid w:val="0E060E51"/>
    <w:rsid w:val="0E341099"/>
    <w:rsid w:val="0E5604B2"/>
    <w:rsid w:val="0E6D5D79"/>
    <w:rsid w:val="0E9D0089"/>
    <w:rsid w:val="0EB803EE"/>
    <w:rsid w:val="0EF94D4B"/>
    <w:rsid w:val="0F361EDC"/>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F3395"/>
    <w:rsid w:val="10F33360"/>
    <w:rsid w:val="10FC16EA"/>
    <w:rsid w:val="110F1D40"/>
    <w:rsid w:val="11266F33"/>
    <w:rsid w:val="118963A1"/>
    <w:rsid w:val="11AA463D"/>
    <w:rsid w:val="11C6522A"/>
    <w:rsid w:val="11D62F2F"/>
    <w:rsid w:val="11E104CC"/>
    <w:rsid w:val="11E20309"/>
    <w:rsid w:val="12255233"/>
    <w:rsid w:val="12503E84"/>
    <w:rsid w:val="12530213"/>
    <w:rsid w:val="127723A9"/>
    <w:rsid w:val="12862074"/>
    <w:rsid w:val="12883966"/>
    <w:rsid w:val="129E45B4"/>
    <w:rsid w:val="12AF3FCC"/>
    <w:rsid w:val="12D81596"/>
    <w:rsid w:val="13072A44"/>
    <w:rsid w:val="130907B3"/>
    <w:rsid w:val="135F4BE2"/>
    <w:rsid w:val="138F4D6A"/>
    <w:rsid w:val="139B1A0A"/>
    <w:rsid w:val="139D25C7"/>
    <w:rsid w:val="13BF3CE4"/>
    <w:rsid w:val="141008D8"/>
    <w:rsid w:val="14125FE6"/>
    <w:rsid w:val="146D271E"/>
    <w:rsid w:val="1483390B"/>
    <w:rsid w:val="14982588"/>
    <w:rsid w:val="149A5AD9"/>
    <w:rsid w:val="14A7619D"/>
    <w:rsid w:val="150536C3"/>
    <w:rsid w:val="150C1963"/>
    <w:rsid w:val="151447A0"/>
    <w:rsid w:val="154A6454"/>
    <w:rsid w:val="15762120"/>
    <w:rsid w:val="16673A7F"/>
    <w:rsid w:val="16A8729C"/>
    <w:rsid w:val="16B33777"/>
    <w:rsid w:val="16BC70A7"/>
    <w:rsid w:val="16C6339E"/>
    <w:rsid w:val="172A1309"/>
    <w:rsid w:val="172F2D79"/>
    <w:rsid w:val="17557BEF"/>
    <w:rsid w:val="17D2209B"/>
    <w:rsid w:val="17D349C1"/>
    <w:rsid w:val="1830729E"/>
    <w:rsid w:val="1870062C"/>
    <w:rsid w:val="18817102"/>
    <w:rsid w:val="18830A15"/>
    <w:rsid w:val="18852B28"/>
    <w:rsid w:val="188B5321"/>
    <w:rsid w:val="1944223D"/>
    <w:rsid w:val="19932372"/>
    <w:rsid w:val="19952B52"/>
    <w:rsid w:val="19A20DD5"/>
    <w:rsid w:val="19AE03F1"/>
    <w:rsid w:val="1A071A03"/>
    <w:rsid w:val="1A1F16AE"/>
    <w:rsid w:val="1A3B5C77"/>
    <w:rsid w:val="1A984BAD"/>
    <w:rsid w:val="1AB8220E"/>
    <w:rsid w:val="1AE4166C"/>
    <w:rsid w:val="1AF06CFB"/>
    <w:rsid w:val="1AF11B8D"/>
    <w:rsid w:val="1B11359C"/>
    <w:rsid w:val="1B2A271F"/>
    <w:rsid w:val="1B2E3311"/>
    <w:rsid w:val="1B530544"/>
    <w:rsid w:val="1B713184"/>
    <w:rsid w:val="1BA209CF"/>
    <w:rsid w:val="1BB4777D"/>
    <w:rsid w:val="1BD75AB8"/>
    <w:rsid w:val="1C0459C2"/>
    <w:rsid w:val="1C1B3B4A"/>
    <w:rsid w:val="1C312DFB"/>
    <w:rsid w:val="1C88086E"/>
    <w:rsid w:val="1C881568"/>
    <w:rsid w:val="1C9F3065"/>
    <w:rsid w:val="1CCB791D"/>
    <w:rsid w:val="1D266CE1"/>
    <w:rsid w:val="1D3963AF"/>
    <w:rsid w:val="1D6A673C"/>
    <w:rsid w:val="1D9247AE"/>
    <w:rsid w:val="1DB567EC"/>
    <w:rsid w:val="1DF51A98"/>
    <w:rsid w:val="1E3D060F"/>
    <w:rsid w:val="1E3F7D2E"/>
    <w:rsid w:val="1E4134E4"/>
    <w:rsid w:val="1E5062B3"/>
    <w:rsid w:val="1E523514"/>
    <w:rsid w:val="1E6C0125"/>
    <w:rsid w:val="1E714A66"/>
    <w:rsid w:val="1E802593"/>
    <w:rsid w:val="1EA703CC"/>
    <w:rsid w:val="1EB7330C"/>
    <w:rsid w:val="1EF119D4"/>
    <w:rsid w:val="1F0A0FF3"/>
    <w:rsid w:val="1F544E47"/>
    <w:rsid w:val="1F5771FF"/>
    <w:rsid w:val="1FE868A9"/>
    <w:rsid w:val="20034907"/>
    <w:rsid w:val="20173E4B"/>
    <w:rsid w:val="204E48BC"/>
    <w:rsid w:val="206649D8"/>
    <w:rsid w:val="208921B3"/>
    <w:rsid w:val="20973DEB"/>
    <w:rsid w:val="20B26522"/>
    <w:rsid w:val="20B44310"/>
    <w:rsid w:val="211116EB"/>
    <w:rsid w:val="21423951"/>
    <w:rsid w:val="216133FC"/>
    <w:rsid w:val="21D56769"/>
    <w:rsid w:val="21E52EF3"/>
    <w:rsid w:val="21FB5D7B"/>
    <w:rsid w:val="220B1C3D"/>
    <w:rsid w:val="22130F2B"/>
    <w:rsid w:val="221D1D20"/>
    <w:rsid w:val="22334A87"/>
    <w:rsid w:val="22712078"/>
    <w:rsid w:val="22995516"/>
    <w:rsid w:val="22BE6801"/>
    <w:rsid w:val="22E65270"/>
    <w:rsid w:val="233500BF"/>
    <w:rsid w:val="23377FF7"/>
    <w:rsid w:val="236B425F"/>
    <w:rsid w:val="23836192"/>
    <w:rsid w:val="23901F29"/>
    <w:rsid w:val="239C0061"/>
    <w:rsid w:val="23B908A4"/>
    <w:rsid w:val="23E95BEF"/>
    <w:rsid w:val="23FC63EE"/>
    <w:rsid w:val="23FD0064"/>
    <w:rsid w:val="245375B0"/>
    <w:rsid w:val="24642C0A"/>
    <w:rsid w:val="24B22173"/>
    <w:rsid w:val="24B95AD9"/>
    <w:rsid w:val="24BE24DA"/>
    <w:rsid w:val="24CF5825"/>
    <w:rsid w:val="24D663E6"/>
    <w:rsid w:val="24D77F2B"/>
    <w:rsid w:val="24E405D6"/>
    <w:rsid w:val="251C3F85"/>
    <w:rsid w:val="257B69FB"/>
    <w:rsid w:val="258B00E2"/>
    <w:rsid w:val="25A917A6"/>
    <w:rsid w:val="25BE27CC"/>
    <w:rsid w:val="25F74A5C"/>
    <w:rsid w:val="2628662C"/>
    <w:rsid w:val="262D45DE"/>
    <w:rsid w:val="26773C83"/>
    <w:rsid w:val="2681290F"/>
    <w:rsid w:val="26A05418"/>
    <w:rsid w:val="26A53EF9"/>
    <w:rsid w:val="26A94201"/>
    <w:rsid w:val="26AC274F"/>
    <w:rsid w:val="27044A29"/>
    <w:rsid w:val="27044CC2"/>
    <w:rsid w:val="271D34C8"/>
    <w:rsid w:val="276142BF"/>
    <w:rsid w:val="27783712"/>
    <w:rsid w:val="27907362"/>
    <w:rsid w:val="279C7F50"/>
    <w:rsid w:val="27B9532D"/>
    <w:rsid w:val="28333E1D"/>
    <w:rsid w:val="28454BD6"/>
    <w:rsid w:val="28455253"/>
    <w:rsid w:val="28551971"/>
    <w:rsid w:val="285B1C53"/>
    <w:rsid w:val="289F7086"/>
    <w:rsid w:val="28C32028"/>
    <w:rsid w:val="28CC490F"/>
    <w:rsid w:val="28DE40AA"/>
    <w:rsid w:val="29345E77"/>
    <w:rsid w:val="294C65AD"/>
    <w:rsid w:val="29806583"/>
    <w:rsid w:val="298B3C4C"/>
    <w:rsid w:val="298C38F4"/>
    <w:rsid w:val="29F26D24"/>
    <w:rsid w:val="29FD752C"/>
    <w:rsid w:val="2A15033F"/>
    <w:rsid w:val="2A1662C1"/>
    <w:rsid w:val="2A1C7367"/>
    <w:rsid w:val="2A2815FA"/>
    <w:rsid w:val="2A6D6092"/>
    <w:rsid w:val="2A7D76B4"/>
    <w:rsid w:val="2B437463"/>
    <w:rsid w:val="2B577D1D"/>
    <w:rsid w:val="2B7807EE"/>
    <w:rsid w:val="2BBF00EC"/>
    <w:rsid w:val="2BC37CFD"/>
    <w:rsid w:val="2BD5237F"/>
    <w:rsid w:val="2BE536CE"/>
    <w:rsid w:val="2BE758D9"/>
    <w:rsid w:val="2C09049E"/>
    <w:rsid w:val="2C0A653C"/>
    <w:rsid w:val="2C191F85"/>
    <w:rsid w:val="2CB154E0"/>
    <w:rsid w:val="2CB91BF9"/>
    <w:rsid w:val="2CE82D6F"/>
    <w:rsid w:val="2D343236"/>
    <w:rsid w:val="2DD15014"/>
    <w:rsid w:val="2DF72DE4"/>
    <w:rsid w:val="2E0220AF"/>
    <w:rsid w:val="2E4B082A"/>
    <w:rsid w:val="2E5D4E86"/>
    <w:rsid w:val="2E5D790B"/>
    <w:rsid w:val="2E9A3C18"/>
    <w:rsid w:val="2EBB0FEE"/>
    <w:rsid w:val="2EC63002"/>
    <w:rsid w:val="2F0A6B38"/>
    <w:rsid w:val="2F7F9450"/>
    <w:rsid w:val="2F946CCB"/>
    <w:rsid w:val="2FD25781"/>
    <w:rsid w:val="2FFD7934"/>
    <w:rsid w:val="30705F80"/>
    <w:rsid w:val="30733ACD"/>
    <w:rsid w:val="308C3862"/>
    <w:rsid w:val="309379D8"/>
    <w:rsid w:val="30A270F7"/>
    <w:rsid w:val="30DF1478"/>
    <w:rsid w:val="30EC586F"/>
    <w:rsid w:val="30EC7726"/>
    <w:rsid w:val="31717D8A"/>
    <w:rsid w:val="319C6071"/>
    <w:rsid w:val="31AC537E"/>
    <w:rsid w:val="31E3679B"/>
    <w:rsid w:val="31E732FD"/>
    <w:rsid w:val="32043AF7"/>
    <w:rsid w:val="32243050"/>
    <w:rsid w:val="32517576"/>
    <w:rsid w:val="32B47CB3"/>
    <w:rsid w:val="32BE5C2C"/>
    <w:rsid w:val="32FB6478"/>
    <w:rsid w:val="33263B3F"/>
    <w:rsid w:val="336963EB"/>
    <w:rsid w:val="337D538A"/>
    <w:rsid w:val="33816EEB"/>
    <w:rsid w:val="33EB55CD"/>
    <w:rsid w:val="33EC4C02"/>
    <w:rsid w:val="340D2360"/>
    <w:rsid w:val="3410665D"/>
    <w:rsid w:val="34211214"/>
    <w:rsid w:val="342B252D"/>
    <w:rsid w:val="342E63AB"/>
    <w:rsid w:val="34950E68"/>
    <w:rsid w:val="34986E94"/>
    <w:rsid w:val="34AF62C9"/>
    <w:rsid w:val="34CB4388"/>
    <w:rsid w:val="34FA6E12"/>
    <w:rsid w:val="358D5588"/>
    <w:rsid w:val="35B53FBD"/>
    <w:rsid w:val="35BF188D"/>
    <w:rsid w:val="363A3B40"/>
    <w:rsid w:val="365302AE"/>
    <w:rsid w:val="36607A0A"/>
    <w:rsid w:val="366E227C"/>
    <w:rsid w:val="366F2E0D"/>
    <w:rsid w:val="367B6A5C"/>
    <w:rsid w:val="368C1A6E"/>
    <w:rsid w:val="368C4817"/>
    <w:rsid w:val="36A74ADA"/>
    <w:rsid w:val="36AD60D5"/>
    <w:rsid w:val="36B224F9"/>
    <w:rsid w:val="36B56EBF"/>
    <w:rsid w:val="36EC0CC9"/>
    <w:rsid w:val="373F410B"/>
    <w:rsid w:val="37651D5C"/>
    <w:rsid w:val="37A8759A"/>
    <w:rsid w:val="37EE7094"/>
    <w:rsid w:val="38296C89"/>
    <w:rsid w:val="383002EB"/>
    <w:rsid w:val="38586797"/>
    <w:rsid w:val="38673418"/>
    <w:rsid w:val="386E58A0"/>
    <w:rsid w:val="38B10F09"/>
    <w:rsid w:val="38BC0149"/>
    <w:rsid w:val="38D87D1C"/>
    <w:rsid w:val="39636459"/>
    <w:rsid w:val="396B02B1"/>
    <w:rsid w:val="396B7F6C"/>
    <w:rsid w:val="39B417A9"/>
    <w:rsid w:val="39FC5695"/>
    <w:rsid w:val="3A006D8E"/>
    <w:rsid w:val="3A287454"/>
    <w:rsid w:val="3A3651E5"/>
    <w:rsid w:val="3A3F02FA"/>
    <w:rsid w:val="3A744481"/>
    <w:rsid w:val="3A86003D"/>
    <w:rsid w:val="3A8C7BEF"/>
    <w:rsid w:val="3A906246"/>
    <w:rsid w:val="3AEA2102"/>
    <w:rsid w:val="3B2349B7"/>
    <w:rsid w:val="3B393D14"/>
    <w:rsid w:val="3B616CFF"/>
    <w:rsid w:val="3B6259F6"/>
    <w:rsid w:val="3B976654"/>
    <w:rsid w:val="3BC01EFC"/>
    <w:rsid w:val="3BCA786A"/>
    <w:rsid w:val="3BD31E2F"/>
    <w:rsid w:val="3BF15831"/>
    <w:rsid w:val="3C105946"/>
    <w:rsid w:val="3C471448"/>
    <w:rsid w:val="3C5F759A"/>
    <w:rsid w:val="3C6C525A"/>
    <w:rsid w:val="3CCE23CB"/>
    <w:rsid w:val="3CD17D17"/>
    <w:rsid w:val="3D23052A"/>
    <w:rsid w:val="3D3C7F39"/>
    <w:rsid w:val="3D440F09"/>
    <w:rsid w:val="3D4504A0"/>
    <w:rsid w:val="3D620BB8"/>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77DD5"/>
    <w:rsid w:val="3FED388D"/>
    <w:rsid w:val="4019356B"/>
    <w:rsid w:val="40592157"/>
    <w:rsid w:val="406E1CAE"/>
    <w:rsid w:val="40A0133A"/>
    <w:rsid w:val="40B076ED"/>
    <w:rsid w:val="40C31A53"/>
    <w:rsid w:val="40D20119"/>
    <w:rsid w:val="40FF545D"/>
    <w:rsid w:val="410067C8"/>
    <w:rsid w:val="418F0D2A"/>
    <w:rsid w:val="41D01505"/>
    <w:rsid w:val="423B6D56"/>
    <w:rsid w:val="42474939"/>
    <w:rsid w:val="424C3C57"/>
    <w:rsid w:val="42613FF3"/>
    <w:rsid w:val="42660D96"/>
    <w:rsid w:val="428667D2"/>
    <w:rsid w:val="42B615B6"/>
    <w:rsid w:val="42CD1CE0"/>
    <w:rsid w:val="42E1381E"/>
    <w:rsid w:val="42ED6459"/>
    <w:rsid w:val="42FE58DD"/>
    <w:rsid w:val="43174B3D"/>
    <w:rsid w:val="43320480"/>
    <w:rsid w:val="434B790E"/>
    <w:rsid w:val="4360274F"/>
    <w:rsid w:val="43977AB6"/>
    <w:rsid w:val="43A3342B"/>
    <w:rsid w:val="43C77C27"/>
    <w:rsid w:val="43DE09EE"/>
    <w:rsid w:val="44002FAD"/>
    <w:rsid w:val="449101DD"/>
    <w:rsid w:val="44C2450D"/>
    <w:rsid w:val="44C60C2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03980"/>
    <w:rsid w:val="46657EEB"/>
    <w:rsid w:val="466A16E6"/>
    <w:rsid w:val="46772AB9"/>
    <w:rsid w:val="46893F2B"/>
    <w:rsid w:val="46B36C86"/>
    <w:rsid w:val="46C4686E"/>
    <w:rsid w:val="47047438"/>
    <w:rsid w:val="477B778F"/>
    <w:rsid w:val="478203EC"/>
    <w:rsid w:val="47A35617"/>
    <w:rsid w:val="47B025FA"/>
    <w:rsid w:val="4809698F"/>
    <w:rsid w:val="4811697D"/>
    <w:rsid w:val="483F527B"/>
    <w:rsid w:val="487A3E25"/>
    <w:rsid w:val="488B5503"/>
    <w:rsid w:val="48937E21"/>
    <w:rsid w:val="489A0361"/>
    <w:rsid w:val="48A81DB1"/>
    <w:rsid w:val="48B94FF3"/>
    <w:rsid w:val="48E37AAB"/>
    <w:rsid w:val="48FD4B4C"/>
    <w:rsid w:val="490A68E0"/>
    <w:rsid w:val="491055FE"/>
    <w:rsid w:val="495F5B3E"/>
    <w:rsid w:val="49631EB1"/>
    <w:rsid w:val="496730D6"/>
    <w:rsid w:val="496F77D7"/>
    <w:rsid w:val="497654FD"/>
    <w:rsid w:val="49B64211"/>
    <w:rsid w:val="49DF7B0E"/>
    <w:rsid w:val="49F6167F"/>
    <w:rsid w:val="4A064FA0"/>
    <w:rsid w:val="4A16615C"/>
    <w:rsid w:val="4A237F2C"/>
    <w:rsid w:val="4A3E237C"/>
    <w:rsid w:val="4A4424D7"/>
    <w:rsid w:val="4A7B229E"/>
    <w:rsid w:val="4AB82D0F"/>
    <w:rsid w:val="4AEB7664"/>
    <w:rsid w:val="4AFD7C19"/>
    <w:rsid w:val="4B0567D1"/>
    <w:rsid w:val="4B236AAE"/>
    <w:rsid w:val="4B707271"/>
    <w:rsid w:val="4B9739F7"/>
    <w:rsid w:val="4BB6517A"/>
    <w:rsid w:val="4BC63A47"/>
    <w:rsid w:val="4BEE2503"/>
    <w:rsid w:val="4C245A30"/>
    <w:rsid w:val="4CB6685F"/>
    <w:rsid w:val="4CC367FE"/>
    <w:rsid w:val="4D077F3C"/>
    <w:rsid w:val="4D123355"/>
    <w:rsid w:val="4D2A3B31"/>
    <w:rsid w:val="4D312C52"/>
    <w:rsid w:val="4D3D667F"/>
    <w:rsid w:val="4D905305"/>
    <w:rsid w:val="4D964A72"/>
    <w:rsid w:val="4D9C1254"/>
    <w:rsid w:val="4DCF5FFB"/>
    <w:rsid w:val="4DD51AB2"/>
    <w:rsid w:val="4E6112E3"/>
    <w:rsid w:val="4E6525CD"/>
    <w:rsid w:val="4E793892"/>
    <w:rsid w:val="4E800872"/>
    <w:rsid w:val="4EC569ED"/>
    <w:rsid w:val="4ED50EA1"/>
    <w:rsid w:val="4EEC050C"/>
    <w:rsid w:val="4F104EC3"/>
    <w:rsid w:val="4F47354A"/>
    <w:rsid w:val="4F911C54"/>
    <w:rsid w:val="4FCF4B55"/>
    <w:rsid w:val="4FE625E0"/>
    <w:rsid w:val="5021480F"/>
    <w:rsid w:val="50962ECB"/>
    <w:rsid w:val="50A42E38"/>
    <w:rsid w:val="50A4577F"/>
    <w:rsid w:val="50B73D1F"/>
    <w:rsid w:val="50BD5BC9"/>
    <w:rsid w:val="50C11EEE"/>
    <w:rsid w:val="50E53551"/>
    <w:rsid w:val="50E97CFC"/>
    <w:rsid w:val="50FA4028"/>
    <w:rsid w:val="510D65B7"/>
    <w:rsid w:val="511157AB"/>
    <w:rsid w:val="5142540C"/>
    <w:rsid w:val="514678AC"/>
    <w:rsid w:val="518832C8"/>
    <w:rsid w:val="51A0432A"/>
    <w:rsid w:val="51A86090"/>
    <w:rsid w:val="51B7396D"/>
    <w:rsid w:val="51E07AF3"/>
    <w:rsid w:val="522E4CC3"/>
    <w:rsid w:val="523B3735"/>
    <w:rsid w:val="5244713B"/>
    <w:rsid w:val="52615633"/>
    <w:rsid w:val="52977FD4"/>
    <w:rsid w:val="52A25790"/>
    <w:rsid w:val="52A96B6F"/>
    <w:rsid w:val="52B45975"/>
    <w:rsid w:val="52D94AA4"/>
    <w:rsid w:val="52EA3A62"/>
    <w:rsid w:val="52F50BB8"/>
    <w:rsid w:val="52F770B5"/>
    <w:rsid w:val="53097272"/>
    <w:rsid w:val="53544462"/>
    <w:rsid w:val="5397158E"/>
    <w:rsid w:val="53CA2530"/>
    <w:rsid w:val="54013861"/>
    <w:rsid w:val="54487265"/>
    <w:rsid w:val="544D6070"/>
    <w:rsid w:val="54605E1E"/>
    <w:rsid w:val="549C78B2"/>
    <w:rsid w:val="54B3506A"/>
    <w:rsid w:val="54CA0D16"/>
    <w:rsid w:val="54DD4057"/>
    <w:rsid w:val="54E7490F"/>
    <w:rsid w:val="550764A4"/>
    <w:rsid w:val="550B2BF6"/>
    <w:rsid w:val="55214EB5"/>
    <w:rsid w:val="55364EFD"/>
    <w:rsid w:val="555D4828"/>
    <w:rsid w:val="5579070C"/>
    <w:rsid w:val="557A4C8B"/>
    <w:rsid w:val="558931E1"/>
    <w:rsid w:val="55923347"/>
    <w:rsid w:val="55925180"/>
    <w:rsid w:val="55983B1B"/>
    <w:rsid w:val="55A8376B"/>
    <w:rsid w:val="55BD0103"/>
    <w:rsid w:val="55DC29B6"/>
    <w:rsid w:val="55DD4241"/>
    <w:rsid w:val="55FB25E4"/>
    <w:rsid w:val="562C310F"/>
    <w:rsid w:val="566B6D1E"/>
    <w:rsid w:val="57032A2C"/>
    <w:rsid w:val="570F5219"/>
    <w:rsid w:val="575D12B5"/>
    <w:rsid w:val="57610A87"/>
    <w:rsid w:val="5762216C"/>
    <w:rsid w:val="577B1140"/>
    <w:rsid w:val="577B7F21"/>
    <w:rsid w:val="577F181B"/>
    <w:rsid w:val="577F6A30"/>
    <w:rsid w:val="57921984"/>
    <w:rsid w:val="579737F0"/>
    <w:rsid w:val="57AB7B30"/>
    <w:rsid w:val="57AF5251"/>
    <w:rsid w:val="57B26373"/>
    <w:rsid w:val="57B63F04"/>
    <w:rsid w:val="57CD20C2"/>
    <w:rsid w:val="57D675AB"/>
    <w:rsid w:val="57D95FDD"/>
    <w:rsid w:val="588E373F"/>
    <w:rsid w:val="58917D2F"/>
    <w:rsid w:val="5894085C"/>
    <w:rsid w:val="58AE4F0C"/>
    <w:rsid w:val="58B85899"/>
    <w:rsid w:val="58E363A9"/>
    <w:rsid w:val="595E1678"/>
    <w:rsid w:val="596D5BD4"/>
    <w:rsid w:val="597E3DD8"/>
    <w:rsid w:val="59F80043"/>
    <w:rsid w:val="5A09252F"/>
    <w:rsid w:val="5A0B2778"/>
    <w:rsid w:val="5A2A7C7B"/>
    <w:rsid w:val="5A3E2560"/>
    <w:rsid w:val="5A4829A4"/>
    <w:rsid w:val="5A5D3B6E"/>
    <w:rsid w:val="5A637A76"/>
    <w:rsid w:val="5A6D33BA"/>
    <w:rsid w:val="5A792B1F"/>
    <w:rsid w:val="5A874767"/>
    <w:rsid w:val="5AAD6F28"/>
    <w:rsid w:val="5AD308BE"/>
    <w:rsid w:val="5AD63A24"/>
    <w:rsid w:val="5B2E1A1D"/>
    <w:rsid w:val="5B843A1C"/>
    <w:rsid w:val="5B873E3F"/>
    <w:rsid w:val="5BF00FA7"/>
    <w:rsid w:val="5C02690E"/>
    <w:rsid w:val="5C181857"/>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4E286E"/>
    <w:rsid w:val="5E552BBA"/>
    <w:rsid w:val="5E611C10"/>
    <w:rsid w:val="5E7F2414"/>
    <w:rsid w:val="5EFC7377"/>
    <w:rsid w:val="5F06174D"/>
    <w:rsid w:val="5F1809F0"/>
    <w:rsid w:val="5F285946"/>
    <w:rsid w:val="5F3A3602"/>
    <w:rsid w:val="5F5875E4"/>
    <w:rsid w:val="5F6277C6"/>
    <w:rsid w:val="5F6D0B1D"/>
    <w:rsid w:val="5F8D0B82"/>
    <w:rsid w:val="5FCC5339"/>
    <w:rsid w:val="5FE34A5B"/>
    <w:rsid w:val="5FE50E18"/>
    <w:rsid w:val="5FFE1E36"/>
    <w:rsid w:val="60232584"/>
    <w:rsid w:val="603F4EC3"/>
    <w:rsid w:val="607330CE"/>
    <w:rsid w:val="60791F08"/>
    <w:rsid w:val="60825176"/>
    <w:rsid w:val="609F2AC4"/>
    <w:rsid w:val="60C815AD"/>
    <w:rsid w:val="60EE645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3B045AD"/>
    <w:rsid w:val="64055776"/>
    <w:rsid w:val="64240056"/>
    <w:rsid w:val="643E143A"/>
    <w:rsid w:val="645F77A0"/>
    <w:rsid w:val="648B6EEF"/>
    <w:rsid w:val="64C158BF"/>
    <w:rsid w:val="64CE2EAA"/>
    <w:rsid w:val="64EF053F"/>
    <w:rsid w:val="653C3090"/>
    <w:rsid w:val="65854376"/>
    <w:rsid w:val="658767BE"/>
    <w:rsid w:val="65892531"/>
    <w:rsid w:val="66195831"/>
    <w:rsid w:val="662E75B1"/>
    <w:rsid w:val="66342412"/>
    <w:rsid w:val="66342C2E"/>
    <w:rsid w:val="663E784C"/>
    <w:rsid w:val="664B4A8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41732"/>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15EC8"/>
    <w:rsid w:val="6C226FCB"/>
    <w:rsid w:val="6C31226F"/>
    <w:rsid w:val="6C552F0B"/>
    <w:rsid w:val="6C6342D0"/>
    <w:rsid w:val="6C8C67B7"/>
    <w:rsid w:val="6C9D744C"/>
    <w:rsid w:val="6D167928"/>
    <w:rsid w:val="6D26299B"/>
    <w:rsid w:val="6D4772EC"/>
    <w:rsid w:val="6D9078AF"/>
    <w:rsid w:val="6DAA3FEF"/>
    <w:rsid w:val="6DC0172B"/>
    <w:rsid w:val="6DCB690C"/>
    <w:rsid w:val="6DD41A5B"/>
    <w:rsid w:val="6DF43C2E"/>
    <w:rsid w:val="6DF51CA3"/>
    <w:rsid w:val="6E015449"/>
    <w:rsid w:val="6E8335BD"/>
    <w:rsid w:val="6E8E12EF"/>
    <w:rsid w:val="6E972936"/>
    <w:rsid w:val="6ED446C5"/>
    <w:rsid w:val="6F2A7D94"/>
    <w:rsid w:val="6F8331F1"/>
    <w:rsid w:val="6F954CDA"/>
    <w:rsid w:val="6FAE1A09"/>
    <w:rsid w:val="6FD75BF8"/>
    <w:rsid w:val="6FFAFC79"/>
    <w:rsid w:val="70510491"/>
    <w:rsid w:val="707723D0"/>
    <w:rsid w:val="70F5661B"/>
    <w:rsid w:val="71270076"/>
    <w:rsid w:val="71292F9A"/>
    <w:rsid w:val="71360107"/>
    <w:rsid w:val="713B688E"/>
    <w:rsid w:val="718C0BE8"/>
    <w:rsid w:val="71D43752"/>
    <w:rsid w:val="71F1796A"/>
    <w:rsid w:val="72154626"/>
    <w:rsid w:val="72262B5D"/>
    <w:rsid w:val="72283FF7"/>
    <w:rsid w:val="722E7212"/>
    <w:rsid w:val="723A0474"/>
    <w:rsid w:val="725923E4"/>
    <w:rsid w:val="72864BF7"/>
    <w:rsid w:val="729023FC"/>
    <w:rsid w:val="734D253E"/>
    <w:rsid w:val="73B629C5"/>
    <w:rsid w:val="73C0646E"/>
    <w:rsid w:val="742222F5"/>
    <w:rsid w:val="744030B7"/>
    <w:rsid w:val="74463A57"/>
    <w:rsid w:val="74476126"/>
    <w:rsid w:val="74706664"/>
    <w:rsid w:val="747F3682"/>
    <w:rsid w:val="749C4185"/>
    <w:rsid w:val="74B42FD8"/>
    <w:rsid w:val="75067759"/>
    <w:rsid w:val="752E6DCD"/>
    <w:rsid w:val="7551380D"/>
    <w:rsid w:val="75600BE5"/>
    <w:rsid w:val="7564475C"/>
    <w:rsid w:val="7583797F"/>
    <w:rsid w:val="75AB15F6"/>
    <w:rsid w:val="75D20F1D"/>
    <w:rsid w:val="75DA2C18"/>
    <w:rsid w:val="75E6265A"/>
    <w:rsid w:val="75F54412"/>
    <w:rsid w:val="75FA730B"/>
    <w:rsid w:val="761D08E0"/>
    <w:rsid w:val="765D347C"/>
    <w:rsid w:val="765E32DA"/>
    <w:rsid w:val="76826699"/>
    <w:rsid w:val="76C87133"/>
    <w:rsid w:val="76CD08D5"/>
    <w:rsid w:val="76DB4B92"/>
    <w:rsid w:val="76E41B79"/>
    <w:rsid w:val="76FF4F35"/>
    <w:rsid w:val="77052AA4"/>
    <w:rsid w:val="77136511"/>
    <w:rsid w:val="77340A39"/>
    <w:rsid w:val="77351FD0"/>
    <w:rsid w:val="77472422"/>
    <w:rsid w:val="777F31F2"/>
    <w:rsid w:val="77D1700D"/>
    <w:rsid w:val="77D5323C"/>
    <w:rsid w:val="77EC04CC"/>
    <w:rsid w:val="78264F05"/>
    <w:rsid w:val="78775729"/>
    <w:rsid w:val="78A3591C"/>
    <w:rsid w:val="78A42DB0"/>
    <w:rsid w:val="78A656AB"/>
    <w:rsid w:val="78B2245C"/>
    <w:rsid w:val="78E172CC"/>
    <w:rsid w:val="78EA1D1F"/>
    <w:rsid w:val="78FF330B"/>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77773C"/>
    <w:rsid w:val="7A844B70"/>
    <w:rsid w:val="7A9674E6"/>
    <w:rsid w:val="7AAB1D04"/>
    <w:rsid w:val="7AAE0D3A"/>
    <w:rsid w:val="7ABA4368"/>
    <w:rsid w:val="7AD05746"/>
    <w:rsid w:val="7B257FFD"/>
    <w:rsid w:val="7B2D0204"/>
    <w:rsid w:val="7B2F405B"/>
    <w:rsid w:val="7B343476"/>
    <w:rsid w:val="7B5A2978"/>
    <w:rsid w:val="7B5A7E4C"/>
    <w:rsid w:val="7B667AF9"/>
    <w:rsid w:val="7B69349A"/>
    <w:rsid w:val="7B7468F8"/>
    <w:rsid w:val="7BEE0103"/>
    <w:rsid w:val="7BFF165D"/>
    <w:rsid w:val="7C0A0FE4"/>
    <w:rsid w:val="7C254906"/>
    <w:rsid w:val="7C541407"/>
    <w:rsid w:val="7C590818"/>
    <w:rsid w:val="7C7C10F6"/>
    <w:rsid w:val="7C853BEA"/>
    <w:rsid w:val="7C881368"/>
    <w:rsid w:val="7CE27788"/>
    <w:rsid w:val="7D0152B1"/>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E97E07"/>
    <w:rsid w:val="B47D94B7"/>
    <w:rsid w:val="BA7D2B8F"/>
    <w:rsid w:val="BB7FA927"/>
    <w:rsid w:val="BBFF4918"/>
    <w:rsid w:val="E3B379D4"/>
    <w:rsid w:val="F5FFD31F"/>
    <w:rsid w:val="FB7646A2"/>
    <w:rsid w:val="FFAAB3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tabs>
        <w:tab w:val="left" w:pos="432"/>
      </w:tabs>
      <w:adjustRightInd/>
      <w:spacing w:line="360" w:lineRule="auto"/>
      <w:jc w:val="left"/>
      <w:outlineLvl w:val="1"/>
    </w:pPr>
    <w:rPr>
      <w:rFonts w:ascii="仿宋_GB2312" w:hAnsi="仿宋" w:eastAsia="仿宋_GB2312"/>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9"/>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8"/>
    <w:qFormat/>
    <w:uiPriority w:val="0"/>
    <w:pPr>
      <w:adjustRightInd/>
      <w:spacing w:after="120" w:line="240" w:lineRule="auto"/>
      <w:ind w:left="420" w:leftChars="200" w:firstLine="210"/>
    </w:pPr>
    <w:rPr>
      <w:sz w:val="21"/>
    </w:rPr>
  </w:style>
  <w:style w:type="paragraph" w:styleId="3">
    <w:name w:val="Body Text Indent"/>
    <w:basedOn w:val="1"/>
    <w:next w:val="1"/>
    <w:link w:val="262"/>
    <w:qFormat/>
    <w:uiPriority w:val="0"/>
    <w:pPr>
      <w:spacing w:line="480" w:lineRule="exact"/>
      <w:ind w:firstLine="480" w:firstLineChars="200"/>
    </w:pPr>
    <w:rPr>
      <w:rFonts w:ascii="宋体" w:hAnsi="宋体"/>
      <w:sz w:val="24"/>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9">
    <w:name w:val="Plain Text"/>
    <w:basedOn w:val="1"/>
    <w:link w:val="122"/>
    <w:qFormat/>
    <w:uiPriority w:val="0"/>
    <w:rPr>
      <w:rFonts w:ascii="宋体" w:hAnsi="Courier New" w:cs="Arial"/>
      <w:snapToGrid w:val="0"/>
      <w:szCs w:val="21"/>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w:basedOn w:val="26"/>
    <w:link w:val="318"/>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9"/>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99"/>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jc w:val="center"/>
    </w:pPr>
    <w:rPr>
      <w:rFonts w:ascii="Calibri" w:hAnsi="Calibri" w:eastAsia="宋体"/>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2"/>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2"/>
    <w:qFormat/>
    <w:uiPriority w:val="0"/>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9"/>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jc w:val="center"/>
    </w:pPr>
    <w:rPr>
      <w:rFonts w:ascii="Arial" w:hAnsi="Arial" w:eastAsia="楷体"/>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未处理的提及2"/>
    <w:basedOn w:val="69"/>
    <w:semiHidden/>
    <w:unhideWhenUsed/>
    <w:qFormat/>
    <w:uiPriority w:val="99"/>
    <w:rPr>
      <w:color w:val="605E5C"/>
      <w:shd w:val="clear" w:color="auto" w:fill="E1DFDD"/>
    </w:rPr>
  </w:style>
  <w:style w:type="paragraph" w:customStyle="1" w:styleId="962">
    <w:name w:val="[Normal]"/>
    <w:qFormat/>
    <w:uiPriority w:val="0"/>
    <w:rPr>
      <w:rFonts w:ascii="宋体" w:hAnsi="宋体" w:eastAsia="宋体" w:cs="Times New Roman"/>
      <w:sz w:val="24"/>
      <w:szCs w:val="22"/>
      <w:lang w:val="zh-CN" w:eastAsia="zh-CN" w:bidi="ar-SA"/>
    </w:rPr>
  </w:style>
  <w:style w:type="paragraph" w:customStyle="1" w:styleId="963">
    <w:name w:val="DAS正文"/>
    <w:basedOn w:val="1"/>
    <w:qFormat/>
    <w:uiPriority w:val="0"/>
    <w:pPr>
      <w:spacing w:line="360" w:lineRule="auto"/>
      <w:ind w:right="181" w:firstLine="480" w:firstLineChars="200"/>
    </w:pPr>
    <w:rPr>
      <w:rFonts w:ascii="Verdana" w:hAnsi="Verdana"/>
      <w:sz w:val="24"/>
    </w:rPr>
  </w:style>
  <w:style w:type="character" w:customStyle="1" w:styleId="964">
    <w:name w:val="NormalCharacter"/>
    <w:qFormat/>
    <w:uiPriority w:val="0"/>
    <w:rPr>
      <w:snapToGrid w:val="0"/>
      <w:sz w:val="21"/>
      <w:lang w:val="en-US" w:eastAsia="zh-CN" w:bidi="ar-SA"/>
    </w:rPr>
  </w:style>
  <w:style w:type="paragraph" w:customStyle="1" w:styleId="965">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BC4BA-F84F-40BA-B0CB-2AC2101F0D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28136</Words>
  <Characters>29643</Characters>
  <Lines>35</Lines>
  <Paragraphs>64</Paragraphs>
  <TotalTime>7</TotalTime>
  <ScaleCrop>false</ScaleCrop>
  <LinksUpToDate>false</LinksUpToDate>
  <CharactersWithSpaces>30925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2022-10-31T09:25:00Z</dcterms:created>
  <dc:creator>玥</dc:creator>
  <cp:lastModifiedBy>邵璐</cp:lastModifiedBy>
  <cp:lastPrinted>2022-11-03T00:58:00Z</cp:lastPrinted>
  <dcterms:modified xsi:type="dcterms:W3CDTF">2022-11-07T03:14:53Z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