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cs="宋体"/>
          <w:b/>
          <w:color w:val="000000" w:themeColor="text1"/>
          <w:sz w:val="24"/>
          <w:highlight w:val="none"/>
          <w14:textFill>
            <w14:solidFill>
              <w14:schemeClr w14:val="tx1"/>
            </w14:solidFill>
          </w14:textFill>
        </w:rPr>
      </w:pPr>
    </w:p>
    <w:p>
      <w:pPr>
        <w:adjustRightInd/>
        <w:spacing w:line="360" w:lineRule="auto"/>
        <w:jc w:val="center"/>
        <w:rPr>
          <w:rFonts w:hint="eastAsia" w:ascii="宋体" w:hAnsi="宋体" w:eastAsia="宋体" w:cs="宋体"/>
          <w:b/>
          <w:bCs/>
          <w:color w:val="000000" w:themeColor="text1"/>
          <w:sz w:val="44"/>
          <w:szCs w:val="44"/>
          <w:highlight w:val="none"/>
          <w:lang w:eastAsia="zh-CN"/>
          <w14:textFill>
            <w14:solidFill>
              <w14:schemeClr w14:val="tx1"/>
            </w14:solidFill>
          </w14:textFill>
        </w:rPr>
      </w:pPr>
      <w:r>
        <w:rPr>
          <w:rFonts w:hint="eastAsia" w:ascii="宋体" w:hAnsi="宋体" w:eastAsia="宋体" w:cs="宋体"/>
          <w:b/>
          <w:bCs/>
          <w:color w:val="000000" w:themeColor="text1"/>
          <w:sz w:val="44"/>
          <w:szCs w:val="44"/>
          <w:highlight w:val="none"/>
          <w:lang w:eastAsia="zh-CN"/>
          <w14:textFill>
            <w14:solidFill>
              <w14:schemeClr w14:val="tx1"/>
            </w14:solidFill>
          </w14:textFill>
        </w:rPr>
        <w:t>拱墅区临丁路等7条、东新路等8条市属区管道路市政环卫一体化综合养护服务项目</w:t>
      </w:r>
    </w:p>
    <w:p>
      <w:pPr>
        <w:adjustRightInd/>
        <w:spacing w:line="360" w:lineRule="auto"/>
        <w:jc w:val="center"/>
        <w:rPr>
          <w:rFonts w:hint="eastAsia" w:ascii="宋体" w:hAnsi="宋体" w:eastAsia="宋体" w:cs="宋体"/>
          <w:color w:val="000000" w:themeColor="text1"/>
          <w:sz w:val="48"/>
          <w:szCs w:val="48"/>
          <w:highlight w:val="none"/>
          <w:lang w:eastAsia="zh-CN"/>
          <w14:textFill>
            <w14:solidFill>
              <w14:schemeClr w14:val="tx1"/>
            </w14:solidFill>
          </w14:textFill>
        </w:rPr>
      </w:pPr>
    </w:p>
    <w:p>
      <w:pPr>
        <w:adjustRightInd/>
        <w:spacing w:line="360" w:lineRule="auto"/>
        <w:jc w:val="center"/>
        <w:rPr>
          <w:rFonts w:hint="eastAsia" w:ascii="宋体" w:hAnsi="宋体" w:eastAsia="宋体" w:cs="宋体"/>
          <w:color w:val="000000" w:themeColor="text1"/>
          <w:sz w:val="48"/>
          <w:szCs w:val="48"/>
          <w:highlight w:val="none"/>
          <w14:textFill>
            <w14:solidFill>
              <w14:schemeClr w14:val="tx1"/>
            </w14:solidFill>
          </w14:textFill>
        </w:rPr>
      </w:pPr>
      <w:r>
        <w:rPr>
          <w:rFonts w:hint="eastAsia" w:ascii="宋体" w:hAnsi="宋体" w:eastAsia="宋体" w:cs="宋体"/>
          <w:color w:val="000000" w:themeColor="text1"/>
          <w:sz w:val="48"/>
          <w:szCs w:val="48"/>
          <w:highlight w:val="none"/>
          <w:lang w:eastAsia="zh-CN"/>
          <w14:textFill>
            <w14:solidFill>
              <w14:schemeClr w14:val="tx1"/>
            </w14:solidFill>
          </w14:textFill>
        </w:rPr>
        <w:t>投标文件</w:t>
      </w:r>
      <w:r>
        <w:rPr>
          <w:rFonts w:hint="eastAsia" w:ascii="宋体" w:hAnsi="宋体" w:eastAsia="宋体" w:cs="宋体"/>
          <w:color w:val="000000" w:themeColor="text1"/>
          <w:sz w:val="48"/>
          <w:szCs w:val="48"/>
          <w:highlight w:val="none"/>
          <w14:textFill>
            <w14:solidFill>
              <w14:schemeClr w14:val="tx1"/>
            </w14:solidFill>
          </w14:textFill>
        </w:rPr>
        <w:t xml:space="preserve"> </w:t>
      </w:r>
    </w:p>
    <w:p>
      <w:pPr>
        <w:adjustRightInd/>
        <w:spacing w:line="360" w:lineRule="auto"/>
        <w:jc w:val="center"/>
        <w:rPr>
          <w:rFonts w:hint="eastAsia" w:ascii="宋体" w:hAnsi="宋体" w:eastAsia="宋体" w:cs="宋体"/>
          <w:b/>
          <w:color w:val="000000" w:themeColor="text1"/>
          <w:sz w:val="44"/>
          <w:szCs w:val="44"/>
          <w:highlight w:val="none"/>
          <w14:textFill>
            <w14:solidFill>
              <w14:schemeClr w14:val="tx1"/>
            </w14:solidFill>
          </w14:textFill>
        </w:rPr>
      </w:pPr>
      <w:r>
        <w:rPr>
          <w:rFonts w:hint="eastAsia" w:ascii="宋体" w:hAnsi="宋体" w:eastAsia="宋体" w:cs="宋体"/>
          <w:b/>
          <w:color w:val="000000" w:themeColor="text1"/>
          <w:sz w:val="44"/>
          <w:szCs w:val="44"/>
          <w:highlight w:val="none"/>
          <w14:textFill>
            <w14:solidFill>
              <w14:schemeClr w14:val="tx1"/>
            </w14:solidFill>
          </w14:textFill>
        </w:rPr>
        <w:t xml:space="preserve"> （电子招投标）</w:t>
      </w:r>
    </w:p>
    <w:p>
      <w:pPr>
        <w:snapToGrid w:val="0"/>
        <w:spacing w:line="360" w:lineRule="auto"/>
        <w:jc w:val="center"/>
        <w:rPr>
          <w:rFonts w:hint="eastAsia" w:ascii="宋体" w:hAnsi="宋体" w:eastAsia="宋体" w:cs="宋体"/>
          <w:color w:val="000000" w:themeColor="text1"/>
          <w:sz w:val="30"/>
          <w:szCs w:val="30"/>
          <w:highlight w:val="none"/>
          <w:lang w:eastAsia="zh-CN"/>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编号:</w:t>
      </w:r>
      <w:r>
        <w:rPr>
          <w:rFonts w:hint="eastAsia" w:ascii="宋体" w:hAnsi="宋体" w:eastAsia="宋体" w:cs="宋体"/>
          <w:color w:val="000000" w:themeColor="text1"/>
          <w:sz w:val="30"/>
          <w:szCs w:val="30"/>
          <w:highlight w:val="none"/>
          <w:lang w:eastAsia="zh-CN"/>
          <w14:textFill>
            <w14:solidFill>
              <w14:schemeClr w14:val="tx1"/>
            </w14:solidFill>
          </w14:textFill>
        </w:rPr>
        <w:t>HDSJ-2023-006</w:t>
      </w:r>
    </w:p>
    <w:p>
      <w:pPr>
        <w:adjustRightInd/>
        <w:spacing w:line="360" w:lineRule="auto"/>
        <w:rPr>
          <w:rFonts w:hint="eastAsia" w:ascii="宋体" w:hAnsi="宋体" w:eastAsia="宋体" w:cs="宋体"/>
          <w:color w:val="000000" w:themeColor="text1"/>
          <w:sz w:val="28"/>
          <w:szCs w:val="20"/>
          <w:highlight w:val="none"/>
          <w14:textFill>
            <w14:solidFill>
              <w14:schemeClr w14:val="tx1"/>
            </w14:solidFill>
          </w14:textFill>
        </w:rPr>
      </w:pPr>
    </w:p>
    <w:p>
      <w:pPr>
        <w:spacing w:line="360" w:lineRule="auto"/>
        <w:jc w:val="center"/>
        <w:rPr>
          <w:rFonts w:hint="eastAsia" w:ascii="宋体" w:hAnsi="宋体" w:eastAsia="宋体" w:cs="宋体"/>
          <w:b/>
          <w:color w:val="000000" w:themeColor="text1"/>
          <w:sz w:val="44"/>
          <w:szCs w:val="44"/>
          <w:highlight w:val="none"/>
          <w14:textFill>
            <w14:solidFill>
              <w14:schemeClr w14:val="tx1"/>
            </w14:solidFill>
          </w14:textFill>
        </w:rPr>
      </w:pPr>
      <w:r>
        <w:rPr>
          <w:rFonts w:hint="eastAsia" w:ascii="宋体" w:hAnsi="宋体" w:eastAsia="宋体" w:cs="宋体"/>
          <w:b/>
          <w:color w:val="000000" w:themeColor="text1"/>
          <w:sz w:val="44"/>
          <w:szCs w:val="44"/>
          <w:highlight w:val="none"/>
          <w14:textFill>
            <w14:solidFill>
              <w14:schemeClr w14:val="tx1"/>
            </w14:solidFill>
          </w14:textFill>
        </w:rPr>
        <w:t xml:space="preserve"> </w:t>
      </w:r>
    </w:p>
    <w:p>
      <w:pPr>
        <w:spacing w:line="360" w:lineRule="auto"/>
        <w:jc w:val="center"/>
        <w:rPr>
          <w:rFonts w:hint="eastAsia" w:ascii="宋体" w:hAnsi="宋体" w:eastAsia="宋体" w:cs="宋体"/>
          <w:b/>
          <w:color w:val="000000" w:themeColor="text1"/>
          <w:sz w:val="44"/>
          <w:szCs w:val="44"/>
          <w:highlight w:val="none"/>
          <w14:textFill>
            <w14:solidFill>
              <w14:schemeClr w14:val="tx1"/>
            </w14:solidFill>
          </w14:textFill>
        </w:rPr>
      </w:pPr>
    </w:p>
    <w:p>
      <w:pPr>
        <w:spacing w:line="360" w:lineRule="auto"/>
        <w:jc w:val="center"/>
        <w:rPr>
          <w:rFonts w:hint="eastAsia" w:ascii="宋体" w:hAnsi="宋体" w:eastAsia="宋体" w:cs="宋体"/>
          <w:color w:val="000000" w:themeColor="text1"/>
          <w:sz w:val="24"/>
          <w:highlight w:val="none"/>
          <w14:textFill>
            <w14:solidFill>
              <w14:schemeClr w14:val="tx1"/>
            </w14:solidFill>
          </w14:textFill>
        </w:rPr>
      </w:pPr>
    </w:p>
    <w:p>
      <w:pPr>
        <w:spacing w:line="360" w:lineRule="auto"/>
        <w:jc w:val="center"/>
        <w:rPr>
          <w:rFonts w:hint="eastAsia" w:ascii="宋体" w:hAnsi="宋体" w:eastAsia="宋体" w:cs="宋体"/>
          <w:color w:val="000000" w:themeColor="text1"/>
          <w:sz w:val="24"/>
          <w:highlight w:val="none"/>
          <w14:textFill>
            <w14:solidFill>
              <w14:schemeClr w14:val="tx1"/>
            </w14:solidFill>
          </w14:textFill>
        </w:rPr>
      </w:pPr>
    </w:p>
    <w:p>
      <w:pPr>
        <w:spacing w:line="360" w:lineRule="auto"/>
        <w:rPr>
          <w:rFonts w:hint="eastAsia" w:ascii="宋体" w:hAnsi="宋体" w:eastAsia="宋体" w:cs="宋体"/>
          <w:color w:val="000000" w:themeColor="text1"/>
          <w:sz w:val="32"/>
          <w:szCs w:val="32"/>
          <w:highlight w:val="none"/>
          <w14:textFill>
            <w14:solidFill>
              <w14:schemeClr w14:val="tx1"/>
            </w14:solidFill>
          </w14:textFill>
        </w:rPr>
      </w:pPr>
    </w:p>
    <w:p>
      <w:pPr>
        <w:snapToGrid w:val="0"/>
        <w:spacing w:line="480" w:lineRule="auto"/>
        <w:ind w:firstLine="643" w:firstLineChars="200"/>
        <w:jc w:val="left"/>
        <w:rPr>
          <w:rFonts w:hint="eastAsia" w:ascii="宋体" w:hAnsi="宋体" w:eastAsia="宋体" w:cs="宋体"/>
          <w:b/>
          <w:bCs/>
          <w:color w:val="000000" w:themeColor="text1"/>
          <w:sz w:val="32"/>
          <w:szCs w:val="32"/>
          <w:highlight w:val="none"/>
          <w:lang w:eastAsia="zh-CN"/>
          <w14:textFill>
            <w14:solidFill>
              <w14:schemeClr w14:val="tx1"/>
            </w14:solidFill>
          </w14:textFill>
        </w:rPr>
      </w:pPr>
      <w:r>
        <w:rPr>
          <w:rFonts w:hint="eastAsia" w:ascii="宋体" w:hAnsi="宋体" w:eastAsia="宋体" w:cs="宋体"/>
          <w:b/>
          <w:bCs/>
          <w:color w:val="000000" w:themeColor="text1"/>
          <w:sz w:val="32"/>
          <w:szCs w:val="32"/>
          <w:highlight w:val="none"/>
          <w:lang w:val="en-US" w:eastAsia="zh-CN"/>
          <w14:textFill>
            <w14:solidFill>
              <w14:schemeClr w14:val="tx1"/>
            </w14:solidFill>
          </w14:textFill>
        </w:rPr>
        <w:t>采  购  人：</w:t>
      </w:r>
      <w:r>
        <w:rPr>
          <w:rFonts w:hint="eastAsia" w:ascii="宋体" w:hAnsi="宋体" w:eastAsia="宋体" w:cs="宋体"/>
          <w:b/>
          <w:bCs/>
          <w:color w:val="000000" w:themeColor="text1"/>
          <w:sz w:val="32"/>
          <w:szCs w:val="32"/>
          <w:highlight w:val="none"/>
          <w:lang w:eastAsia="zh-CN"/>
          <w14:textFill>
            <w14:solidFill>
              <w14:schemeClr w14:val="tx1"/>
            </w14:solidFill>
          </w14:textFill>
        </w:rPr>
        <w:t>杭州市拱墅区综合行政执法局</w:t>
      </w:r>
    </w:p>
    <w:p>
      <w:pPr>
        <w:spacing w:line="480" w:lineRule="auto"/>
        <w:ind w:firstLine="643" w:firstLineChars="200"/>
        <w:jc w:val="left"/>
        <w:rPr>
          <w:rFonts w:hint="eastAsia" w:ascii="宋体" w:hAnsi="宋体" w:eastAsia="宋体" w:cs="宋体"/>
          <w:b/>
          <w:bCs/>
          <w:color w:val="000000" w:themeColor="text1"/>
          <w:sz w:val="32"/>
          <w:szCs w:val="32"/>
          <w:highlight w:val="none"/>
          <w:lang w:eastAsia="zh-CN"/>
          <w14:textFill>
            <w14:solidFill>
              <w14:schemeClr w14:val="tx1"/>
            </w14:solidFill>
          </w14:textFill>
        </w:rPr>
      </w:pPr>
      <w:r>
        <w:rPr>
          <w:rFonts w:hint="eastAsia" w:ascii="宋体" w:hAnsi="宋体" w:eastAsia="宋体" w:cs="宋体"/>
          <w:b/>
          <w:bCs/>
          <w:color w:val="000000" w:themeColor="text1"/>
          <w:sz w:val="32"/>
          <w:szCs w:val="32"/>
          <w:highlight w:val="none"/>
          <w:lang w:val="en-US" w:eastAsia="zh-CN"/>
          <w14:textFill>
            <w14:solidFill>
              <w14:schemeClr w14:val="tx1"/>
            </w14:solidFill>
          </w14:textFill>
        </w:rPr>
        <w:t>采购代理机构：</w:t>
      </w:r>
      <w:r>
        <w:rPr>
          <w:rFonts w:hint="eastAsia" w:ascii="宋体" w:hAnsi="宋体" w:eastAsia="宋体" w:cs="宋体"/>
          <w:b/>
          <w:bCs/>
          <w:color w:val="000000" w:themeColor="text1"/>
          <w:sz w:val="32"/>
          <w:szCs w:val="32"/>
          <w:highlight w:val="none"/>
          <w:lang w:eastAsia="zh-CN"/>
          <w14:textFill>
            <w14:solidFill>
              <w14:schemeClr w14:val="tx1"/>
            </w14:solidFill>
          </w14:textFill>
        </w:rPr>
        <w:t>杭州华鼎世纪项目管理咨询有限公司</w:t>
      </w:r>
    </w:p>
    <w:p>
      <w:pPr>
        <w:snapToGrid w:val="0"/>
        <w:spacing w:line="480" w:lineRule="auto"/>
        <w:jc w:val="center"/>
        <w:rPr>
          <w:rFonts w:hint="eastAsia" w:ascii="宋体" w:hAnsi="宋体" w:eastAsia="宋体" w:cs="宋体"/>
          <w:b/>
          <w:bCs/>
          <w:color w:val="000000" w:themeColor="text1"/>
          <w:sz w:val="32"/>
          <w:szCs w:val="32"/>
          <w:highlight w:val="none"/>
          <w14:textFill>
            <w14:solidFill>
              <w14:schemeClr w14:val="tx1"/>
            </w14:solidFill>
          </w14:textFill>
        </w:rPr>
      </w:pPr>
      <w:r>
        <w:rPr>
          <w:rFonts w:hint="eastAsia" w:ascii="宋体" w:hAnsi="宋体" w:eastAsia="宋体" w:cs="宋体"/>
          <w:b/>
          <w:bCs/>
          <w:color w:val="000000" w:themeColor="text1"/>
          <w:sz w:val="32"/>
          <w:szCs w:val="32"/>
          <w:highlight w:val="none"/>
          <w14:textFill>
            <w14:solidFill>
              <w14:schemeClr w14:val="tx1"/>
            </w14:solidFill>
          </w14:textFill>
        </w:rPr>
        <w:t>二〇二</w:t>
      </w:r>
      <w:r>
        <w:rPr>
          <w:rFonts w:hint="eastAsia" w:ascii="宋体" w:hAnsi="宋体" w:eastAsia="宋体" w:cs="宋体"/>
          <w:b/>
          <w:bCs/>
          <w:color w:val="000000" w:themeColor="text1"/>
          <w:sz w:val="32"/>
          <w:szCs w:val="32"/>
          <w:highlight w:val="none"/>
          <w:lang w:val="en-US" w:eastAsia="zh-CN"/>
          <w14:textFill>
            <w14:solidFill>
              <w14:schemeClr w14:val="tx1"/>
            </w14:solidFill>
          </w14:textFill>
        </w:rPr>
        <w:t>三</w:t>
      </w:r>
      <w:r>
        <w:rPr>
          <w:rFonts w:hint="eastAsia" w:ascii="宋体" w:hAnsi="宋体" w:eastAsia="宋体" w:cs="宋体"/>
          <w:b/>
          <w:bCs/>
          <w:color w:val="000000" w:themeColor="text1"/>
          <w:sz w:val="32"/>
          <w:szCs w:val="32"/>
          <w:highlight w:val="none"/>
          <w14:textFill>
            <w14:solidFill>
              <w14:schemeClr w14:val="tx1"/>
            </w14:solidFill>
          </w14:textFill>
        </w:rPr>
        <w:t>年〇</w:t>
      </w:r>
      <w:r>
        <w:rPr>
          <w:rFonts w:hint="eastAsia" w:ascii="宋体" w:hAnsi="宋体" w:cs="宋体"/>
          <w:b/>
          <w:bCs/>
          <w:color w:val="000000" w:themeColor="text1"/>
          <w:sz w:val="32"/>
          <w:szCs w:val="32"/>
          <w:highlight w:val="none"/>
          <w:lang w:val="en-US" w:eastAsia="zh-CN"/>
          <w14:textFill>
            <w14:solidFill>
              <w14:schemeClr w14:val="tx1"/>
            </w14:solidFill>
          </w14:textFill>
        </w:rPr>
        <w:t>六</w:t>
      </w:r>
      <w:r>
        <w:rPr>
          <w:rFonts w:hint="eastAsia" w:ascii="宋体" w:hAnsi="宋体" w:eastAsia="宋体" w:cs="宋体"/>
          <w:b/>
          <w:bCs/>
          <w:color w:val="000000" w:themeColor="text1"/>
          <w:sz w:val="32"/>
          <w:szCs w:val="32"/>
          <w:highlight w:val="none"/>
          <w14:textFill>
            <w14:solidFill>
              <w14:schemeClr w14:val="tx1"/>
            </w14:solidFill>
          </w14:textFill>
        </w:rPr>
        <w:t>月</w:t>
      </w:r>
    </w:p>
    <w:p>
      <w:pPr>
        <w:spacing w:line="360" w:lineRule="auto"/>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br w:type="page"/>
      </w:r>
      <w:bookmarkStart w:id="0" w:name="_Hlt67893495"/>
      <w:bookmarkEnd w:id="0"/>
    </w:p>
    <w:p>
      <w:pPr>
        <w:spacing w:line="360" w:lineRule="auto"/>
        <w:jc w:val="center"/>
        <w:rPr>
          <w:rFonts w:hint="eastAsia" w:ascii="宋体" w:hAnsi="宋体" w:eastAsia="宋体" w:cs="宋体"/>
          <w:b/>
          <w:color w:val="000000" w:themeColor="text1"/>
          <w:sz w:val="24"/>
          <w:szCs w:val="24"/>
          <w:highlight w:val="none"/>
          <w14:textFill>
            <w14:solidFill>
              <w14:schemeClr w14:val="tx1"/>
            </w14:solidFill>
          </w14:textFill>
        </w:rPr>
      </w:pPr>
    </w:p>
    <w:p>
      <w:pPr>
        <w:spacing w:line="360" w:lineRule="auto"/>
        <w:jc w:val="center"/>
        <w:rPr>
          <w:rFonts w:hint="eastAsia" w:ascii="宋体" w:hAnsi="宋体" w:eastAsia="宋体" w:cs="宋体"/>
          <w:b/>
          <w:color w:val="000000" w:themeColor="text1"/>
          <w:sz w:val="48"/>
          <w:szCs w:val="48"/>
          <w:highlight w:val="none"/>
          <w14:textFill>
            <w14:solidFill>
              <w14:schemeClr w14:val="tx1"/>
            </w14:solidFill>
          </w14:textFill>
        </w:rPr>
      </w:pPr>
      <w:r>
        <w:rPr>
          <w:rFonts w:hint="eastAsia" w:ascii="宋体" w:hAnsi="宋体" w:eastAsia="宋体" w:cs="宋体"/>
          <w:b/>
          <w:color w:val="000000" w:themeColor="text1"/>
          <w:sz w:val="48"/>
          <w:szCs w:val="48"/>
          <w:highlight w:val="none"/>
          <w14:textFill>
            <w14:solidFill>
              <w14:schemeClr w14:val="tx1"/>
            </w14:solidFill>
          </w14:textFill>
        </w:rPr>
        <w:t>目  录</w:t>
      </w:r>
    </w:p>
    <w:p>
      <w:pPr>
        <w:spacing w:line="360" w:lineRule="auto"/>
        <w:rPr>
          <w:rFonts w:hint="eastAsia" w:ascii="宋体" w:hAnsi="宋体" w:eastAsia="宋体" w:cs="宋体"/>
          <w:color w:val="000000" w:themeColor="text1"/>
          <w:sz w:val="32"/>
          <w:szCs w:val="32"/>
          <w:highlight w:val="none"/>
          <w14:textFill>
            <w14:solidFill>
              <w14:schemeClr w14:val="tx1"/>
            </w14:solidFill>
          </w14:textFill>
        </w:rPr>
      </w:pPr>
    </w:p>
    <w:p>
      <w:pPr>
        <w:spacing w:line="360" w:lineRule="auto"/>
        <w:ind w:firstLine="1280" w:firstLineChars="400"/>
        <w:rPr>
          <w:rFonts w:hint="eastAsia" w:ascii="宋体" w:hAnsi="宋体" w:eastAsia="宋体" w:cs="宋体"/>
          <w:color w:val="000000" w:themeColor="text1"/>
          <w:sz w:val="32"/>
          <w:szCs w:val="32"/>
          <w:highlight w:val="none"/>
          <w14:textFill>
            <w14:solidFill>
              <w14:schemeClr w14:val="tx1"/>
            </w14:solidFill>
          </w14:textFill>
        </w:rPr>
      </w:pPr>
      <w:r>
        <w:rPr>
          <w:rFonts w:hint="eastAsia" w:ascii="宋体" w:hAnsi="宋体" w:eastAsia="宋体" w:cs="宋体"/>
          <w:color w:val="000000" w:themeColor="text1"/>
          <w:sz w:val="32"/>
          <w:szCs w:val="32"/>
          <w:highlight w:val="none"/>
          <w14:textFill>
            <w14:solidFill>
              <w14:schemeClr w14:val="tx1"/>
            </w14:solidFill>
          </w14:textFill>
        </w:rPr>
        <w:t>第一部分      招标公告</w:t>
      </w:r>
    </w:p>
    <w:p>
      <w:pPr>
        <w:spacing w:line="360" w:lineRule="auto"/>
        <w:ind w:firstLine="1280" w:firstLineChars="400"/>
        <w:rPr>
          <w:rFonts w:hint="eastAsia" w:ascii="宋体" w:hAnsi="宋体" w:eastAsia="宋体" w:cs="宋体"/>
          <w:color w:val="000000" w:themeColor="text1"/>
          <w:sz w:val="32"/>
          <w:szCs w:val="32"/>
          <w:highlight w:val="none"/>
          <w14:textFill>
            <w14:solidFill>
              <w14:schemeClr w14:val="tx1"/>
            </w14:solidFill>
          </w14:textFill>
        </w:rPr>
      </w:pPr>
      <w:r>
        <w:rPr>
          <w:rFonts w:hint="eastAsia" w:ascii="宋体" w:hAnsi="宋体" w:eastAsia="宋体" w:cs="宋体"/>
          <w:color w:val="000000" w:themeColor="text1"/>
          <w:sz w:val="32"/>
          <w:szCs w:val="32"/>
          <w:highlight w:val="none"/>
          <w14:textFill>
            <w14:solidFill>
              <w14:schemeClr w14:val="tx1"/>
            </w14:solidFill>
          </w14:textFill>
        </w:rPr>
        <w:t xml:space="preserve">第二部分      </w:t>
      </w:r>
      <w:r>
        <w:rPr>
          <w:rFonts w:hint="eastAsia" w:ascii="宋体" w:hAnsi="宋体" w:eastAsia="宋体" w:cs="宋体"/>
          <w:color w:val="000000" w:themeColor="text1"/>
          <w:sz w:val="32"/>
          <w:szCs w:val="32"/>
          <w:highlight w:val="none"/>
          <w:lang w:eastAsia="zh-CN"/>
          <w14:textFill>
            <w14:solidFill>
              <w14:schemeClr w14:val="tx1"/>
            </w14:solidFill>
          </w14:textFill>
        </w:rPr>
        <w:t>供应商</w:t>
      </w:r>
      <w:r>
        <w:rPr>
          <w:rFonts w:hint="eastAsia" w:ascii="宋体" w:hAnsi="宋体" w:eastAsia="宋体" w:cs="宋体"/>
          <w:color w:val="000000" w:themeColor="text1"/>
          <w:sz w:val="32"/>
          <w:szCs w:val="32"/>
          <w:highlight w:val="none"/>
          <w14:textFill>
            <w14:solidFill>
              <w14:schemeClr w14:val="tx1"/>
            </w14:solidFill>
          </w14:textFill>
        </w:rPr>
        <w:t>须知</w:t>
      </w:r>
    </w:p>
    <w:p>
      <w:pPr>
        <w:spacing w:line="360" w:lineRule="auto"/>
        <w:ind w:firstLine="1280" w:firstLineChars="400"/>
        <w:rPr>
          <w:rFonts w:hint="eastAsia" w:ascii="宋体" w:hAnsi="宋体" w:eastAsia="宋体" w:cs="宋体"/>
          <w:color w:val="000000" w:themeColor="text1"/>
          <w:sz w:val="32"/>
          <w:szCs w:val="32"/>
          <w:highlight w:val="none"/>
          <w14:textFill>
            <w14:solidFill>
              <w14:schemeClr w14:val="tx1"/>
            </w14:solidFill>
          </w14:textFill>
        </w:rPr>
      </w:pPr>
      <w:r>
        <w:rPr>
          <w:rFonts w:hint="eastAsia" w:ascii="宋体" w:hAnsi="宋体" w:eastAsia="宋体" w:cs="宋体"/>
          <w:color w:val="000000" w:themeColor="text1"/>
          <w:sz w:val="32"/>
          <w:szCs w:val="32"/>
          <w:highlight w:val="none"/>
          <w14:textFill>
            <w14:solidFill>
              <w14:schemeClr w14:val="tx1"/>
            </w14:solidFill>
          </w14:textFill>
        </w:rPr>
        <w:t>第三部分      采购需求</w:t>
      </w:r>
    </w:p>
    <w:p>
      <w:pPr>
        <w:spacing w:line="360" w:lineRule="auto"/>
        <w:ind w:firstLine="1280" w:firstLineChars="400"/>
        <w:rPr>
          <w:rFonts w:hint="eastAsia" w:ascii="宋体" w:hAnsi="宋体" w:eastAsia="宋体" w:cs="宋体"/>
          <w:color w:val="000000" w:themeColor="text1"/>
          <w:sz w:val="32"/>
          <w:szCs w:val="32"/>
          <w:highlight w:val="none"/>
          <w14:textFill>
            <w14:solidFill>
              <w14:schemeClr w14:val="tx1"/>
            </w14:solidFill>
          </w14:textFill>
        </w:rPr>
      </w:pPr>
      <w:r>
        <w:rPr>
          <w:rFonts w:hint="eastAsia" w:ascii="宋体" w:hAnsi="宋体" w:eastAsia="宋体" w:cs="宋体"/>
          <w:color w:val="000000" w:themeColor="text1"/>
          <w:sz w:val="32"/>
          <w:szCs w:val="32"/>
          <w:highlight w:val="none"/>
          <w14:textFill>
            <w14:solidFill>
              <w14:schemeClr w14:val="tx1"/>
            </w14:solidFill>
          </w14:textFill>
        </w:rPr>
        <w:t>第四部分      评标办法</w:t>
      </w:r>
    </w:p>
    <w:p>
      <w:pPr>
        <w:spacing w:line="360" w:lineRule="auto"/>
        <w:ind w:firstLine="1280" w:firstLineChars="400"/>
        <w:rPr>
          <w:rFonts w:hint="eastAsia" w:ascii="宋体" w:hAnsi="宋体" w:eastAsia="宋体" w:cs="宋体"/>
          <w:color w:val="000000" w:themeColor="text1"/>
          <w:sz w:val="32"/>
          <w:szCs w:val="32"/>
          <w:highlight w:val="none"/>
          <w14:textFill>
            <w14:solidFill>
              <w14:schemeClr w14:val="tx1"/>
            </w14:solidFill>
          </w14:textFill>
        </w:rPr>
      </w:pPr>
      <w:r>
        <w:rPr>
          <w:rFonts w:hint="eastAsia" w:ascii="宋体" w:hAnsi="宋体" w:eastAsia="宋体" w:cs="宋体"/>
          <w:color w:val="000000" w:themeColor="text1"/>
          <w:sz w:val="32"/>
          <w:szCs w:val="32"/>
          <w:highlight w:val="none"/>
          <w14:textFill>
            <w14:solidFill>
              <w14:schemeClr w14:val="tx1"/>
            </w14:solidFill>
          </w14:textFill>
        </w:rPr>
        <w:t>第五部分      拟签订的合同文本</w:t>
      </w:r>
    </w:p>
    <w:p>
      <w:pPr>
        <w:spacing w:line="360" w:lineRule="auto"/>
        <w:ind w:firstLine="1280" w:firstLineChars="400"/>
        <w:rPr>
          <w:rFonts w:hint="eastAsia" w:ascii="宋体" w:hAnsi="宋体" w:eastAsia="宋体" w:cs="宋体"/>
          <w:color w:val="000000" w:themeColor="text1"/>
          <w:sz w:val="32"/>
          <w:szCs w:val="32"/>
          <w:highlight w:val="none"/>
          <w14:textFill>
            <w14:solidFill>
              <w14:schemeClr w14:val="tx1"/>
            </w14:solidFill>
          </w14:textFill>
        </w:rPr>
      </w:pPr>
      <w:r>
        <w:rPr>
          <w:rFonts w:hint="eastAsia" w:ascii="宋体" w:hAnsi="宋体" w:eastAsia="宋体" w:cs="宋体"/>
          <w:color w:val="000000" w:themeColor="text1"/>
          <w:sz w:val="32"/>
          <w:szCs w:val="32"/>
          <w:highlight w:val="none"/>
          <w14:textFill>
            <w14:solidFill>
              <w14:schemeClr w14:val="tx1"/>
            </w14:solidFill>
          </w14:textFill>
        </w:rPr>
        <w:t>第六部分      应提交的有关格式范例</w:t>
      </w:r>
    </w:p>
    <w:p>
      <w:pPr>
        <w:spacing w:line="360" w:lineRule="auto"/>
        <w:ind w:firstLine="549" w:firstLineChars="229"/>
        <w:rPr>
          <w:rFonts w:hint="eastAsia" w:ascii="宋体" w:hAnsi="宋体" w:eastAsia="宋体" w:cs="宋体"/>
          <w:color w:val="000000" w:themeColor="text1"/>
          <w:sz w:val="24"/>
          <w:highlight w:val="none"/>
          <w14:textFill>
            <w14:solidFill>
              <w14:schemeClr w14:val="tx1"/>
            </w14:solidFill>
          </w14:textFill>
        </w:rPr>
      </w:pPr>
      <w:bookmarkStart w:id="1" w:name="_Hlt91233176"/>
      <w:bookmarkEnd w:id="1"/>
      <w:bookmarkStart w:id="2" w:name="_Toc91899869"/>
    </w:p>
    <w:p>
      <w:pPr>
        <w:spacing w:line="360" w:lineRule="auto"/>
        <w:ind w:firstLine="549" w:firstLineChars="229"/>
        <w:rPr>
          <w:rFonts w:hint="eastAsia" w:ascii="宋体" w:hAnsi="宋体" w:eastAsia="宋体" w:cs="宋体"/>
          <w:color w:val="000000" w:themeColor="text1"/>
          <w:sz w:val="24"/>
          <w:highlight w:val="none"/>
          <w14:textFill>
            <w14:solidFill>
              <w14:schemeClr w14:val="tx1"/>
            </w14:solidFill>
          </w14:textFill>
        </w:rPr>
      </w:pPr>
    </w:p>
    <w:p>
      <w:pPr>
        <w:spacing w:line="360" w:lineRule="auto"/>
        <w:ind w:firstLine="549" w:firstLineChars="229"/>
        <w:rPr>
          <w:rFonts w:hint="eastAsia" w:ascii="宋体" w:hAnsi="宋体" w:eastAsia="宋体" w:cs="宋体"/>
          <w:color w:val="000000" w:themeColor="text1"/>
          <w:sz w:val="24"/>
          <w:highlight w:val="none"/>
          <w14:textFill>
            <w14:solidFill>
              <w14:schemeClr w14:val="tx1"/>
            </w14:solidFill>
          </w14:textFill>
        </w:rPr>
      </w:pPr>
    </w:p>
    <w:p>
      <w:pPr>
        <w:spacing w:line="360" w:lineRule="auto"/>
        <w:ind w:firstLine="549" w:firstLineChars="229"/>
        <w:rPr>
          <w:rFonts w:hint="eastAsia" w:ascii="宋体" w:hAnsi="宋体" w:eastAsia="宋体" w:cs="宋体"/>
          <w:color w:val="000000" w:themeColor="text1"/>
          <w:sz w:val="24"/>
          <w:highlight w:val="none"/>
          <w14:textFill>
            <w14:solidFill>
              <w14:schemeClr w14:val="tx1"/>
            </w14:solidFill>
          </w14:textFill>
        </w:rPr>
      </w:pPr>
    </w:p>
    <w:p>
      <w:pPr>
        <w:spacing w:line="360" w:lineRule="auto"/>
        <w:ind w:firstLine="549" w:firstLineChars="229"/>
        <w:rPr>
          <w:rFonts w:hint="eastAsia" w:ascii="宋体" w:hAnsi="宋体" w:eastAsia="宋体" w:cs="宋体"/>
          <w:color w:val="000000" w:themeColor="text1"/>
          <w:sz w:val="24"/>
          <w:highlight w:val="none"/>
          <w14:textFill>
            <w14:solidFill>
              <w14:schemeClr w14:val="tx1"/>
            </w14:solidFill>
          </w14:textFill>
        </w:rPr>
      </w:pPr>
    </w:p>
    <w:p>
      <w:pPr>
        <w:spacing w:line="360" w:lineRule="auto"/>
        <w:ind w:firstLine="549" w:firstLineChars="229"/>
        <w:rPr>
          <w:rFonts w:hint="eastAsia" w:ascii="宋体" w:hAnsi="宋体" w:eastAsia="宋体" w:cs="宋体"/>
          <w:color w:val="000000" w:themeColor="text1"/>
          <w:sz w:val="24"/>
          <w:highlight w:val="none"/>
          <w14:textFill>
            <w14:solidFill>
              <w14:schemeClr w14:val="tx1"/>
            </w14:solidFill>
          </w14:textFill>
        </w:rPr>
      </w:pPr>
    </w:p>
    <w:p>
      <w:pPr>
        <w:spacing w:line="360" w:lineRule="auto"/>
        <w:ind w:firstLine="549" w:firstLineChars="229"/>
        <w:rPr>
          <w:rFonts w:hint="eastAsia" w:ascii="宋体" w:hAnsi="宋体" w:eastAsia="宋体" w:cs="宋体"/>
          <w:color w:val="000000" w:themeColor="text1"/>
          <w:sz w:val="24"/>
          <w:highlight w:val="none"/>
          <w14:textFill>
            <w14:solidFill>
              <w14:schemeClr w14:val="tx1"/>
            </w14:solidFill>
          </w14:textFill>
        </w:rPr>
      </w:pPr>
    </w:p>
    <w:p>
      <w:pPr>
        <w:spacing w:line="360" w:lineRule="auto"/>
        <w:ind w:firstLine="549" w:firstLineChars="229"/>
        <w:rPr>
          <w:rFonts w:hint="eastAsia" w:ascii="宋体" w:hAnsi="宋体" w:eastAsia="宋体" w:cs="宋体"/>
          <w:color w:val="000000" w:themeColor="text1"/>
          <w:sz w:val="24"/>
          <w:highlight w:val="none"/>
          <w14:textFill>
            <w14:solidFill>
              <w14:schemeClr w14:val="tx1"/>
            </w14:solidFill>
          </w14:textFill>
        </w:rPr>
      </w:pPr>
    </w:p>
    <w:p>
      <w:pPr>
        <w:spacing w:line="360" w:lineRule="auto"/>
        <w:ind w:firstLine="549" w:firstLineChars="229"/>
        <w:rPr>
          <w:rFonts w:hint="eastAsia" w:ascii="宋体" w:hAnsi="宋体" w:eastAsia="宋体" w:cs="宋体"/>
          <w:color w:val="000000" w:themeColor="text1"/>
          <w:sz w:val="24"/>
          <w:highlight w:val="none"/>
          <w14:textFill>
            <w14:solidFill>
              <w14:schemeClr w14:val="tx1"/>
            </w14:solidFill>
          </w14:textFill>
        </w:rPr>
      </w:pPr>
    </w:p>
    <w:p>
      <w:pPr>
        <w:spacing w:line="360" w:lineRule="auto"/>
        <w:ind w:firstLine="549" w:firstLineChars="229"/>
        <w:rPr>
          <w:rFonts w:hint="eastAsia" w:ascii="宋体" w:hAnsi="宋体" w:eastAsia="宋体" w:cs="宋体"/>
          <w:color w:val="000000" w:themeColor="text1"/>
          <w:sz w:val="24"/>
          <w:highlight w:val="none"/>
          <w14:textFill>
            <w14:solidFill>
              <w14:schemeClr w14:val="tx1"/>
            </w14:solidFill>
          </w14:textFill>
        </w:rPr>
      </w:pPr>
    </w:p>
    <w:p>
      <w:pPr>
        <w:spacing w:line="360" w:lineRule="auto"/>
        <w:ind w:firstLine="549" w:firstLineChars="229"/>
        <w:rPr>
          <w:rFonts w:hint="eastAsia" w:ascii="宋体" w:hAnsi="宋体" w:eastAsia="宋体" w:cs="宋体"/>
          <w:color w:val="000000" w:themeColor="text1"/>
          <w:sz w:val="24"/>
          <w:highlight w:val="none"/>
          <w14:textFill>
            <w14:solidFill>
              <w14:schemeClr w14:val="tx1"/>
            </w14:solidFill>
          </w14:textFill>
        </w:rPr>
      </w:pPr>
    </w:p>
    <w:p>
      <w:pPr>
        <w:spacing w:line="360" w:lineRule="auto"/>
        <w:ind w:firstLine="549" w:firstLineChars="229"/>
        <w:rPr>
          <w:rFonts w:hint="eastAsia" w:ascii="宋体" w:hAnsi="宋体" w:eastAsia="宋体" w:cs="宋体"/>
          <w:color w:val="000000" w:themeColor="text1"/>
          <w:sz w:val="24"/>
          <w:highlight w:val="none"/>
          <w14:textFill>
            <w14:solidFill>
              <w14:schemeClr w14:val="tx1"/>
            </w14:solidFill>
          </w14:textFill>
        </w:rPr>
      </w:pPr>
    </w:p>
    <w:p>
      <w:pPr>
        <w:spacing w:line="360" w:lineRule="auto"/>
        <w:ind w:firstLine="549" w:firstLineChars="229"/>
        <w:rPr>
          <w:rFonts w:hint="eastAsia" w:ascii="宋体" w:hAnsi="宋体" w:eastAsia="宋体" w:cs="宋体"/>
          <w:color w:val="000000" w:themeColor="text1"/>
          <w:sz w:val="24"/>
          <w:highlight w:val="none"/>
          <w14:textFill>
            <w14:solidFill>
              <w14:schemeClr w14:val="tx1"/>
            </w14:solidFill>
          </w14:textFill>
        </w:rPr>
      </w:pPr>
    </w:p>
    <w:p>
      <w:pPr>
        <w:spacing w:line="360" w:lineRule="auto"/>
        <w:rPr>
          <w:rFonts w:hint="eastAsia" w:ascii="宋体" w:hAnsi="宋体" w:eastAsia="宋体" w:cs="宋体"/>
          <w:color w:val="000000" w:themeColor="text1"/>
          <w:sz w:val="24"/>
          <w:highlight w:val="none"/>
          <w14:textFill>
            <w14:solidFill>
              <w14:schemeClr w14:val="tx1"/>
            </w14:solidFill>
          </w14:textFill>
        </w:rPr>
      </w:pPr>
    </w:p>
    <w:p>
      <w:pPr>
        <w:adjustRightInd/>
        <w:spacing w:line="360" w:lineRule="auto"/>
        <w:jc w:val="center"/>
        <w:outlineLvl w:val="0"/>
        <w:rPr>
          <w:rFonts w:hint="eastAsia" w:ascii="宋体" w:hAnsi="宋体" w:eastAsia="宋体" w:cs="宋体"/>
          <w:b/>
          <w:color w:val="000000" w:themeColor="text1"/>
          <w:sz w:val="36"/>
          <w:szCs w:val="20"/>
          <w:highlight w:val="none"/>
          <w14:textFill>
            <w14:solidFill>
              <w14:schemeClr w14:val="tx1"/>
            </w14:solidFill>
          </w14:textFill>
        </w:rPr>
      </w:pPr>
      <w:bookmarkStart w:id="3" w:name="第一部分"/>
      <w:r>
        <w:rPr>
          <w:rFonts w:hint="eastAsia" w:ascii="宋体" w:hAnsi="宋体" w:eastAsia="宋体" w:cs="宋体"/>
          <w:b/>
          <w:color w:val="000000" w:themeColor="text1"/>
          <w:sz w:val="36"/>
          <w:szCs w:val="36"/>
          <w:highlight w:val="none"/>
          <w14:textFill>
            <w14:solidFill>
              <w14:schemeClr w14:val="tx1"/>
            </w14:solidFill>
          </w14:textFill>
        </w:rPr>
        <w:br w:type="page"/>
      </w:r>
      <w:bookmarkEnd w:id="2"/>
      <w:bookmarkEnd w:id="3"/>
      <w:bookmarkStart w:id="4" w:name="_Hlt74728647"/>
      <w:bookmarkEnd w:id="4"/>
      <w:bookmarkStart w:id="5" w:name="_Hlt74707423"/>
      <w:bookmarkEnd w:id="5"/>
      <w:bookmarkStart w:id="6" w:name="_Hlt74649545"/>
      <w:bookmarkEnd w:id="6"/>
      <w:bookmarkStart w:id="7" w:name="_Hlt74729822"/>
      <w:bookmarkEnd w:id="7"/>
      <w:bookmarkStart w:id="8" w:name="第二部分"/>
      <w:bookmarkStart w:id="9" w:name="_Toc91899870"/>
      <w:bookmarkStart w:id="10" w:name="_Toc91899871"/>
      <w:r>
        <w:rPr>
          <w:rFonts w:hint="eastAsia" w:ascii="宋体" w:hAnsi="宋体" w:eastAsia="宋体" w:cs="宋体"/>
          <w:b/>
          <w:color w:val="000000" w:themeColor="text1"/>
          <w:sz w:val="36"/>
          <w:szCs w:val="20"/>
          <w:highlight w:val="none"/>
          <w14:textFill>
            <w14:solidFill>
              <w14:schemeClr w14:val="tx1"/>
            </w14:solidFill>
          </w14:textFill>
        </w:rPr>
        <w:t>第一部分 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宋体" w:hAnsi="宋体" w:eastAsia="宋体" w:cs="宋体"/>
          <w:color w:val="000000" w:themeColor="text1"/>
          <w:sz w:val="24"/>
          <w:highlight w:val="none"/>
          <w:u w:val="single"/>
          <w14:textFill>
            <w14:solidFill>
              <w14:schemeClr w14:val="tx1"/>
            </w14:solidFill>
          </w14:textFill>
        </w:rPr>
      </w:pPr>
      <w:r>
        <w:rPr>
          <w:rFonts w:hint="eastAsia" w:ascii="宋体" w:hAnsi="宋体" w:eastAsia="宋体" w:cs="宋体"/>
          <w:color w:val="000000" w:themeColor="text1"/>
          <w:sz w:val="24"/>
          <w:highlight w:val="none"/>
          <w:u w:val="single"/>
          <w:lang w:eastAsia="zh-CN"/>
          <w14:textFill>
            <w14:solidFill>
              <w14:schemeClr w14:val="tx1"/>
            </w14:solidFill>
          </w14:textFill>
        </w:rPr>
        <w:t>拱墅区临丁路等7条、东新路等8条市属区管道路市政环卫一体化综合养护服务项目</w:t>
      </w:r>
      <w:r>
        <w:rPr>
          <w:rFonts w:hint="eastAsia" w:ascii="宋体" w:hAnsi="宋体" w:eastAsia="宋体" w:cs="宋体"/>
          <w:color w:val="000000" w:themeColor="text1"/>
          <w:sz w:val="24"/>
          <w:highlight w:val="none"/>
          <w14:textFill>
            <w14:solidFill>
              <w14:schemeClr w14:val="tx1"/>
            </w14:solidFill>
          </w14:textFill>
        </w:rPr>
        <w:t>的潜在</w:t>
      </w:r>
      <w:r>
        <w:rPr>
          <w:rFonts w:hint="eastAsia" w:ascii="宋体" w:hAnsi="宋体" w:eastAsia="宋体" w:cs="宋体"/>
          <w:color w:val="000000" w:themeColor="text1"/>
          <w:sz w:val="24"/>
          <w:highlight w:val="none"/>
          <w:lang w:eastAsia="zh-CN"/>
          <w14:textFill>
            <w14:solidFill>
              <w14:schemeClr w14:val="tx1"/>
            </w14:solidFill>
          </w14:textFill>
        </w:rPr>
        <w:t>供应商</w:t>
      </w:r>
      <w:r>
        <w:rPr>
          <w:rFonts w:hint="eastAsia" w:ascii="宋体" w:hAnsi="宋体" w:eastAsia="宋体" w:cs="宋体"/>
          <w:color w:val="000000" w:themeColor="text1"/>
          <w:sz w:val="24"/>
          <w:highlight w:val="none"/>
          <w14:textFill>
            <w14:solidFill>
              <w14:schemeClr w14:val="tx1"/>
            </w14:solidFill>
          </w14:textFill>
        </w:rPr>
        <w:t>应在政采云平台（</w:t>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HYPERLINK "https://www.zcygov.cn/）获取（下载）招标文件，并于202%20年%20月%20日%20点%20分00秒" </w:instrText>
      </w:r>
      <w:r>
        <w:rPr>
          <w:rFonts w:hint="eastAsia" w:ascii="宋体" w:hAnsi="宋体" w:eastAsia="宋体" w:cs="宋体"/>
          <w:color w:val="000000" w:themeColor="text1"/>
          <w:highlight w:val="none"/>
          <w14:textFill>
            <w14:solidFill>
              <w14:schemeClr w14:val="tx1"/>
            </w14:solidFill>
          </w14:textFill>
        </w:rPr>
        <w:fldChar w:fldCharType="separate"/>
      </w:r>
      <w:r>
        <w:rPr>
          <w:rStyle w:val="76"/>
          <w:rFonts w:hint="eastAsia" w:ascii="宋体" w:hAnsi="宋体" w:eastAsia="宋体" w:cs="宋体"/>
          <w:snapToGrid/>
          <w:color w:val="000000" w:themeColor="text1"/>
          <w:kern w:val="2"/>
          <w:sz w:val="24"/>
          <w:szCs w:val="24"/>
          <w:highlight w:val="none"/>
          <w14:textFill>
            <w14:solidFill>
              <w14:schemeClr w14:val="tx1"/>
            </w14:solidFill>
          </w14:textFill>
        </w:rPr>
        <w:t>https://www.zcygov.cn/）获取（下载）</w:t>
      </w:r>
      <w:r>
        <w:rPr>
          <w:rStyle w:val="76"/>
          <w:rFonts w:hint="eastAsia" w:ascii="宋体" w:hAnsi="宋体" w:eastAsia="宋体" w:cs="宋体"/>
          <w:snapToGrid/>
          <w:color w:val="000000" w:themeColor="text1"/>
          <w:kern w:val="2"/>
          <w:sz w:val="24"/>
          <w:szCs w:val="24"/>
          <w:highlight w:val="none"/>
          <w:lang w:eastAsia="zh-CN"/>
          <w14:textFill>
            <w14:solidFill>
              <w14:schemeClr w14:val="tx1"/>
            </w14:solidFill>
          </w14:textFill>
        </w:rPr>
        <w:t>投标文件</w:t>
      </w:r>
      <w:r>
        <w:rPr>
          <w:rStyle w:val="76"/>
          <w:rFonts w:hint="eastAsia" w:ascii="宋体" w:hAnsi="宋体" w:eastAsia="宋体" w:cs="宋体"/>
          <w:snapToGrid/>
          <w:color w:val="000000" w:themeColor="text1"/>
          <w:kern w:val="2"/>
          <w:sz w:val="24"/>
          <w:szCs w:val="24"/>
          <w:highlight w:val="none"/>
          <w14:textFill>
            <w14:solidFill>
              <w14:schemeClr w14:val="tx1"/>
            </w14:solidFill>
          </w14:textFill>
        </w:rPr>
        <w:t>，并于202</w:t>
      </w:r>
      <w:r>
        <w:rPr>
          <w:rStyle w:val="76"/>
          <w:rFonts w:hint="eastAsia" w:ascii="宋体" w:hAnsi="宋体" w:eastAsia="宋体" w:cs="宋体"/>
          <w:snapToGrid/>
          <w:color w:val="000000" w:themeColor="text1"/>
          <w:kern w:val="2"/>
          <w:sz w:val="24"/>
          <w:szCs w:val="24"/>
          <w:highlight w:val="none"/>
          <w:lang w:val="en-US" w:eastAsia="zh-CN"/>
          <w14:textFill>
            <w14:solidFill>
              <w14:schemeClr w14:val="tx1"/>
            </w14:solidFill>
          </w14:textFill>
        </w:rPr>
        <w:t>3</w:t>
      </w:r>
      <w:r>
        <w:rPr>
          <w:rStyle w:val="76"/>
          <w:rFonts w:hint="eastAsia" w:ascii="宋体" w:hAnsi="宋体" w:eastAsia="宋体" w:cs="宋体"/>
          <w:snapToGrid/>
          <w:color w:val="000000" w:themeColor="text1"/>
          <w:kern w:val="2"/>
          <w:sz w:val="24"/>
          <w:szCs w:val="24"/>
          <w:highlight w:val="none"/>
          <w14:textFill>
            <w14:solidFill>
              <w14:schemeClr w14:val="tx1"/>
            </w14:solidFill>
          </w14:textFill>
        </w:rPr>
        <w:t>年</w:t>
      </w:r>
      <w:r>
        <w:rPr>
          <w:rStyle w:val="76"/>
          <w:rFonts w:hint="eastAsia" w:ascii="宋体" w:hAnsi="宋体" w:cs="宋体"/>
          <w:snapToGrid/>
          <w:color w:val="000000" w:themeColor="text1"/>
          <w:kern w:val="2"/>
          <w:sz w:val="24"/>
          <w:szCs w:val="24"/>
          <w:highlight w:val="none"/>
          <w:lang w:val="en-US" w:eastAsia="zh-CN"/>
          <w14:textFill>
            <w14:solidFill>
              <w14:schemeClr w14:val="tx1"/>
            </w14:solidFill>
          </w14:textFill>
        </w:rPr>
        <w:t>06</w:t>
      </w:r>
      <w:r>
        <w:rPr>
          <w:rStyle w:val="76"/>
          <w:rFonts w:hint="eastAsia" w:ascii="宋体" w:hAnsi="宋体" w:eastAsia="宋体" w:cs="宋体"/>
          <w:snapToGrid/>
          <w:color w:val="000000" w:themeColor="text1"/>
          <w:kern w:val="2"/>
          <w:sz w:val="24"/>
          <w:szCs w:val="24"/>
          <w:highlight w:val="none"/>
          <w14:textFill>
            <w14:solidFill>
              <w14:schemeClr w14:val="tx1"/>
            </w14:solidFill>
          </w14:textFill>
        </w:rPr>
        <w:t>月</w:t>
      </w:r>
      <w:r>
        <w:rPr>
          <w:rStyle w:val="76"/>
          <w:rFonts w:hint="eastAsia" w:ascii="宋体" w:hAnsi="宋体" w:cs="宋体"/>
          <w:snapToGrid/>
          <w:color w:val="000000" w:themeColor="text1"/>
          <w:kern w:val="2"/>
          <w:sz w:val="24"/>
          <w:szCs w:val="24"/>
          <w:highlight w:val="none"/>
          <w:lang w:val="en-US" w:eastAsia="zh-CN"/>
          <w14:textFill>
            <w14:solidFill>
              <w14:schemeClr w14:val="tx1"/>
            </w14:solidFill>
          </w14:textFill>
        </w:rPr>
        <w:t>28</w:t>
      </w:r>
      <w:r>
        <w:rPr>
          <w:rStyle w:val="76"/>
          <w:rFonts w:hint="eastAsia" w:ascii="宋体" w:hAnsi="宋体" w:eastAsia="宋体" w:cs="宋体"/>
          <w:snapToGrid/>
          <w:color w:val="000000" w:themeColor="text1"/>
          <w:kern w:val="2"/>
          <w:sz w:val="24"/>
          <w:szCs w:val="24"/>
          <w:highlight w:val="none"/>
          <w14:textFill>
            <w14:solidFill>
              <w14:schemeClr w14:val="tx1"/>
            </w14:solidFill>
          </w14:textFill>
        </w:rPr>
        <w:t>日</w:t>
      </w:r>
      <w:r>
        <w:rPr>
          <w:rStyle w:val="76"/>
          <w:rFonts w:hint="eastAsia" w:ascii="宋体" w:hAnsi="宋体" w:cs="宋体"/>
          <w:snapToGrid/>
          <w:color w:val="000000" w:themeColor="text1"/>
          <w:kern w:val="2"/>
          <w:sz w:val="24"/>
          <w:szCs w:val="24"/>
          <w:highlight w:val="none"/>
          <w:lang w:val="en-US" w:eastAsia="zh-CN"/>
          <w14:textFill>
            <w14:solidFill>
              <w14:schemeClr w14:val="tx1"/>
            </w14:solidFill>
          </w14:textFill>
        </w:rPr>
        <w:t>15</w:t>
      </w:r>
      <w:r>
        <w:rPr>
          <w:rStyle w:val="76"/>
          <w:rFonts w:hint="eastAsia" w:ascii="宋体" w:hAnsi="宋体" w:eastAsia="宋体" w:cs="宋体"/>
          <w:snapToGrid/>
          <w:color w:val="000000" w:themeColor="text1"/>
          <w:kern w:val="2"/>
          <w:sz w:val="24"/>
          <w:szCs w:val="24"/>
          <w:highlight w:val="none"/>
          <w14:textFill>
            <w14:solidFill>
              <w14:schemeClr w14:val="tx1"/>
            </w14:solidFill>
          </w14:textFill>
        </w:rPr>
        <w:t>点</w:t>
      </w:r>
      <w:r>
        <w:rPr>
          <w:rStyle w:val="76"/>
          <w:rFonts w:hint="eastAsia" w:ascii="宋体" w:hAnsi="宋体" w:cs="宋体"/>
          <w:snapToGrid/>
          <w:color w:val="000000" w:themeColor="text1"/>
          <w:kern w:val="2"/>
          <w:sz w:val="24"/>
          <w:szCs w:val="24"/>
          <w:highlight w:val="none"/>
          <w:lang w:val="en-US" w:eastAsia="zh-CN"/>
          <w14:textFill>
            <w14:solidFill>
              <w14:schemeClr w14:val="tx1"/>
            </w14:solidFill>
          </w14:textFill>
        </w:rPr>
        <w:t>00</w:t>
      </w:r>
      <w:r>
        <w:rPr>
          <w:rStyle w:val="76"/>
          <w:rFonts w:hint="eastAsia" w:ascii="宋体" w:hAnsi="宋体" w:eastAsia="宋体" w:cs="宋体"/>
          <w:snapToGrid/>
          <w:color w:val="000000" w:themeColor="text1"/>
          <w:kern w:val="2"/>
          <w:sz w:val="24"/>
          <w:szCs w:val="24"/>
          <w:highlight w:val="none"/>
          <w14:textFill>
            <w14:solidFill>
              <w14:schemeClr w14:val="tx1"/>
            </w14:solidFill>
          </w14:textFill>
        </w:rPr>
        <w:t>分</w:t>
      </w:r>
      <w:r>
        <w:rPr>
          <w:rStyle w:val="76"/>
          <w:rFonts w:hint="eastAsia" w:ascii="宋体" w:hAnsi="宋体" w:eastAsia="宋体" w:cs="宋体"/>
          <w:bCs/>
          <w:snapToGrid/>
          <w:color w:val="000000" w:themeColor="text1"/>
          <w:kern w:val="2"/>
          <w:sz w:val="24"/>
          <w:szCs w:val="24"/>
          <w:highlight w:val="none"/>
          <w14:textFill>
            <w14:solidFill>
              <w14:schemeClr w14:val="tx1"/>
            </w14:solidFill>
          </w14:textFill>
        </w:rPr>
        <w:t>00秒</w:t>
      </w:r>
      <w:r>
        <w:rPr>
          <w:rStyle w:val="76"/>
          <w:rFonts w:hint="eastAsia" w:ascii="宋体" w:hAnsi="宋体" w:eastAsia="宋体" w:cs="宋体"/>
          <w:bCs/>
          <w:snapToGrid/>
          <w:color w:val="000000" w:themeColor="text1"/>
          <w:kern w:val="2"/>
          <w:sz w:val="24"/>
          <w:szCs w:val="24"/>
          <w:highlight w:val="none"/>
          <w14:textFill>
            <w14:solidFill>
              <w14:schemeClr w14:val="tx1"/>
            </w14:solidFill>
          </w14:textFill>
        </w:rPr>
        <w:fldChar w:fldCharType="end"/>
      </w:r>
      <w:r>
        <w:rPr>
          <w:rFonts w:hint="eastAsia" w:ascii="宋体" w:hAnsi="宋体" w:eastAsia="宋体" w:cs="宋体"/>
          <w:bCs/>
          <w:color w:val="000000" w:themeColor="text1"/>
          <w:sz w:val="24"/>
          <w:highlight w:val="none"/>
          <w14:textFill>
            <w14:solidFill>
              <w14:schemeClr w14:val="tx1"/>
            </w14:solidFill>
          </w14:textFill>
        </w:rPr>
        <w:t>（北京时间）前</w:t>
      </w:r>
      <w:r>
        <w:rPr>
          <w:rFonts w:hint="eastAsia" w:ascii="宋体" w:hAnsi="宋体" w:eastAsia="宋体" w:cs="宋体"/>
          <w:color w:val="000000" w:themeColor="text1"/>
          <w:sz w:val="24"/>
          <w:highlight w:val="none"/>
          <w14:textFill>
            <w14:solidFill>
              <w14:schemeClr w14:val="tx1"/>
            </w14:solidFill>
          </w14:textFill>
        </w:rPr>
        <w:t>递交（上传）投标文件。</w:t>
      </w:r>
    </w:p>
    <w:p>
      <w:pPr>
        <w:spacing w:line="360" w:lineRule="auto"/>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 xml:space="preserve">一、项目基本情况                                            </w:t>
      </w:r>
    </w:p>
    <w:p>
      <w:pPr>
        <w:spacing w:line="360" w:lineRule="auto"/>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 xml:space="preserve">    </w:t>
      </w:r>
      <w:r>
        <w:rPr>
          <w:rFonts w:hint="eastAsia" w:ascii="宋体" w:hAnsi="宋体" w:eastAsia="宋体" w:cs="宋体"/>
          <w:b/>
          <w:color w:val="000000" w:themeColor="text1"/>
          <w:sz w:val="24"/>
          <w:highlight w:val="none"/>
          <w14:textFill>
            <w14:solidFill>
              <w14:schemeClr w14:val="tx1"/>
            </w14:solidFill>
          </w14:textFill>
        </w:rPr>
        <w:t>项目编号：</w:t>
      </w:r>
      <w:r>
        <w:rPr>
          <w:rFonts w:hint="eastAsia" w:ascii="宋体" w:hAnsi="宋体" w:eastAsia="宋体" w:cs="宋体"/>
          <w:color w:val="000000" w:themeColor="text1"/>
          <w:sz w:val="24"/>
          <w:highlight w:val="none"/>
          <w:lang w:eastAsia="zh-CN"/>
          <w14:textFill>
            <w14:solidFill>
              <w14:schemeClr w14:val="tx1"/>
            </w14:solidFill>
          </w14:textFill>
        </w:rPr>
        <w:t>HDSJ-2023-006</w:t>
      </w:r>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jc w:val="left"/>
        <w:textAlignment w:val="auto"/>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eastAsia="宋体" w:cs="宋体"/>
          <w:b/>
          <w:bCs/>
          <w:color w:val="000000" w:themeColor="text1"/>
          <w:sz w:val="24"/>
          <w:highlight w:val="none"/>
          <w:lang w:eastAsia="zh-CN"/>
          <w14:textFill>
            <w14:solidFill>
              <w14:schemeClr w14:val="tx1"/>
            </w14:solidFill>
          </w14:textFill>
        </w:rPr>
        <w:t>项目名称：</w:t>
      </w:r>
      <w:r>
        <w:rPr>
          <w:rFonts w:hint="eastAsia" w:ascii="宋体" w:hAnsi="宋体" w:eastAsia="宋体" w:cs="宋体"/>
          <w:color w:val="000000" w:themeColor="text1"/>
          <w:sz w:val="24"/>
          <w:highlight w:val="none"/>
          <w:lang w:eastAsia="zh-CN"/>
          <w14:textFill>
            <w14:solidFill>
              <w14:schemeClr w14:val="tx1"/>
            </w14:solidFill>
          </w14:textFill>
        </w:rPr>
        <w:t>拱墅区临丁路等7条、东新路等8条市属区管道路市政环卫一体化综合养护服务项目</w:t>
      </w:r>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jc w:val="left"/>
        <w:textAlignment w:val="auto"/>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eastAsia="宋体" w:cs="宋体"/>
          <w:b/>
          <w:bCs/>
          <w:color w:val="000000" w:themeColor="text1"/>
          <w:sz w:val="24"/>
          <w:highlight w:val="none"/>
          <w:lang w:eastAsia="zh-CN"/>
          <w14:textFill>
            <w14:solidFill>
              <w14:schemeClr w14:val="tx1"/>
            </w14:solidFill>
          </w14:textFill>
        </w:rPr>
        <w:t>预算金额（元）：</w:t>
      </w:r>
      <w:r>
        <w:rPr>
          <w:rFonts w:hint="eastAsia" w:ascii="宋体" w:hAnsi="宋体" w:cs="宋体"/>
          <w:color w:val="000000" w:themeColor="text1"/>
          <w:sz w:val="24"/>
          <w:highlight w:val="none"/>
          <w:lang w:eastAsia="zh-CN"/>
          <w14:textFill>
            <w14:solidFill>
              <w14:schemeClr w14:val="tx1"/>
            </w14:solidFill>
          </w14:textFill>
        </w:rPr>
        <w:t>118866782.68</w:t>
      </w:r>
      <w:r>
        <w:rPr>
          <w:rFonts w:hint="eastAsia" w:ascii="宋体" w:hAnsi="宋体" w:eastAsia="宋体" w:cs="宋体"/>
          <w:color w:val="000000" w:themeColor="text1"/>
          <w:sz w:val="24"/>
          <w:highlight w:val="none"/>
          <w:lang w:val="en-US" w:eastAsia="zh-CN"/>
          <w14:textFill>
            <w14:solidFill>
              <w14:schemeClr w14:val="tx1"/>
            </w14:solidFill>
          </w14:textFill>
        </w:rPr>
        <w:t>元/3年</w:t>
      </w:r>
      <w:r>
        <w:rPr>
          <w:rFonts w:hint="eastAsia" w:ascii="宋体" w:hAnsi="宋体" w:eastAsia="宋体" w:cs="宋体"/>
          <w:color w:val="000000" w:themeColor="text1"/>
          <w:sz w:val="24"/>
          <w:highlight w:val="none"/>
          <w:lang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jc w:val="left"/>
        <w:textAlignment w:val="auto"/>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eastAsia="宋体" w:cs="宋体"/>
          <w:b/>
          <w:bCs/>
          <w:color w:val="000000" w:themeColor="text1"/>
          <w:sz w:val="24"/>
          <w:highlight w:val="none"/>
          <w:lang w:eastAsia="zh-CN"/>
          <w14:textFill>
            <w14:solidFill>
              <w14:schemeClr w14:val="tx1"/>
            </w14:solidFill>
          </w14:textFill>
        </w:rPr>
        <w:t>最高限价（元）：标项一：</w:t>
      </w:r>
      <w:r>
        <w:rPr>
          <w:rFonts w:hint="eastAsia" w:ascii="宋体" w:hAnsi="宋体" w:cs="宋体"/>
          <w:b/>
          <w:bCs/>
          <w:color w:val="000000" w:themeColor="text1"/>
          <w:sz w:val="24"/>
          <w:highlight w:val="none"/>
          <w:lang w:val="en-US" w:eastAsia="zh-CN"/>
          <w14:textFill>
            <w14:solidFill>
              <w14:schemeClr w14:val="tx1"/>
            </w14:solidFill>
          </w14:textFill>
        </w:rPr>
        <w:t>54759721.35</w:t>
      </w:r>
      <w:r>
        <w:rPr>
          <w:rFonts w:hint="eastAsia" w:ascii="宋体" w:hAnsi="宋体" w:eastAsia="宋体" w:cs="宋体"/>
          <w:b/>
          <w:bCs/>
          <w:color w:val="000000" w:themeColor="text1"/>
          <w:sz w:val="24"/>
          <w:highlight w:val="none"/>
          <w:lang w:val="en-US" w:eastAsia="zh-CN"/>
          <w14:textFill>
            <w14:solidFill>
              <w14:schemeClr w14:val="tx1"/>
            </w14:solidFill>
          </w14:textFill>
        </w:rPr>
        <w:t>元/3年</w:t>
      </w:r>
      <w:r>
        <w:rPr>
          <w:rFonts w:hint="eastAsia" w:ascii="宋体" w:hAnsi="宋体" w:cs="宋体"/>
          <w:b/>
          <w:bCs/>
          <w:color w:val="000000" w:themeColor="text1"/>
          <w:sz w:val="24"/>
          <w:highlight w:val="none"/>
          <w:lang w:eastAsia="zh-CN"/>
          <w14:textFill>
            <w14:solidFill>
              <w14:schemeClr w14:val="tx1"/>
            </w14:solidFill>
          </w14:textFill>
        </w:rPr>
        <w:t>；</w:t>
      </w:r>
      <w:r>
        <w:rPr>
          <w:rFonts w:hint="eastAsia" w:ascii="宋体" w:hAnsi="宋体" w:eastAsia="宋体" w:cs="宋体"/>
          <w:b/>
          <w:bCs/>
          <w:color w:val="000000" w:themeColor="text1"/>
          <w:sz w:val="24"/>
          <w:highlight w:val="none"/>
          <w:lang w:eastAsia="zh-CN"/>
          <w14:textFill>
            <w14:solidFill>
              <w14:schemeClr w14:val="tx1"/>
            </w14:solidFill>
          </w14:textFill>
        </w:rPr>
        <w:t>标项二：</w:t>
      </w:r>
      <w:r>
        <w:rPr>
          <w:rFonts w:hint="eastAsia" w:ascii="宋体" w:hAnsi="宋体" w:cs="宋体"/>
          <w:b/>
          <w:bCs/>
          <w:color w:val="000000" w:themeColor="text1"/>
          <w:sz w:val="24"/>
          <w:highlight w:val="none"/>
          <w:lang w:val="en-US" w:eastAsia="zh-CN"/>
          <w14:textFill>
            <w14:solidFill>
              <w14:schemeClr w14:val="tx1"/>
            </w14:solidFill>
          </w14:textFill>
        </w:rPr>
        <w:t>64107061.33</w:t>
      </w:r>
      <w:r>
        <w:rPr>
          <w:rFonts w:hint="eastAsia" w:ascii="宋体" w:hAnsi="宋体" w:eastAsia="宋体" w:cs="宋体"/>
          <w:b/>
          <w:bCs/>
          <w:color w:val="000000" w:themeColor="text1"/>
          <w:sz w:val="24"/>
          <w:highlight w:val="none"/>
          <w:lang w:val="en-US" w:eastAsia="zh-CN"/>
          <w14:textFill>
            <w14:solidFill>
              <w14:schemeClr w14:val="tx1"/>
            </w14:solidFill>
          </w14:textFill>
        </w:rPr>
        <w:t>元/3年</w:t>
      </w:r>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jc w:val="left"/>
        <w:textAlignment w:val="auto"/>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eastAsia="宋体" w:cs="宋体"/>
          <w:b/>
          <w:bCs/>
          <w:color w:val="000000" w:themeColor="text1"/>
          <w:sz w:val="24"/>
          <w:highlight w:val="none"/>
          <w:lang w:val="en-US" w:eastAsia="zh-CN"/>
          <w14:textFill>
            <w14:solidFill>
              <w14:schemeClr w14:val="tx1"/>
            </w14:solidFill>
          </w14:textFill>
        </w:rPr>
        <w:t>采购需求：</w:t>
      </w:r>
      <w:r>
        <w:rPr>
          <w:rFonts w:hint="eastAsia" w:ascii="宋体" w:hAnsi="宋体" w:eastAsia="宋体" w:cs="宋体"/>
          <w:color w:val="000000" w:themeColor="text1"/>
          <w:sz w:val="24"/>
          <w:highlight w:val="none"/>
          <w:lang w:eastAsia="zh-CN"/>
          <w14:textFill>
            <w14:solidFill>
              <w14:schemeClr w14:val="tx1"/>
            </w14:solidFill>
          </w14:textFill>
        </w:rPr>
        <w:t>拱墅区临丁路等7条、东新路等8条市属区管道路市政环卫一体化综合养护服务项目主要内容：</w:t>
      </w:r>
      <w:r>
        <w:rPr>
          <w:rFonts w:hint="eastAsia" w:ascii="宋体" w:hAnsi="宋体" w:eastAsia="宋体" w:cs="宋体"/>
          <w:color w:val="000000" w:themeColor="text1"/>
          <w:sz w:val="24"/>
          <w:highlight w:val="none"/>
          <w:lang w:val="en-US" w:eastAsia="zh-CN"/>
          <w14:textFill>
            <w14:solidFill>
              <w14:schemeClr w14:val="tx1"/>
            </w14:solidFill>
          </w14:textFill>
        </w:rPr>
        <w:t>为</w:t>
      </w:r>
      <w:r>
        <w:rPr>
          <w:rFonts w:hint="eastAsia" w:ascii="宋体" w:hAnsi="宋体" w:eastAsia="宋体" w:cs="宋体"/>
          <w:color w:val="000000" w:themeColor="text1"/>
          <w:sz w:val="24"/>
          <w:highlight w:val="none"/>
          <w:lang w:eastAsia="zh-CN"/>
          <w14:textFill>
            <w14:solidFill>
              <w14:schemeClr w14:val="tx1"/>
            </w14:solidFill>
          </w14:textFill>
        </w:rPr>
        <w:t>拱墅区临丁路等7条、东新路等8条市属区管道路市政环卫一体化综合养护</w:t>
      </w:r>
      <w:r>
        <w:rPr>
          <w:rFonts w:hint="eastAsia" w:ascii="宋体" w:hAnsi="宋体" w:eastAsia="宋体" w:cs="宋体"/>
          <w:color w:val="000000" w:themeColor="text1"/>
          <w:sz w:val="24"/>
          <w:highlight w:val="none"/>
          <w:lang w:val="en-US" w:eastAsia="zh-CN"/>
          <w14:textFill>
            <w14:solidFill>
              <w14:schemeClr w14:val="tx1"/>
            </w14:solidFill>
          </w14:textFill>
        </w:rPr>
        <w:t>提供</w:t>
      </w:r>
      <w:r>
        <w:rPr>
          <w:rFonts w:hint="eastAsia" w:ascii="宋体" w:hAnsi="宋体" w:eastAsia="宋体" w:cs="宋体"/>
          <w:color w:val="000000" w:themeColor="text1"/>
          <w:sz w:val="24"/>
          <w:highlight w:val="none"/>
          <w:lang w:eastAsia="zh-CN"/>
          <w14:textFill>
            <w14:solidFill>
              <w14:schemeClr w14:val="tx1"/>
            </w14:solidFill>
          </w14:textFill>
        </w:rPr>
        <w:t>服务。具体以投标文件第三部分采购需求为准，供应商可点击本公告下方“浏览采购文件”查看采购需求。</w:t>
      </w:r>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jc w:val="left"/>
        <w:textAlignment w:val="auto"/>
        <w:rPr>
          <w:rFonts w:hint="eastAsia" w:ascii="宋体" w:hAnsi="宋体" w:eastAsia="宋体" w:cs="宋体"/>
          <w:b/>
          <w:bCs/>
          <w:color w:val="000000" w:themeColor="text1"/>
          <w:sz w:val="24"/>
          <w:highlight w:val="none"/>
          <w:lang w:val="en-US" w:eastAsia="zh-CN"/>
          <w14:textFill>
            <w14:solidFill>
              <w14:schemeClr w14:val="tx1"/>
            </w14:solidFill>
          </w14:textFill>
        </w:rPr>
      </w:pPr>
      <w:r>
        <w:rPr>
          <w:rFonts w:hint="eastAsia" w:ascii="宋体" w:hAnsi="宋体" w:eastAsia="宋体" w:cs="宋体"/>
          <w:b/>
          <w:bCs/>
          <w:color w:val="000000" w:themeColor="text1"/>
          <w:sz w:val="24"/>
          <w:highlight w:val="none"/>
          <w:lang w:val="en-US" w:eastAsia="zh-CN"/>
          <w14:textFill>
            <w14:solidFill>
              <w14:schemeClr w14:val="tx1"/>
            </w14:solidFill>
          </w14:textFill>
        </w:rPr>
        <w:t>标项一</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jc w:val="left"/>
        <w:textAlignment w:val="auto"/>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标项名称:临丁路等7条市属区管道路市政环卫一体化综合养护服务项目</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jc w:val="left"/>
        <w:textAlignment w:val="auto"/>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lang w:eastAsia="zh-CN"/>
          <w14:textFill>
            <w14:solidFill>
              <w14:schemeClr w14:val="tx1"/>
            </w14:solidFill>
          </w14:textFill>
        </w:rPr>
        <w:t>数量:</w:t>
      </w:r>
      <w:r>
        <w:rPr>
          <w:rFonts w:hint="eastAsia" w:ascii="宋体" w:hAnsi="宋体" w:eastAsia="宋体" w:cs="宋体"/>
          <w:color w:val="000000" w:themeColor="text1"/>
          <w:sz w:val="24"/>
          <w:highlight w:val="none"/>
          <w:lang w:val="en-US" w:eastAsia="zh-CN"/>
          <w14:textFill>
            <w14:solidFill>
              <w14:schemeClr w14:val="tx1"/>
            </w14:solidFill>
          </w14:textFill>
        </w:rPr>
        <w:t>1项</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jc w:val="left"/>
        <w:textAlignment w:val="auto"/>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eastAsia="宋体" w:cs="宋体"/>
          <w:color w:val="000000" w:themeColor="text1"/>
          <w:sz w:val="24"/>
          <w:highlight w:val="none"/>
          <w:lang w:eastAsia="zh-CN"/>
          <w14:textFill>
            <w14:solidFill>
              <w14:schemeClr w14:val="tx1"/>
            </w14:solidFill>
          </w14:textFill>
        </w:rPr>
        <w:t>预算金额（元）:</w:t>
      </w:r>
      <w:r>
        <w:rPr>
          <w:rFonts w:hint="eastAsia" w:ascii="宋体" w:hAnsi="宋体" w:cs="宋体"/>
          <w:color w:val="000000" w:themeColor="text1"/>
          <w:sz w:val="24"/>
          <w:highlight w:val="none"/>
          <w:lang w:val="en-US" w:eastAsia="zh-CN"/>
          <w14:textFill>
            <w14:solidFill>
              <w14:schemeClr w14:val="tx1"/>
            </w14:solidFill>
          </w14:textFill>
        </w:rPr>
        <w:t>54759721.35</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jc w:val="left"/>
        <w:textAlignment w:val="auto"/>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eastAsia="宋体" w:cs="宋体"/>
          <w:color w:val="000000" w:themeColor="text1"/>
          <w:sz w:val="24"/>
          <w:highlight w:val="none"/>
          <w:lang w:eastAsia="zh-CN"/>
          <w14:textFill>
            <w14:solidFill>
              <w14:schemeClr w14:val="tx1"/>
            </w14:solidFill>
          </w14:textFill>
        </w:rPr>
        <w:t>简要规格描述或项目基本概况介绍、用途：具体以投标文件第三部分采购需求为准。</w:t>
      </w:r>
      <w:r>
        <w:rPr>
          <w:rFonts w:hint="eastAsia" w:ascii="宋体" w:hAnsi="宋体" w:eastAsia="宋体" w:cs="宋体"/>
          <w:color w:val="000000" w:themeColor="text1"/>
          <w:sz w:val="24"/>
          <w:highlight w:val="none"/>
          <w:lang w:eastAsia="zh-CN"/>
          <w14:textFill>
            <w14:solidFill>
              <w14:schemeClr w14:val="tx1"/>
            </w14:solidFill>
          </w14:textFill>
        </w:rPr>
        <w:br w:type="textWrapping"/>
      </w:r>
      <w:r>
        <w:rPr>
          <w:rFonts w:hint="eastAsia" w:ascii="宋体" w:hAnsi="宋体" w:eastAsia="宋体" w:cs="宋体"/>
          <w:color w:val="000000" w:themeColor="text1"/>
          <w:sz w:val="24"/>
          <w:highlight w:val="none"/>
          <w:lang w:eastAsia="zh-CN"/>
          <w14:textFill>
            <w14:solidFill>
              <w14:schemeClr w14:val="tx1"/>
            </w14:solidFill>
          </w14:textFill>
        </w:rPr>
        <w:t>  备注：供应商可点击本公告下方“浏览采购文件”查看采购需求。</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jc w:val="left"/>
        <w:textAlignment w:val="auto"/>
        <w:rPr>
          <w:rFonts w:hint="eastAsia" w:ascii="宋体" w:hAnsi="宋体" w:eastAsia="宋体" w:cs="宋体"/>
          <w:color w:val="000000" w:themeColor="text1"/>
          <w:sz w:val="24"/>
          <w:highlight w:val="none"/>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jc w:val="left"/>
        <w:textAlignment w:val="auto"/>
        <w:rPr>
          <w:rFonts w:hint="eastAsia" w:ascii="宋体" w:hAnsi="宋体" w:eastAsia="宋体" w:cs="宋体"/>
          <w:b/>
          <w:bCs/>
          <w:color w:val="000000" w:themeColor="text1"/>
          <w:sz w:val="24"/>
          <w:highlight w:val="none"/>
          <w:lang w:eastAsia="zh-CN"/>
          <w14:textFill>
            <w14:solidFill>
              <w14:schemeClr w14:val="tx1"/>
            </w14:solidFill>
          </w14:textFill>
        </w:rPr>
      </w:pPr>
      <w:r>
        <w:rPr>
          <w:rFonts w:hint="eastAsia" w:ascii="宋体" w:hAnsi="宋体" w:eastAsia="宋体" w:cs="宋体"/>
          <w:b/>
          <w:bCs/>
          <w:color w:val="000000" w:themeColor="text1"/>
          <w:sz w:val="24"/>
          <w:highlight w:val="none"/>
          <w:lang w:eastAsia="zh-CN"/>
          <w14:textFill>
            <w14:solidFill>
              <w14:schemeClr w14:val="tx1"/>
            </w14:solidFill>
          </w14:textFill>
        </w:rPr>
        <w:t>标项二</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jc w:val="left"/>
        <w:textAlignment w:val="auto"/>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cs="宋体"/>
          <w:color w:val="000000" w:themeColor="text1"/>
          <w:sz w:val="24"/>
          <w:highlight w:val="none"/>
          <w:lang w:eastAsia="zh-CN"/>
          <w14:textFill>
            <w14:solidFill>
              <w14:schemeClr w14:val="tx1"/>
            </w14:solidFill>
          </w14:textFill>
        </w:rPr>
        <w:t>标项名称:东新路等8条市属区管道路市政环卫一体化综合养护服务项目</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jc w:val="left"/>
        <w:textAlignment w:val="auto"/>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lang w:eastAsia="zh-CN"/>
          <w14:textFill>
            <w14:solidFill>
              <w14:schemeClr w14:val="tx1"/>
            </w14:solidFill>
          </w14:textFill>
        </w:rPr>
        <w:t>数量:</w:t>
      </w:r>
      <w:r>
        <w:rPr>
          <w:rFonts w:hint="eastAsia" w:ascii="宋体" w:hAnsi="宋体" w:eastAsia="宋体" w:cs="宋体"/>
          <w:color w:val="000000" w:themeColor="text1"/>
          <w:sz w:val="24"/>
          <w:highlight w:val="none"/>
          <w:lang w:val="en-US" w:eastAsia="zh-CN"/>
          <w14:textFill>
            <w14:solidFill>
              <w14:schemeClr w14:val="tx1"/>
            </w14:solidFill>
          </w14:textFill>
        </w:rPr>
        <w:t>1项</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jc w:val="left"/>
        <w:textAlignment w:val="auto"/>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eastAsia="宋体" w:cs="宋体"/>
          <w:color w:val="000000" w:themeColor="text1"/>
          <w:sz w:val="24"/>
          <w:highlight w:val="none"/>
          <w:lang w:eastAsia="zh-CN"/>
          <w14:textFill>
            <w14:solidFill>
              <w14:schemeClr w14:val="tx1"/>
            </w14:solidFill>
          </w14:textFill>
        </w:rPr>
        <w:t>预算金额（元）:</w:t>
      </w:r>
      <w:r>
        <w:rPr>
          <w:rFonts w:hint="eastAsia" w:ascii="宋体" w:hAnsi="宋体" w:cs="宋体"/>
          <w:color w:val="000000" w:themeColor="text1"/>
          <w:sz w:val="24"/>
          <w:highlight w:val="none"/>
          <w:lang w:val="en-US" w:eastAsia="zh-CN"/>
          <w14:textFill>
            <w14:solidFill>
              <w14:schemeClr w14:val="tx1"/>
            </w14:solidFill>
          </w14:textFill>
        </w:rPr>
        <w:t>64107061.33</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jc w:val="left"/>
        <w:textAlignment w:val="auto"/>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eastAsia="宋体" w:cs="宋体"/>
          <w:color w:val="000000" w:themeColor="text1"/>
          <w:sz w:val="24"/>
          <w:highlight w:val="none"/>
          <w:lang w:eastAsia="zh-CN"/>
          <w14:textFill>
            <w14:solidFill>
              <w14:schemeClr w14:val="tx1"/>
            </w14:solidFill>
          </w14:textFill>
        </w:rPr>
        <w:t>简要规格描述或项目基本概况介绍、用途：具体以投标文件第三部分采购需求为准，供应商可点击本公告下方“浏览采购文件”查看采购需求。</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jc w:val="left"/>
        <w:textAlignment w:val="auto"/>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eastAsia="宋体" w:cs="宋体"/>
          <w:color w:val="000000" w:themeColor="text1"/>
          <w:sz w:val="24"/>
          <w:highlight w:val="none"/>
          <w:lang w:eastAsia="zh-CN"/>
          <w14:textFill>
            <w14:solidFill>
              <w14:schemeClr w14:val="tx1"/>
            </w14:solidFill>
          </w14:textFill>
        </w:rPr>
        <w:t>备注：供应商可点击本公告下方“浏览采购文件”查看采购需求。 </w:t>
      </w:r>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jc w:val="left"/>
        <w:textAlignment w:val="auto"/>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eastAsia="宋体" w:cs="宋体"/>
          <w:b/>
          <w:bCs/>
          <w:color w:val="000000" w:themeColor="text1"/>
          <w:sz w:val="24"/>
          <w:highlight w:val="none"/>
          <w:lang w:eastAsia="zh-CN"/>
          <w14:textFill>
            <w14:solidFill>
              <w14:schemeClr w14:val="tx1"/>
            </w14:solidFill>
          </w14:textFill>
        </w:rPr>
        <w:t>合同履约期限：</w:t>
      </w:r>
      <w:r>
        <w:rPr>
          <w:rFonts w:hint="eastAsia" w:ascii="宋体" w:hAnsi="宋体" w:eastAsia="宋体" w:cs="宋体"/>
          <w:b/>
          <w:bCs/>
          <w:color w:val="000000" w:themeColor="text1"/>
          <w:sz w:val="24"/>
          <w:highlight w:val="none"/>
          <w:lang w:val="en-US" w:eastAsia="zh-CN"/>
          <w14:textFill>
            <w14:solidFill>
              <w14:schemeClr w14:val="tx1"/>
            </w14:solidFill>
          </w14:textFill>
        </w:rPr>
        <w:t>标项一；标的二；</w:t>
      </w:r>
      <w:r>
        <w:rPr>
          <w:rFonts w:hint="eastAsia" w:ascii="宋体" w:hAnsi="宋体" w:eastAsia="宋体" w:cs="宋体"/>
          <w:b w:val="0"/>
          <w:bCs w:val="0"/>
          <w:snapToGrid w:val="0"/>
          <w:color w:val="000000" w:themeColor="text1"/>
          <w:spacing w:val="13"/>
          <w:kern w:val="0"/>
          <w:sz w:val="26"/>
          <w:szCs w:val="26"/>
          <w:highlight w:val="none"/>
          <w:lang w:val="en-US" w:eastAsia="zh-CN"/>
          <w14:textFill>
            <w14:solidFill>
              <w14:schemeClr w14:val="tx1"/>
            </w14:solidFill>
          </w14:textFill>
        </w:rPr>
        <w:t>3年</w:t>
      </w:r>
      <w:r>
        <w:rPr>
          <w:rFonts w:hint="eastAsia" w:ascii="宋体" w:hAnsi="宋体" w:cs="宋体"/>
          <w:b w:val="0"/>
          <w:bCs w:val="0"/>
          <w:snapToGrid w:val="0"/>
          <w:color w:val="000000" w:themeColor="text1"/>
          <w:spacing w:val="13"/>
          <w:kern w:val="0"/>
          <w:sz w:val="26"/>
          <w:szCs w:val="26"/>
          <w:highlight w:val="none"/>
          <w:lang w:val="en-US" w:eastAsia="zh-CN"/>
          <w14:textFill>
            <w14:solidFill>
              <w14:schemeClr w14:val="tx1"/>
            </w14:solidFill>
          </w14:textFill>
        </w:rPr>
        <w:t>，</w:t>
      </w:r>
      <w:r>
        <w:rPr>
          <w:rFonts w:hint="eastAsia" w:ascii="宋体" w:hAnsi="宋体" w:eastAsia="宋体" w:cs="宋体"/>
          <w:b w:val="0"/>
          <w:bCs w:val="0"/>
          <w:snapToGrid w:val="0"/>
          <w:color w:val="000000" w:themeColor="text1"/>
          <w:spacing w:val="13"/>
          <w:kern w:val="0"/>
          <w:sz w:val="26"/>
          <w:szCs w:val="26"/>
          <w:highlight w:val="none"/>
          <w:lang w:val="en-US" w:eastAsia="zh-CN"/>
          <w14:textFill>
            <w14:solidFill>
              <w14:schemeClr w14:val="tx1"/>
            </w14:solidFill>
          </w14:textFill>
        </w:rPr>
        <w:t>具体起始日期以合同</w:t>
      </w:r>
      <w:r>
        <w:rPr>
          <w:rFonts w:hint="eastAsia" w:ascii="宋体" w:hAnsi="宋体" w:cs="宋体"/>
          <w:b w:val="0"/>
          <w:bCs w:val="0"/>
          <w:snapToGrid w:val="0"/>
          <w:color w:val="000000" w:themeColor="text1"/>
          <w:spacing w:val="13"/>
          <w:kern w:val="0"/>
          <w:sz w:val="26"/>
          <w:szCs w:val="26"/>
          <w:highlight w:val="none"/>
          <w:lang w:val="en-US" w:eastAsia="zh-CN"/>
          <w14:textFill>
            <w14:solidFill>
              <w14:schemeClr w14:val="tx1"/>
            </w14:solidFill>
          </w14:textFill>
        </w:rPr>
        <w:t>约定</w:t>
      </w:r>
      <w:r>
        <w:rPr>
          <w:rFonts w:hint="eastAsia" w:ascii="宋体" w:hAnsi="宋体" w:eastAsia="宋体" w:cs="宋体"/>
          <w:b w:val="0"/>
          <w:bCs w:val="0"/>
          <w:snapToGrid w:val="0"/>
          <w:color w:val="000000" w:themeColor="text1"/>
          <w:spacing w:val="13"/>
          <w:kern w:val="0"/>
          <w:sz w:val="26"/>
          <w:szCs w:val="26"/>
          <w:highlight w:val="none"/>
          <w:lang w:val="en-US" w:eastAsia="zh-CN"/>
          <w14:textFill>
            <w14:solidFill>
              <w14:schemeClr w14:val="tx1"/>
            </w14:solidFill>
          </w14:textFill>
        </w:rPr>
        <w:t>为准</w:t>
      </w:r>
      <w:r>
        <w:rPr>
          <w:rFonts w:hint="eastAsia" w:ascii="宋体" w:hAnsi="宋体" w:cs="宋体"/>
          <w:b w:val="0"/>
          <w:bCs w:val="0"/>
          <w:snapToGrid w:val="0"/>
          <w:color w:val="000000" w:themeColor="text1"/>
          <w:spacing w:val="13"/>
          <w:kern w:val="0"/>
          <w:sz w:val="26"/>
          <w:szCs w:val="26"/>
          <w:highlight w:val="none"/>
          <w:lang w:val="en-US" w:eastAsia="zh-CN"/>
          <w14:textFill>
            <w14:solidFill>
              <w14:schemeClr w14:val="tx1"/>
            </w14:solidFill>
          </w14:textFill>
        </w:rPr>
        <w:t>，合同期限采取“1+1+1”模式签订</w:t>
      </w:r>
      <w:r>
        <w:rPr>
          <w:rFonts w:hint="eastAsia" w:ascii="宋体" w:hAnsi="宋体" w:eastAsia="宋体" w:cs="宋体"/>
          <w:color w:val="000000" w:themeColor="text1"/>
          <w:sz w:val="24"/>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jc w:val="left"/>
        <w:textAlignment w:val="auto"/>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eastAsia="宋体" w:cs="宋体"/>
          <w:color w:val="000000" w:themeColor="text1"/>
          <w:sz w:val="24"/>
          <w:highlight w:val="none"/>
          <w:lang w:eastAsia="zh-CN"/>
          <w14:textFill>
            <w14:solidFill>
              <w14:schemeClr w14:val="tx1"/>
            </w14:solidFill>
          </w14:textFill>
        </w:rPr>
        <w:t xml:space="preserve">本项目接受联合体投标： </w:t>
      </w:r>
      <w:sdt>
        <w:sdtPr>
          <w:rPr>
            <w:rFonts w:hint="eastAsia" w:ascii="宋体" w:hAnsi="宋体" w:eastAsia="宋体" w:cs="宋体"/>
            <w:b/>
            <w:bCs/>
            <w:color w:val="000000" w:themeColor="text1"/>
            <w:sz w:val="24"/>
            <w:highlight w:val="none"/>
            <w:lang w:eastAsia="zh-CN"/>
            <w14:textFill>
              <w14:solidFill>
                <w14:schemeClr w14:val="tx1"/>
              </w14:solidFill>
            </w14:textFill>
          </w:rPr>
          <w:id w:val="-441836950"/>
          <w14:checkbox>
            <w14:checked w14:val="1"/>
            <w14:checkedState w14:val="00FE" w14:font="Wingdings"/>
            <w14:uncheckedState w14:val="2610" w14:font="MS Gothic"/>
          </w14:checkbox>
        </w:sdtPr>
        <w:sdtEndPr>
          <w:rPr>
            <w:rFonts w:hint="eastAsia" w:ascii="宋体" w:hAnsi="宋体" w:eastAsia="宋体" w:cs="宋体"/>
            <w:b/>
            <w:bCs/>
            <w:color w:val="000000" w:themeColor="text1"/>
            <w:sz w:val="24"/>
            <w:highlight w:val="none"/>
            <w:lang w:eastAsia="zh-CN"/>
            <w14:textFill>
              <w14:solidFill>
                <w14:schemeClr w14:val="tx1"/>
              </w14:solidFill>
            </w14:textFill>
          </w:rPr>
        </w:sdtEndPr>
        <w:sdtContent>
          <w:r>
            <w:rPr>
              <w:rFonts w:hint="eastAsia" w:ascii="宋体" w:hAnsi="宋体" w:eastAsia="宋体" w:cs="宋体"/>
              <w:b/>
              <w:bCs/>
              <w:color w:val="000000" w:themeColor="text1"/>
              <w:sz w:val="24"/>
              <w:highlight w:val="none"/>
              <w:lang w:eastAsia="zh-CN"/>
              <w14:textFill>
                <w14:solidFill>
                  <w14:schemeClr w14:val="tx1"/>
                </w14:solidFill>
              </w14:textFill>
            </w:rPr>
            <w:sym w:font="Wingdings" w:char="F0FE"/>
          </w:r>
        </w:sdtContent>
      </w:sdt>
      <w:r>
        <w:rPr>
          <w:rFonts w:hint="eastAsia" w:ascii="宋体" w:hAnsi="宋体" w:eastAsia="宋体" w:cs="宋体"/>
          <w:b/>
          <w:bCs/>
          <w:color w:val="000000" w:themeColor="text1"/>
          <w:sz w:val="24"/>
          <w:highlight w:val="none"/>
          <w:lang w:eastAsia="zh-CN"/>
          <w14:textFill>
            <w14:solidFill>
              <w14:schemeClr w14:val="tx1"/>
            </w14:solidFill>
          </w14:textFill>
        </w:rPr>
        <w:t>是；</w:t>
      </w:r>
      <w:sdt>
        <w:sdtPr>
          <w:rPr>
            <w:rFonts w:hint="eastAsia" w:ascii="宋体" w:hAnsi="宋体" w:eastAsia="宋体" w:cs="宋体"/>
            <w:b/>
            <w:bCs/>
            <w:color w:val="000000" w:themeColor="text1"/>
            <w:sz w:val="24"/>
            <w:highlight w:val="none"/>
            <w:lang w:eastAsia="zh-CN"/>
            <w14:textFill>
              <w14:solidFill>
                <w14:schemeClr w14:val="tx1"/>
              </w14:solidFill>
            </w14:textFill>
          </w:rPr>
          <w:id w:val="-1591624199"/>
          <w14:checkbox>
            <w14:checked w14:val="0"/>
            <w14:checkedState w14:val="00FE" w14:font="Wingdings"/>
            <w14:uncheckedState w14:val="2610" w14:font="MS Gothic"/>
          </w14:checkbox>
        </w:sdtPr>
        <w:sdtEndPr>
          <w:rPr>
            <w:rFonts w:hint="eastAsia" w:ascii="宋体" w:hAnsi="宋体" w:eastAsia="宋体" w:cs="宋体"/>
            <w:b/>
            <w:bCs/>
            <w:color w:val="000000" w:themeColor="text1"/>
            <w:sz w:val="24"/>
            <w:highlight w:val="none"/>
            <w:lang w:eastAsia="zh-CN"/>
            <w14:textFill>
              <w14:solidFill>
                <w14:schemeClr w14:val="tx1"/>
              </w14:solidFill>
            </w14:textFill>
          </w:rPr>
        </w:sdtEndPr>
        <w:sdtContent>
          <w:r>
            <w:rPr>
              <w:rFonts w:hint="eastAsia" w:ascii="宋体" w:hAnsi="宋体" w:eastAsia="宋体" w:cs="宋体"/>
              <w:color w:val="000000" w:themeColor="text1"/>
              <w:sz w:val="24"/>
              <w:highlight w:val="none"/>
              <w:lang w:eastAsia="zh-CN"/>
              <w14:textFill>
                <w14:solidFill>
                  <w14:schemeClr w14:val="tx1"/>
                </w14:solidFill>
              </w14:textFill>
            </w:rPr>
            <w:t>☐</w:t>
          </w:r>
        </w:sdtContent>
      </w:sdt>
      <w:r>
        <w:rPr>
          <w:rFonts w:hint="eastAsia" w:ascii="宋体" w:hAnsi="宋体" w:eastAsia="宋体" w:cs="宋体"/>
          <w:color w:val="000000" w:themeColor="text1"/>
          <w:sz w:val="24"/>
          <w:highlight w:val="none"/>
          <w:lang w:eastAsia="zh-CN"/>
          <w14:textFill>
            <w14:solidFill>
              <w14:schemeClr w14:val="tx1"/>
            </w14:solidFill>
          </w14:textFill>
        </w:rPr>
        <w:t>否。</w:t>
      </w:r>
    </w:p>
    <w:p>
      <w:pPr>
        <w:spacing w:line="360" w:lineRule="auto"/>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二、申请人的资格要求：</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 以联合体形式投标的，提供联合协议(本项目不接受联合体投标或者投标人不以联合体形式投标的，则不需要提供) ；</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3.落实政府采购政策需满足的资格要求：</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3.1.临丁路等7条市属区管道路市政环卫一体化综合养护服务项目</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b/>
          <w:bCs/>
          <w:color w:val="000000" w:themeColor="text1"/>
          <w:sz w:val="24"/>
          <w:highlight w:val="none"/>
          <w:lang w:eastAsia="zh-CN"/>
          <w14:textFill>
            <w14:solidFill>
              <w14:schemeClr w14:val="tx1"/>
            </w14:solidFill>
          </w14:textFill>
        </w:rPr>
        <w:t>无</w:t>
      </w:r>
    </w:p>
    <w:p>
      <w:pPr>
        <w:spacing w:line="360" w:lineRule="auto"/>
        <w:ind w:firstLine="480" w:firstLineChars="200"/>
        <w:rPr>
          <w:rFonts w:hint="eastAsia" w:ascii="宋体" w:hAnsi="宋体" w:eastAsia="宋体" w:cs="宋体"/>
          <w:b/>
          <w:bCs/>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3.2.</w:t>
      </w:r>
      <w:r>
        <w:rPr>
          <w:rFonts w:hint="eastAsia" w:ascii="宋体" w:hAnsi="宋体" w:cs="宋体"/>
          <w:color w:val="000000" w:themeColor="text1"/>
          <w:sz w:val="24"/>
          <w:highlight w:val="none"/>
          <w:lang w:eastAsia="zh-CN"/>
          <w14:textFill>
            <w14:solidFill>
              <w14:schemeClr w14:val="tx1"/>
            </w14:solidFill>
          </w14:textFill>
        </w:rPr>
        <w:t>东新路等8条市属区管道路市政环卫一体化综合养护服务项目</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b/>
          <w:bCs/>
          <w:color w:val="000000" w:themeColor="text1"/>
          <w:sz w:val="24"/>
          <w:highlight w:val="none"/>
          <w14:textFill>
            <w14:solidFill>
              <w14:schemeClr w14:val="tx1"/>
            </w14:solidFill>
          </w14:textFill>
        </w:rPr>
        <w:t>服务全部由符合政策要求的中小企业承接，提供中小企业声明函；</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4</w:t>
      </w:r>
      <w:r>
        <w:rPr>
          <w:rFonts w:hint="eastAsia" w:ascii="宋体" w:hAnsi="宋体" w:eastAsia="宋体" w:cs="宋体"/>
          <w:color w:val="000000" w:themeColor="text1"/>
          <w:sz w:val="24"/>
          <w:highlight w:val="none"/>
          <w14:textFill>
            <w14:solidFill>
              <w14:schemeClr w14:val="tx1"/>
            </w14:solidFill>
          </w14:textFill>
        </w:rPr>
        <w:t>.本项目的特定资格要求：</w:t>
      </w:r>
      <w:r>
        <w:rPr>
          <w:rFonts w:hint="eastAsia" w:ascii="宋体" w:hAnsi="宋体" w:eastAsia="宋体" w:cs="宋体"/>
          <w:color w:val="000000" w:themeColor="text1"/>
          <w:sz w:val="24"/>
          <w:highlight w:val="none"/>
          <w:lang w:eastAsia="zh-CN"/>
          <w14:textFill>
            <w14:solidFill>
              <w14:schemeClr w14:val="tx1"/>
            </w14:solidFill>
          </w14:textFill>
        </w:rPr>
        <w:t>具有市政公用工程施工总承包三级及以上资质（以资质证书为准）；</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5.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三、获取</w:t>
      </w:r>
      <w:r>
        <w:rPr>
          <w:rFonts w:hint="eastAsia" w:ascii="宋体" w:hAnsi="宋体" w:eastAsia="宋体" w:cs="宋体"/>
          <w:b/>
          <w:color w:val="000000" w:themeColor="text1"/>
          <w:sz w:val="24"/>
          <w:highlight w:val="none"/>
          <w:lang w:eastAsia="zh-CN"/>
          <w14:textFill>
            <w14:solidFill>
              <w14:schemeClr w14:val="tx1"/>
            </w14:solidFill>
          </w14:textFill>
        </w:rPr>
        <w:t>投标文件</w:t>
      </w:r>
      <w:r>
        <w:rPr>
          <w:rFonts w:hint="eastAsia" w:ascii="宋体" w:hAnsi="宋体" w:eastAsia="宋体" w:cs="宋体"/>
          <w:b/>
          <w:color w:val="000000" w:themeColor="text1"/>
          <w:sz w:val="24"/>
          <w:highlight w:val="none"/>
          <w14:textFill>
            <w14:solidFill>
              <w14:schemeClr w14:val="tx1"/>
            </w14:solidFill>
          </w14:textFill>
        </w:rPr>
        <w:t xml:space="preserve"> </w:t>
      </w:r>
    </w:p>
    <w:p>
      <w:pPr>
        <w:spacing w:line="360" w:lineRule="auto"/>
        <w:ind w:firstLine="482"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时间：</w:t>
      </w:r>
      <w:r>
        <w:rPr>
          <w:rFonts w:hint="eastAsia" w:ascii="宋体" w:hAnsi="宋体" w:eastAsia="宋体" w:cs="宋体"/>
          <w:color w:val="000000" w:themeColor="text1"/>
          <w:sz w:val="24"/>
          <w:highlight w:val="none"/>
          <w14:textFill>
            <w14:solidFill>
              <w14:schemeClr w14:val="tx1"/>
            </w14:solidFill>
          </w14:textFill>
        </w:rPr>
        <w:t>/至</w:t>
      </w:r>
      <w:r>
        <w:rPr>
          <w:rFonts w:hint="eastAsia" w:ascii="宋体" w:hAnsi="宋体" w:eastAsia="宋体" w:cs="宋体"/>
          <w:color w:val="000000" w:themeColor="text1"/>
          <w:sz w:val="24"/>
          <w:highlight w:val="none"/>
          <w:u w:val="single"/>
          <w14:textFill>
            <w14:solidFill>
              <w14:schemeClr w14:val="tx1"/>
            </w14:solidFill>
          </w14:textFill>
        </w:rPr>
        <w:t>202</w:t>
      </w:r>
      <w:r>
        <w:rPr>
          <w:rFonts w:hint="eastAsia" w:ascii="宋体" w:hAnsi="宋体" w:cs="宋体"/>
          <w:color w:val="000000" w:themeColor="text1"/>
          <w:sz w:val="24"/>
          <w:highlight w:val="none"/>
          <w:u w:val="single"/>
          <w:lang w:val="en-US" w:eastAsia="zh-CN"/>
          <w14:textFill>
            <w14:solidFill>
              <w14:schemeClr w14:val="tx1"/>
            </w14:solidFill>
          </w14:textFill>
        </w:rPr>
        <w:t>3</w:t>
      </w:r>
      <w:r>
        <w:rPr>
          <w:rFonts w:hint="eastAsia" w:ascii="宋体" w:hAnsi="宋体" w:eastAsia="宋体" w:cs="宋体"/>
          <w:color w:val="000000" w:themeColor="text1"/>
          <w:sz w:val="24"/>
          <w:highlight w:val="none"/>
          <w:u w:val="single"/>
          <w14:textFill>
            <w14:solidFill>
              <w14:schemeClr w14:val="tx1"/>
            </w14:solidFill>
          </w14:textFill>
        </w:rPr>
        <w:t>年</w:t>
      </w:r>
      <w:r>
        <w:rPr>
          <w:rFonts w:hint="eastAsia" w:ascii="宋体" w:hAnsi="宋体" w:cs="宋体"/>
          <w:color w:val="000000" w:themeColor="text1"/>
          <w:sz w:val="24"/>
          <w:highlight w:val="none"/>
          <w:u w:val="single"/>
          <w:lang w:val="en-US" w:eastAsia="zh-CN"/>
          <w14:textFill>
            <w14:solidFill>
              <w14:schemeClr w14:val="tx1"/>
            </w14:solidFill>
          </w14:textFill>
        </w:rPr>
        <w:t>06</w:t>
      </w:r>
      <w:r>
        <w:rPr>
          <w:rFonts w:hint="eastAsia" w:ascii="宋体" w:hAnsi="宋体" w:eastAsia="宋体" w:cs="宋体"/>
          <w:color w:val="000000" w:themeColor="text1"/>
          <w:sz w:val="24"/>
          <w:highlight w:val="none"/>
          <w:u w:val="single"/>
          <w14:textFill>
            <w14:solidFill>
              <w14:schemeClr w14:val="tx1"/>
            </w14:solidFill>
          </w14:textFill>
        </w:rPr>
        <w:t>月</w:t>
      </w:r>
      <w:r>
        <w:rPr>
          <w:rFonts w:hint="eastAsia" w:ascii="宋体" w:hAnsi="宋体" w:cs="宋体"/>
          <w:color w:val="000000" w:themeColor="text1"/>
          <w:sz w:val="24"/>
          <w:highlight w:val="none"/>
          <w:u w:val="single"/>
          <w:lang w:val="en-US" w:eastAsia="zh-CN"/>
          <w14:textFill>
            <w14:solidFill>
              <w14:schemeClr w14:val="tx1"/>
            </w14:solidFill>
          </w14:textFill>
        </w:rPr>
        <w:t>28</w:t>
      </w:r>
      <w:r>
        <w:rPr>
          <w:rFonts w:hint="eastAsia" w:ascii="宋体" w:hAnsi="宋体" w:eastAsia="宋体" w:cs="宋体"/>
          <w:color w:val="000000" w:themeColor="text1"/>
          <w:sz w:val="24"/>
          <w:highlight w:val="none"/>
          <w:u w:val="single"/>
          <w14:textFill>
            <w14:solidFill>
              <w14:schemeClr w14:val="tx1"/>
            </w14:solidFill>
          </w14:textFill>
        </w:rPr>
        <w:t>日</w:t>
      </w:r>
      <w:r>
        <w:rPr>
          <w:rFonts w:hint="eastAsia" w:ascii="宋体" w:hAnsi="宋体" w:eastAsia="宋体" w:cs="宋体"/>
          <w:color w:val="000000" w:themeColor="text1"/>
          <w:sz w:val="24"/>
          <w:highlight w:val="none"/>
          <w14:textFill>
            <w14:solidFill>
              <w14:schemeClr w14:val="tx1"/>
            </w14:solidFill>
          </w14:textFill>
        </w:rPr>
        <w:t>，每天上午00:00至12:00 ，下午12:00至23:59（北京时间，线上获取法定节假日均可，线下获取文件法定节假日除外）</w:t>
      </w:r>
    </w:p>
    <w:p>
      <w:pPr>
        <w:spacing w:line="360" w:lineRule="auto"/>
        <w:ind w:firstLine="482"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地点（网址）：</w:t>
      </w:r>
      <w:r>
        <w:rPr>
          <w:rFonts w:hint="eastAsia" w:ascii="宋体" w:hAnsi="宋体" w:eastAsia="宋体" w:cs="宋体"/>
          <w:color w:val="000000" w:themeColor="text1"/>
          <w:sz w:val="24"/>
          <w:highlight w:val="none"/>
          <w14:textFill>
            <w14:solidFill>
              <w14:schemeClr w14:val="tx1"/>
            </w14:solidFill>
          </w14:textFill>
        </w:rPr>
        <w:t xml:space="preserve">政采云平台（https://www.zcygov.cn/） </w:t>
      </w:r>
    </w:p>
    <w:p>
      <w:pPr>
        <w:spacing w:line="360" w:lineRule="auto"/>
        <w:ind w:firstLine="482"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方式：</w:t>
      </w:r>
      <w:r>
        <w:rPr>
          <w:rFonts w:hint="eastAsia" w:ascii="宋体" w:hAnsi="宋体" w:eastAsia="宋体" w:cs="宋体"/>
          <w:color w:val="000000" w:themeColor="text1"/>
          <w:sz w:val="24"/>
          <w:highlight w:val="none"/>
          <w14:textFill>
            <w14:solidFill>
              <w14:schemeClr w14:val="tx1"/>
            </w14:solidFill>
          </w14:textFill>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售价（元）：</w:t>
      </w:r>
      <w:r>
        <w:rPr>
          <w:rFonts w:hint="eastAsia" w:ascii="宋体" w:hAnsi="宋体" w:eastAsia="宋体" w:cs="宋体"/>
          <w:color w:val="000000" w:themeColor="text1"/>
          <w:sz w:val="24"/>
          <w:highlight w:val="none"/>
          <w14:textFill>
            <w14:solidFill>
              <w14:schemeClr w14:val="tx1"/>
            </w14:solidFill>
          </w14:textFill>
        </w:rPr>
        <w:t xml:space="preserve">0 </w:t>
      </w:r>
      <w:r>
        <w:rPr>
          <w:rFonts w:hint="eastAsia" w:ascii="宋体" w:hAnsi="宋体" w:eastAsia="宋体" w:cs="宋体"/>
          <w:color w:val="000000" w:themeColor="text1"/>
          <w:sz w:val="24"/>
          <w:highlight w:val="none"/>
          <w14:textFill>
            <w14:solidFill>
              <w14:schemeClr w14:val="tx1"/>
            </w14:solidFill>
          </w14:textFill>
        </w:rPr>
        <w:tab/>
      </w:r>
    </w:p>
    <w:p>
      <w:pPr>
        <w:spacing w:line="360" w:lineRule="auto"/>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四、提交投标文件截止时间、开标时间和地点</w:t>
      </w:r>
    </w:p>
    <w:p>
      <w:pPr>
        <w:spacing w:line="360" w:lineRule="auto"/>
        <w:ind w:firstLine="482"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提交投标文件截止时间：</w:t>
      </w:r>
      <w:r>
        <w:rPr>
          <w:rFonts w:hint="eastAsia" w:ascii="宋体" w:hAnsi="宋体" w:eastAsia="宋体" w:cs="宋体"/>
          <w:color w:val="000000" w:themeColor="text1"/>
          <w:sz w:val="24"/>
          <w:highlight w:val="none"/>
          <w:u w:val="single"/>
          <w14:textFill>
            <w14:solidFill>
              <w14:schemeClr w14:val="tx1"/>
            </w14:solidFill>
          </w14:textFill>
        </w:rPr>
        <w:t>202</w:t>
      </w:r>
      <w:r>
        <w:rPr>
          <w:rFonts w:hint="eastAsia" w:ascii="宋体" w:hAnsi="宋体" w:cs="宋体"/>
          <w:color w:val="000000" w:themeColor="text1"/>
          <w:sz w:val="24"/>
          <w:highlight w:val="none"/>
          <w:u w:val="single"/>
          <w:lang w:val="en-US" w:eastAsia="zh-CN"/>
          <w14:textFill>
            <w14:solidFill>
              <w14:schemeClr w14:val="tx1"/>
            </w14:solidFill>
          </w14:textFill>
        </w:rPr>
        <w:t>3</w:t>
      </w:r>
      <w:r>
        <w:rPr>
          <w:rFonts w:hint="eastAsia" w:ascii="宋体" w:hAnsi="宋体" w:eastAsia="宋体" w:cs="宋体"/>
          <w:color w:val="000000" w:themeColor="text1"/>
          <w:sz w:val="24"/>
          <w:highlight w:val="none"/>
          <w:u w:val="single"/>
          <w14:textFill>
            <w14:solidFill>
              <w14:schemeClr w14:val="tx1"/>
            </w14:solidFill>
          </w14:textFill>
        </w:rPr>
        <w:t>年</w:t>
      </w:r>
      <w:r>
        <w:rPr>
          <w:rFonts w:hint="eastAsia" w:ascii="宋体" w:hAnsi="宋体" w:cs="宋体"/>
          <w:color w:val="000000" w:themeColor="text1"/>
          <w:sz w:val="24"/>
          <w:highlight w:val="none"/>
          <w:u w:val="single"/>
          <w:lang w:val="en-US" w:eastAsia="zh-CN"/>
          <w14:textFill>
            <w14:solidFill>
              <w14:schemeClr w14:val="tx1"/>
            </w14:solidFill>
          </w14:textFill>
        </w:rPr>
        <w:t>06</w:t>
      </w:r>
      <w:r>
        <w:rPr>
          <w:rFonts w:hint="eastAsia" w:ascii="宋体" w:hAnsi="宋体" w:eastAsia="宋体" w:cs="宋体"/>
          <w:color w:val="000000" w:themeColor="text1"/>
          <w:sz w:val="24"/>
          <w:highlight w:val="none"/>
          <w:u w:val="single"/>
          <w14:textFill>
            <w14:solidFill>
              <w14:schemeClr w14:val="tx1"/>
            </w14:solidFill>
          </w14:textFill>
        </w:rPr>
        <w:t>月</w:t>
      </w:r>
      <w:r>
        <w:rPr>
          <w:rFonts w:hint="eastAsia" w:ascii="宋体" w:hAnsi="宋体" w:cs="宋体"/>
          <w:color w:val="000000" w:themeColor="text1"/>
          <w:sz w:val="24"/>
          <w:highlight w:val="none"/>
          <w:u w:val="single"/>
          <w:lang w:val="en-US" w:eastAsia="zh-CN"/>
          <w14:textFill>
            <w14:solidFill>
              <w14:schemeClr w14:val="tx1"/>
            </w14:solidFill>
          </w14:textFill>
        </w:rPr>
        <w:t>28</w:t>
      </w:r>
      <w:r>
        <w:rPr>
          <w:rFonts w:hint="eastAsia" w:ascii="宋体" w:hAnsi="宋体" w:eastAsia="宋体" w:cs="宋体"/>
          <w:color w:val="000000" w:themeColor="text1"/>
          <w:sz w:val="24"/>
          <w:highlight w:val="none"/>
          <w:u w:val="single"/>
          <w14:textFill>
            <w14:solidFill>
              <w14:schemeClr w14:val="tx1"/>
            </w14:solidFill>
          </w14:textFill>
        </w:rPr>
        <w:t>日</w:t>
      </w:r>
      <w:r>
        <w:rPr>
          <w:rFonts w:hint="eastAsia" w:ascii="宋体" w:hAnsi="宋体" w:cs="宋体"/>
          <w:color w:val="000000" w:themeColor="text1"/>
          <w:sz w:val="24"/>
          <w:highlight w:val="none"/>
          <w:u w:val="single"/>
          <w:lang w:val="en-US" w:eastAsia="zh-CN"/>
          <w14:textFill>
            <w14:solidFill>
              <w14:schemeClr w14:val="tx1"/>
            </w14:solidFill>
          </w14:textFill>
        </w:rPr>
        <w:t>15</w:t>
      </w:r>
      <w:r>
        <w:rPr>
          <w:rFonts w:hint="eastAsia" w:ascii="宋体" w:hAnsi="宋体" w:eastAsia="宋体" w:cs="宋体"/>
          <w:color w:val="000000" w:themeColor="text1"/>
          <w:sz w:val="24"/>
          <w:highlight w:val="none"/>
          <w:u w:val="single"/>
          <w14:textFill>
            <w14:solidFill>
              <w14:schemeClr w14:val="tx1"/>
            </w14:solidFill>
          </w14:textFill>
        </w:rPr>
        <w:t>点</w:t>
      </w:r>
      <w:r>
        <w:rPr>
          <w:rFonts w:hint="eastAsia" w:ascii="宋体" w:hAnsi="宋体" w:cs="宋体"/>
          <w:color w:val="000000" w:themeColor="text1"/>
          <w:sz w:val="24"/>
          <w:highlight w:val="none"/>
          <w:u w:val="single"/>
          <w:lang w:val="en-US" w:eastAsia="zh-CN"/>
          <w14:textFill>
            <w14:solidFill>
              <w14:schemeClr w14:val="tx1"/>
            </w14:solidFill>
          </w14:textFill>
        </w:rPr>
        <w:t>00</w:t>
      </w:r>
      <w:r>
        <w:rPr>
          <w:rFonts w:hint="eastAsia" w:ascii="宋体" w:hAnsi="宋体" w:eastAsia="宋体" w:cs="宋体"/>
          <w:color w:val="000000" w:themeColor="text1"/>
          <w:sz w:val="24"/>
          <w:highlight w:val="none"/>
          <w:u w:val="single"/>
          <w14:textFill>
            <w14:solidFill>
              <w14:schemeClr w14:val="tx1"/>
            </w14:solidFill>
          </w14:textFill>
        </w:rPr>
        <w:t>分00秒</w:t>
      </w:r>
      <w:r>
        <w:rPr>
          <w:rFonts w:hint="eastAsia" w:ascii="宋体" w:hAnsi="宋体" w:eastAsia="宋体" w:cs="宋体"/>
          <w:color w:val="000000" w:themeColor="text1"/>
          <w:sz w:val="24"/>
          <w:highlight w:val="none"/>
          <w14:textFill>
            <w14:solidFill>
              <w14:schemeClr w14:val="tx1"/>
            </w14:solidFill>
          </w14:textFill>
        </w:rPr>
        <w:t>（北京时间）</w:t>
      </w:r>
    </w:p>
    <w:p>
      <w:pPr>
        <w:spacing w:line="360" w:lineRule="auto"/>
        <w:ind w:firstLine="482" w:firstLineChars="200"/>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投标地点（网址）：</w:t>
      </w:r>
      <w:r>
        <w:rPr>
          <w:rFonts w:hint="eastAsia" w:ascii="宋体" w:hAnsi="宋体" w:eastAsia="宋体" w:cs="宋体"/>
          <w:color w:val="000000" w:themeColor="text1"/>
          <w:sz w:val="24"/>
          <w:highlight w:val="none"/>
          <w14:textFill>
            <w14:solidFill>
              <w14:schemeClr w14:val="tx1"/>
            </w14:solidFill>
          </w14:textFill>
        </w:rPr>
        <w:t xml:space="preserve">政采云平台（https://www.zcygov.cn/） </w:t>
      </w:r>
    </w:p>
    <w:p>
      <w:pPr>
        <w:spacing w:line="360" w:lineRule="auto"/>
        <w:ind w:firstLine="482" w:firstLineChars="200"/>
        <w:rPr>
          <w:rFonts w:hint="eastAsia" w:ascii="宋体" w:hAnsi="宋体" w:eastAsia="宋体" w:cs="宋体"/>
          <w:bCs/>
          <w:color w:val="000000" w:themeColor="text1"/>
          <w:sz w:val="24"/>
          <w:highlight w:val="none"/>
          <w:u w:val="singl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开标时间：</w:t>
      </w:r>
      <w:r>
        <w:rPr>
          <w:rFonts w:hint="eastAsia" w:ascii="宋体" w:hAnsi="宋体" w:eastAsia="宋体" w:cs="宋体"/>
          <w:color w:val="000000" w:themeColor="text1"/>
          <w:sz w:val="24"/>
          <w:highlight w:val="none"/>
          <w:u w:val="single"/>
          <w14:textFill>
            <w14:solidFill>
              <w14:schemeClr w14:val="tx1"/>
            </w14:solidFill>
          </w14:textFill>
        </w:rPr>
        <w:t>202</w:t>
      </w:r>
      <w:r>
        <w:rPr>
          <w:rFonts w:hint="eastAsia" w:ascii="宋体" w:hAnsi="宋体" w:cs="宋体"/>
          <w:color w:val="000000" w:themeColor="text1"/>
          <w:sz w:val="24"/>
          <w:highlight w:val="none"/>
          <w:u w:val="single"/>
          <w:lang w:val="en-US" w:eastAsia="zh-CN"/>
          <w14:textFill>
            <w14:solidFill>
              <w14:schemeClr w14:val="tx1"/>
            </w14:solidFill>
          </w14:textFill>
        </w:rPr>
        <w:t>3</w:t>
      </w:r>
      <w:r>
        <w:rPr>
          <w:rFonts w:hint="eastAsia" w:ascii="宋体" w:hAnsi="宋体" w:eastAsia="宋体" w:cs="宋体"/>
          <w:color w:val="000000" w:themeColor="text1"/>
          <w:sz w:val="24"/>
          <w:highlight w:val="none"/>
          <w:u w:val="single"/>
          <w14:textFill>
            <w14:solidFill>
              <w14:schemeClr w14:val="tx1"/>
            </w14:solidFill>
          </w14:textFill>
        </w:rPr>
        <w:t>年</w:t>
      </w:r>
      <w:r>
        <w:rPr>
          <w:rFonts w:hint="eastAsia" w:ascii="宋体" w:hAnsi="宋体" w:cs="宋体"/>
          <w:color w:val="000000" w:themeColor="text1"/>
          <w:sz w:val="24"/>
          <w:highlight w:val="none"/>
          <w:u w:val="single"/>
          <w:lang w:val="en-US" w:eastAsia="zh-CN"/>
          <w14:textFill>
            <w14:solidFill>
              <w14:schemeClr w14:val="tx1"/>
            </w14:solidFill>
          </w14:textFill>
        </w:rPr>
        <w:t>06</w:t>
      </w:r>
      <w:r>
        <w:rPr>
          <w:rFonts w:hint="eastAsia" w:ascii="宋体" w:hAnsi="宋体" w:eastAsia="宋体" w:cs="宋体"/>
          <w:color w:val="000000" w:themeColor="text1"/>
          <w:sz w:val="24"/>
          <w:highlight w:val="none"/>
          <w:u w:val="single"/>
          <w14:textFill>
            <w14:solidFill>
              <w14:schemeClr w14:val="tx1"/>
            </w14:solidFill>
          </w14:textFill>
        </w:rPr>
        <w:t>月</w:t>
      </w:r>
      <w:r>
        <w:rPr>
          <w:rFonts w:hint="eastAsia" w:ascii="宋体" w:hAnsi="宋体" w:cs="宋体"/>
          <w:color w:val="000000" w:themeColor="text1"/>
          <w:sz w:val="24"/>
          <w:highlight w:val="none"/>
          <w:u w:val="single"/>
          <w:lang w:val="en-US" w:eastAsia="zh-CN"/>
          <w14:textFill>
            <w14:solidFill>
              <w14:schemeClr w14:val="tx1"/>
            </w14:solidFill>
          </w14:textFill>
        </w:rPr>
        <w:t>28</w:t>
      </w:r>
      <w:r>
        <w:rPr>
          <w:rFonts w:hint="eastAsia" w:ascii="宋体" w:hAnsi="宋体" w:eastAsia="宋体" w:cs="宋体"/>
          <w:color w:val="000000" w:themeColor="text1"/>
          <w:sz w:val="24"/>
          <w:highlight w:val="none"/>
          <w:u w:val="single"/>
          <w14:textFill>
            <w14:solidFill>
              <w14:schemeClr w14:val="tx1"/>
            </w14:solidFill>
          </w14:textFill>
        </w:rPr>
        <w:t>日</w:t>
      </w:r>
      <w:r>
        <w:rPr>
          <w:rFonts w:hint="eastAsia" w:ascii="宋体" w:hAnsi="宋体" w:cs="宋体"/>
          <w:color w:val="000000" w:themeColor="text1"/>
          <w:sz w:val="24"/>
          <w:highlight w:val="none"/>
          <w:u w:val="single"/>
          <w:lang w:val="en-US" w:eastAsia="zh-CN"/>
          <w14:textFill>
            <w14:solidFill>
              <w14:schemeClr w14:val="tx1"/>
            </w14:solidFill>
          </w14:textFill>
        </w:rPr>
        <w:t>15</w:t>
      </w:r>
      <w:r>
        <w:rPr>
          <w:rFonts w:hint="eastAsia" w:ascii="宋体" w:hAnsi="宋体" w:eastAsia="宋体" w:cs="宋体"/>
          <w:color w:val="000000" w:themeColor="text1"/>
          <w:sz w:val="24"/>
          <w:highlight w:val="none"/>
          <w:u w:val="single"/>
          <w14:textFill>
            <w14:solidFill>
              <w14:schemeClr w14:val="tx1"/>
            </w14:solidFill>
          </w14:textFill>
        </w:rPr>
        <w:t>点</w:t>
      </w:r>
      <w:r>
        <w:rPr>
          <w:rFonts w:hint="eastAsia" w:ascii="宋体" w:hAnsi="宋体" w:cs="宋体"/>
          <w:color w:val="000000" w:themeColor="text1"/>
          <w:sz w:val="24"/>
          <w:highlight w:val="none"/>
          <w:u w:val="single"/>
          <w:lang w:val="en-US" w:eastAsia="zh-CN"/>
          <w14:textFill>
            <w14:solidFill>
              <w14:schemeClr w14:val="tx1"/>
            </w14:solidFill>
          </w14:textFill>
        </w:rPr>
        <w:t>00</w:t>
      </w:r>
      <w:r>
        <w:rPr>
          <w:rFonts w:hint="eastAsia" w:ascii="宋体" w:hAnsi="宋体" w:eastAsia="宋体" w:cs="宋体"/>
          <w:color w:val="000000" w:themeColor="text1"/>
          <w:sz w:val="24"/>
          <w:highlight w:val="none"/>
          <w:u w:val="single"/>
          <w14:textFill>
            <w14:solidFill>
              <w14:schemeClr w14:val="tx1"/>
            </w14:solidFill>
          </w14:textFill>
        </w:rPr>
        <w:t>分00秒</w:t>
      </w:r>
    </w:p>
    <w:p>
      <w:pPr>
        <w:spacing w:line="360" w:lineRule="auto"/>
        <w:ind w:firstLine="482"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开标地点（网址）：</w:t>
      </w:r>
      <w:r>
        <w:rPr>
          <w:rFonts w:hint="eastAsia" w:ascii="宋体" w:hAnsi="宋体" w:eastAsia="宋体" w:cs="宋体"/>
          <w:color w:val="000000" w:themeColor="text1"/>
          <w:sz w:val="24"/>
          <w:highlight w:val="none"/>
          <w14:textFill>
            <w14:solidFill>
              <w14:schemeClr w14:val="tx1"/>
            </w14:solidFill>
          </w14:textFill>
        </w:rPr>
        <w:t>政采云平台（https://www.zcygov.cn/）</w:t>
      </w:r>
    </w:p>
    <w:p>
      <w:pPr>
        <w:pStyle w:val="58"/>
        <w:keepNext w:val="0"/>
        <w:keepLines w:val="0"/>
        <w:widowControl/>
        <w:suppressLineNumbers w:val="0"/>
        <w:spacing w:before="255" w:beforeAutospacing="0" w:after="255" w:afterAutospacing="0" w:line="300" w:lineRule="atLeast"/>
        <w:ind w:left="0" w:firstLine="0"/>
        <w:jc w:val="both"/>
        <w:rPr>
          <w:rFonts w:hint="eastAsia" w:ascii="宋体" w:hAnsi="宋体" w:eastAsia="宋体" w:cs="宋体"/>
          <w:b/>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b/>
          <w:color w:val="000000" w:themeColor="text1"/>
          <w:kern w:val="2"/>
          <w:sz w:val="24"/>
          <w:szCs w:val="24"/>
          <w:highlight w:val="none"/>
          <w:lang w:val="en-US" w:eastAsia="zh-CN" w:bidi="ar-SA"/>
          <w14:textFill>
            <w14:solidFill>
              <w14:schemeClr w14:val="tx1"/>
            </w14:solidFill>
          </w14:textFill>
        </w:rPr>
        <w:t>五、采购意向公开链接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color w:val="000000" w:themeColor="text1"/>
          <w:sz w:val="24"/>
          <w:highlight w:val="none"/>
          <w14:textFill>
            <w14:solidFill>
              <w14:schemeClr w14:val="tx1"/>
            </w14:solidFill>
          </w14:textFill>
        </w:rPr>
      </w:pPr>
      <w:r>
        <w:rPr>
          <w:rFonts w:hint="eastAsia" w:ascii="宋体" w:hAnsi="宋体" w:eastAsia="宋体" w:cs="宋体"/>
          <w:b w:val="0"/>
          <w:bCs/>
          <w:color w:val="000000" w:themeColor="text1"/>
          <w:sz w:val="24"/>
          <w:highlight w:val="none"/>
          <w14:textFill>
            <w14:solidFill>
              <w14:schemeClr w14:val="tx1"/>
            </w14:solidFill>
          </w14:textFill>
        </w:rPr>
        <w:fldChar w:fldCharType="begin"/>
      </w:r>
      <w:r>
        <w:rPr>
          <w:rFonts w:hint="eastAsia" w:ascii="宋体" w:hAnsi="宋体" w:eastAsia="宋体" w:cs="宋体"/>
          <w:b w:val="0"/>
          <w:bCs/>
          <w:color w:val="000000" w:themeColor="text1"/>
          <w:sz w:val="24"/>
          <w:highlight w:val="none"/>
          <w14:textFill>
            <w14:solidFill>
              <w14:schemeClr w14:val="tx1"/>
            </w14:solidFill>
          </w14:textFill>
        </w:rPr>
        <w:instrText xml:space="preserve"> HYPERLINK "https://zfcg.czt.zj.gov.cn/innerUsed_noticeDetails/index.html?noticeId=9353171&amp;utm=web-government-front.49399a16.0.0.6ceedde0dd9611ed86c33dcbb656a943" </w:instrText>
      </w:r>
      <w:r>
        <w:rPr>
          <w:rFonts w:hint="eastAsia" w:ascii="宋体" w:hAnsi="宋体" w:eastAsia="宋体" w:cs="宋体"/>
          <w:b w:val="0"/>
          <w:bCs/>
          <w:color w:val="000000" w:themeColor="text1"/>
          <w:sz w:val="24"/>
          <w:highlight w:val="none"/>
          <w14:textFill>
            <w14:solidFill>
              <w14:schemeClr w14:val="tx1"/>
            </w14:solidFill>
          </w14:textFill>
        </w:rPr>
        <w:fldChar w:fldCharType="separate"/>
      </w:r>
      <w:r>
        <w:rPr>
          <w:rStyle w:val="76"/>
          <w:rFonts w:hint="eastAsia" w:ascii="宋体" w:hAnsi="宋体" w:eastAsia="宋体" w:cs="宋体"/>
          <w:b w:val="0"/>
          <w:bCs/>
          <w:color w:val="000000" w:themeColor="text1"/>
          <w:sz w:val="24"/>
          <w:highlight w:val="none"/>
          <w14:textFill>
            <w14:solidFill>
              <w14:schemeClr w14:val="tx1"/>
            </w14:solidFill>
          </w14:textFill>
        </w:rPr>
        <w:t>https://zfcg.czt.zj.gov.cn/innerUsed_noticeDetails/index.html?noticeId=9353171&amp;utm=web-government-front.49399a16.0.0.6ceedde0dd9611ed86c33dcbb656a943</w:t>
      </w:r>
      <w:r>
        <w:rPr>
          <w:rFonts w:hint="eastAsia" w:ascii="宋体" w:hAnsi="宋体" w:eastAsia="宋体" w:cs="宋体"/>
          <w:b w:val="0"/>
          <w:bCs/>
          <w:color w:val="000000" w:themeColor="text1"/>
          <w:sz w:val="24"/>
          <w:highlight w:val="none"/>
          <w14:textFill>
            <w14:solidFill>
              <w14:schemeClr w14:val="tx1"/>
            </w14:solidFill>
          </w14:textFill>
        </w:rPr>
        <w:fldChar w:fldCharType="end"/>
      </w:r>
    </w:p>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lang w:val="en-US" w:eastAsia="zh-CN"/>
          <w14:textFill>
            <w14:solidFill>
              <w14:schemeClr w14:val="tx1"/>
            </w14:solidFill>
          </w14:textFill>
        </w:rPr>
        <w:t>六</w:t>
      </w:r>
      <w:r>
        <w:rPr>
          <w:rFonts w:hint="eastAsia" w:ascii="宋体" w:hAnsi="宋体" w:eastAsia="宋体" w:cs="宋体"/>
          <w:b/>
          <w:color w:val="000000" w:themeColor="text1"/>
          <w:sz w:val="24"/>
          <w:highlight w:val="none"/>
          <w14:textFill>
            <w14:solidFill>
              <w14:schemeClr w14:val="tx1"/>
            </w14:solidFill>
          </w14:textFill>
        </w:rPr>
        <w:t xml:space="preserve">、公告期限 </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自本公告发布之日起5个工作日。</w:t>
      </w:r>
    </w:p>
    <w:p>
      <w:pPr>
        <w:spacing w:line="360" w:lineRule="auto"/>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lang w:val="en-US" w:eastAsia="zh-CN"/>
          <w14:textFill>
            <w14:solidFill>
              <w14:schemeClr w14:val="tx1"/>
            </w14:solidFill>
          </w14:textFill>
        </w:rPr>
        <w:t>七</w:t>
      </w:r>
      <w:r>
        <w:rPr>
          <w:rFonts w:hint="eastAsia" w:ascii="宋体" w:hAnsi="宋体" w:eastAsia="宋体" w:cs="宋体"/>
          <w:b/>
          <w:color w:val="000000" w:themeColor="text1"/>
          <w:sz w:val="24"/>
          <w:highlight w:val="none"/>
          <w14:textFill>
            <w14:solidFill>
              <w14:schemeClr w14:val="tx1"/>
            </w14:solidFill>
          </w14:textFill>
        </w:rPr>
        <w:t>、其他补充事宜</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 xml:space="preserve"> 1.《浙江省财政厅关于进一步发挥政府采购政策功能全力推动经济稳进提质的通知》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3.供应商认为</w:t>
      </w:r>
      <w:r>
        <w:rPr>
          <w:rFonts w:hint="eastAsia" w:ascii="宋体" w:hAnsi="宋体" w:eastAsia="宋体" w:cs="宋体"/>
          <w:color w:val="000000" w:themeColor="text1"/>
          <w:sz w:val="24"/>
          <w:highlight w:val="none"/>
          <w:lang w:eastAsia="zh-CN"/>
          <w14:textFill>
            <w14:solidFill>
              <w14:schemeClr w14:val="tx1"/>
            </w14:solidFill>
          </w14:textFill>
        </w:rPr>
        <w:t>投标文件</w:t>
      </w:r>
      <w:r>
        <w:rPr>
          <w:rFonts w:hint="eastAsia" w:ascii="宋体" w:hAnsi="宋体" w:eastAsia="宋体" w:cs="宋体"/>
          <w:color w:val="000000" w:themeColor="text1"/>
          <w:sz w:val="24"/>
          <w:highlight w:val="none"/>
          <w14:textFill>
            <w14:solidFill>
              <w14:schemeClr w14:val="tx1"/>
            </w14:solidFill>
          </w14:textFill>
        </w:rPr>
        <w:t>使自己的权益受到损害的，可以自获取</w:t>
      </w:r>
      <w:r>
        <w:rPr>
          <w:rFonts w:hint="eastAsia" w:ascii="宋体" w:hAnsi="宋体" w:eastAsia="宋体" w:cs="宋体"/>
          <w:color w:val="000000" w:themeColor="text1"/>
          <w:sz w:val="24"/>
          <w:highlight w:val="none"/>
          <w:lang w:eastAsia="zh-CN"/>
          <w14:textFill>
            <w14:solidFill>
              <w14:schemeClr w14:val="tx1"/>
            </w14:solidFill>
          </w14:textFill>
        </w:rPr>
        <w:t>投标文件</w:t>
      </w:r>
      <w:r>
        <w:rPr>
          <w:rFonts w:hint="eastAsia" w:ascii="宋体" w:hAnsi="宋体" w:eastAsia="宋体" w:cs="宋体"/>
          <w:color w:val="000000" w:themeColor="text1"/>
          <w:sz w:val="24"/>
          <w:highlight w:val="none"/>
          <w14:textFill>
            <w14:solidFill>
              <w14:schemeClr w14:val="tx1"/>
            </w14:solidFill>
          </w14:textFill>
        </w:rPr>
        <w:t>之日或者</w:t>
      </w:r>
      <w:r>
        <w:rPr>
          <w:rFonts w:hint="eastAsia" w:ascii="宋体" w:hAnsi="宋体" w:eastAsia="宋体" w:cs="宋体"/>
          <w:color w:val="000000" w:themeColor="text1"/>
          <w:sz w:val="24"/>
          <w:highlight w:val="none"/>
          <w:lang w:eastAsia="zh-CN"/>
          <w14:textFill>
            <w14:solidFill>
              <w14:schemeClr w14:val="tx1"/>
            </w14:solidFill>
          </w14:textFill>
        </w:rPr>
        <w:t>投标文件</w:t>
      </w:r>
      <w:r>
        <w:rPr>
          <w:rFonts w:hint="eastAsia" w:ascii="宋体" w:hAnsi="宋体" w:eastAsia="宋体" w:cs="宋体"/>
          <w:color w:val="000000" w:themeColor="text1"/>
          <w:sz w:val="24"/>
          <w:highlight w:val="none"/>
          <w14:textFill>
            <w14:solidFill>
              <w14:schemeClr w14:val="tx1"/>
            </w14:solidFill>
          </w14:textFill>
        </w:rPr>
        <w:t>公告期限届满之日（公告期限届满后获取</w:t>
      </w:r>
      <w:r>
        <w:rPr>
          <w:rFonts w:hint="eastAsia" w:ascii="宋体" w:hAnsi="宋体" w:eastAsia="宋体" w:cs="宋体"/>
          <w:color w:val="000000" w:themeColor="text1"/>
          <w:sz w:val="24"/>
          <w:highlight w:val="none"/>
          <w:lang w:eastAsia="zh-CN"/>
          <w14:textFill>
            <w14:solidFill>
              <w14:schemeClr w14:val="tx1"/>
            </w14:solidFill>
          </w14:textFill>
        </w:rPr>
        <w:t>投标文件</w:t>
      </w:r>
      <w:r>
        <w:rPr>
          <w:rFonts w:hint="eastAsia" w:ascii="宋体" w:hAnsi="宋体" w:eastAsia="宋体" w:cs="宋体"/>
          <w:color w:val="000000" w:themeColor="text1"/>
          <w:sz w:val="24"/>
          <w:highlight w:val="none"/>
          <w14:textFill>
            <w14:solidFill>
              <w14:schemeClr w14:val="tx1"/>
            </w14:solidFill>
          </w14:textFill>
        </w:rPr>
        <w:t>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4.其他事项：（1）需要落实的政府采购政策：包括节约资源、保护环境、支持创新、促进中小企业发展等。详见</w:t>
      </w:r>
      <w:r>
        <w:rPr>
          <w:rFonts w:hint="eastAsia" w:ascii="宋体" w:hAnsi="宋体" w:eastAsia="宋体" w:cs="宋体"/>
          <w:color w:val="000000" w:themeColor="text1"/>
          <w:sz w:val="24"/>
          <w:highlight w:val="none"/>
          <w:lang w:eastAsia="zh-CN"/>
          <w14:textFill>
            <w14:solidFill>
              <w14:schemeClr w14:val="tx1"/>
            </w14:solidFill>
          </w14:textFill>
        </w:rPr>
        <w:t>投标文件</w:t>
      </w:r>
      <w:r>
        <w:rPr>
          <w:rFonts w:hint="eastAsia" w:ascii="宋体" w:hAnsi="宋体" w:eastAsia="宋体" w:cs="宋体"/>
          <w:color w:val="000000" w:themeColor="text1"/>
          <w:sz w:val="24"/>
          <w:highlight w:val="none"/>
          <w14:textFill>
            <w14:solidFill>
              <w14:schemeClr w14:val="tx1"/>
            </w14:solidFill>
          </w14:textFill>
        </w:rPr>
        <w:t>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w:t>
      </w:r>
      <w:r>
        <w:rPr>
          <w:rFonts w:hint="eastAsia" w:ascii="宋体" w:hAnsi="宋体" w:eastAsia="宋体" w:cs="宋体"/>
          <w:color w:val="000000" w:themeColor="text1"/>
          <w:sz w:val="24"/>
          <w:highlight w:val="none"/>
          <w:lang w:eastAsia="zh-CN"/>
          <w14:textFill>
            <w14:solidFill>
              <w14:schemeClr w14:val="tx1"/>
            </w14:solidFill>
          </w14:textFill>
        </w:rPr>
        <w:t>投标文件</w:t>
      </w:r>
      <w:r>
        <w:rPr>
          <w:rFonts w:hint="eastAsia" w:ascii="宋体" w:hAnsi="宋体" w:eastAsia="宋体" w:cs="宋体"/>
          <w:color w:val="000000" w:themeColor="text1"/>
          <w:sz w:val="24"/>
          <w:highlight w:val="none"/>
          <w14:textFill>
            <w14:solidFill>
              <w14:schemeClr w14:val="tx1"/>
            </w14:solidFill>
          </w14:textFill>
        </w:rPr>
        <w:t>的获取：使用账号登录或者使用CA登录政采云平台；进入“项目采购”应用，在获取采购文件菜单中选择项目，获取</w:t>
      </w:r>
      <w:r>
        <w:rPr>
          <w:rFonts w:hint="eastAsia" w:ascii="宋体" w:hAnsi="宋体" w:eastAsia="宋体" w:cs="宋体"/>
          <w:color w:val="000000" w:themeColor="text1"/>
          <w:sz w:val="24"/>
          <w:highlight w:val="none"/>
          <w:lang w:eastAsia="zh-CN"/>
          <w14:textFill>
            <w14:solidFill>
              <w14:schemeClr w14:val="tx1"/>
            </w14:solidFill>
          </w14:textFill>
        </w:rPr>
        <w:t>投标文件</w:t>
      </w:r>
      <w:r>
        <w:rPr>
          <w:rFonts w:hint="eastAsia" w:ascii="宋体" w:hAnsi="宋体" w:eastAsia="宋体" w:cs="宋体"/>
          <w:color w:val="000000" w:themeColor="text1"/>
          <w:sz w:val="24"/>
          <w:highlight w:val="none"/>
          <w14:textFill>
            <w14:solidFill>
              <w14:schemeClr w14:val="tx1"/>
            </w14:solidFill>
          </w14:textFill>
        </w:rPr>
        <w:t>；④投标文件的制作：在“政采云电子交易客户端”中完成“填写基本信息”、“导入投标文件”、“标书关联”、“标书检查”、“电子签名”、“生成电子标书”等操作；⑤采购人、</w:t>
      </w:r>
      <w:r>
        <w:rPr>
          <w:rFonts w:hint="eastAsia" w:ascii="宋体" w:hAnsi="宋体" w:eastAsia="宋体" w:cs="宋体"/>
          <w:color w:val="000000" w:themeColor="text1"/>
          <w:sz w:val="24"/>
          <w:highlight w:val="none"/>
          <w:lang w:eastAsia="zh-CN"/>
          <w14:textFill>
            <w14:solidFill>
              <w14:schemeClr w14:val="tx1"/>
            </w14:solidFill>
          </w14:textFill>
        </w:rPr>
        <w:t>采购代理机构</w:t>
      </w:r>
      <w:r>
        <w:rPr>
          <w:rFonts w:hint="eastAsia" w:ascii="宋体" w:hAnsi="宋体" w:eastAsia="宋体" w:cs="宋体"/>
          <w:color w:val="000000" w:themeColor="text1"/>
          <w:sz w:val="24"/>
          <w:highlight w:val="none"/>
          <w14:textFill>
            <w14:solidFill>
              <w14:schemeClr w14:val="tx1"/>
            </w14:solidFill>
          </w14:textFill>
        </w:rPr>
        <w:t>将依托政采云平台完成本项目的电子交易活动，平台不接受未按上述方式获取</w:t>
      </w:r>
      <w:r>
        <w:rPr>
          <w:rFonts w:hint="eastAsia" w:ascii="宋体" w:hAnsi="宋体" w:eastAsia="宋体" w:cs="宋体"/>
          <w:color w:val="000000" w:themeColor="text1"/>
          <w:sz w:val="24"/>
          <w:highlight w:val="none"/>
          <w:lang w:eastAsia="zh-CN"/>
          <w14:textFill>
            <w14:solidFill>
              <w14:schemeClr w14:val="tx1"/>
            </w14:solidFill>
          </w14:textFill>
        </w:rPr>
        <w:t>投标文件</w:t>
      </w:r>
      <w:r>
        <w:rPr>
          <w:rFonts w:hint="eastAsia" w:ascii="宋体" w:hAnsi="宋体" w:eastAsia="宋体" w:cs="宋体"/>
          <w:color w:val="000000" w:themeColor="text1"/>
          <w:sz w:val="24"/>
          <w:highlight w:val="none"/>
          <w14:textFill>
            <w14:solidFill>
              <w14:schemeClr w14:val="tx1"/>
            </w14:solidFill>
          </w14:textFill>
        </w:rPr>
        <w:t>的供应商进行投标活动； ⑥对未按上述方式获取</w:t>
      </w:r>
      <w:r>
        <w:rPr>
          <w:rFonts w:hint="eastAsia" w:ascii="宋体" w:hAnsi="宋体" w:eastAsia="宋体" w:cs="宋体"/>
          <w:color w:val="000000" w:themeColor="text1"/>
          <w:sz w:val="24"/>
          <w:highlight w:val="none"/>
          <w:lang w:eastAsia="zh-CN"/>
          <w14:textFill>
            <w14:solidFill>
              <w14:schemeClr w14:val="tx1"/>
            </w14:solidFill>
          </w14:textFill>
        </w:rPr>
        <w:t>投标文件</w:t>
      </w:r>
      <w:r>
        <w:rPr>
          <w:rFonts w:hint="eastAsia" w:ascii="宋体" w:hAnsi="宋体" w:eastAsia="宋体" w:cs="宋体"/>
          <w:color w:val="000000" w:themeColor="text1"/>
          <w:sz w:val="24"/>
          <w:highlight w:val="none"/>
          <w14:textFill>
            <w14:solidFill>
              <w14:schemeClr w14:val="tx1"/>
            </w14:solidFill>
          </w14:textFill>
        </w:rPr>
        <w:t>的供应商对该文件提出的质疑，采购人或采购代理机构将不予处理；⑦不提供</w:t>
      </w:r>
      <w:r>
        <w:rPr>
          <w:rFonts w:hint="eastAsia" w:ascii="宋体" w:hAnsi="宋体" w:eastAsia="宋体" w:cs="宋体"/>
          <w:color w:val="000000" w:themeColor="text1"/>
          <w:sz w:val="24"/>
          <w:highlight w:val="none"/>
          <w:lang w:eastAsia="zh-CN"/>
          <w14:textFill>
            <w14:solidFill>
              <w14:schemeClr w14:val="tx1"/>
            </w14:solidFill>
          </w14:textFill>
        </w:rPr>
        <w:t>投标文件</w:t>
      </w:r>
      <w:r>
        <w:rPr>
          <w:rFonts w:hint="eastAsia" w:ascii="宋体" w:hAnsi="宋体" w:eastAsia="宋体" w:cs="宋体"/>
          <w:color w:val="000000" w:themeColor="text1"/>
          <w:sz w:val="24"/>
          <w:highlight w:val="none"/>
          <w14:textFill>
            <w14:solidFill>
              <w14:schemeClr w14:val="tx1"/>
            </w14:solidFill>
          </w14:textFill>
        </w:rPr>
        <w:t>纸质版；⑧投标文件的传输递交：</w:t>
      </w:r>
      <w:r>
        <w:rPr>
          <w:rFonts w:hint="eastAsia" w:ascii="宋体" w:hAnsi="宋体" w:eastAsia="宋体" w:cs="宋体"/>
          <w:color w:val="000000" w:themeColor="text1"/>
          <w:sz w:val="24"/>
          <w:highlight w:val="none"/>
          <w:lang w:eastAsia="zh-CN"/>
          <w14:textFill>
            <w14:solidFill>
              <w14:schemeClr w14:val="tx1"/>
            </w14:solidFill>
          </w14:textFill>
        </w:rPr>
        <w:t>供应商</w:t>
      </w:r>
      <w:r>
        <w:rPr>
          <w:rFonts w:hint="eastAsia" w:ascii="宋体" w:hAnsi="宋体" w:eastAsia="宋体" w:cs="宋体"/>
          <w:color w:val="000000" w:themeColor="text1"/>
          <w:sz w:val="24"/>
          <w:highlight w:val="none"/>
          <w14:textFill>
            <w14:solidFill>
              <w14:schemeClr w14:val="tx1"/>
            </w14:solidFill>
          </w14:textFill>
        </w:rPr>
        <w:t>在投标截止时间前将加密的投标文件上传至政府采购云平台，还可以在投标截止时间前直接提交或者以邮政快递方式递交备份投标文件1份。备份投标文件的制作、存储、密封详见</w:t>
      </w:r>
      <w:r>
        <w:rPr>
          <w:rFonts w:hint="eastAsia" w:ascii="宋体" w:hAnsi="宋体" w:eastAsia="宋体" w:cs="宋体"/>
          <w:color w:val="000000" w:themeColor="text1"/>
          <w:sz w:val="24"/>
          <w:highlight w:val="none"/>
          <w:lang w:eastAsia="zh-CN"/>
          <w14:textFill>
            <w14:solidFill>
              <w14:schemeClr w14:val="tx1"/>
            </w14:solidFill>
          </w14:textFill>
        </w:rPr>
        <w:t>投标文件</w:t>
      </w:r>
      <w:r>
        <w:rPr>
          <w:rFonts w:hint="eastAsia" w:ascii="宋体" w:hAnsi="宋体" w:eastAsia="宋体" w:cs="宋体"/>
          <w:color w:val="000000" w:themeColor="text1"/>
          <w:sz w:val="24"/>
          <w:highlight w:val="none"/>
          <w14:textFill>
            <w14:solidFill>
              <w14:schemeClr w14:val="tx1"/>
            </w14:solidFill>
          </w14:textFill>
        </w:rPr>
        <w:t>第二部分第15点—“备份投标文件”；⑨投标文件的解密：</w:t>
      </w:r>
      <w:r>
        <w:rPr>
          <w:rFonts w:hint="eastAsia" w:ascii="宋体" w:hAnsi="宋体" w:eastAsia="宋体" w:cs="宋体"/>
          <w:color w:val="000000" w:themeColor="text1"/>
          <w:sz w:val="24"/>
          <w:highlight w:val="none"/>
          <w:lang w:eastAsia="zh-CN"/>
          <w14:textFill>
            <w14:solidFill>
              <w14:schemeClr w14:val="tx1"/>
            </w14:solidFill>
          </w14:textFill>
        </w:rPr>
        <w:t>供应商</w:t>
      </w:r>
      <w:r>
        <w:rPr>
          <w:rFonts w:hint="eastAsia" w:ascii="宋体" w:hAnsi="宋体" w:eastAsia="宋体" w:cs="宋体"/>
          <w:color w:val="000000" w:themeColor="text1"/>
          <w:sz w:val="24"/>
          <w:highlight w:val="none"/>
          <w14:textFill>
            <w14:solidFill>
              <w14:schemeClr w14:val="tx1"/>
            </w14:solidFill>
          </w14:textFill>
        </w:rPr>
        <w:t>按照平台提示和</w:t>
      </w:r>
      <w:r>
        <w:rPr>
          <w:rFonts w:hint="eastAsia" w:ascii="宋体" w:hAnsi="宋体" w:eastAsia="宋体" w:cs="宋体"/>
          <w:color w:val="000000" w:themeColor="text1"/>
          <w:sz w:val="24"/>
          <w:highlight w:val="none"/>
          <w:lang w:eastAsia="zh-CN"/>
          <w14:textFill>
            <w14:solidFill>
              <w14:schemeClr w14:val="tx1"/>
            </w14:solidFill>
          </w14:textFill>
        </w:rPr>
        <w:t>投标文件</w:t>
      </w:r>
      <w:r>
        <w:rPr>
          <w:rFonts w:hint="eastAsia" w:ascii="宋体" w:hAnsi="宋体" w:eastAsia="宋体" w:cs="宋体"/>
          <w:color w:val="000000" w:themeColor="text1"/>
          <w:sz w:val="24"/>
          <w:highlight w:val="none"/>
          <w14:textFill>
            <w14:solidFill>
              <w14:schemeClr w14:val="tx1"/>
            </w14:solidFill>
          </w14:textFill>
        </w:rPr>
        <w:t>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w:t>
      </w:r>
      <w:r>
        <w:rPr>
          <w:rFonts w:hint="eastAsia" w:ascii="宋体" w:hAnsi="宋体" w:eastAsia="宋体" w:cs="宋体"/>
          <w:color w:val="000000" w:themeColor="text1"/>
          <w:sz w:val="24"/>
          <w:highlight w:val="none"/>
          <w:lang w:eastAsia="zh-CN"/>
          <w14:textFill>
            <w14:solidFill>
              <w14:schemeClr w14:val="tx1"/>
            </w14:solidFill>
          </w14:textFill>
        </w:rPr>
        <w:t>供应商</w:t>
      </w:r>
      <w:r>
        <w:rPr>
          <w:rFonts w:hint="eastAsia" w:ascii="宋体" w:hAnsi="宋体" w:eastAsia="宋体" w:cs="宋体"/>
          <w:color w:val="000000" w:themeColor="text1"/>
          <w:sz w:val="24"/>
          <w:highlight w:val="none"/>
          <w14:textFill>
            <w14:solidFill>
              <w14:schemeClr w14:val="tx1"/>
            </w14:solidFill>
          </w14:textFill>
        </w:rPr>
        <w:t>仅提交备份投标文件，未在电子交易平台传输递交投标文件的，投标无效；⑩具体操作指南：详见政采云平台“服务中心-帮助文档-项目采购-操作流程-电子招投标-政府采购项目电子交易管理操作指南-供应商”。（3）</w:t>
      </w:r>
      <w:r>
        <w:rPr>
          <w:rFonts w:hint="eastAsia" w:ascii="宋体" w:hAnsi="宋体" w:eastAsia="宋体" w:cs="宋体"/>
          <w:color w:val="000000" w:themeColor="text1"/>
          <w:sz w:val="24"/>
          <w:highlight w:val="none"/>
          <w:lang w:eastAsia="zh-CN"/>
          <w14:textFill>
            <w14:solidFill>
              <w14:schemeClr w14:val="tx1"/>
            </w14:solidFill>
          </w14:textFill>
        </w:rPr>
        <w:t>投标文件</w:t>
      </w:r>
      <w:r>
        <w:rPr>
          <w:rFonts w:hint="eastAsia" w:ascii="宋体" w:hAnsi="宋体" w:eastAsia="宋体" w:cs="宋体"/>
          <w:color w:val="000000" w:themeColor="text1"/>
          <w:sz w:val="24"/>
          <w:highlight w:val="none"/>
          <w14:textFill>
            <w14:solidFill>
              <w14:schemeClr w14:val="tx1"/>
            </w14:solidFill>
          </w14:textFill>
        </w:rPr>
        <w:t>公告期限与招标公告的公告期限一致。</w:t>
      </w:r>
    </w:p>
    <w:p>
      <w:pPr>
        <w:spacing w:line="360" w:lineRule="auto"/>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七、对本次采购提出询问、质疑、投诉，请按以下方式联系</w:t>
      </w:r>
    </w:p>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 xml:space="preserve">    1.采购人信息</w:t>
      </w:r>
    </w:p>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 xml:space="preserve">    名    称：</w:t>
      </w:r>
      <w:r>
        <w:rPr>
          <w:rFonts w:hint="eastAsia" w:ascii="宋体" w:hAnsi="宋体" w:eastAsia="宋体" w:cs="宋体"/>
          <w:color w:val="000000" w:themeColor="text1"/>
          <w:sz w:val="24"/>
          <w:highlight w:val="none"/>
          <w:lang w:eastAsia="zh-CN"/>
          <w14:textFill>
            <w14:solidFill>
              <w14:schemeClr w14:val="tx1"/>
            </w14:solidFill>
          </w14:textFill>
        </w:rPr>
        <w:t>杭州市拱墅区综合行政执法局</w:t>
      </w:r>
      <w:r>
        <w:rPr>
          <w:rFonts w:hint="eastAsia" w:ascii="宋体" w:hAnsi="宋体" w:eastAsia="宋体" w:cs="宋体"/>
          <w:color w:val="000000" w:themeColor="text1"/>
          <w:sz w:val="24"/>
          <w:highlight w:val="none"/>
          <w14:textFill>
            <w14:solidFill>
              <w14:schemeClr w14:val="tx1"/>
            </w14:solidFill>
          </w14:textFill>
        </w:rPr>
        <w:t xml:space="preserve"> </w:t>
      </w:r>
    </w:p>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 xml:space="preserve">    地    址：拱墅区东新街道白石巷199号拱墅区综合行政执法局       </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传    真： /</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项目联系人（询问）：邵亿</w:t>
      </w:r>
    </w:p>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 xml:space="preserve">    项目联系方式（询问）：0571-88089164 </w:t>
      </w:r>
    </w:p>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 xml:space="preserve">    质疑联系人：姚远</w:t>
      </w:r>
    </w:p>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 xml:space="preserve">    质疑联系方式：0571-88809799 </w:t>
      </w:r>
    </w:p>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 xml:space="preserve">    2.采购代理机构信息            </w:t>
      </w:r>
    </w:p>
    <w:p>
      <w:pPr>
        <w:spacing w:line="360" w:lineRule="auto"/>
        <w:ind w:firstLine="480" w:firstLineChars="200"/>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名    称：</w:t>
      </w:r>
      <w:r>
        <w:rPr>
          <w:rFonts w:hint="eastAsia" w:ascii="宋体" w:hAnsi="宋体" w:eastAsia="宋体" w:cs="宋体"/>
          <w:color w:val="000000" w:themeColor="text1"/>
          <w:sz w:val="24"/>
          <w:highlight w:val="none"/>
          <w:lang w:eastAsia="zh-CN"/>
          <w14:textFill>
            <w14:solidFill>
              <w14:schemeClr w14:val="tx1"/>
            </w14:solidFill>
          </w14:textFill>
        </w:rPr>
        <w:t>杭州华鼎世纪项目管理咨询有限公司</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地    址：杭州市西湖区转塘街道外桐坞70号105室</w:t>
      </w:r>
    </w:p>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 xml:space="preserve">    传    真：</w:t>
      </w:r>
      <w:r>
        <w:rPr>
          <w:rFonts w:hint="eastAsia" w:ascii="宋体" w:hAnsi="宋体" w:eastAsia="宋体" w:cs="宋体"/>
          <w:color w:val="000000" w:themeColor="text1"/>
          <w:sz w:val="24"/>
          <w:highlight w:val="none"/>
          <w:lang w:val="en-US"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 xml:space="preserve"> </w:t>
      </w:r>
    </w:p>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 xml:space="preserve">    项目联系人（询问）：葛玉芬 </w:t>
      </w:r>
    </w:p>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 xml:space="preserve">    项目联系方式（询问）：13777435868 </w:t>
      </w:r>
    </w:p>
    <w:p>
      <w:pPr>
        <w:spacing w:line="360" w:lineRule="auto"/>
        <w:rPr>
          <w:rFonts w:hint="default" w:ascii="宋体" w:hAnsi="宋体" w:eastAsia="宋体" w:cs="宋体"/>
          <w:color w:val="000000" w:themeColor="text1"/>
          <w:sz w:val="24"/>
          <w:highlight w:val="none"/>
          <w:lang w:val="en-US"/>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 xml:space="preserve">    质疑联系人：</w:t>
      </w:r>
      <w:r>
        <w:rPr>
          <w:rFonts w:hint="eastAsia" w:ascii="宋体" w:hAnsi="宋体" w:cs="宋体"/>
          <w:color w:val="000000" w:themeColor="text1"/>
          <w:sz w:val="24"/>
          <w:highlight w:val="none"/>
          <w:lang w:val="en-US" w:eastAsia="zh-CN"/>
          <w14:textFill>
            <w14:solidFill>
              <w14:schemeClr w14:val="tx1"/>
            </w14:solidFill>
          </w14:textFill>
        </w:rPr>
        <w:t>付长坤</w:t>
      </w:r>
    </w:p>
    <w:p>
      <w:pPr>
        <w:spacing w:line="360" w:lineRule="auto"/>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 xml:space="preserve">    质疑联系方式：</w:t>
      </w:r>
      <w:r>
        <w:rPr>
          <w:rFonts w:hint="eastAsia" w:ascii="宋体" w:hAnsi="宋体" w:eastAsia="宋体" w:cs="宋体"/>
          <w:color w:val="000000" w:themeColor="text1"/>
          <w:sz w:val="24"/>
          <w:highlight w:val="none"/>
          <w:lang w:val="en-US" w:eastAsia="zh-CN"/>
          <w14:textFill>
            <w14:solidFill>
              <w14:schemeClr w14:val="tx1"/>
            </w14:solidFill>
          </w14:textFill>
        </w:rPr>
        <w:t>19565702263</w:t>
      </w:r>
    </w:p>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 xml:space="preserve">    3.同级政府采购监督管理部门            </w:t>
      </w:r>
    </w:p>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 xml:space="preserve">  </w:t>
      </w:r>
      <w:r>
        <w:rPr>
          <w:rFonts w:hint="eastAsia" w:ascii="宋体" w:hAnsi="宋体" w:eastAsia="宋体" w:cs="宋体"/>
          <w:color w:val="000000" w:themeColor="text1"/>
          <w:sz w:val="24"/>
          <w:highlight w:val="none"/>
          <w:lang w:val="en-US" w:eastAsia="zh-CN"/>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名    称：杭州市拱墅区财政局/浙江省政府采购行政裁决服务中心（杭州）</w:t>
      </w:r>
    </w:p>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 xml:space="preserve">    地    址：杭州市上城区四季青街道新业路市民之家G03办公室</w:t>
      </w:r>
    </w:p>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 xml:space="preserve">    传    真： /</w:t>
      </w:r>
    </w:p>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 xml:space="preserve">    联系人：朱女士/王女士</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监督投诉电话：0571-85252453</w:t>
      </w:r>
    </w:p>
    <w:p>
      <w:pPr>
        <w:spacing w:line="360" w:lineRule="auto"/>
        <w:ind w:firstLine="48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 xml:space="preserve"> </w:t>
      </w:r>
    </w:p>
    <w:p>
      <w:pPr>
        <w:spacing w:line="360" w:lineRule="auto"/>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若对项目采购电子交易系统操作有疑问，可登录政采云（https://www.zcygov.cn/），点击右侧咨询小采，获取采小蜜智能服务管家帮助，或拨打政采云服务热线95763获取热线服务帮助。</w:t>
      </w:r>
    </w:p>
    <w:p>
      <w:pPr>
        <w:spacing w:line="360" w:lineRule="auto"/>
        <w:ind w:firstLine="480" w:firstLineChars="200"/>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CA问题联系电话（人工）：汇信CA 400-888-4636；天谷CA 400-087-8198。</w:t>
      </w:r>
    </w:p>
    <w:p>
      <w:pPr>
        <w:widowControl/>
        <w:adjustRightInd/>
        <w:jc w:val="left"/>
        <w:rPr>
          <w:rFonts w:hint="eastAsia" w:ascii="宋体" w:hAnsi="宋体" w:eastAsia="宋体" w:cs="宋体"/>
          <w:b/>
          <w:color w:val="000000" w:themeColor="text1"/>
          <w:sz w:val="36"/>
          <w:szCs w:val="20"/>
          <w:highlight w:val="none"/>
          <w14:textFill>
            <w14:solidFill>
              <w14:schemeClr w14:val="tx1"/>
            </w14:solidFill>
          </w14:textFill>
        </w:rPr>
      </w:pPr>
      <w:r>
        <w:rPr>
          <w:rFonts w:hint="eastAsia" w:ascii="宋体" w:hAnsi="宋体" w:eastAsia="宋体" w:cs="宋体"/>
          <w:b/>
          <w:color w:val="000000" w:themeColor="text1"/>
          <w:sz w:val="36"/>
          <w:szCs w:val="20"/>
          <w:highlight w:val="none"/>
          <w14:textFill>
            <w14:solidFill>
              <w14:schemeClr w14:val="tx1"/>
            </w14:solidFill>
          </w14:textFill>
        </w:rPr>
        <w:br w:type="page"/>
      </w:r>
    </w:p>
    <w:bookmarkEnd w:id="8"/>
    <w:p>
      <w:pPr>
        <w:numPr>
          <w:ilvl w:val="0"/>
          <w:numId w:val="1"/>
        </w:numPr>
        <w:adjustRightInd/>
        <w:spacing w:line="360" w:lineRule="auto"/>
        <w:jc w:val="center"/>
        <w:outlineLvl w:val="0"/>
        <w:rPr>
          <w:rFonts w:hint="eastAsia" w:ascii="宋体" w:hAnsi="宋体" w:eastAsia="宋体" w:cs="宋体"/>
          <w:b/>
          <w:color w:val="000000" w:themeColor="text1"/>
          <w:sz w:val="36"/>
          <w:szCs w:val="20"/>
          <w:highlight w:val="none"/>
          <w14:textFill>
            <w14:solidFill>
              <w14:schemeClr w14:val="tx1"/>
            </w14:solidFill>
          </w14:textFill>
        </w:rPr>
      </w:pPr>
      <w:r>
        <w:rPr>
          <w:rFonts w:hint="eastAsia" w:ascii="宋体" w:hAnsi="宋体" w:eastAsia="宋体" w:cs="宋体"/>
          <w:b/>
          <w:color w:val="000000" w:themeColor="text1"/>
          <w:sz w:val="36"/>
          <w:szCs w:val="20"/>
          <w:highlight w:val="none"/>
          <w:lang w:eastAsia="zh-CN"/>
          <w14:textFill>
            <w14:solidFill>
              <w14:schemeClr w14:val="tx1"/>
            </w14:solidFill>
          </w14:textFill>
        </w:rPr>
        <w:t>供应商</w:t>
      </w:r>
      <w:r>
        <w:rPr>
          <w:rFonts w:hint="eastAsia" w:ascii="宋体" w:hAnsi="宋体" w:eastAsia="宋体" w:cs="宋体"/>
          <w:b/>
          <w:color w:val="000000" w:themeColor="text1"/>
          <w:sz w:val="36"/>
          <w:szCs w:val="20"/>
          <w:highlight w:val="none"/>
          <w14:textFill>
            <w14:solidFill>
              <w14:schemeClr w14:val="tx1"/>
            </w14:solidFill>
          </w14:textFill>
        </w:rPr>
        <w:t>须知</w:t>
      </w:r>
      <w:bookmarkEnd w:id="9"/>
    </w:p>
    <w:p>
      <w:pPr>
        <w:snapToGrid w:val="0"/>
        <w:spacing w:line="240" w:lineRule="auto"/>
        <w:jc w:val="center"/>
        <w:rPr>
          <w:rFonts w:hint="eastAsia" w:ascii="宋体" w:hAnsi="宋体" w:eastAsia="宋体" w:cs="宋体"/>
          <w:b/>
          <w:color w:val="000000" w:themeColor="text1"/>
          <w:sz w:val="32"/>
          <w:szCs w:val="20"/>
          <w:highlight w:val="none"/>
          <w14:textFill>
            <w14:solidFill>
              <w14:schemeClr w14:val="tx1"/>
            </w14:solidFill>
          </w14:textFill>
        </w:rPr>
      </w:pPr>
      <w:r>
        <w:rPr>
          <w:rFonts w:hint="eastAsia" w:ascii="宋体" w:hAnsi="宋体" w:eastAsia="宋体" w:cs="宋体"/>
          <w:b/>
          <w:color w:val="000000" w:themeColor="text1"/>
          <w:sz w:val="32"/>
          <w:szCs w:val="20"/>
          <w:highlight w:val="none"/>
          <w14:textFill>
            <w14:solidFill>
              <w14:schemeClr w14:val="tx1"/>
            </w14:solidFill>
          </w14:textFill>
        </w:rPr>
        <w:t>前附表</w:t>
      </w:r>
    </w:p>
    <w:tbl>
      <w:tblPr>
        <w:tblStyle w:val="62"/>
        <w:tblpPr w:leftFromText="180" w:rightFromText="180" w:vertAnchor="text" w:horzAnchor="page" w:tblpX="1341" w:tblpY="602"/>
        <w:tblOverlap w:val="never"/>
        <w:tblW w:w="924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979"/>
        <w:gridCol w:w="1601"/>
        <w:gridCol w:w="666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979"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b/>
                <w:color w:val="000000" w:themeColor="text1"/>
                <w:sz w:val="24"/>
                <w:szCs w:val="24"/>
                <w:highlight w:val="none"/>
                <w14:textFill>
                  <w14:solidFill>
                    <w14:schemeClr w14:val="tx1"/>
                  </w14:solidFill>
                </w14:textFill>
              </w:rPr>
              <w:t>序号</w:t>
            </w:r>
          </w:p>
        </w:tc>
        <w:tc>
          <w:tcPr>
            <w:tcW w:w="1601" w:type="dxa"/>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kinsoku/>
              <w:wordWrap/>
              <w:overflowPunct/>
              <w:topLinePunct w:val="0"/>
              <w:autoSpaceDE/>
              <w:autoSpaceDN/>
              <w:bidi w:val="0"/>
              <w:adjustRightInd/>
              <w:snapToGrid/>
              <w:spacing w:line="288" w:lineRule="auto"/>
              <w:jc w:val="center"/>
              <w:textAlignment w:val="auto"/>
              <w:rPr>
                <w:rFonts w:hint="eastAsia"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b/>
                <w:color w:val="000000" w:themeColor="text1"/>
                <w:sz w:val="24"/>
                <w:szCs w:val="24"/>
                <w:highlight w:val="none"/>
                <w14:textFill>
                  <w14:solidFill>
                    <w14:schemeClr w14:val="tx1"/>
                  </w14:solidFill>
                </w14:textFill>
              </w:rPr>
              <w:t>事项</w:t>
            </w:r>
          </w:p>
        </w:tc>
        <w:tc>
          <w:tcPr>
            <w:tcW w:w="6664"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kinsoku/>
              <w:wordWrap/>
              <w:overflowPunct/>
              <w:topLinePunct w:val="0"/>
              <w:autoSpaceDE/>
              <w:autoSpaceDN/>
              <w:bidi w:val="0"/>
              <w:adjustRightInd/>
              <w:snapToGrid/>
              <w:spacing w:line="288" w:lineRule="auto"/>
              <w:ind w:firstLine="1446" w:firstLineChars="600"/>
              <w:jc w:val="both"/>
              <w:textAlignment w:val="auto"/>
              <w:rPr>
                <w:rFonts w:hint="eastAsia"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b/>
                <w:color w:val="000000" w:themeColor="text1"/>
                <w:sz w:val="24"/>
                <w:szCs w:val="24"/>
                <w:highlight w:val="none"/>
                <w14:textFill>
                  <w14:solidFill>
                    <w14:schemeClr w14:val="tx1"/>
                  </w14:solidFill>
                </w14:textFill>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48" w:hRule="atLeast"/>
          <w:tblHeader/>
        </w:trPr>
        <w:tc>
          <w:tcPr>
            <w:tcW w:w="9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8" w:lineRule="auto"/>
              <w:jc w:val="center"/>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w:t>
            </w:r>
          </w:p>
        </w:tc>
        <w:tc>
          <w:tcPr>
            <w:tcW w:w="1601" w:type="dxa"/>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kinsoku/>
              <w:wordWrap/>
              <w:overflowPunct/>
              <w:topLinePunct w:val="0"/>
              <w:autoSpaceDE/>
              <w:autoSpaceDN/>
              <w:bidi w:val="0"/>
              <w:adjustRightInd/>
              <w:snapToGrid/>
              <w:spacing w:line="288" w:lineRule="auto"/>
              <w:jc w:val="center"/>
              <w:textAlignment w:val="auto"/>
              <w:rPr>
                <w:rFonts w:hint="eastAsia"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b/>
                <w:color w:val="000000" w:themeColor="text1"/>
                <w:sz w:val="24"/>
                <w:szCs w:val="24"/>
                <w:highlight w:val="none"/>
                <w14:textFill>
                  <w14:solidFill>
                    <w14:schemeClr w14:val="tx1"/>
                  </w14:solidFill>
                </w14:textFill>
              </w:rPr>
              <w:t>项目属性</w:t>
            </w:r>
          </w:p>
        </w:tc>
        <w:tc>
          <w:tcPr>
            <w:tcW w:w="6664"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kinsoku/>
              <w:wordWrap/>
              <w:overflowPunct/>
              <w:topLinePunct w:val="0"/>
              <w:autoSpaceDE/>
              <w:autoSpaceDN/>
              <w:bidi w:val="0"/>
              <w:adjustRightInd/>
              <w:snapToGrid/>
              <w:spacing w:line="288" w:lineRule="auto"/>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5" w:hRule="atLeast"/>
          <w:tblHeader/>
        </w:trPr>
        <w:tc>
          <w:tcPr>
            <w:tcW w:w="979"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288" w:lineRule="auto"/>
              <w:jc w:val="center"/>
              <w:textAlignment w:val="auto"/>
              <w:rPr>
                <w:rFonts w:hint="eastAsia" w:ascii="宋体" w:hAnsi="宋体" w:eastAsia="宋体" w:cs="宋体"/>
                <w:color w:val="000000" w:themeColor="text1"/>
                <w:sz w:val="24"/>
                <w:szCs w:val="24"/>
                <w:highlight w:val="none"/>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288" w:lineRule="auto"/>
              <w:jc w:val="center"/>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w:t>
            </w:r>
          </w:p>
        </w:tc>
        <w:tc>
          <w:tcPr>
            <w:tcW w:w="1601" w:type="dxa"/>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b/>
                <w:color w:val="000000" w:themeColor="text1"/>
                <w:sz w:val="24"/>
                <w:szCs w:val="24"/>
                <w:highlight w:val="none"/>
                <w14:textFill>
                  <w14:solidFill>
                    <w14:schemeClr w14:val="tx1"/>
                  </w14:solidFill>
                </w14:textFill>
              </w:rPr>
              <w:t>采购标的及其对应的中小企业划分标准所属行业</w:t>
            </w:r>
          </w:p>
        </w:tc>
        <w:tc>
          <w:tcPr>
            <w:tcW w:w="6664"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numPr>
                <w:ilvl w:val="0"/>
                <w:numId w:val="0"/>
              </w:numPr>
              <w:kinsoku/>
              <w:wordWrap/>
              <w:overflowPunct/>
              <w:topLinePunct w:val="0"/>
              <w:autoSpaceDE/>
              <w:autoSpaceDN/>
              <w:bidi w:val="0"/>
              <w:adjustRightInd/>
              <w:snapToGrid/>
              <w:spacing w:line="288" w:lineRule="auto"/>
              <w:textAlignment w:val="auto"/>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标的：</w:t>
            </w:r>
            <w:r>
              <w:rPr>
                <w:rFonts w:hint="eastAsia"/>
                <w:color w:val="000000" w:themeColor="text1"/>
                <w:sz w:val="24"/>
                <w:szCs w:val="24"/>
                <w:highlight w:val="none"/>
                <w:u w:val="single"/>
                <w:lang w:val="en-US" w:eastAsia="zh-CN"/>
                <w14:textFill>
                  <w14:solidFill>
                    <w14:schemeClr w14:val="tx1"/>
                  </w14:solidFill>
                </w14:textFill>
              </w:rPr>
              <w:t>道路市政环卫一体化综合养护（根据标项名称）</w:t>
            </w:r>
            <w:r>
              <w:rPr>
                <w:rFonts w:hint="eastAsia"/>
                <w:color w:val="000000" w:themeColor="text1"/>
                <w:sz w:val="24"/>
                <w:szCs w:val="24"/>
                <w:highlight w:val="none"/>
                <w:u w:val="single"/>
                <w14:textFill>
                  <w14:solidFill>
                    <w14:schemeClr w14:val="tx1"/>
                  </w14:solidFill>
                </w14:textFill>
              </w:rPr>
              <w:t xml:space="preserve"> </w:t>
            </w:r>
            <w:r>
              <w:rPr>
                <w:rFonts w:hint="eastAsia"/>
                <w:color w:val="000000" w:themeColor="text1"/>
                <w:sz w:val="24"/>
                <w:szCs w:val="24"/>
                <w:highlight w:val="none"/>
                <w14:textFill>
                  <w14:solidFill>
                    <w14:schemeClr w14:val="tx1"/>
                  </w14:solidFill>
                </w14:textFill>
              </w:rPr>
              <w:t xml:space="preserve">，属于 </w:t>
            </w:r>
            <w:r>
              <w:rPr>
                <w:rFonts w:hint="eastAsia" w:ascii="宋体" w:hAnsi="宋体" w:eastAsia="宋体" w:cs="宋体"/>
                <w:color w:val="000000" w:themeColor="text1"/>
                <w:kern w:val="0"/>
                <w:sz w:val="24"/>
                <w:szCs w:val="24"/>
                <w:highlight w:val="none"/>
                <w:u w:val="single"/>
                <w14:textFill>
                  <w14:solidFill>
                    <w14:schemeClr w14:val="tx1"/>
                  </w14:solidFill>
                </w14:textFill>
              </w:rPr>
              <w:t>【</w:t>
            </w:r>
            <w:r>
              <w:rPr>
                <w:rFonts w:hint="eastAsia" w:ascii="宋体" w:hAnsi="宋体" w:eastAsia="宋体" w:cs="宋体"/>
                <w:color w:val="000000" w:themeColor="text1"/>
                <w:kern w:val="0"/>
                <w:sz w:val="24"/>
                <w:szCs w:val="24"/>
                <w:highlight w:val="none"/>
                <w:u w:val="single"/>
                <w:lang w:eastAsia="zh-CN"/>
                <w14:textFill>
                  <w14:solidFill>
                    <w14:schemeClr w14:val="tx1"/>
                  </w14:solidFill>
                </w14:textFill>
              </w:rPr>
              <w:t>其他未列明行业</w:t>
            </w:r>
            <w:r>
              <w:rPr>
                <w:rFonts w:hint="eastAsia" w:ascii="宋体" w:hAnsi="宋体" w:eastAsia="宋体" w:cs="宋体"/>
                <w:color w:val="000000" w:themeColor="text1"/>
                <w:kern w:val="0"/>
                <w:sz w:val="24"/>
                <w:szCs w:val="24"/>
                <w:highlight w:val="none"/>
                <w:u w:val="single"/>
                <w14:textFill>
                  <w14:solidFill>
                    <w14:schemeClr w14:val="tx1"/>
                  </w14:solidFill>
                </w14:textFill>
              </w:rPr>
              <w:t>】</w:t>
            </w:r>
            <w:r>
              <w:rPr>
                <w:rFonts w:hint="eastAsia"/>
                <w:color w:val="000000" w:themeColor="text1"/>
                <w:sz w:val="24"/>
                <w:szCs w:val="24"/>
                <w:highlight w:val="none"/>
                <w:lang w:val="en-US" w:eastAsia="zh-CN"/>
                <w14:textFill>
                  <w14:solidFill>
                    <w14:schemeClr w14:val="tx1"/>
                  </w14:solidFill>
                </w14:textFill>
              </w:rPr>
              <w:t xml:space="preserve"> </w:t>
            </w:r>
            <w:r>
              <w:rPr>
                <w:rFonts w:hint="eastAsia"/>
                <w:color w:val="000000" w:themeColor="text1"/>
                <w:sz w:val="24"/>
                <w:szCs w:val="24"/>
                <w:highlight w:val="none"/>
                <w14:textFill>
                  <w14:solidFill>
                    <w14:schemeClr w14:val="tx1"/>
                  </w14:solidFill>
                </w14:textFill>
              </w:rPr>
              <w:t>行业；</w:t>
            </w:r>
          </w:p>
          <w:p>
            <w:pPr>
              <w:pStyle w:val="2"/>
              <w:numPr>
                <w:ilvl w:val="0"/>
                <w:numId w:val="0"/>
              </w:numPr>
              <w:rPr>
                <w:rFonts w:hint="eastAsia"/>
                <w:color w:val="000000" w:themeColor="text1"/>
                <w:highlight w:val="none"/>
                <w:lang w:val="en-US"/>
                <w14:textFill>
                  <w14:solidFill>
                    <w14:schemeClr w14:val="tx1"/>
                  </w14:solidFill>
                </w14:textFill>
              </w:rPr>
            </w:pPr>
            <w:r>
              <w:rPr>
                <w:rFonts w:hint="eastAsia"/>
                <w:color w:val="000000" w:themeColor="text1"/>
                <w:highlight w:val="none"/>
                <w:lang w:val="en-US"/>
                <w14:textFill>
                  <w14:solidFill>
                    <w14:schemeClr w14:val="tx1"/>
                  </w14:solidFill>
                </w14:textFill>
              </w:rPr>
              <w:t>根据工信部联企业〔2011〕300号《关于印发中小企业划型标准规定的通知》规定，其他未列明行业：从业人员300人以下的为中小微型企业。其中，从业人员100人及以上的为中型企业；从业人员10人及以上的为小型企业；从业人员10人以下的为微型企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845" w:hRule="atLeast"/>
          <w:tblHeader/>
        </w:trPr>
        <w:tc>
          <w:tcPr>
            <w:tcW w:w="979"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288" w:lineRule="auto"/>
              <w:jc w:val="center"/>
              <w:textAlignment w:val="auto"/>
              <w:rPr>
                <w:rFonts w:hint="eastAsia" w:ascii="宋体" w:hAnsi="宋体" w:eastAsia="宋体" w:cs="宋体"/>
                <w:color w:val="000000" w:themeColor="text1"/>
                <w:sz w:val="24"/>
                <w:szCs w:val="24"/>
                <w:highlight w:val="none"/>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288" w:lineRule="auto"/>
              <w:jc w:val="center"/>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w:t>
            </w:r>
          </w:p>
        </w:tc>
        <w:tc>
          <w:tcPr>
            <w:tcW w:w="1601" w:type="dxa"/>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b/>
                <w:color w:val="000000" w:themeColor="text1"/>
                <w:sz w:val="24"/>
                <w:szCs w:val="24"/>
                <w:highlight w:val="none"/>
                <w14:textFill>
                  <w14:solidFill>
                    <w14:schemeClr w14:val="tx1"/>
                  </w14:solidFill>
                </w14:textFill>
              </w:rPr>
              <w:t>是否允许采购进口产品</w:t>
            </w:r>
          </w:p>
        </w:tc>
        <w:tc>
          <w:tcPr>
            <w:tcW w:w="6664"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kinsoku/>
              <w:wordWrap/>
              <w:overflowPunct/>
              <w:topLinePunct w:val="0"/>
              <w:autoSpaceDE/>
              <w:autoSpaceDN/>
              <w:bidi w:val="0"/>
              <w:adjustRightInd/>
              <w:snapToGrid/>
              <w:spacing w:line="288" w:lineRule="auto"/>
              <w:textAlignment w:val="auto"/>
              <w:rPr>
                <w:rFonts w:hint="eastAsia" w:ascii="宋体" w:hAnsi="宋体" w:eastAsia="宋体" w:cs="宋体"/>
                <w:color w:val="000000" w:themeColor="text1"/>
                <w:sz w:val="24"/>
                <w:szCs w:val="24"/>
                <w:highlight w:val="none"/>
                <w14:textFill>
                  <w14:solidFill>
                    <w14:schemeClr w14:val="tx1"/>
                  </w14:solidFill>
                </w14:textFill>
              </w:rPr>
            </w:pPr>
            <w:sdt>
              <w:sdtPr>
                <w:rPr>
                  <w:rFonts w:hint="eastAsia" w:ascii="宋体" w:hAnsi="宋体" w:eastAsia="宋体" w:cs="宋体"/>
                  <w:color w:val="000000" w:themeColor="text1"/>
                  <w:kern w:val="0"/>
                  <w:sz w:val="24"/>
                  <w:szCs w:val="24"/>
                  <w:highlight w:val="none"/>
                  <w14:textFill>
                    <w14:solidFill>
                      <w14:schemeClr w14:val="tx1"/>
                    </w14:solidFill>
                  </w14:textFill>
                </w:rPr>
                <w:id w:val="-1828425707"/>
                <w14:checkbox>
                  <w14:checked w14:val="1"/>
                  <w14:checkedState w14:val="00FE" w14:font="Wingdings"/>
                  <w14:uncheckedState w14:val="2610" w14:font="MS Gothic"/>
                </w14:checkbox>
              </w:sdtPr>
              <w:sdtEndPr>
                <w:rPr>
                  <w:rFonts w:hint="eastAsia" w:ascii="宋体" w:hAnsi="宋体" w:eastAsia="宋体" w:cs="宋体"/>
                  <w:color w:val="000000" w:themeColor="text1"/>
                  <w:kern w:val="0"/>
                  <w:sz w:val="24"/>
                  <w:szCs w:val="24"/>
                  <w:highlight w:val="none"/>
                  <w14:textFill>
                    <w14:solidFill>
                      <w14:schemeClr w14:val="tx1"/>
                    </w14:solidFill>
                  </w14:textFill>
                </w:rPr>
              </w:sdtEndPr>
              <w:sdtContent>
                <w:r>
                  <w:rPr>
                    <w:rFonts w:hint="eastAsia" w:ascii="宋体" w:hAnsi="宋体" w:eastAsia="宋体" w:cs="宋体"/>
                    <w:color w:val="000000" w:themeColor="text1"/>
                    <w:kern w:val="0"/>
                    <w:sz w:val="24"/>
                    <w:szCs w:val="24"/>
                    <w:highlight w:val="none"/>
                    <w14:textFill>
                      <w14:solidFill>
                        <w14:schemeClr w14:val="tx1"/>
                      </w14:solidFill>
                    </w14:textFill>
                  </w:rPr>
                  <w:sym w:font="Wingdings" w:char="F0FE"/>
                </w:r>
              </w:sdtContent>
            </w:sdt>
            <w:r>
              <w:rPr>
                <w:rFonts w:hint="eastAsia" w:ascii="宋体" w:hAnsi="宋体" w:eastAsia="宋体" w:cs="宋体"/>
                <w:color w:val="000000" w:themeColor="text1"/>
                <w:kern w:val="0"/>
                <w:sz w:val="24"/>
                <w:szCs w:val="24"/>
                <w:highlight w:val="none"/>
                <w14:textFill>
                  <w14:solidFill>
                    <w14:schemeClr w14:val="tx1"/>
                  </w14:solidFill>
                </w14:textFill>
              </w:rPr>
              <w:t>本项目不允许采购进口产品。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20" w:hRule="atLeast"/>
          <w:tblHeader/>
        </w:trPr>
        <w:tc>
          <w:tcPr>
            <w:tcW w:w="9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8" w:lineRule="auto"/>
              <w:jc w:val="center"/>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4</w:t>
            </w:r>
          </w:p>
        </w:tc>
        <w:tc>
          <w:tcPr>
            <w:tcW w:w="1601" w:type="dxa"/>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kinsoku/>
              <w:wordWrap/>
              <w:overflowPunct/>
              <w:topLinePunct w:val="0"/>
              <w:autoSpaceDE/>
              <w:autoSpaceDN/>
              <w:bidi w:val="0"/>
              <w:adjustRightInd/>
              <w:snapToGrid/>
              <w:spacing w:line="288" w:lineRule="auto"/>
              <w:ind w:firstLine="482" w:firstLineChars="200"/>
              <w:textAlignment w:val="auto"/>
              <w:rPr>
                <w:rFonts w:hint="eastAsia"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b/>
                <w:color w:val="000000" w:themeColor="text1"/>
                <w:sz w:val="24"/>
                <w:szCs w:val="24"/>
                <w:highlight w:val="none"/>
                <w14:textFill>
                  <w14:solidFill>
                    <w14:schemeClr w14:val="tx1"/>
                  </w14:solidFill>
                </w14:textFill>
              </w:rPr>
              <w:t>分包</w:t>
            </w:r>
          </w:p>
        </w:tc>
        <w:tc>
          <w:tcPr>
            <w:tcW w:w="6664"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kinsoku/>
              <w:wordWrap/>
              <w:overflowPunct/>
              <w:topLinePunct w:val="0"/>
              <w:autoSpaceDE/>
              <w:autoSpaceDN/>
              <w:bidi w:val="0"/>
              <w:adjustRightInd/>
              <w:snapToGrid/>
              <w:spacing w:line="288" w:lineRule="auto"/>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9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8" w:lineRule="auto"/>
              <w:jc w:val="center"/>
              <w:textAlignment w:val="auto"/>
              <w:rPr>
                <w:rFonts w:hint="eastAsia" w:ascii="宋体" w:hAnsi="宋体" w:eastAsia="宋体" w:cs="宋体"/>
                <w:color w:val="000000" w:themeColor="text1"/>
                <w:sz w:val="24"/>
                <w:szCs w:val="24"/>
                <w:highlight w:val="none"/>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288" w:lineRule="auto"/>
              <w:jc w:val="center"/>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5</w:t>
            </w:r>
          </w:p>
        </w:tc>
        <w:tc>
          <w:tcPr>
            <w:tcW w:w="1601" w:type="dxa"/>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kinsoku/>
              <w:wordWrap/>
              <w:overflowPunct/>
              <w:topLinePunct w:val="0"/>
              <w:autoSpaceDE/>
              <w:autoSpaceDN/>
              <w:bidi w:val="0"/>
              <w:adjustRightInd/>
              <w:snapToGrid/>
              <w:spacing w:line="288" w:lineRule="auto"/>
              <w:jc w:val="center"/>
              <w:textAlignment w:val="auto"/>
              <w:rPr>
                <w:rFonts w:hint="eastAsia"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b/>
                <w:color w:val="000000" w:themeColor="text1"/>
                <w:sz w:val="24"/>
                <w:szCs w:val="24"/>
                <w:highlight w:val="none"/>
                <w14:textFill>
                  <w14:solidFill>
                    <w14:schemeClr w14:val="tx1"/>
                  </w14:solidFill>
                </w14:textFill>
              </w:rPr>
              <w:t>开标前答疑会或现场考察</w:t>
            </w:r>
          </w:p>
        </w:tc>
        <w:tc>
          <w:tcPr>
            <w:tcW w:w="6664"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kinsoku/>
              <w:wordWrap/>
              <w:overflowPunct/>
              <w:topLinePunct w:val="0"/>
              <w:autoSpaceDE/>
              <w:autoSpaceDN/>
              <w:bidi w:val="0"/>
              <w:adjustRightInd/>
              <w:snapToGrid/>
              <w:spacing w:line="288" w:lineRule="auto"/>
              <w:textAlignment w:val="auto"/>
              <w:rPr>
                <w:rFonts w:hint="eastAsia" w:ascii="宋体" w:hAnsi="宋体" w:eastAsia="宋体" w:cs="宋体"/>
                <w:color w:val="000000" w:themeColor="text1"/>
                <w:sz w:val="24"/>
                <w:szCs w:val="24"/>
                <w:highlight w:val="none"/>
                <w14:textFill>
                  <w14:solidFill>
                    <w14:schemeClr w14:val="tx1"/>
                  </w14:solidFill>
                </w14:textFill>
              </w:rPr>
            </w:pPr>
            <w:sdt>
              <w:sdtPr>
                <w:rPr>
                  <w:rFonts w:hint="eastAsia" w:ascii="宋体" w:hAnsi="宋体" w:eastAsia="宋体" w:cs="宋体"/>
                  <w:color w:val="000000" w:themeColor="text1"/>
                  <w:kern w:val="0"/>
                  <w:sz w:val="24"/>
                  <w:szCs w:val="24"/>
                  <w:highlight w:val="none"/>
                  <w14:textFill>
                    <w14:solidFill>
                      <w14:schemeClr w14:val="tx1"/>
                    </w14:solidFill>
                  </w14:textFill>
                </w:rPr>
                <w:id w:val="-212966419"/>
                <w14:checkbox>
                  <w14:checked w14:val="1"/>
                  <w14:checkedState w14:val="00FE" w14:font="Wingdings"/>
                  <w14:uncheckedState w14:val="2610" w14:font="MS Gothic"/>
                </w14:checkbox>
              </w:sdtPr>
              <w:sdtEndPr>
                <w:rPr>
                  <w:rFonts w:hint="eastAsia" w:ascii="宋体" w:hAnsi="宋体" w:eastAsia="宋体" w:cs="宋体"/>
                  <w:color w:val="000000" w:themeColor="text1"/>
                  <w:kern w:val="0"/>
                  <w:sz w:val="24"/>
                  <w:szCs w:val="24"/>
                  <w:highlight w:val="none"/>
                  <w14:textFill>
                    <w14:solidFill>
                      <w14:schemeClr w14:val="tx1"/>
                    </w14:solidFill>
                  </w14:textFill>
                </w:rPr>
              </w:sdtEndPr>
              <w:sdtContent>
                <w:r>
                  <w:rPr>
                    <w:rFonts w:hint="eastAsia" w:ascii="Wingdings" w:hAnsi="Wingdings" w:eastAsia="宋体" w:cs="宋体"/>
                    <w:color w:val="000000" w:themeColor="text1"/>
                    <w:kern w:val="0"/>
                    <w:sz w:val="24"/>
                    <w:szCs w:val="24"/>
                    <w:highlight w:val="none"/>
                    <w:lang w:val="en-US" w:eastAsia="zh-CN" w:bidi="ar-SA"/>
                    <w14:textFill>
                      <w14:solidFill>
                        <w14:schemeClr w14:val="tx1"/>
                      </w14:solidFill>
                    </w14:textFill>
                  </w:rPr>
                  <w:t>þ</w:t>
                </w:r>
              </w:sdtContent>
            </w:sdt>
            <w:r>
              <w:rPr>
                <w:rFonts w:hint="eastAsia" w:ascii="宋体" w:hAnsi="宋体" w:eastAsia="宋体" w:cs="宋体"/>
                <w:color w:val="000000" w:themeColor="text1"/>
                <w:kern w:val="0"/>
                <w:sz w:val="24"/>
                <w:szCs w:val="24"/>
                <w:highlight w:val="none"/>
                <w14:textFill>
                  <w14:solidFill>
                    <w14:schemeClr w14:val="tx1"/>
                  </w14:solidFill>
                </w14:textFill>
              </w:rPr>
              <w:t>A</w:t>
            </w:r>
            <w:r>
              <w:rPr>
                <w:rFonts w:hint="eastAsia" w:ascii="宋体" w:hAnsi="宋体" w:eastAsia="宋体" w:cs="宋体"/>
                <w:color w:val="000000" w:themeColor="text1"/>
                <w:sz w:val="24"/>
                <w:szCs w:val="24"/>
                <w:highlight w:val="none"/>
                <w14:textFill>
                  <w14:solidFill>
                    <w14:schemeClr w14:val="tx1"/>
                  </w14:solidFill>
                </w14:textFill>
              </w:rPr>
              <w:t>不组织。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08" w:hRule="atLeast"/>
          <w:tblHeader/>
        </w:trPr>
        <w:tc>
          <w:tcPr>
            <w:tcW w:w="9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8" w:lineRule="auto"/>
              <w:jc w:val="center"/>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6</w:t>
            </w:r>
          </w:p>
        </w:tc>
        <w:tc>
          <w:tcPr>
            <w:tcW w:w="1601" w:type="dxa"/>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kinsoku/>
              <w:wordWrap/>
              <w:overflowPunct/>
              <w:topLinePunct w:val="0"/>
              <w:autoSpaceDE/>
              <w:autoSpaceDN/>
              <w:bidi w:val="0"/>
              <w:adjustRightInd/>
              <w:snapToGrid/>
              <w:spacing w:line="288" w:lineRule="auto"/>
              <w:jc w:val="center"/>
              <w:textAlignment w:val="auto"/>
              <w:rPr>
                <w:rFonts w:hint="eastAsia"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b/>
                <w:color w:val="000000" w:themeColor="text1"/>
                <w:sz w:val="24"/>
                <w:szCs w:val="24"/>
                <w:highlight w:val="none"/>
                <w14:textFill>
                  <w14:solidFill>
                    <w14:schemeClr w14:val="tx1"/>
                  </w14:solidFill>
                </w14:textFill>
              </w:rPr>
              <w:t>样品提供</w:t>
            </w:r>
          </w:p>
        </w:tc>
        <w:tc>
          <w:tcPr>
            <w:tcW w:w="6664"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kinsoku/>
              <w:wordWrap/>
              <w:overflowPunct/>
              <w:topLinePunct w:val="0"/>
              <w:autoSpaceDE/>
              <w:autoSpaceDN/>
              <w:bidi w:val="0"/>
              <w:adjustRightInd/>
              <w:snapToGrid/>
              <w:spacing w:line="288" w:lineRule="auto"/>
              <w:textAlignment w:val="auto"/>
              <w:rPr>
                <w:rFonts w:hint="eastAsia" w:ascii="宋体" w:hAnsi="宋体" w:eastAsia="宋体" w:cs="宋体"/>
                <w:b/>
                <w:color w:val="000000" w:themeColor="text1"/>
                <w:sz w:val="24"/>
                <w:szCs w:val="24"/>
                <w:highlight w:val="none"/>
                <w14:textFill>
                  <w14:solidFill>
                    <w14:schemeClr w14:val="tx1"/>
                  </w14:solidFill>
                </w14:textFill>
              </w:rPr>
            </w:pPr>
            <w:sdt>
              <w:sdtPr>
                <w:rPr>
                  <w:rFonts w:hint="eastAsia" w:ascii="宋体" w:hAnsi="宋体" w:eastAsia="宋体" w:cs="宋体"/>
                  <w:color w:val="000000" w:themeColor="text1"/>
                  <w:kern w:val="0"/>
                  <w:sz w:val="24"/>
                  <w:szCs w:val="24"/>
                  <w:highlight w:val="none"/>
                  <w14:textFill>
                    <w14:solidFill>
                      <w14:schemeClr w14:val="tx1"/>
                    </w14:solidFill>
                  </w14:textFill>
                </w:rPr>
                <w:id w:val="-1639946486"/>
                <w14:checkbox>
                  <w14:checked w14:val="1"/>
                  <w14:checkedState w14:val="00FE" w14:font="Wingdings"/>
                  <w14:uncheckedState w14:val="2610" w14:font="MS Gothic"/>
                </w14:checkbox>
              </w:sdtPr>
              <w:sdtEndPr>
                <w:rPr>
                  <w:rFonts w:hint="eastAsia" w:ascii="宋体" w:hAnsi="宋体" w:eastAsia="宋体" w:cs="宋体"/>
                  <w:color w:val="000000" w:themeColor="text1"/>
                  <w:kern w:val="0"/>
                  <w:sz w:val="24"/>
                  <w:szCs w:val="24"/>
                  <w:highlight w:val="none"/>
                  <w14:textFill>
                    <w14:solidFill>
                      <w14:schemeClr w14:val="tx1"/>
                    </w14:solidFill>
                  </w14:textFill>
                </w:rPr>
              </w:sdtEndPr>
              <w:sdtContent>
                <w:r>
                  <w:rPr>
                    <w:rFonts w:hint="eastAsia" w:ascii="Wingdings" w:hAnsi="Wingdings" w:eastAsia="宋体" w:cs="宋体"/>
                    <w:color w:val="000000" w:themeColor="text1"/>
                    <w:kern w:val="0"/>
                    <w:sz w:val="24"/>
                    <w:szCs w:val="24"/>
                    <w:highlight w:val="none"/>
                    <w:lang w:val="en-US" w:eastAsia="zh-CN" w:bidi="ar-SA"/>
                    <w14:textFill>
                      <w14:solidFill>
                        <w14:schemeClr w14:val="tx1"/>
                      </w14:solidFill>
                    </w14:textFill>
                  </w:rPr>
                  <w:t>þ</w:t>
                </w:r>
              </w:sdtContent>
            </w:sdt>
            <w:r>
              <w:rPr>
                <w:rFonts w:hint="eastAsia" w:ascii="宋体" w:hAnsi="宋体" w:eastAsia="宋体" w:cs="宋体"/>
                <w:color w:val="000000" w:themeColor="text1"/>
                <w:kern w:val="0"/>
                <w:sz w:val="24"/>
                <w:szCs w:val="24"/>
                <w:highlight w:val="none"/>
                <w14:textFill>
                  <w14:solidFill>
                    <w14:schemeClr w14:val="tx1"/>
                  </w14:solidFill>
                </w14:textFill>
              </w:rPr>
              <w:t>A</w:t>
            </w:r>
            <w:r>
              <w:rPr>
                <w:rFonts w:hint="eastAsia" w:ascii="宋体" w:hAnsi="宋体" w:eastAsia="宋体" w:cs="宋体"/>
                <w:color w:val="000000" w:themeColor="text1"/>
                <w:sz w:val="24"/>
                <w:szCs w:val="24"/>
                <w:highlight w:val="none"/>
                <w14:textFill>
                  <w14:solidFill>
                    <w14:schemeClr w14:val="tx1"/>
                  </w14:solidFill>
                </w14:textFill>
              </w:rPr>
              <w:t>不要求提供。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36" w:hRule="atLeast"/>
          <w:tblHeader/>
        </w:trPr>
        <w:tc>
          <w:tcPr>
            <w:tcW w:w="9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8" w:lineRule="auto"/>
              <w:jc w:val="center"/>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7</w:t>
            </w:r>
          </w:p>
        </w:tc>
        <w:tc>
          <w:tcPr>
            <w:tcW w:w="1601" w:type="dxa"/>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kinsoku/>
              <w:wordWrap/>
              <w:overflowPunct/>
              <w:topLinePunct w:val="0"/>
              <w:autoSpaceDE/>
              <w:autoSpaceDN/>
              <w:bidi w:val="0"/>
              <w:adjustRightInd/>
              <w:snapToGrid/>
              <w:spacing w:line="288" w:lineRule="auto"/>
              <w:jc w:val="center"/>
              <w:textAlignment w:val="auto"/>
              <w:rPr>
                <w:rFonts w:hint="eastAsia" w:ascii="宋体" w:hAnsi="宋体" w:eastAsia="宋体" w:cs="宋体"/>
                <w:bCs/>
                <w:color w:val="000000" w:themeColor="text1"/>
                <w:sz w:val="24"/>
                <w:szCs w:val="24"/>
                <w:highlight w:val="none"/>
                <w14:textFill>
                  <w14:solidFill>
                    <w14:schemeClr w14:val="tx1"/>
                  </w14:solidFill>
                </w14:textFill>
              </w:rPr>
            </w:pPr>
            <w:r>
              <w:rPr>
                <w:rFonts w:hint="eastAsia" w:ascii="宋体" w:hAnsi="宋体" w:eastAsia="宋体" w:cs="宋体"/>
                <w:b/>
                <w:color w:val="000000" w:themeColor="text1"/>
                <w:sz w:val="24"/>
                <w:szCs w:val="24"/>
                <w:highlight w:val="none"/>
                <w14:textFill>
                  <w14:solidFill>
                    <w14:schemeClr w14:val="tx1"/>
                  </w14:solidFill>
                </w14:textFill>
              </w:rPr>
              <w:t>方案讲解演示</w:t>
            </w:r>
          </w:p>
        </w:tc>
        <w:tc>
          <w:tcPr>
            <w:tcW w:w="6664"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kinsoku/>
              <w:wordWrap/>
              <w:overflowPunct/>
              <w:topLinePunct w:val="0"/>
              <w:autoSpaceDE/>
              <w:autoSpaceDN/>
              <w:bidi w:val="0"/>
              <w:adjustRightInd/>
              <w:snapToGrid/>
              <w:spacing w:line="288" w:lineRule="auto"/>
              <w:textAlignment w:val="auto"/>
              <w:rPr>
                <w:rFonts w:hint="eastAsia" w:ascii="宋体" w:hAnsi="宋体" w:eastAsia="宋体" w:cs="宋体"/>
                <w:b/>
                <w:color w:val="000000" w:themeColor="text1"/>
                <w:kern w:val="0"/>
                <w:sz w:val="24"/>
                <w:szCs w:val="24"/>
                <w:highlight w:val="none"/>
                <w:lang w:val="zh-CN"/>
                <w14:textFill>
                  <w14:solidFill>
                    <w14:schemeClr w14:val="tx1"/>
                  </w14:solidFill>
                </w14:textFill>
              </w:rPr>
            </w:pPr>
            <w:sdt>
              <w:sdtPr>
                <w:rPr>
                  <w:rFonts w:hint="eastAsia" w:ascii="宋体" w:hAnsi="宋体" w:eastAsia="宋体" w:cs="宋体"/>
                  <w:color w:val="000000" w:themeColor="text1"/>
                  <w:kern w:val="0"/>
                  <w:sz w:val="24"/>
                  <w:szCs w:val="24"/>
                  <w:highlight w:val="none"/>
                  <w14:textFill>
                    <w14:solidFill>
                      <w14:schemeClr w14:val="tx1"/>
                    </w14:solidFill>
                  </w14:textFill>
                </w:rPr>
                <w:id w:val="-1859348549"/>
                <w14:checkbox>
                  <w14:checked w14:val="1"/>
                  <w14:checkedState w14:val="00FE" w14:font="Wingdings"/>
                  <w14:uncheckedState w14:val="2610" w14:font="MS Gothic"/>
                </w14:checkbox>
              </w:sdtPr>
              <w:sdtEndPr>
                <w:rPr>
                  <w:rFonts w:hint="eastAsia" w:ascii="宋体" w:hAnsi="宋体" w:eastAsia="宋体" w:cs="宋体"/>
                  <w:color w:val="000000" w:themeColor="text1"/>
                  <w:kern w:val="0"/>
                  <w:sz w:val="24"/>
                  <w:szCs w:val="24"/>
                  <w:highlight w:val="none"/>
                  <w14:textFill>
                    <w14:solidFill>
                      <w14:schemeClr w14:val="tx1"/>
                    </w14:solidFill>
                  </w14:textFill>
                </w:rPr>
              </w:sdtEndPr>
              <w:sdtContent>
                <w:r>
                  <w:rPr>
                    <w:rFonts w:hint="eastAsia" w:ascii="Wingdings" w:hAnsi="Wingdings" w:eastAsia="宋体" w:cs="宋体"/>
                    <w:color w:val="000000" w:themeColor="text1"/>
                    <w:kern w:val="0"/>
                    <w:sz w:val="24"/>
                    <w:szCs w:val="24"/>
                    <w:highlight w:val="none"/>
                    <w:lang w:val="en-US" w:eastAsia="zh-CN" w:bidi="ar-SA"/>
                    <w14:textFill>
                      <w14:solidFill>
                        <w14:schemeClr w14:val="tx1"/>
                      </w14:solidFill>
                    </w14:textFill>
                  </w:rPr>
                  <w:t>þ</w:t>
                </w:r>
              </w:sdtContent>
            </w:sdt>
            <w:r>
              <w:rPr>
                <w:rFonts w:hint="eastAsia" w:ascii="宋体" w:hAnsi="宋体" w:eastAsia="宋体" w:cs="宋体"/>
                <w:color w:val="000000" w:themeColor="text1"/>
                <w:kern w:val="0"/>
                <w:sz w:val="24"/>
                <w:szCs w:val="24"/>
                <w:highlight w:val="none"/>
                <w14:textFill>
                  <w14:solidFill>
                    <w14:schemeClr w14:val="tx1"/>
                  </w14:solidFill>
                </w14:textFill>
              </w:rPr>
              <w:t>A</w:t>
            </w:r>
            <w:r>
              <w:rPr>
                <w:rFonts w:hint="eastAsia" w:ascii="宋体" w:hAnsi="宋体" w:eastAsia="宋体" w:cs="宋体"/>
                <w:color w:val="000000" w:themeColor="text1"/>
                <w:sz w:val="24"/>
                <w:szCs w:val="24"/>
                <w:highlight w:val="none"/>
                <w14:textFill>
                  <w14:solidFill>
                    <w14:schemeClr w14:val="tx1"/>
                  </w14:solidFill>
                </w14:textFill>
              </w:rPr>
              <w:t>不组织</w:t>
            </w:r>
            <w:r>
              <w:rPr>
                <w:rFonts w:hint="eastAsia" w:ascii="宋体" w:hAnsi="宋体" w:eastAsia="宋体" w:cs="宋体"/>
                <w:color w:val="000000" w:themeColor="text1"/>
                <w:kern w:val="0"/>
                <w:sz w:val="24"/>
                <w:szCs w:val="24"/>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979" w:type="dxa"/>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8" w:lineRule="auto"/>
              <w:jc w:val="center"/>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8</w:t>
            </w:r>
          </w:p>
        </w:tc>
        <w:tc>
          <w:tcPr>
            <w:tcW w:w="1601" w:type="dxa"/>
            <w:vMerge w:val="restart"/>
            <w:tcBorders>
              <w:top w:val="single" w:color="000000" w:sz="8" w:space="0"/>
              <w:left w:val="single" w:color="auto" w:sz="4" w:space="0"/>
              <w:right w:val="single" w:color="000000" w:sz="8" w:space="0"/>
            </w:tcBorders>
            <w:vAlign w:val="center"/>
          </w:tcPr>
          <w:p>
            <w:pPr>
              <w:keepNext w:val="0"/>
              <w:keepLines w:val="0"/>
              <w:pageBreakBefore w:val="0"/>
              <w:kinsoku/>
              <w:wordWrap/>
              <w:overflowPunct/>
              <w:topLinePunct w:val="0"/>
              <w:autoSpaceDE/>
              <w:autoSpaceDN/>
              <w:bidi w:val="0"/>
              <w:adjustRightInd/>
              <w:snapToGrid/>
              <w:spacing w:line="288" w:lineRule="auto"/>
              <w:jc w:val="center"/>
              <w:textAlignment w:val="auto"/>
              <w:rPr>
                <w:rFonts w:hint="eastAsia"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b/>
                <w:color w:val="000000" w:themeColor="text1"/>
                <w:sz w:val="24"/>
                <w:szCs w:val="24"/>
                <w:highlight w:val="none"/>
                <w:lang w:eastAsia="zh-CN"/>
                <w14:textFill>
                  <w14:solidFill>
                    <w14:schemeClr w14:val="tx1"/>
                  </w14:solidFill>
                </w14:textFill>
              </w:rPr>
              <w:t>供应商</w:t>
            </w:r>
            <w:r>
              <w:rPr>
                <w:rFonts w:hint="eastAsia" w:ascii="宋体" w:hAnsi="宋体" w:eastAsia="宋体" w:cs="宋体"/>
                <w:b/>
                <w:color w:val="000000" w:themeColor="text1"/>
                <w:sz w:val="24"/>
                <w:szCs w:val="24"/>
                <w:highlight w:val="none"/>
                <w14:textFill>
                  <w14:solidFill>
                    <w14:schemeClr w14:val="tx1"/>
                  </w14:solidFill>
                </w14:textFill>
              </w:rPr>
              <w:t>应当提供的资格、资信证明文件</w:t>
            </w:r>
          </w:p>
        </w:tc>
        <w:tc>
          <w:tcPr>
            <w:tcW w:w="6664" w:type="dxa"/>
            <w:tcBorders>
              <w:top w:val="single" w:color="000000" w:sz="8" w:space="0"/>
              <w:left w:val="single" w:color="000000" w:sz="2" w:space="0"/>
              <w:bottom w:val="single" w:color="auto" w:sz="4" w:space="0"/>
              <w:right w:val="single" w:color="000000" w:sz="8" w:space="0"/>
            </w:tcBorders>
            <w:vAlign w:val="center"/>
          </w:tcPr>
          <w:p>
            <w:pPr>
              <w:keepNext w:val="0"/>
              <w:keepLines w:val="0"/>
              <w:pageBreakBefore w:val="0"/>
              <w:kinsoku/>
              <w:wordWrap/>
              <w:overflowPunct/>
              <w:topLinePunct w:val="0"/>
              <w:autoSpaceDE/>
              <w:autoSpaceDN/>
              <w:bidi w:val="0"/>
              <w:adjustRightInd/>
              <w:snapToGrid/>
              <w:spacing w:line="288" w:lineRule="auto"/>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（1）资格证明文件：见</w:t>
            </w:r>
            <w:r>
              <w:rPr>
                <w:rFonts w:hint="eastAsia" w:ascii="宋体" w:hAnsi="宋体" w:eastAsia="宋体" w:cs="宋体"/>
                <w:color w:val="000000" w:themeColor="text1"/>
                <w:sz w:val="24"/>
                <w:szCs w:val="24"/>
                <w:highlight w:val="none"/>
                <w:lang w:eastAsia="zh-CN"/>
                <w14:textFill>
                  <w14:solidFill>
                    <w14:schemeClr w14:val="tx1"/>
                  </w14:solidFill>
                </w14:textFill>
              </w:rPr>
              <w:t>投标文件</w:t>
            </w:r>
            <w:r>
              <w:rPr>
                <w:rFonts w:hint="eastAsia" w:ascii="宋体" w:hAnsi="宋体" w:eastAsia="宋体" w:cs="宋体"/>
                <w:color w:val="000000" w:themeColor="text1"/>
                <w:sz w:val="24"/>
                <w:szCs w:val="24"/>
                <w:highlight w:val="none"/>
                <w14:textFill>
                  <w14:solidFill>
                    <w14:schemeClr w14:val="tx1"/>
                  </w14:solidFill>
                </w14:textFill>
              </w:rPr>
              <w:t>第二部分11.1。</w:t>
            </w:r>
          </w:p>
          <w:p>
            <w:pPr>
              <w:keepNext w:val="0"/>
              <w:keepLines w:val="0"/>
              <w:pageBreakBefore w:val="0"/>
              <w:kinsoku/>
              <w:wordWrap/>
              <w:overflowPunct/>
              <w:topLinePunct w:val="0"/>
              <w:autoSpaceDE/>
              <w:autoSpaceDN/>
              <w:bidi w:val="0"/>
              <w:adjustRightInd/>
              <w:snapToGrid/>
              <w:spacing w:line="288" w:lineRule="auto"/>
              <w:textAlignment w:val="auto"/>
              <w:rPr>
                <w:rFonts w:hint="eastAsia" w:ascii="宋体" w:hAnsi="宋体" w:eastAsia="宋体" w:cs="宋体"/>
                <w:snapToGrid w:val="0"/>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zh-CN"/>
                <w14:textFill>
                  <w14:solidFill>
                    <w14:schemeClr w14:val="tx1"/>
                  </w14:solidFill>
                </w14:textFill>
              </w:rPr>
              <w:t>供应商未提供有效的资格证明文件的，视为供应商不具备投标文件中规定的资格要求，投标无效。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26" w:hRule="atLeast"/>
          <w:tblHeader/>
        </w:trPr>
        <w:tc>
          <w:tcPr>
            <w:tcW w:w="979" w:type="dxa"/>
            <w:vMerge w:val="continue"/>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8" w:lineRule="auto"/>
              <w:jc w:val="center"/>
              <w:textAlignment w:val="auto"/>
              <w:rPr>
                <w:rFonts w:hint="eastAsia" w:ascii="宋体" w:hAnsi="宋体" w:eastAsia="宋体" w:cs="宋体"/>
                <w:color w:val="000000" w:themeColor="text1"/>
                <w:sz w:val="24"/>
                <w:szCs w:val="24"/>
                <w:highlight w:val="none"/>
                <w14:textFill>
                  <w14:solidFill>
                    <w14:schemeClr w14:val="tx1"/>
                  </w14:solidFill>
                </w14:textFill>
              </w:rPr>
            </w:pPr>
          </w:p>
        </w:tc>
        <w:tc>
          <w:tcPr>
            <w:tcW w:w="1601" w:type="dxa"/>
            <w:vMerge w:val="continue"/>
            <w:tcBorders>
              <w:left w:val="single" w:color="auto" w:sz="4" w:space="0"/>
              <w:bottom w:val="single" w:color="000000" w:sz="8" w:space="0"/>
              <w:right w:val="single" w:color="000000" w:sz="8" w:space="0"/>
            </w:tcBorders>
            <w:vAlign w:val="center"/>
          </w:tcPr>
          <w:p>
            <w:pPr>
              <w:keepNext w:val="0"/>
              <w:keepLines w:val="0"/>
              <w:pageBreakBefore w:val="0"/>
              <w:kinsoku/>
              <w:wordWrap/>
              <w:overflowPunct/>
              <w:topLinePunct w:val="0"/>
              <w:autoSpaceDE/>
              <w:autoSpaceDN/>
              <w:bidi w:val="0"/>
              <w:adjustRightInd/>
              <w:snapToGrid/>
              <w:spacing w:line="288" w:lineRule="auto"/>
              <w:jc w:val="center"/>
              <w:textAlignment w:val="auto"/>
              <w:rPr>
                <w:rFonts w:hint="eastAsia" w:ascii="宋体" w:hAnsi="宋体" w:eastAsia="宋体" w:cs="宋体"/>
                <w:b/>
                <w:color w:val="000000" w:themeColor="text1"/>
                <w:sz w:val="24"/>
                <w:szCs w:val="24"/>
                <w:highlight w:val="none"/>
                <w14:textFill>
                  <w14:solidFill>
                    <w14:schemeClr w14:val="tx1"/>
                  </w14:solidFill>
                </w14:textFill>
              </w:rPr>
            </w:pPr>
          </w:p>
        </w:tc>
        <w:tc>
          <w:tcPr>
            <w:tcW w:w="6664" w:type="dxa"/>
            <w:tcBorders>
              <w:top w:val="single" w:color="auto" w:sz="4" w:space="0"/>
              <w:left w:val="single" w:color="000000" w:sz="2" w:space="0"/>
              <w:bottom w:val="single" w:color="000000" w:sz="8" w:space="0"/>
              <w:right w:val="single" w:color="000000" w:sz="8" w:space="0"/>
            </w:tcBorders>
            <w:vAlign w:val="center"/>
          </w:tcPr>
          <w:p>
            <w:pPr>
              <w:keepNext w:val="0"/>
              <w:keepLines w:val="0"/>
              <w:pageBreakBefore w:val="0"/>
              <w:kinsoku/>
              <w:wordWrap/>
              <w:overflowPunct/>
              <w:topLinePunct w:val="0"/>
              <w:autoSpaceDE/>
              <w:autoSpaceDN/>
              <w:bidi w:val="0"/>
              <w:adjustRightInd/>
              <w:snapToGrid/>
              <w:spacing w:line="288" w:lineRule="auto"/>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（2）资信证明文件：根据</w:t>
            </w:r>
            <w:r>
              <w:rPr>
                <w:rFonts w:hint="eastAsia" w:ascii="宋体" w:hAnsi="宋体" w:eastAsia="宋体" w:cs="宋体"/>
                <w:color w:val="000000" w:themeColor="text1"/>
                <w:sz w:val="24"/>
                <w:szCs w:val="24"/>
                <w:highlight w:val="none"/>
                <w:lang w:eastAsia="zh-CN"/>
                <w14:textFill>
                  <w14:solidFill>
                    <w14:schemeClr w14:val="tx1"/>
                  </w14:solidFill>
                </w14:textFill>
              </w:rPr>
              <w:t>投标文件</w:t>
            </w:r>
            <w:r>
              <w:rPr>
                <w:rFonts w:hint="eastAsia" w:ascii="宋体" w:hAnsi="宋体" w:eastAsia="宋体" w:cs="宋体"/>
                <w:color w:val="000000" w:themeColor="text1"/>
                <w:sz w:val="24"/>
                <w:szCs w:val="24"/>
                <w:highlight w:val="none"/>
                <w14:textFill>
                  <w14:solidFill>
                    <w14:schemeClr w14:val="tx1"/>
                  </w14:solidFill>
                </w14:textFill>
              </w:rPr>
              <w:t>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979" w:type="dxa"/>
            <w:tcBorders>
              <w:top w:val="single" w:color="auto" w:sz="4" w:space="0"/>
              <w:left w:val="single" w:color="000000" w:sz="8" w:space="0"/>
              <w:bottom w:val="single" w:color="auto" w:sz="4" w:space="0"/>
              <w:right w:val="single" w:color="000000" w:sz="2" w:space="0"/>
            </w:tcBorders>
            <w:vAlign w:val="center"/>
          </w:tcPr>
          <w:p>
            <w:pPr>
              <w:keepNext w:val="0"/>
              <w:keepLines w:val="0"/>
              <w:pageBreakBefore w:val="0"/>
              <w:kinsoku/>
              <w:wordWrap/>
              <w:overflowPunct/>
              <w:topLinePunct w:val="0"/>
              <w:autoSpaceDE/>
              <w:autoSpaceDN/>
              <w:bidi w:val="0"/>
              <w:adjustRightInd/>
              <w:snapToGrid/>
              <w:spacing w:line="288" w:lineRule="auto"/>
              <w:jc w:val="center"/>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9</w:t>
            </w:r>
          </w:p>
        </w:tc>
        <w:tc>
          <w:tcPr>
            <w:tcW w:w="1601"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kinsoku/>
              <w:wordWrap/>
              <w:overflowPunct/>
              <w:topLinePunct w:val="0"/>
              <w:autoSpaceDE/>
              <w:autoSpaceDN/>
              <w:bidi w:val="0"/>
              <w:adjustRightInd/>
              <w:snapToGrid/>
              <w:spacing w:line="288" w:lineRule="auto"/>
              <w:jc w:val="center"/>
              <w:textAlignment w:val="auto"/>
              <w:rPr>
                <w:rFonts w:hint="eastAsia"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b/>
                <w:color w:val="000000" w:themeColor="text1"/>
                <w:sz w:val="24"/>
                <w:szCs w:val="24"/>
                <w:highlight w:val="none"/>
                <w14:textFill>
                  <w14:solidFill>
                    <w14:schemeClr w14:val="tx1"/>
                  </w14:solidFill>
                </w14:textFill>
              </w:rPr>
              <w:t>节能产品、环境标志产品</w:t>
            </w:r>
          </w:p>
        </w:tc>
        <w:tc>
          <w:tcPr>
            <w:tcW w:w="6664"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kinsoku/>
              <w:wordWrap/>
              <w:overflowPunct/>
              <w:topLinePunct w:val="0"/>
              <w:autoSpaceDE/>
              <w:autoSpaceDN/>
              <w:bidi w:val="0"/>
              <w:adjustRightInd/>
              <w:snapToGrid/>
              <w:spacing w:line="288" w:lineRule="auto"/>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979" w:type="dxa"/>
            <w:tcBorders>
              <w:top w:val="single" w:color="auto" w:sz="4" w:space="0"/>
              <w:left w:val="single" w:color="000000" w:sz="8" w:space="0"/>
              <w:bottom w:val="single" w:color="auto" w:sz="4" w:space="0"/>
              <w:right w:val="single" w:color="000000" w:sz="2" w:space="0"/>
            </w:tcBorders>
            <w:vAlign w:val="center"/>
          </w:tcPr>
          <w:p>
            <w:pPr>
              <w:keepNext w:val="0"/>
              <w:keepLines w:val="0"/>
              <w:pageBreakBefore w:val="0"/>
              <w:kinsoku/>
              <w:wordWrap/>
              <w:overflowPunct/>
              <w:topLinePunct w:val="0"/>
              <w:autoSpaceDE/>
              <w:autoSpaceDN/>
              <w:bidi w:val="0"/>
              <w:adjustRightInd/>
              <w:snapToGrid/>
              <w:spacing w:line="288" w:lineRule="auto"/>
              <w:jc w:val="center"/>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10</w:t>
            </w:r>
          </w:p>
        </w:tc>
        <w:tc>
          <w:tcPr>
            <w:tcW w:w="1601"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kinsoku/>
              <w:wordWrap/>
              <w:overflowPunct/>
              <w:topLinePunct w:val="0"/>
              <w:autoSpaceDE/>
              <w:autoSpaceDN/>
              <w:bidi w:val="0"/>
              <w:adjustRightInd/>
              <w:snapToGrid/>
              <w:spacing w:line="288" w:lineRule="auto"/>
              <w:jc w:val="center"/>
              <w:textAlignment w:val="auto"/>
              <w:rPr>
                <w:rFonts w:hint="eastAsia"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b/>
                <w:color w:val="000000" w:themeColor="text1"/>
                <w:sz w:val="24"/>
                <w:szCs w:val="24"/>
                <w:highlight w:val="none"/>
                <w14:textFill>
                  <w14:solidFill>
                    <w14:schemeClr w14:val="tx1"/>
                  </w14:solidFill>
                </w14:textFill>
              </w:rPr>
              <w:t>报价要求</w:t>
            </w:r>
          </w:p>
        </w:tc>
        <w:tc>
          <w:tcPr>
            <w:tcW w:w="6664"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kinsoku/>
              <w:wordWrap/>
              <w:overflowPunct/>
              <w:topLinePunct w:val="0"/>
              <w:autoSpaceDE/>
              <w:autoSpaceDN/>
              <w:bidi w:val="0"/>
              <w:adjustRightInd/>
              <w:snapToGrid/>
              <w:spacing w:line="288" w:lineRule="auto"/>
              <w:textAlignment w:val="auto"/>
              <w:rPr>
                <w:rFonts w:hint="eastAsia"/>
                <w:b/>
                <w:bCs/>
                <w:color w:val="000000" w:themeColor="text1"/>
                <w:sz w:val="24"/>
                <w:szCs w:val="24"/>
                <w:highlight w:val="none"/>
                <w:lang w:val="en-US" w:eastAsia="zh-CN"/>
                <w14:textFill>
                  <w14:solidFill>
                    <w14:schemeClr w14:val="tx1"/>
                  </w14:solidFill>
                </w14:textFill>
              </w:rPr>
            </w:pPr>
            <w:r>
              <w:rPr>
                <w:rFonts w:hint="eastAsia"/>
                <w:b/>
                <w:bCs/>
                <w:color w:val="000000" w:themeColor="text1"/>
                <w:sz w:val="24"/>
                <w:szCs w:val="24"/>
                <w:highlight w:val="none"/>
                <w:lang w:val="en-US" w:eastAsia="zh-CN"/>
                <w14:textFill>
                  <w14:solidFill>
                    <w14:schemeClr w14:val="tx1"/>
                  </w14:solidFill>
                </w14:textFill>
              </w:rPr>
              <w:t>预算及最高限价金额（元）：118866782.68元/3年；</w:t>
            </w:r>
          </w:p>
          <w:p>
            <w:pPr>
              <w:keepNext w:val="0"/>
              <w:keepLines w:val="0"/>
              <w:pageBreakBefore w:val="0"/>
              <w:kinsoku/>
              <w:wordWrap/>
              <w:overflowPunct/>
              <w:topLinePunct w:val="0"/>
              <w:autoSpaceDE/>
              <w:autoSpaceDN/>
              <w:bidi w:val="0"/>
              <w:adjustRightInd/>
              <w:snapToGrid/>
              <w:spacing w:line="288" w:lineRule="auto"/>
              <w:textAlignment w:val="auto"/>
              <w:rPr>
                <w:rFonts w:hint="eastAsia"/>
                <w:b/>
                <w:bCs/>
                <w:color w:val="000000" w:themeColor="text1"/>
                <w:sz w:val="24"/>
                <w:szCs w:val="24"/>
                <w:highlight w:val="none"/>
                <w:lang w:val="en-US" w:eastAsia="zh-CN"/>
                <w14:textFill>
                  <w14:solidFill>
                    <w14:schemeClr w14:val="tx1"/>
                  </w14:solidFill>
                </w14:textFill>
              </w:rPr>
            </w:pPr>
            <w:r>
              <w:rPr>
                <w:rFonts w:hint="eastAsia"/>
                <w:b/>
                <w:bCs/>
                <w:color w:val="000000" w:themeColor="text1"/>
                <w:sz w:val="24"/>
                <w:szCs w:val="24"/>
                <w:highlight w:val="none"/>
                <w:lang w:val="en-US" w:eastAsia="zh-CN"/>
                <w14:textFill>
                  <w14:solidFill>
                    <w14:schemeClr w14:val="tx1"/>
                  </w14:solidFill>
                </w14:textFill>
              </w:rPr>
              <w:t>标项一：54759721.35元/3年（其中市政道路养护19612220.46元/3年；环卫保洁35147500.89元/3年）；</w:t>
            </w:r>
          </w:p>
          <w:p>
            <w:pPr>
              <w:keepNext w:val="0"/>
              <w:keepLines w:val="0"/>
              <w:pageBreakBefore w:val="0"/>
              <w:kinsoku/>
              <w:wordWrap/>
              <w:overflowPunct/>
              <w:topLinePunct w:val="0"/>
              <w:autoSpaceDE/>
              <w:autoSpaceDN/>
              <w:bidi w:val="0"/>
              <w:adjustRightInd/>
              <w:snapToGrid/>
              <w:spacing w:line="288" w:lineRule="auto"/>
              <w:textAlignment w:val="auto"/>
              <w:rPr>
                <w:rFonts w:hint="default"/>
                <w:b/>
                <w:bCs/>
                <w:color w:val="000000" w:themeColor="text1"/>
                <w:sz w:val="24"/>
                <w:szCs w:val="24"/>
                <w:highlight w:val="none"/>
                <w:lang w:val="en-US" w:eastAsia="zh-CN"/>
                <w14:textFill>
                  <w14:solidFill>
                    <w14:schemeClr w14:val="tx1"/>
                  </w14:solidFill>
                </w14:textFill>
              </w:rPr>
            </w:pPr>
            <w:r>
              <w:rPr>
                <w:rFonts w:hint="eastAsia"/>
                <w:b/>
                <w:bCs/>
                <w:color w:val="000000" w:themeColor="text1"/>
                <w:sz w:val="24"/>
                <w:szCs w:val="24"/>
                <w:highlight w:val="none"/>
                <w:lang w:val="en-US" w:eastAsia="zh-CN"/>
                <w14:textFill>
                  <w14:solidFill>
                    <w14:schemeClr w14:val="tx1"/>
                  </w14:solidFill>
                </w14:textFill>
              </w:rPr>
              <w:t>标项二：64107061.33元/3年（其中市政道路养护13772363.38元/3年；环卫保洁50334697.95元/3年）</w:t>
            </w:r>
          </w:p>
          <w:p>
            <w:pPr>
              <w:keepNext w:val="0"/>
              <w:keepLines w:val="0"/>
              <w:pageBreakBefore w:val="0"/>
              <w:kinsoku/>
              <w:wordWrap/>
              <w:overflowPunct/>
              <w:topLinePunct w:val="0"/>
              <w:autoSpaceDE/>
              <w:autoSpaceDN/>
              <w:bidi w:val="0"/>
              <w:adjustRightInd/>
              <w:snapToGrid/>
              <w:spacing w:line="288" w:lineRule="auto"/>
              <w:textAlignment w:val="auto"/>
              <w:rPr>
                <w:rFonts w:hint="eastAsia" w:ascii="宋体" w:hAnsi="宋体" w:eastAsia="宋体" w:cs="宋体"/>
                <w:color w:val="000000" w:themeColor="text1"/>
                <w:sz w:val="24"/>
                <w:szCs w:val="24"/>
                <w:highlight w:val="none"/>
                <w:lang w:val="zh-CN"/>
                <w14:textFill>
                  <w14:solidFill>
                    <w14:schemeClr w14:val="tx1"/>
                  </w14:solidFill>
                </w14:textFill>
              </w:rPr>
            </w:pPr>
            <w:r>
              <w:rPr>
                <w:rFonts w:hint="eastAsia"/>
                <w:color w:val="000000" w:themeColor="text1"/>
                <w:sz w:val="24"/>
                <w:szCs w:val="24"/>
                <w:highlight w:val="none"/>
                <w:lang w:val="en-US" w:eastAsia="zh-CN"/>
                <w14:textFill>
                  <w14:solidFill>
                    <w14:schemeClr w14:val="tx1"/>
                  </w14:solidFill>
                </w14:textFill>
              </w:rPr>
              <w:t>1</w:t>
            </w:r>
            <w:r>
              <w:rPr>
                <w:rFonts w:hint="eastAsia" w:ascii="宋体" w:hAnsi="宋体" w:eastAsia="宋体" w:cs="宋体"/>
                <w:color w:val="000000" w:themeColor="text1"/>
                <w:sz w:val="24"/>
                <w:szCs w:val="24"/>
                <w:highlight w:val="none"/>
                <w:lang w:val="en-US" w:eastAsia="zh-CN"/>
                <w14:textFill>
                  <w14:solidFill>
                    <w14:schemeClr w14:val="tx1"/>
                  </w14:solidFill>
                </w14:textFill>
              </w:rPr>
              <w:t>、</w:t>
            </w:r>
            <w:r>
              <w:rPr>
                <w:rFonts w:hint="eastAsia" w:ascii="宋体" w:hAnsi="宋体" w:eastAsia="宋体" w:cs="宋体"/>
                <w:color w:val="000000" w:themeColor="text1"/>
                <w:sz w:val="24"/>
                <w:szCs w:val="24"/>
                <w:highlight w:val="none"/>
                <w:lang w:val="zh-CN" w:eastAsia="zh-CN"/>
                <w14:textFill>
                  <w14:solidFill>
                    <w14:schemeClr w14:val="tx1"/>
                  </w14:solidFill>
                </w14:textFill>
              </w:rPr>
              <w:t>本项目采用投标总价报价，</w:t>
            </w:r>
            <w:r>
              <w:rPr>
                <w:rFonts w:hint="eastAsia" w:ascii="宋体" w:hAnsi="宋体" w:eastAsia="宋体" w:cs="宋体"/>
                <w:color w:val="000000" w:themeColor="text1"/>
                <w:sz w:val="24"/>
                <w:szCs w:val="24"/>
                <w:highlight w:val="none"/>
                <w:lang w:val="zh-CN"/>
                <w14:textFill>
                  <w14:solidFill>
                    <w14:schemeClr w14:val="tx1"/>
                  </w14:solidFill>
                </w14:textFill>
              </w:rPr>
              <w:t>报价应包括为完成本项目服务可能发生的全部费用及供应商的利润和应交纳的税金等（包括人员工资、各种社会保险、人员食宿与交通、设施设备、车辆、工具、办公费等）。供应商对合同内容的费用、质量、安全、文明服务等实行全面承包。本项目相关的一切税费（包括管理人员工资福利、保险、服装、税金等）均由中标供应商承担。如供应商未按规定交纳的，所发生的一切纠纷和费用由供应商自行承担，与采购人无关。▲本项目投入的管理人员数量不得低于招标需求中的基本人员要求。</w:t>
            </w:r>
          </w:p>
          <w:p>
            <w:pPr>
              <w:keepNext w:val="0"/>
              <w:keepLines w:val="0"/>
              <w:pageBreakBefore w:val="0"/>
              <w:kinsoku/>
              <w:wordWrap/>
              <w:overflowPunct/>
              <w:topLinePunct w:val="0"/>
              <w:autoSpaceDE/>
              <w:autoSpaceDN/>
              <w:bidi w:val="0"/>
              <w:adjustRightInd/>
              <w:snapToGrid/>
              <w:spacing w:line="288" w:lineRule="auto"/>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w:t>
            </w:r>
            <w:r>
              <w:rPr>
                <w:rFonts w:hint="eastAsia" w:ascii="宋体" w:hAnsi="宋体" w:eastAsia="宋体" w:cs="宋体"/>
                <w:color w:val="000000" w:themeColor="text1"/>
                <w:sz w:val="24"/>
                <w:szCs w:val="24"/>
                <w:highlight w:val="none"/>
                <w:lang w:val="zh-CN"/>
                <w14:textFill>
                  <w14:solidFill>
                    <w14:schemeClr w14:val="tx1"/>
                  </w14:solidFill>
                </w14:textFill>
              </w:rPr>
              <w:t>《投标（开标）一览表》是报价的唯一载体。投标文件中价格全部采用人民币报价。采购文件未列明，而供应商认为必需的费用也需列入报价。</w:t>
            </w:r>
          </w:p>
          <w:p>
            <w:pPr>
              <w:keepNext w:val="0"/>
              <w:keepLines w:val="0"/>
              <w:pageBreakBefore w:val="0"/>
              <w:kinsoku/>
              <w:wordWrap/>
              <w:overflowPunct/>
              <w:topLinePunct w:val="0"/>
              <w:autoSpaceDE/>
              <w:autoSpaceDN/>
              <w:bidi w:val="0"/>
              <w:adjustRightInd/>
              <w:snapToGrid/>
              <w:spacing w:line="288" w:lineRule="auto"/>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3、本项目采购代理服务费由中标人向采购代理机构支付，相关成本支出由供应商自行考虑。</w:t>
            </w:r>
          </w:p>
          <w:p>
            <w:pPr>
              <w:keepNext w:val="0"/>
              <w:keepLines w:val="0"/>
              <w:pageBreakBefore w:val="0"/>
              <w:kinsoku/>
              <w:wordWrap/>
              <w:overflowPunct/>
              <w:topLinePunct w:val="0"/>
              <w:autoSpaceDE/>
              <w:autoSpaceDN/>
              <w:bidi w:val="0"/>
              <w:adjustRightInd/>
              <w:snapToGrid/>
              <w:spacing w:line="288" w:lineRule="auto"/>
              <w:textAlignment w:val="auto"/>
              <w:rPr>
                <w:rFonts w:hint="eastAsia" w:ascii="宋体" w:hAnsi="宋体" w:eastAsia="宋体" w:cs="宋体"/>
                <w:snapToGrid w:val="0"/>
                <w:color w:val="000000" w:themeColor="text1"/>
                <w:kern w:val="28"/>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4</w:t>
            </w:r>
            <w:r>
              <w:rPr>
                <w:rFonts w:hint="eastAsia" w:ascii="宋体" w:hAnsi="宋体" w:eastAsia="宋体" w:cs="宋体"/>
                <w:snapToGrid w:val="0"/>
                <w:color w:val="000000" w:themeColor="text1"/>
                <w:kern w:val="28"/>
                <w:sz w:val="24"/>
                <w:szCs w:val="24"/>
                <w:highlight w:val="none"/>
                <w14:textFill>
                  <w14:solidFill>
                    <w14:schemeClr w14:val="tx1"/>
                  </w14:solidFill>
                </w14:textFill>
              </w:rPr>
              <w:t>、其它需在报价中考虑的因素：</w:t>
            </w:r>
          </w:p>
          <w:p>
            <w:pPr>
              <w:keepNext w:val="0"/>
              <w:keepLines w:val="0"/>
              <w:pageBreakBefore w:val="0"/>
              <w:kinsoku/>
              <w:wordWrap/>
              <w:overflowPunct/>
              <w:topLinePunct w:val="0"/>
              <w:autoSpaceDE/>
              <w:autoSpaceDN/>
              <w:bidi w:val="0"/>
              <w:adjustRightInd/>
              <w:snapToGrid/>
              <w:spacing w:line="288" w:lineRule="auto"/>
              <w:textAlignment w:val="auto"/>
              <w:rPr>
                <w:rFonts w:hint="eastAsia" w:ascii="宋体" w:hAnsi="宋体" w:eastAsia="宋体" w:cs="宋体"/>
                <w:snapToGrid w:val="0"/>
                <w:color w:val="000000" w:themeColor="text1"/>
                <w:kern w:val="28"/>
                <w:sz w:val="24"/>
                <w:szCs w:val="24"/>
                <w:highlight w:val="none"/>
                <w14:textFill>
                  <w14:solidFill>
                    <w14:schemeClr w14:val="tx1"/>
                  </w14:solidFill>
                </w14:textFill>
              </w:rPr>
            </w:pPr>
            <w:r>
              <w:rPr>
                <w:rFonts w:hint="eastAsia" w:ascii="宋体" w:hAnsi="宋体" w:eastAsia="宋体" w:cs="宋体"/>
                <w:snapToGrid w:val="0"/>
                <w:color w:val="000000" w:themeColor="text1"/>
                <w:kern w:val="28"/>
                <w:sz w:val="24"/>
                <w:szCs w:val="24"/>
                <w:highlight w:val="none"/>
                <w14:textFill>
                  <w14:solidFill>
                    <w14:schemeClr w14:val="tx1"/>
                  </w14:solidFill>
                </w14:textFill>
              </w:rPr>
              <w:t>4.1用户需求中明确的需供应商承担的费用均应含在投标总价中；</w:t>
            </w:r>
          </w:p>
          <w:p>
            <w:pPr>
              <w:keepNext w:val="0"/>
              <w:keepLines w:val="0"/>
              <w:pageBreakBefore w:val="0"/>
              <w:kinsoku/>
              <w:wordWrap/>
              <w:overflowPunct/>
              <w:topLinePunct w:val="0"/>
              <w:autoSpaceDE/>
              <w:autoSpaceDN/>
              <w:bidi w:val="0"/>
              <w:adjustRightInd/>
              <w:snapToGrid/>
              <w:spacing w:line="288" w:lineRule="auto"/>
              <w:textAlignment w:val="auto"/>
              <w:rPr>
                <w:rFonts w:hint="eastAsia" w:ascii="宋体" w:hAnsi="宋体" w:eastAsia="宋体" w:cs="宋体"/>
                <w:snapToGrid w:val="0"/>
                <w:color w:val="000000" w:themeColor="text1"/>
                <w:kern w:val="28"/>
                <w:sz w:val="24"/>
                <w:szCs w:val="24"/>
                <w:highlight w:val="none"/>
                <w14:textFill>
                  <w14:solidFill>
                    <w14:schemeClr w14:val="tx1"/>
                  </w14:solidFill>
                </w14:textFill>
              </w:rPr>
            </w:pPr>
            <w:r>
              <w:rPr>
                <w:rFonts w:hint="eastAsia" w:ascii="宋体" w:hAnsi="宋体" w:eastAsia="宋体" w:cs="宋体"/>
                <w:snapToGrid w:val="0"/>
                <w:color w:val="000000" w:themeColor="text1"/>
                <w:kern w:val="28"/>
                <w:sz w:val="24"/>
                <w:szCs w:val="24"/>
                <w:highlight w:val="none"/>
                <w14:textFill>
                  <w14:solidFill>
                    <w14:schemeClr w14:val="tx1"/>
                  </w14:solidFill>
                </w14:textFill>
              </w:rPr>
              <w:t>4.2采购文件未明示但供应商认为可能产生的潜在费用支出均需自行考虑并计入投标总价中；</w:t>
            </w:r>
          </w:p>
          <w:p>
            <w:pPr>
              <w:keepNext w:val="0"/>
              <w:keepLines w:val="0"/>
              <w:pageBreakBefore w:val="0"/>
              <w:kinsoku/>
              <w:wordWrap/>
              <w:overflowPunct/>
              <w:topLinePunct w:val="0"/>
              <w:autoSpaceDE/>
              <w:autoSpaceDN/>
              <w:bidi w:val="0"/>
              <w:adjustRightInd/>
              <w:snapToGrid/>
              <w:spacing w:line="288" w:lineRule="auto"/>
              <w:textAlignment w:val="auto"/>
              <w:rPr>
                <w:rFonts w:hint="eastAsia"/>
                <w:color w:val="000000" w:themeColor="text1"/>
                <w:sz w:val="24"/>
                <w:szCs w:val="24"/>
                <w:highlight w:val="none"/>
                <w14:textFill>
                  <w14:solidFill>
                    <w14:schemeClr w14:val="tx1"/>
                  </w14:solidFill>
                </w14:textFill>
              </w:rPr>
            </w:pPr>
            <w:r>
              <w:rPr>
                <w:rFonts w:hint="eastAsia" w:ascii="宋体" w:hAnsi="宋体" w:eastAsia="宋体" w:cs="宋体"/>
                <w:snapToGrid w:val="0"/>
                <w:color w:val="000000" w:themeColor="text1"/>
                <w:kern w:val="28"/>
                <w:sz w:val="24"/>
                <w:szCs w:val="24"/>
                <w:highlight w:val="none"/>
                <w14:textFill>
                  <w14:solidFill>
                    <w14:schemeClr w14:val="tx1"/>
                  </w14:solidFill>
                </w14:textFill>
              </w:rPr>
              <w:t>4.3对于没有填报的项目，采购人将不再支付，并均认为已包</w:t>
            </w:r>
            <w:r>
              <w:rPr>
                <w:rFonts w:hint="eastAsia" w:ascii="宋体" w:hAnsi="宋体" w:eastAsia="宋体" w:cs="宋体"/>
                <w:color w:val="000000" w:themeColor="text1"/>
                <w:sz w:val="24"/>
                <w:szCs w:val="24"/>
                <w:highlight w:val="none"/>
                <w14:textFill>
                  <w14:solidFill>
                    <w14:schemeClr w14:val="tx1"/>
                  </w14:solidFill>
                </w14:textFill>
              </w:rPr>
              <w:t>含</w:t>
            </w:r>
            <w:r>
              <w:rPr>
                <w:rFonts w:hint="eastAsia" w:ascii="宋体" w:hAnsi="宋体" w:eastAsia="宋体" w:cs="宋体"/>
                <w:snapToGrid w:val="0"/>
                <w:color w:val="000000" w:themeColor="text1"/>
                <w:kern w:val="28"/>
                <w:sz w:val="24"/>
                <w:szCs w:val="24"/>
                <w:highlight w:val="none"/>
                <w14:textFill>
                  <w14:solidFill>
                    <w14:schemeClr w14:val="tx1"/>
                  </w14:solidFill>
                </w14:textFill>
              </w:rPr>
              <w:t>在报价内。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979" w:type="dxa"/>
            <w:tcBorders>
              <w:top w:val="single" w:color="auto" w:sz="4" w:space="0"/>
              <w:left w:val="single" w:color="000000" w:sz="8" w:space="0"/>
              <w:bottom w:val="single" w:color="auto" w:sz="4" w:space="0"/>
              <w:right w:val="single" w:color="000000" w:sz="2" w:space="0"/>
            </w:tcBorders>
            <w:vAlign w:val="center"/>
          </w:tcPr>
          <w:p>
            <w:pPr>
              <w:keepNext w:val="0"/>
              <w:keepLines w:val="0"/>
              <w:pageBreakBefore w:val="0"/>
              <w:kinsoku/>
              <w:wordWrap/>
              <w:overflowPunct/>
              <w:topLinePunct w:val="0"/>
              <w:autoSpaceDE/>
              <w:autoSpaceDN/>
              <w:bidi w:val="0"/>
              <w:adjustRightInd/>
              <w:snapToGrid/>
              <w:spacing w:line="288" w:lineRule="auto"/>
              <w:jc w:val="center"/>
              <w:textAlignment w:val="auto"/>
              <w:rPr>
                <w:rFonts w:hint="default"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10</w:t>
            </w:r>
          </w:p>
        </w:tc>
        <w:tc>
          <w:tcPr>
            <w:tcW w:w="1601"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kinsoku/>
              <w:wordWrap/>
              <w:overflowPunct/>
              <w:topLinePunct w:val="0"/>
              <w:autoSpaceDE/>
              <w:autoSpaceDN/>
              <w:bidi w:val="0"/>
              <w:adjustRightInd/>
              <w:snapToGrid/>
              <w:spacing w:line="288" w:lineRule="auto"/>
              <w:jc w:val="center"/>
              <w:textAlignment w:val="auto"/>
              <w:rPr>
                <w:rFonts w:hint="default" w:ascii="宋体" w:hAnsi="宋体" w:eastAsia="宋体" w:cs="宋体"/>
                <w:b/>
                <w:color w:val="000000" w:themeColor="text1"/>
                <w:sz w:val="24"/>
                <w:szCs w:val="24"/>
                <w:highlight w:val="none"/>
                <w:lang w:val="en-US" w:eastAsia="zh-CN"/>
                <w14:textFill>
                  <w14:solidFill>
                    <w14:schemeClr w14:val="tx1"/>
                  </w14:solidFill>
                </w14:textFill>
              </w:rPr>
            </w:pPr>
            <w:r>
              <w:rPr>
                <w:rFonts w:hint="eastAsia" w:ascii="宋体" w:hAnsi="宋体" w:cs="宋体"/>
                <w:b/>
                <w:color w:val="000000" w:themeColor="text1"/>
                <w:sz w:val="24"/>
                <w:szCs w:val="24"/>
                <w:highlight w:val="none"/>
                <w:lang w:val="en-US" w:eastAsia="zh-CN"/>
                <w14:textFill>
                  <w14:solidFill>
                    <w14:schemeClr w14:val="tx1"/>
                  </w14:solidFill>
                </w14:textFill>
              </w:rPr>
              <w:t>报价要求</w:t>
            </w:r>
          </w:p>
        </w:tc>
        <w:tc>
          <w:tcPr>
            <w:tcW w:w="6664"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kinsoku/>
              <w:wordWrap/>
              <w:overflowPunct/>
              <w:topLinePunct w:val="0"/>
              <w:autoSpaceDE/>
              <w:autoSpaceDN/>
              <w:bidi w:val="0"/>
              <w:adjustRightInd/>
              <w:snapToGrid/>
              <w:spacing w:line="288" w:lineRule="auto"/>
              <w:textAlignment w:val="auto"/>
              <w:rPr>
                <w:rFonts w:hint="eastAsia" w:ascii="宋体" w:hAnsi="宋体" w:eastAsia="宋体" w:cs="宋体"/>
                <w:snapToGrid w:val="0"/>
                <w:color w:val="000000" w:themeColor="text1"/>
                <w:kern w:val="28"/>
                <w:sz w:val="24"/>
                <w:szCs w:val="24"/>
                <w:highlight w:val="none"/>
                <w:lang w:val="zh-CN"/>
                <w14:textFill>
                  <w14:solidFill>
                    <w14:schemeClr w14:val="tx1"/>
                  </w14:solidFill>
                </w14:textFill>
              </w:rPr>
            </w:pPr>
            <w:r>
              <w:rPr>
                <w:rFonts w:hint="eastAsia" w:ascii="宋体" w:hAnsi="宋体" w:eastAsia="宋体" w:cs="宋体"/>
                <w:snapToGrid w:val="0"/>
                <w:color w:val="000000" w:themeColor="text1"/>
                <w:kern w:val="28"/>
                <w:sz w:val="24"/>
                <w:szCs w:val="24"/>
                <w:highlight w:val="none"/>
                <w14:textFill>
                  <w14:solidFill>
                    <w14:schemeClr w14:val="tx1"/>
                  </w14:solidFill>
                </w14:textFill>
              </w:rPr>
              <w:t>5、</w:t>
            </w:r>
            <w:r>
              <w:rPr>
                <w:rFonts w:hint="eastAsia" w:ascii="宋体" w:hAnsi="宋体" w:eastAsia="宋体" w:cs="宋体"/>
                <w:snapToGrid w:val="0"/>
                <w:color w:val="000000" w:themeColor="text1"/>
                <w:kern w:val="28"/>
                <w:sz w:val="24"/>
                <w:szCs w:val="24"/>
                <w:highlight w:val="none"/>
                <w:lang w:val="zh-CN"/>
                <w14:textFill>
                  <w14:solidFill>
                    <w14:schemeClr w14:val="tx1"/>
                  </w14:solidFill>
                </w14:textFill>
              </w:rPr>
              <w:t>投标报价出现下列情形的，投标无效：</w:t>
            </w:r>
          </w:p>
          <w:p>
            <w:pPr>
              <w:keepNext w:val="0"/>
              <w:keepLines w:val="0"/>
              <w:pageBreakBefore w:val="0"/>
              <w:kinsoku/>
              <w:wordWrap/>
              <w:overflowPunct/>
              <w:topLinePunct w:val="0"/>
              <w:autoSpaceDE/>
              <w:autoSpaceDN/>
              <w:bidi w:val="0"/>
              <w:adjustRightInd/>
              <w:snapToGrid/>
              <w:spacing w:line="288" w:lineRule="auto"/>
              <w:textAlignment w:val="auto"/>
              <w:rPr>
                <w:rFonts w:hint="eastAsia" w:ascii="宋体" w:hAnsi="宋体" w:eastAsia="宋体" w:cs="宋体"/>
                <w:snapToGrid w:val="0"/>
                <w:color w:val="000000" w:themeColor="text1"/>
                <w:kern w:val="28"/>
                <w:sz w:val="24"/>
                <w:szCs w:val="24"/>
                <w:highlight w:val="none"/>
                <w:lang w:val="zh-CN"/>
                <w14:textFill>
                  <w14:solidFill>
                    <w14:schemeClr w14:val="tx1"/>
                  </w14:solidFill>
                </w14:textFill>
              </w:rPr>
            </w:pPr>
            <w:r>
              <w:rPr>
                <w:rFonts w:hint="eastAsia" w:ascii="宋体" w:hAnsi="宋体" w:eastAsia="宋体" w:cs="宋体"/>
                <w:snapToGrid w:val="0"/>
                <w:color w:val="000000" w:themeColor="text1"/>
                <w:kern w:val="28"/>
                <w:sz w:val="24"/>
                <w:szCs w:val="24"/>
                <w:highlight w:val="none"/>
                <w:lang w:val="zh-CN"/>
                <w14:textFill>
                  <w14:solidFill>
                    <w14:schemeClr w14:val="tx1"/>
                  </w14:solidFill>
                </w14:textFill>
              </w:rPr>
              <w:t>▲投标文件出现不是唯一的、有选择性投标报价的；</w:t>
            </w:r>
          </w:p>
          <w:p>
            <w:pPr>
              <w:keepNext w:val="0"/>
              <w:keepLines w:val="0"/>
              <w:pageBreakBefore w:val="0"/>
              <w:kinsoku/>
              <w:wordWrap/>
              <w:overflowPunct/>
              <w:topLinePunct w:val="0"/>
              <w:autoSpaceDE/>
              <w:autoSpaceDN/>
              <w:bidi w:val="0"/>
              <w:adjustRightInd/>
              <w:snapToGrid/>
              <w:spacing w:line="288" w:lineRule="auto"/>
              <w:textAlignment w:val="auto"/>
              <w:rPr>
                <w:rFonts w:hint="eastAsia" w:ascii="宋体" w:hAnsi="宋体" w:eastAsia="宋体" w:cs="宋体"/>
                <w:snapToGrid w:val="0"/>
                <w:color w:val="000000" w:themeColor="text1"/>
                <w:kern w:val="28"/>
                <w:sz w:val="24"/>
                <w:szCs w:val="24"/>
                <w:highlight w:val="none"/>
                <w:lang w:val="zh-CN"/>
                <w14:textFill>
                  <w14:solidFill>
                    <w14:schemeClr w14:val="tx1"/>
                  </w14:solidFill>
                </w14:textFill>
              </w:rPr>
            </w:pPr>
            <w:r>
              <w:rPr>
                <w:rFonts w:hint="eastAsia" w:ascii="宋体" w:hAnsi="宋体" w:eastAsia="宋体" w:cs="宋体"/>
                <w:snapToGrid w:val="0"/>
                <w:color w:val="000000" w:themeColor="text1"/>
                <w:kern w:val="28"/>
                <w:sz w:val="24"/>
                <w:szCs w:val="24"/>
                <w:highlight w:val="none"/>
                <w:lang w:val="zh-CN"/>
                <w14:textFill>
                  <w14:solidFill>
                    <w14:schemeClr w14:val="tx1"/>
                  </w14:solidFill>
                </w14:textFill>
              </w:rPr>
              <w:t>▲投标报价高于最高限价或人员工资低于低于杭州市现行最低工资标准的；</w:t>
            </w:r>
          </w:p>
          <w:p>
            <w:pPr>
              <w:keepNext w:val="0"/>
              <w:keepLines w:val="0"/>
              <w:pageBreakBefore w:val="0"/>
              <w:kinsoku/>
              <w:wordWrap/>
              <w:overflowPunct/>
              <w:topLinePunct w:val="0"/>
              <w:autoSpaceDE/>
              <w:autoSpaceDN/>
              <w:bidi w:val="0"/>
              <w:adjustRightInd/>
              <w:snapToGrid/>
              <w:spacing w:line="288" w:lineRule="auto"/>
              <w:textAlignment w:val="auto"/>
              <w:rPr>
                <w:rFonts w:hint="eastAsia" w:ascii="宋体" w:hAnsi="宋体" w:eastAsia="宋体" w:cs="宋体"/>
                <w:snapToGrid w:val="0"/>
                <w:color w:val="000000" w:themeColor="text1"/>
                <w:kern w:val="28"/>
                <w:sz w:val="24"/>
                <w:szCs w:val="24"/>
                <w:highlight w:val="none"/>
                <w:lang w:val="zh-CN"/>
                <w14:textFill>
                  <w14:solidFill>
                    <w14:schemeClr w14:val="tx1"/>
                  </w14:solidFill>
                </w14:textFill>
              </w:rPr>
            </w:pPr>
            <w:r>
              <w:rPr>
                <w:rFonts w:hint="eastAsia" w:ascii="宋体" w:hAnsi="宋体" w:eastAsia="宋体" w:cs="宋体"/>
                <w:snapToGrid w:val="0"/>
                <w:color w:val="000000" w:themeColor="text1"/>
                <w:kern w:val="28"/>
                <w:sz w:val="24"/>
                <w:szCs w:val="24"/>
                <w:highlight w:val="none"/>
                <w:lang w:val="zh-CN"/>
                <w14:textFill>
                  <w14:solidFill>
                    <w14:schemeClr w14:val="tx1"/>
                  </w14:solidFill>
                </w14:textFill>
              </w:rPr>
              <w:t>▲报价明显低于其他通过符合性审查供应商的报价，有可能影响产品质量或者不能诚信履约的，未能按要求提供书面说明或者提交相关证明材料，不能证明其报价合理性的；</w:t>
            </w:r>
          </w:p>
          <w:p>
            <w:pPr>
              <w:keepNext w:val="0"/>
              <w:keepLines w:val="0"/>
              <w:pageBreakBefore w:val="0"/>
              <w:kinsoku/>
              <w:wordWrap/>
              <w:overflowPunct/>
              <w:topLinePunct w:val="0"/>
              <w:autoSpaceDE/>
              <w:autoSpaceDN/>
              <w:bidi w:val="0"/>
              <w:adjustRightInd/>
              <w:snapToGrid/>
              <w:spacing w:line="288" w:lineRule="auto"/>
              <w:textAlignment w:val="auto"/>
              <w:rPr>
                <w:rFonts w:hint="eastAsia" w:ascii="宋体" w:hAnsi="宋体" w:eastAsia="宋体" w:cs="宋体"/>
                <w:snapToGrid w:val="0"/>
                <w:color w:val="000000" w:themeColor="text1"/>
                <w:kern w:val="28"/>
                <w:sz w:val="24"/>
                <w:szCs w:val="24"/>
                <w:highlight w:val="none"/>
                <w:lang w:val="zh-CN"/>
                <w14:textFill>
                  <w14:solidFill>
                    <w14:schemeClr w14:val="tx1"/>
                  </w14:solidFill>
                </w14:textFill>
              </w:rPr>
            </w:pPr>
            <w:r>
              <w:rPr>
                <w:rFonts w:hint="eastAsia" w:ascii="宋体" w:hAnsi="宋体" w:eastAsia="宋体" w:cs="宋体"/>
                <w:snapToGrid w:val="0"/>
                <w:color w:val="000000" w:themeColor="text1"/>
                <w:kern w:val="28"/>
                <w:sz w:val="24"/>
                <w:szCs w:val="24"/>
                <w:highlight w:val="none"/>
                <w:lang w:val="zh-CN"/>
                <w14:textFill>
                  <w14:solidFill>
                    <w14:schemeClr w14:val="tx1"/>
                  </w14:solidFill>
                </w14:textFill>
              </w:rPr>
              <w:t>▲《投标（开标）一览表》填写不完整或字迹不能辨认或有漏项的；</w:t>
            </w:r>
          </w:p>
          <w:p>
            <w:pPr>
              <w:keepNext w:val="0"/>
              <w:keepLines w:val="0"/>
              <w:pageBreakBefore w:val="0"/>
              <w:kinsoku/>
              <w:wordWrap/>
              <w:overflowPunct/>
              <w:topLinePunct w:val="0"/>
              <w:autoSpaceDE/>
              <w:autoSpaceDN/>
              <w:bidi w:val="0"/>
              <w:adjustRightInd/>
              <w:snapToGrid/>
              <w:spacing w:line="288" w:lineRule="auto"/>
              <w:textAlignment w:val="auto"/>
              <w:rPr>
                <w:rFonts w:hint="eastAsia" w:ascii="宋体" w:hAnsi="宋体" w:eastAsia="宋体" w:cs="宋体"/>
                <w:snapToGrid w:val="0"/>
                <w:color w:val="000000" w:themeColor="text1"/>
                <w:kern w:val="28"/>
                <w:sz w:val="24"/>
                <w:szCs w:val="24"/>
                <w:highlight w:val="none"/>
                <w:lang w:val="zh-CN"/>
                <w14:textFill>
                  <w14:solidFill>
                    <w14:schemeClr w14:val="tx1"/>
                  </w14:solidFill>
                </w14:textFill>
              </w:rPr>
            </w:pPr>
            <w:r>
              <w:rPr>
                <w:rFonts w:hint="eastAsia" w:ascii="宋体" w:hAnsi="宋体" w:eastAsia="宋体" w:cs="宋体"/>
                <w:snapToGrid w:val="0"/>
                <w:color w:val="000000" w:themeColor="text1"/>
                <w:kern w:val="28"/>
                <w:sz w:val="24"/>
                <w:szCs w:val="24"/>
                <w:highlight w:val="none"/>
                <w:lang w:val="zh-CN"/>
                <w14:textFill>
                  <w14:solidFill>
                    <w14:schemeClr w14:val="tx1"/>
                  </w14:solidFill>
                </w14:textFill>
              </w:rPr>
              <w:t>▲供应商对根据修正原则修正后的报价不确认的。</w:t>
            </w:r>
          </w:p>
          <w:p>
            <w:pPr>
              <w:keepNext w:val="0"/>
              <w:keepLines w:val="0"/>
              <w:pageBreakBefore w:val="0"/>
              <w:kinsoku/>
              <w:wordWrap/>
              <w:overflowPunct/>
              <w:topLinePunct w:val="0"/>
              <w:autoSpaceDE/>
              <w:autoSpaceDN/>
              <w:bidi w:val="0"/>
              <w:adjustRightInd/>
              <w:snapToGrid/>
              <w:spacing w:line="288" w:lineRule="auto"/>
              <w:textAlignment w:val="auto"/>
              <w:rPr>
                <w:rFonts w:hint="eastAsia"/>
                <w:color w:val="000000" w:themeColor="text1"/>
                <w:sz w:val="24"/>
                <w:szCs w:val="24"/>
                <w:highlight w:val="none"/>
                <w:lang w:val="zh-CN"/>
                <w14:textFill>
                  <w14:solidFill>
                    <w14:schemeClr w14:val="tx1"/>
                  </w14:solidFill>
                </w14:textFill>
              </w:rPr>
            </w:pPr>
            <w:r>
              <w:rPr>
                <w:rFonts w:hint="eastAsia" w:ascii="宋体" w:hAnsi="宋体" w:eastAsia="宋体" w:cs="宋体"/>
                <w:snapToGrid w:val="0"/>
                <w:color w:val="000000" w:themeColor="text1"/>
                <w:kern w:val="28"/>
                <w:sz w:val="24"/>
                <w:szCs w:val="24"/>
                <w:highlight w:val="none"/>
                <w:lang w:val="zh-CN"/>
                <w14:textFill>
                  <w14:solidFill>
                    <w14:schemeClr w14:val="tx1"/>
                  </w14:solidFill>
                </w14:textFill>
              </w:rPr>
              <w:t>▲投标报价</w:t>
            </w:r>
            <w:r>
              <w:rPr>
                <w:rFonts w:hint="eastAsia" w:ascii="宋体" w:hAnsi="宋体" w:eastAsia="宋体" w:cs="宋体"/>
                <w:snapToGrid w:val="0"/>
                <w:color w:val="000000" w:themeColor="text1"/>
                <w:kern w:val="28"/>
                <w:sz w:val="24"/>
                <w:szCs w:val="24"/>
                <w:highlight w:val="none"/>
                <w:lang w:val="en-US" w:eastAsia="zh-CN"/>
                <w14:textFill>
                  <w14:solidFill>
                    <w14:schemeClr w14:val="tx1"/>
                  </w14:solidFill>
                </w14:textFill>
              </w:rPr>
              <w:t>不满足招标文件相关报价要求的。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659" w:hRule="atLeast"/>
          <w:tblHeader/>
        </w:trPr>
        <w:tc>
          <w:tcPr>
            <w:tcW w:w="979" w:type="dxa"/>
            <w:tcBorders>
              <w:top w:val="single" w:color="auto" w:sz="4" w:space="0"/>
              <w:left w:val="single" w:color="000000" w:sz="8" w:space="0"/>
              <w:right w:val="single" w:color="000000" w:sz="2" w:space="0"/>
            </w:tcBorders>
            <w:vAlign w:val="center"/>
          </w:tcPr>
          <w:p>
            <w:pPr>
              <w:keepNext w:val="0"/>
              <w:keepLines w:val="0"/>
              <w:pageBreakBefore w:val="0"/>
              <w:kinsoku/>
              <w:wordWrap/>
              <w:overflowPunct/>
              <w:topLinePunct w:val="0"/>
              <w:autoSpaceDE/>
              <w:autoSpaceDN/>
              <w:bidi w:val="0"/>
              <w:adjustRightInd/>
              <w:snapToGrid/>
              <w:spacing w:line="288" w:lineRule="auto"/>
              <w:jc w:val="center"/>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11</w:t>
            </w:r>
          </w:p>
        </w:tc>
        <w:tc>
          <w:tcPr>
            <w:tcW w:w="1601" w:type="dxa"/>
            <w:tcBorders>
              <w:top w:val="single" w:color="000000" w:sz="8" w:space="0"/>
              <w:left w:val="single" w:color="000000" w:sz="2" w:space="0"/>
              <w:right w:val="single" w:color="000000" w:sz="8" w:space="0"/>
            </w:tcBorders>
            <w:vAlign w:val="center"/>
          </w:tcPr>
          <w:p>
            <w:pPr>
              <w:keepNext w:val="0"/>
              <w:keepLines w:val="0"/>
              <w:pageBreakBefore w:val="0"/>
              <w:kinsoku/>
              <w:wordWrap/>
              <w:overflowPunct/>
              <w:topLinePunct w:val="0"/>
              <w:autoSpaceDE/>
              <w:autoSpaceDN/>
              <w:bidi w:val="0"/>
              <w:adjustRightInd/>
              <w:snapToGrid/>
              <w:spacing w:line="288" w:lineRule="auto"/>
              <w:jc w:val="center"/>
              <w:textAlignment w:val="auto"/>
              <w:rPr>
                <w:rFonts w:hint="eastAsia"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b/>
                <w:color w:val="000000" w:themeColor="text1"/>
                <w:sz w:val="24"/>
                <w:szCs w:val="24"/>
                <w:highlight w:val="none"/>
                <w14:textFill>
                  <w14:solidFill>
                    <w14:schemeClr w14:val="tx1"/>
                  </w14:solidFill>
                </w14:textFill>
              </w:rPr>
              <w:t>中小企业信用融资</w:t>
            </w:r>
          </w:p>
        </w:tc>
        <w:tc>
          <w:tcPr>
            <w:tcW w:w="6664" w:type="dxa"/>
            <w:tcBorders>
              <w:top w:val="single" w:color="000000" w:sz="8" w:space="0"/>
              <w:left w:val="single" w:color="000000" w:sz="2" w:space="0"/>
              <w:right w:val="single" w:color="000000" w:sz="8" w:space="0"/>
            </w:tcBorders>
            <w:vAlign w:val="center"/>
          </w:tcPr>
          <w:p>
            <w:pPr>
              <w:keepNext w:val="0"/>
              <w:keepLines w:val="0"/>
              <w:pageBreakBefore w:val="0"/>
              <w:kinsoku/>
              <w:wordWrap/>
              <w:overflowPunct/>
              <w:topLinePunct w:val="0"/>
              <w:autoSpaceDE/>
              <w:autoSpaceDN/>
              <w:bidi w:val="0"/>
              <w:adjustRightInd/>
              <w:snapToGrid/>
              <w:spacing w:line="288" w:lineRule="auto"/>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snapToGrid w:val="0"/>
                <w:color w:val="000000" w:themeColor="text1"/>
                <w:kern w:val="28"/>
                <w:sz w:val="24"/>
                <w:szCs w:val="24"/>
                <w:highlight w:val="none"/>
                <w14:textFill>
                  <w14:solidFill>
                    <w14:schemeClr w14:val="tx1"/>
                  </w14:solidFill>
                </w14:textFill>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979" w:type="dxa"/>
            <w:tcBorders>
              <w:top w:val="single" w:color="auto" w:sz="4" w:space="0"/>
              <w:left w:val="single" w:color="000000" w:sz="8" w:space="0"/>
              <w:bottom w:val="single" w:color="auto" w:sz="4" w:space="0"/>
              <w:right w:val="single" w:color="000000" w:sz="2" w:space="0"/>
            </w:tcBorders>
            <w:vAlign w:val="center"/>
          </w:tcPr>
          <w:p>
            <w:pPr>
              <w:keepNext w:val="0"/>
              <w:keepLines w:val="0"/>
              <w:pageBreakBefore w:val="0"/>
              <w:kinsoku/>
              <w:wordWrap/>
              <w:overflowPunct/>
              <w:topLinePunct w:val="0"/>
              <w:autoSpaceDE/>
              <w:autoSpaceDN/>
              <w:bidi w:val="0"/>
              <w:adjustRightInd/>
              <w:snapToGrid/>
              <w:spacing w:line="288" w:lineRule="auto"/>
              <w:jc w:val="center"/>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12</w:t>
            </w:r>
          </w:p>
        </w:tc>
        <w:tc>
          <w:tcPr>
            <w:tcW w:w="1601"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kinsoku/>
              <w:wordWrap/>
              <w:overflowPunct/>
              <w:topLinePunct w:val="0"/>
              <w:autoSpaceDE/>
              <w:autoSpaceDN/>
              <w:bidi w:val="0"/>
              <w:adjustRightInd/>
              <w:snapToGrid/>
              <w:spacing w:line="288" w:lineRule="auto"/>
              <w:jc w:val="center"/>
              <w:textAlignment w:val="auto"/>
              <w:rPr>
                <w:rFonts w:hint="eastAsia"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b/>
                <w:color w:val="000000" w:themeColor="text1"/>
                <w:sz w:val="24"/>
                <w:szCs w:val="24"/>
                <w:highlight w:val="none"/>
                <w14:textFill>
                  <w14:solidFill>
                    <w14:schemeClr w14:val="tx1"/>
                  </w14:solidFill>
                </w14:textFill>
              </w:rPr>
              <w:t xml:space="preserve">备份投标文件送达地点和签收人员 </w:t>
            </w:r>
          </w:p>
        </w:tc>
        <w:tc>
          <w:tcPr>
            <w:tcW w:w="6664" w:type="dxa"/>
            <w:tcBorders>
              <w:top w:val="single" w:color="000000" w:sz="8" w:space="0"/>
              <w:left w:val="single" w:color="000000" w:sz="2" w:space="0"/>
              <w:bottom w:val="single" w:color="000000" w:sz="8" w:space="0"/>
              <w:right w:val="single" w:color="000000" w:sz="8" w:space="0"/>
            </w:tcBorders>
            <w:vAlign w:val="center"/>
          </w:tcPr>
          <w:p>
            <w:pPr>
              <w:pStyle w:val="34"/>
              <w:keepNext w:val="0"/>
              <w:keepLines w:val="0"/>
              <w:pageBreakBefore w:val="0"/>
              <w:kinsoku/>
              <w:wordWrap/>
              <w:overflowPunct/>
              <w:topLinePunct w:val="0"/>
              <w:autoSpaceDE/>
              <w:autoSpaceDN/>
              <w:bidi w:val="0"/>
              <w:adjustRightInd/>
              <w:snapToGrid/>
              <w:spacing w:line="288" w:lineRule="auto"/>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28"/>
                <w:sz w:val="24"/>
                <w:szCs w:val="24"/>
                <w:highlight w:val="none"/>
                <w14:textFill>
                  <w14:solidFill>
                    <w14:schemeClr w14:val="tx1"/>
                  </w14:solidFill>
                </w14:textFill>
              </w:rPr>
              <w:t>备份投标文件送达</w:t>
            </w:r>
            <w:r>
              <w:rPr>
                <w:rFonts w:hint="eastAsia" w:hAnsi="宋体" w:cs="宋体"/>
                <w:color w:val="000000" w:themeColor="text1"/>
                <w:kern w:val="28"/>
                <w:sz w:val="24"/>
                <w:szCs w:val="24"/>
                <w:highlight w:val="none"/>
                <w:lang w:val="en-US" w:eastAsia="zh-CN"/>
                <w14:textFill>
                  <w14:solidFill>
                    <w14:schemeClr w14:val="tx1"/>
                  </w14:solidFill>
                </w14:textFill>
              </w:rPr>
              <w:t>代理机构</w:t>
            </w:r>
            <w:r>
              <w:rPr>
                <w:rFonts w:hint="eastAsia" w:ascii="宋体" w:hAnsi="宋体" w:eastAsia="宋体" w:cs="宋体"/>
                <w:color w:val="000000" w:themeColor="text1"/>
                <w:kern w:val="28"/>
                <w:sz w:val="24"/>
                <w:szCs w:val="24"/>
                <w:highlight w:val="none"/>
                <w14:textFill>
                  <w14:solidFill>
                    <w14:schemeClr w14:val="tx1"/>
                  </w14:solidFill>
                </w14:textFill>
              </w:rPr>
              <w:t>地点：</w:t>
            </w:r>
            <w:r>
              <w:rPr>
                <w:rFonts w:hint="eastAsia" w:ascii="宋体" w:hAnsi="宋体" w:eastAsia="宋体" w:cs="宋体"/>
                <w:color w:val="000000" w:themeColor="text1"/>
                <w:kern w:val="28"/>
                <w:sz w:val="24"/>
                <w:szCs w:val="24"/>
                <w:highlight w:val="none"/>
                <w:u w:val="single"/>
                <w14:textFill>
                  <w14:solidFill>
                    <w14:schemeClr w14:val="tx1"/>
                  </w14:solidFill>
                </w14:textFill>
              </w:rPr>
              <w:t>杭州市西湖区转塘街道外桐坞70号105室</w:t>
            </w:r>
            <w:r>
              <w:rPr>
                <w:rFonts w:hint="eastAsia" w:ascii="宋体" w:hAnsi="宋体" w:eastAsia="宋体" w:cs="宋体"/>
                <w:color w:val="000000" w:themeColor="text1"/>
                <w:kern w:val="28"/>
                <w:sz w:val="24"/>
                <w:szCs w:val="24"/>
                <w:highlight w:val="none"/>
                <w14:textFill>
                  <w14:solidFill>
                    <w14:schemeClr w14:val="tx1"/>
                  </w14:solidFill>
                </w14:textFill>
              </w:rPr>
              <w:t>；备份投标文件签收人员联系电话：</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葛工13777435868</w:t>
            </w:r>
            <w:r>
              <w:rPr>
                <w:rFonts w:hint="eastAsia" w:ascii="宋体" w:hAnsi="宋体" w:eastAsia="宋体" w:cs="宋体"/>
                <w:color w:val="000000" w:themeColor="text1"/>
                <w:sz w:val="24"/>
                <w:szCs w:val="24"/>
                <w:highlight w:val="none"/>
                <w14:textFill>
                  <w14:solidFill>
                    <w14:schemeClr w14:val="tx1"/>
                  </w14:solidFill>
                </w14:textFill>
              </w:rPr>
              <w:t>。</w:t>
            </w:r>
          </w:p>
          <w:p>
            <w:pPr>
              <w:pStyle w:val="34"/>
              <w:keepNext w:val="0"/>
              <w:keepLines w:val="0"/>
              <w:pageBreakBefore w:val="0"/>
              <w:kinsoku/>
              <w:wordWrap/>
              <w:overflowPunct/>
              <w:topLinePunct w:val="0"/>
              <w:autoSpaceDE/>
              <w:autoSpaceDN/>
              <w:bidi w:val="0"/>
              <w:adjustRightInd/>
              <w:snapToGrid/>
              <w:spacing w:line="288" w:lineRule="auto"/>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本项目开标评标在招标人安排的场地进行，投标人需要提供备份文件的请在投标截止时间前一天送达代理公司，开标当天并在投标截止时间前3小时内送达的，请送至杭州市拱墅区东新街道新西路与白石巷交叉口白石巷199号（拱墅区综合行政执法局2号楼1楼第三会议室）。</w:t>
            </w:r>
          </w:p>
          <w:p>
            <w:pPr>
              <w:pStyle w:val="34"/>
              <w:keepNext w:val="0"/>
              <w:keepLines w:val="0"/>
              <w:pageBreakBefore w:val="0"/>
              <w:kinsoku/>
              <w:wordWrap/>
              <w:overflowPunct/>
              <w:topLinePunct w:val="0"/>
              <w:autoSpaceDE/>
              <w:autoSpaceDN/>
              <w:bidi w:val="0"/>
              <w:adjustRightInd/>
              <w:snapToGrid/>
              <w:spacing w:line="288" w:lineRule="auto"/>
              <w:textAlignment w:val="auto"/>
              <w:rPr>
                <w:rFonts w:hint="eastAsia" w:ascii="宋体" w:hAnsi="宋体" w:eastAsia="宋体" w:cs="宋体"/>
                <w:color w:val="000000" w:themeColor="text1"/>
                <w:kern w:val="28"/>
                <w:sz w:val="24"/>
                <w:szCs w:val="24"/>
                <w:highlight w:val="none"/>
                <w14:textFill>
                  <w14:solidFill>
                    <w14:schemeClr w14:val="tx1"/>
                  </w14:solidFill>
                </w14:textFill>
              </w:rPr>
            </w:pPr>
            <w:r>
              <w:rPr>
                <w:rFonts w:hint="eastAsia" w:ascii="宋体" w:hAnsi="宋体" w:eastAsia="宋体" w:cs="宋体"/>
                <w:b/>
                <w:color w:val="000000" w:themeColor="text1"/>
                <w:sz w:val="24"/>
                <w:szCs w:val="24"/>
                <w:highlight w:val="none"/>
                <w14:textFill>
                  <w14:solidFill>
                    <w14:schemeClr w14:val="tx1"/>
                  </w14:solidFill>
                </w14:textFill>
              </w:rPr>
              <w:t>采购人、</w:t>
            </w:r>
            <w:r>
              <w:rPr>
                <w:rFonts w:hint="eastAsia" w:ascii="宋体" w:hAnsi="宋体" w:eastAsia="宋体" w:cs="宋体"/>
                <w:b/>
                <w:color w:val="000000" w:themeColor="text1"/>
                <w:sz w:val="24"/>
                <w:szCs w:val="24"/>
                <w:highlight w:val="none"/>
                <w:lang w:eastAsia="zh-CN"/>
                <w14:textFill>
                  <w14:solidFill>
                    <w14:schemeClr w14:val="tx1"/>
                  </w14:solidFill>
                </w14:textFill>
              </w:rPr>
              <w:t>采购代理机构</w:t>
            </w:r>
            <w:r>
              <w:rPr>
                <w:rFonts w:hint="eastAsia" w:ascii="宋体" w:hAnsi="宋体" w:eastAsia="宋体" w:cs="宋体"/>
                <w:b/>
                <w:color w:val="000000" w:themeColor="text1"/>
                <w:sz w:val="24"/>
                <w:szCs w:val="24"/>
                <w:highlight w:val="none"/>
                <w14:textFill>
                  <w14:solidFill>
                    <w14:schemeClr w14:val="tx1"/>
                  </w14:solidFill>
                </w14:textFill>
              </w:rPr>
              <w:t>不强制或变相强制</w:t>
            </w:r>
            <w:r>
              <w:rPr>
                <w:rFonts w:hint="eastAsia" w:ascii="宋体" w:hAnsi="宋体" w:eastAsia="宋体" w:cs="宋体"/>
                <w:b/>
                <w:color w:val="000000" w:themeColor="text1"/>
                <w:sz w:val="24"/>
                <w:szCs w:val="24"/>
                <w:highlight w:val="none"/>
                <w:lang w:eastAsia="zh-CN"/>
                <w14:textFill>
                  <w14:solidFill>
                    <w14:schemeClr w14:val="tx1"/>
                  </w14:solidFill>
                </w14:textFill>
              </w:rPr>
              <w:t>供应商</w:t>
            </w:r>
            <w:r>
              <w:rPr>
                <w:rFonts w:hint="eastAsia" w:ascii="宋体" w:hAnsi="宋体" w:eastAsia="宋体" w:cs="宋体"/>
                <w:b/>
                <w:color w:val="000000" w:themeColor="text1"/>
                <w:sz w:val="24"/>
                <w:szCs w:val="24"/>
                <w:highlight w:val="none"/>
                <w14:textFill>
                  <w14:solidFill>
                    <w14:schemeClr w14:val="tx1"/>
                  </w14:solidFill>
                </w14:textFill>
              </w:rPr>
              <w:t>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979" w:type="dxa"/>
            <w:vMerge w:val="restart"/>
            <w:tcBorders>
              <w:top w:val="single" w:color="auto" w:sz="4" w:space="0"/>
              <w:left w:val="single" w:color="000000" w:sz="8" w:space="0"/>
              <w:right w:val="single" w:color="000000" w:sz="2" w:space="0"/>
            </w:tcBorders>
            <w:vAlign w:val="center"/>
          </w:tcPr>
          <w:p>
            <w:pPr>
              <w:keepNext w:val="0"/>
              <w:keepLines w:val="0"/>
              <w:pageBreakBefore w:val="0"/>
              <w:kinsoku/>
              <w:wordWrap/>
              <w:overflowPunct/>
              <w:topLinePunct w:val="0"/>
              <w:autoSpaceDE/>
              <w:autoSpaceDN/>
              <w:bidi w:val="0"/>
              <w:adjustRightInd/>
              <w:snapToGrid/>
              <w:spacing w:line="288" w:lineRule="auto"/>
              <w:jc w:val="center"/>
              <w:textAlignment w:val="auto"/>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w:t>
            </w:r>
            <w:r>
              <w:rPr>
                <w:rFonts w:hint="eastAsia" w:ascii="宋体" w:hAnsi="宋体" w:cs="宋体"/>
                <w:color w:val="000000" w:themeColor="text1"/>
                <w:sz w:val="24"/>
                <w:szCs w:val="24"/>
                <w:highlight w:val="none"/>
                <w:lang w:val="en-US" w:eastAsia="zh-CN"/>
                <w14:textFill>
                  <w14:solidFill>
                    <w14:schemeClr w14:val="tx1"/>
                  </w14:solidFill>
                </w14:textFill>
              </w:rPr>
              <w:t>3</w:t>
            </w:r>
          </w:p>
        </w:tc>
        <w:tc>
          <w:tcPr>
            <w:tcW w:w="1601" w:type="dxa"/>
            <w:vMerge w:val="restart"/>
            <w:tcBorders>
              <w:top w:val="single" w:color="000000" w:sz="8" w:space="0"/>
              <w:left w:val="single" w:color="000000" w:sz="2" w:space="0"/>
              <w:right w:val="single" w:color="000000" w:sz="8" w:space="0"/>
            </w:tcBorders>
            <w:vAlign w:val="center"/>
          </w:tcPr>
          <w:p>
            <w:pPr>
              <w:keepNext w:val="0"/>
              <w:keepLines w:val="0"/>
              <w:pageBreakBefore w:val="0"/>
              <w:kinsoku/>
              <w:wordWrap/>
              <w:overflowPunct/>
              <w:topLinePunct w:val="0"/>
              <w:autoSpaceDE/>
              <w:autoSpaceDN/>
              <w:bidi w:val="0"/>
              <w:adjustRightInd/>
              <w:snapToGrid/>
              <w:spacing w:line="288" w:lineRule="auto"/>
              <w:jc w:val="center"/>
              <w:textAlignment w:val="auto"/>
              <w:rPr>
                <w:rFonts w:hint="eastAsia"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b/>
                <w:color w:val="000000" w:themeColor="text1"/>
                <w:sz w:val="24"/>
                <w:szCs w:val="24"/>
                <w:highlight w:val="none"/>
                <w14:textFill>
                  <w14:solidFill>
                    <w14:schemeClr w14:val="tx1"/>
                  </w14:solidFill>
                </w14:textFill>
              </w:rPr>
              <w:t>特别说明</w:t>
            </w:r>
          </w:p>
        </w:tc>
        <w:tc>
          <w:tcPr>
            <w:tcW w:w="6664"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kinsoku/>
              <w:wordWrap/>
              <w:overflowPunct/>
              <w:topLinePunct w:val="0"/>
              <w:autoSpaceDE/>
              <w:autoSpaceDN/>
              <w:bidi w:val="0"/>
              <w:adjustRightInd/>
              <w:snapToGrid/>
              <w:spacing w:line="288" w:lineRule="auto"/>
              <w:textAlignment w:val="auto"/>
              <w:rPr>
                <w:rFonts w:hint="eastAsia" w:ascii="宋体" w:hAnsi="宋体" w:eastAsia="宋体" w:cs="宋体"/>
                <w:snapToGrid w:val="0"/>
                <w:color w:val="000000" w:themeColor="text1"/>
                <w:kern w:val="28"/>
                <w:sz w:val="24"/>
                <w:szCs w:val="24"/>
                <w:highlight w:val="none"/>
                <w14:textFill>
                  <w14:solidFill>
                    <w14:schemeClr w14:val="tx1"/>
                  </w14:solidFill>
                </w14:textFill>
              </w:rPr>
            </w:pPr>
            <w:sdt>
              <w:sdtPr>
                <w:rPr>
                  <w:rFonts w:hint="eastAsia" w:ascii="宋体" w:hAnsi="宋体" w:eastAsia="宋体" w:cs="宋体"/>
                  <w:color w:val="000000" w:themeColor="text1"/>
                  <w:kern w:val="0"/>
                  <w:sz w:val="24"/>
                  <w:szCs w:val="24"/>
                  <w:highlight w:val="none"/>
                  <w14:textFill>
                    <w14:solidFill>
                      <w14:schemeClr w14:val="tx1"/>
                    </w14:solidFill>
                  </w14:textFill>
                </w:rPr>
                <w:id w:val="-232311894"/>
                <w14:checkbox>
                  <w14:checked w14:val="1"/>
                  <w14:checkedState w14:val="00FE" w14:font="Wingdings"/>
                  <w14:uncheckedState w14:val="2610" w14:font="MS Gothic"/>
                </w14:checkbox>
              </w:sdtPr>
              <w:sdtEndPr>
                <w:rPr>
                  <w:rFonts w:hint="eastAsia" w:ascii="宋体" w:hAnsi="宋体" w:eastAsia="宋体" w:cs="宋体"/>
                  <w:color w:val="000000" w:themeColor="text1"/>
                  <w:kern w:val="0"/>
                  <w:sz w:val="24"/>
                  <w:szCs w:val="24"/>
                  <w:highlight w:val="none"/>
                  <w14:textFill>
                    <w14:solidFill>
                      <w14:schemeClr w14:val="tx1"/>
                    </w14:solidFill>
                  </w14:textFill>
                </w:rPr>
              </w:sdtEndPr>
              <w:sdtContent>
                <w:r>
                  <w:rPr>
                    <w:rFonts w:hint="eastAsia" w:ascii="宋体" w:hAnsi="宋体" w:eastAsia="宋体" w:cs="宋体"/>
                    <w:color w:val="000000" w:themeColor="text1"/>
                    <w:kern w:val="0"/>
                    <w:sz w:val="24"/>
                    <w:szCs w:val="24"/>
                    <w:highlight w:val="none"/>
                    <w14:textFill>
                      <w14:solidFill>
                        <w14:schemeClr w14:val="tx1"/>
                      </w14:solidFill>
                    </w14:textFill>
                  </w:rPr>
                  <w:sym w:font="Wingdings" w:char="F0FE"/>
                </w:r>
              </w:sdtContent>
            </w:sdt>
            <w:r>
              <w:rPr>
                <w:rFonts w:hint="eastAsia" w:ascii="宋体" w:hAnsi="宋体" w:eastAsia="宋体" w:cs="宋体"/>
                <w:snapToGrid w:val="0"/>
                <w:color w:val="000000" w:themeColor="text1"/>
                <w:kern w:val="28"/>
                <w:sz w:val="24"/>
                <w:szCs w:val="24"/>
                <w:highlight w:val="none"/>
                <w14:textFill>
                  <w14:solidFill>
                    <w14:schemeClr w14:val="tx1"/>
                  </w14:solidFill>
                </w14:textFill>
              </w:rPr>
              <w:t>联合体投标的，联合体中有一方或者联合体成员根据分工按</w:t>
            </w:r>
            <w:r>
              <w:rPr>
                <w:rFonts w:hint="eastAsia" w:ascii="宋体" w:hAnsi="宋体" w:eastAsia="宋体" w:cs="宋体"/>
                <w:snapToGrid w:val="0"/>
                <w:color w:val="000000" w:themeColor="text1"/>
                <w:kern w:val="28"/>
                <w:sz w:val="24"/>
                <w:szCs w:val="24"/>
                <w:highlight w:val="none"/>
                <w:lang w:eastAsia="zh-CN"/>
                <w14:textFill>
                  <w14:solidFill>
                    <w14:schemeClr w14:val="tx1"/>
                  </w14:solidFill>
                </w14:textFill>
              </w:rPr>
              <w:t>投标文件</w:t>
            </w:r>
            <w:r>
              <w:rPr>
                <w:rFonts w:hint="eastAsia" w:ascii="宋体" w:hAnsi="宋体" w:eastAsia="宋体" w:cs="宋体"/>
                <w:snapToGrid w:val="0"/>
                <w:color w:val="000000" w:themeColor="text1"/>
                <w:kern w:val="28"/>
                <w:sz w:val="24"/>
                <w:szCs w:val="24"/>
                <w:highlight w:val="none"/>
                <w14:textFill>
                  <w14:solidFill>
                    <w14:schemeClr w14:val="tx1"/>
                  </w14:solidFill>
                </w14:textFill>
              </w:rPr>
              <w:t>第四部分评标标准要求提供资信证明文件的，视为符合了相关要求。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979" w:type="dxa"/>
            <w:vMerge w:val="continue"/>
            <w:tcBorders>
              <w:left w:val="single" w:color="000000" w:sz="8" w:space="0"/>
              <w:right w:val="single" w:color="000000" w:sz="2" w:space="0"/>
            </w:tcBorders>
          </w:tcPr>
          <w:p>
            <w:pPr>
              <w:keepNext w:val="0"/>
              <w:keepLines w:val="0"/>
              <w:pageBreakBefore w:val="0"/>
              <w:kinsoku/>
              <w:wordWrap/>
              <w:overflowPunct/>
              <w:topLinePunct w:val="0"/>
              <w:autoSpaceDE/>
              <w:autoSpaceDN/>
              <w:bidi w:val="0"/>
              <w:adjustRightInd/>
              <w:snapToGrid/>
              <w:spacing w:line="288" w:lineRule="auto"/>
              <w:jc w:val="center"/>
              <w:textAlignment w:val="auto"/>
              <w:rPr>
                <w:rFonts w:hint="eastAsia" w:ascii="宋体" w:hAnsi="宋体" w:eastAsia="宋体" w:cs="宋体"/>
                <w:color w:val="000000" w:themeColor="text1"/>
                <w:sz w:val="24"/>
                <w:szCs w:val="24"/>
                <w:highlight w:val="none"/>
                <w14:textFill>
                  <w14:solidFill>
                    <w14:schemeClr w14:val="tx1"/>
                  </w14:solidFill>
                </w14:textFill>
              </w:rPr>
            </w:pPr>
          </w:p>
        </w:tc>
        <w:tc>
          <w:tcPr>
            <w:tcW w:w="1601" w:type="dxa"/>
            <w:vMerge w:val="continue"/>
            <w:tcBorders>
              <w:left w:val="single" w:color="000000" w:sz="2" w:space="0"/>
              <w:right w:val="single" w:color="000000" w:sz="8" w:space="0"/>
            </w:tcBorders>
            <w:vAlign w:val="center"/>
          </w:tcPr>
          <w:p>
            <w:pPr>
              <w:keepNext w:val="0"/>
              <w:keepLines w:val="0"/>
              <w:pageBreakBefore w:val="0"/>
              <w:kinsoku/>
              <w:wordWrap/>
              <w:overflowPunct/>
              <w:topLinePunct w:val="0"/>
              <w:autoSpaceDE/>
              <w:autoSpaceDN/>
              <w:bidi w:val="0"/>
              <w:adjustRightInd/>
              <w:snapToGrid/>
              <w:spacing w:line="288" w:lineRule="auto"/>
              <w:jc w:val="center"/>
              <w:textAlignment w:val="auto"/>
              <w:rPr>
                <w:rFonts w:hint="eastAsia" w:ascii="宋体" w:hAnsi="宋体" w:eastAsia="宋体" w:cs="宋体"/>
                <w:b/>
                <w:color w:val="000000" w:themeColor="text1"/>
                <w:sz w:val="24"/>
                <w:szCs w:val="24"/>
                <w:highlight w:val="none"/>
                <w14:textFill>
                  <w14:solidFill>
                    <w14:schemeClr w14:val="tx1"/>
                  </w14:solidFill>
                </w14:textFill>
              </w:rPr>
            </w:pPr>
          </w:p>
        </w:tc>
        <w:tc>
          <w:tcPr>
            <w:tcW w:w="6664"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kinsoku/>
              <w:wordWrap/>
              <w:overflowPunct/>
              <w:topLinePunct w:val="0"/>
              <w:autoSpaceDE/>
              <w:autoSpaceDN/>
              <w:bidi w:val="0"/>
              <w:adjustRightInd/>
              <w:snapToGrid/>
              <w:spacing w:line="288" w:lineRule="auto"/>
              <w:textAlignment w:val="auto"/>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b/>
                <w:bCs/>
                <w:color w:val="000000" w:themeColor="text1"/>
                <w:kern w:val="0"/>
                <w:sz w:val="24"/>
                <w:szCs w:val="24"/>
                <w:highlight w:val="none"/>
                <w14:textFill>
                  <w14:solidFill>
                    <w14:schemeClr w14:val="tx1"/>
                  </w14:solidFill>
                </w14:textFill>
              </w:rPr>
              <w:t>本项目有标项一、标项二共2个标项同时招标，供应商可以同时参加这2个标项的投标，评标时将按标项一至标项二的顺序进行评标。为保证服务质量，同一套项目成员班子和机械设备只能服务于一个标项，如供应商拟投入的同一套项目成员班子和机械设备服务于两个标项，或有兼任（共用）的，当供应商已在前一个标项被推荐为第一中标候选人时，则只保留前标项的中标资格，由该标段的第二中标候选人中标，以此类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979" w:type="dxa"/>
            <w:vMerge w:val="continue"/>
            <w:tcBorders>
              <w:left w:val="single" w:color="000000" w:sz="8" w:space="0"/>
              <w:right w:val="single" w:color="000000" w:sz="2" w:space="0"/>
            </w:tcBorders>
          </w:tcPr>
          <w:p>
            <w:pPr>
              <w:keepNext w:val="0"/>
              <w:keepLines w:val="0"/>
              <w:pageBreakBefore w:val="0"/>
              <w:kinsoku/>
              <w:wordWrap/>
              <w:overflowPunct/>
              <w:topLinePunct w:val="0"/>
              <w:autoSpaceDE/>
              <w:autoSpaceDN/>
              <w:bidi w:val="0"/>
              <w:adjustRightInd/>
              <w:snapToGrid/>
              <w:spacing w:line="288" w:lineRule="auto"/>
              <w:jc w:val="center"/>
              <w:textAlignment w:val="auto"/>
              <w:rPr>
                <w:rFonts w:hint="eastAsia" w:ascii="宋体" w:hAnsi="宋体" w:eastAsia="宋体" w:cs="宋体"/>
                <w:color w:val="000000" w:themeColor="text1"/>
                <w:sz w:val="24"/>
                <w:szCs w:val="24"/>
                <w:highlight w:val="none"/>
                <w14:textFill>
                  <w14:solidFill>
                    <w14:schemeClr w14:val="tx1"/>
                  </w14:solidFill>
                </w14:textFill>
              </w:rPr>
            </w:pPr>
          </w:p>
        </w:tc>
        <w:tc>
          <w:tcPr>
            <w:tcW w:w="1601" w:type="dxa"/>
            <w:vMerge w:val="continue"/>
            <w:tcBorders>
              <w:left w:val="single" w:color="000000" w:sz="2" w:space="0"/>
              <w:right w:val="single" w:color="000000" w:sz="8" w:space="0"/>
            </w:tcBorders>
            <w:vAlign w:val="center"/>
          </w:tcPr>
          <w:p>
            <w:pPr>
              <w:keepNext w:val="0"/>
              <w:keepLines w:val="0"/>
              <w:pageBreakBefore w:val="0"/>
              <w:kinsoku/>
              <w:wordWrap/>
              <w:overflowPunct/>
              <w:topLinePunct w:val="0"/>
              <w:autoSpaceDE/>
              <w:autoSpaceDN/>
              <w:bidi w:val="0"/>
              <w:adjustRightInd/>
              <w:snapToGrid/>
              <w:spacing w:line="288" w:lineRule="auto"/>
              <w:jc w:val="center"/>
              <w:textAlignment w:val="auto"/>
              <w:rPr>
                <w:rFonts w:hint="eastAsia" w:ascii="宋体" w:hAnsi="宋体" w:eastAsia="宋体" w:cs="宋体"/>
                <w:b/>
                <w:color w:val="000000" w:themeColor="text1"/>
                <w:sz w:val="24"/>
                <w:szCs w:val="24"/>
                <w:highlight w:val="none"/>
                <w14:textFill>
                  <w14:solidFill>
                    <w14:schemeClr w14:val="tx1"/>
                  </w14:solidFill>
                </w14:textFill>
              </w:rPr>
            </w:pPr>
          </w:p>
        </w:tc>
        <w:tc>
          <w:tcPr>
            <w:tcW w:w="6664"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kinsoku/>
              <w:wordWrap/>
              <w:overflowPunct/>
              <w:topLinePunct w:val="0"/>
              <w:autoSpaceDE/>
              <w:autoSpaceDN/>
              <w:bidi w:val="0"/>
              <w:adjustRightInd/>
              <w:snapToGrid/>
              <w:spacing w:line="288" w:lineRule="auto"/>
              <w:textAlignment w:val="auto"/>
              <w:rPr>
                <w:rFonts w:hint="eastAsia" w:ascii="宋体" w:hAnsi="宋体" w:eastAsia="宋体" w:cs="宋体"/>
                <w:b/>
                <w:bCs/>
                <w:color w:val="000000" w:themeColor="text1"/>
                <w:kern w:val="2"/>
                <w:sz w:val="24"/>
                <w:szCs w:val="24"/>
                <w:highlight w:val="none"/>
                <w:lang w:val="en-US"/>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中标人应提供与电子投标文件内容一致的纸质投标文件一正</w:t>
            </w:r>
            <w:r>
              <w:rPr>
                <w:rFonts w:hint="eastAsia" w:ascii="宋体" w:hAnsi="宋体" w:eastAsia="宋体" w:cs="宋体"/>
                <w:color w:val="000000" w:themeColor="text1"/>
                <w:sz w:val="24"/>
                <w:szCs w:val="24"/>
                <w:highlight w:val="none"/>
                <w:lang w:val="en-US" w:eastAsia="zh-CN"/>
                <w14:textFill>
                  <w14:solidFill>
                    <w14:schemeClr w14:val="tx1"/>
                  </w14:solidFill>
                </w14:textFill>
              </w:rPr>
              <w:t>三</w:t>
            </w:r>
            <w:r>
              <w:rPr>
                <w:rFonts w:hint="eastAsia" w:ascii="宋体" w:hAnsi="宋体" w:eastAsia="宋体" w:cs="宋体"/>
                <w:color w:val="000000" w:themeColor="text1"/>
                <w:sz w:val="24"/>
                <w:szCs w:val="24"/>
                <w:highlight w:val="none"/>
                <w14:textFill>
                  <w14:solidFill>
                    <w14:schemeClr w14:val="tx1"/>
                  </w14:solidFill>
                </w14:textFill>
              </w:rPr>
              <w:t>副，装订成册，采用胶订或线订，不得采用活页夹等可随时拆换的方式装订。（胶订或线订以外装订形式视为活页装订）中标人在领取中标通知书时提供纸质投标文件。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979" w:type="dxa"/>
            <w:vMerge w:val="continue"/>
            <w:tcBorders>
              <w:left w:val="single" w:color="000000" w:sz="8" w:space="0"/>
              <w:right w:val="single" w:color="000000" w:sz="2" w:space="0"/>
            </w:tcBorders>
          </w:tcPr>
          <w:p>
            <w:pPr>
              <w:keepNext w:val="0"/>
              <w:keepLines w:val="0"/>
              <w:pageBreakBefore w:val="0"/>
              <w:kinsoku/>
              <w:wordWrap/>
              <w:overflowPunct/>
              <w:topLinePunct w:val="0"/>
              <w:autoSpaceDE/>
              <w:autoSpaceDN/>
              <w:bidi w:val="0"/>
              <w:adjustRightInd/>
              <w:snapToGrid/>
              <w:spacing w:line="288" w:lineRule="auto"/>
              <w:jc w:val="center"/>
              <w:textAlignment w:val="auto"/>
              <w:rPr>
                <w:rFonts w:hint="eastAsia" w:ascii="宋体" w:hAnsi="宋体" w:eastAsia="宋体" w:cs="宋体"/>
                <w:color w:val="000000" w:themeColor="text1"/>
                <w:sz w:val="24"/>
                <w:szCs w:val="24"/>
                <w:highlight w:val="none"/>
                <w14:textFill>
                  <w14:solidFill>
                    <w14:schemeClr w14:val="tx1"/>
                  </w14:solidFill>
                </w14:textFill>
              </w:rPr>
            </w:pPr>
          </w:p>
        </w:tc>
        <w:tc>
          <w:tcPr>
            <w:tcW w:w="1601" w:type="dxa"/>
            <w:vMerge w:val="continue"/>
            <w:tcBorders>
              <w:left w:val="single" w:color="000000" w:sz="2" w:space="0"/>
              <w:right w:val="single" w:color="000000" w:sz="8" w:space="0"/>
            </w:tcBorders>
            <w:vAlign w:val="center"/>
          </w:tcPr>
          <w:p>
            <w:pPr>
              <w:keepNext w:val="0"/>
              <w:keepLines w:val="0"/>
              <w:pageBreakBefore w:val="0"/>
              <w:kinsoku/>
              <w:wordWrap/>
              <w:overflowPunct/>
              <w:topLinePunct w:val="0"/>
              <w:autoSpaceDE/>
              <w:autoSpaceDN/>
              <w:bidi w:val="0"/>
              <w:adjustRightInd/>
              <w:snapToGrid/>
              <w:spacing w:line="288" w:lineRule="auto"/>
              <w:jc w:val="center"/>
              <w:textAlignment w:val="auto"/>
              <w:rPr>
                <w:rFonts w:hint="eastAsia" w:ascii="宋体" w:hAnsi="宋体" w:eastAsia="宋体" w:cs="宋体"/>
                <w:b/>
                <w:color w:val="000000" w:themeColor="text1"/>
                <w:sz w:val="24"/>
                <w:szCs w:val="24"/>
                <w:highlight w:val="none"/>
                <w14:textFill>
                  <w14:solidFill>
                    <w14:schemeClr w14:val="tx1"/>
                  </w14:solidFill>
                </w14:textFill>
              </w:rPr>
            </w:pPr>
          </w:p>
        </w:tc>
        <w:tc>
          <w:tcPr>
            <w:tcW w:w="6664" w:type="dxa"/>
            <w:tcBorders>
              <w:top w:val="single" w:color="000000" w:sz="8" w:space="0"/>
              <w:left w:val="single" w:color="000000" w:sz="2" w:space="0"/>
              <w:bottom w:val="single" w:color="000000" w:sz="8" w:space="0"/>
              <w:right w:val="single" w:color="000000" w:sz="8" w:space="0"/>
            </w:tcBorders>
            <w:vAlign w:val="center"/>
          </w:tcPr>
          <w:p>
            <w:pPr>
              <w:pStyle w:val="723"/>
              <w:keepNext w:val="0"/>
              <w:keepLines w:val="0"/>
              <w:pageBreakBefore w:val="0"/>
              <w:kinsoku/>
              <w:wordWrap/>
              <w:overflowPunct/>
              <w:topLinePunct w:val="0"/>
              <w:autoSpaceDE/>
              <w:autoSpaceDN/>
              <w:bidi w:val="0"/>
              <w:adjustRightInd/>
              <w:snapToGrid/>
              <w:spacing w:line="288" w:lineRule="auto"/>
              <w:ind w:firstLine="0"/>
              <w:textAlignment w:val="auto"/>
              <w:rPr>
                <w:rFonts w:hint="eastAsia" w:ascii="宋体" w:hAnsi="宋体" w:eastAsia="宋体" w:cs="宋体"/>
                <w:snapToGrid w:val="0"/>
                <w:color w:val="000000" w:themeColor="text1"/>
                <w:kern w:val="28"/>
                <w:sz w:val="24"/>
                <w:szCs w:val="24"/>
                <w:highlight w:val="none"/>
                <w14:textFill>
                  <w14:solidFill>
                    <w14:schemeClr w14:val="tx1"/>
                  </w14:solidFill>
                </w14:textFill>
              </w:rPr>
            </w:pPr>
            <w:r>
              <w:rPr>
                <w:rFonts w:hint="eastAsia" w:ascii="宋体" w:hAnsi="宋体" w:eastAsia="宋体" w:cs="宋体"/>
                <w:snapToGrid w:val="0"/>
                <w:color w:val="000000" w:themeColor="text1"/>
                <w:kern w:val="28"/>
                <w:sz w:val="24"/>
                <w:szCs w:val="24"/>
                <w:highlight w:val="none"/>
                <w14:textFill>
                  <w14:solidFill>
                    <w14:schemeClr w14:val="tx1"/>
                  </w14:solidFill>
                </w14:textFill>
              </w:rPr>
              <w:t>采购代理服务费金额：经与采购人签订合同，约定本项目采购代理服务费由中标人支付给采购代理机构。按浙价服1980号</w:t>
            </w:r>
            <w:r>
              <w:rPr>
                <w:rFonts w:hint="eastAsia" w:ascii="宋体" w:hAnsi="宋体" w:eastAsia="宋体" w:cs="宋体"/>
                <w:snapToGrid w:val="0"/>
                <w:color w:val="000000" w:themeColor="text1"/>
                <w:kern w:val="28"/>
                <w:sz w:val="24"/>
                <w:szCs w:val="24"/>
                <w:highlight w:val="none"/>
                <w:lang w:val="en-US" w:eastAsia="zh-CN"/>
                <w14:textFill>
                  <w14:solidFill>
                    <w14:schemeClr w14:val="tx1"/>
                  </w14:solidFill>
                </w14:textFill>
              </w:rPr>
              <w:t>文件收费标准（服务类）</w:t>
            </w:r>
            <w:r>
              <w:rPr>
                <w:rFonts w:hint="eastAsia" w:ascii="宋体" w:hAnsi="宋体" w:eastAsia="宋体" w:cs="宋体"/>
                <w:snapToGrid w:val="0"/>
                <w:color w:val="000000" w:themeColor="text1"/>
                <w:kern w:val="28"/>
                <w:sz w:val="24"/>
                <w:szCs w:val="24"/>
                <w:highlight w:val="none"/>
                <w14:textFill>
                  <w14:solidFill>
                    <w14:schemeClr w14:val="tx1"/>
                  </w14:solidFill>
                </w14:textFill>
              </w:rPr>
              <w:t>的70%进行收取</w:t>
            </w:r>
            <w:r>
              <w:rPr>
                <w:rFonts w:hint="eastAsia" w:ascii="宋体" w:hAnsi="宋体" w:eastAsia="宋体" w:cs="宋体"/>
                <w:snapToGrid w:val="0"/>
                <w:color w:val="000000" w:themeColor="text1"/>
                <w:kern w:val="28"/>
                <w:sz w:val="24"/>
                <w:szCs w:val="24"/>
                <w:highlight w:val="none"/>
                <w:lang w:eastAsia="zh-CN"/>
                <w14:textFill>
                  <w14:solidFill>
                    <w14:schemeClr w14:val="tx1"/>
                  </w14:solidFill>
                </w14:textFill>
              </w:rPr>
              <w:t>，以中标价为计费基数</w:t>
            </w:r>
            <w:r>
              <w:rPr>
                <w:rFonts w:hint="eastAsia" w:ascii="宋体" w:hAnsi="宋体" w:eastAsia="宋体" w:cs="宋体"/>
                <w:snapToGrid w:val="0"/>
                <w:color w:val="000000" w:themeColor="text1"/>
                <w:kern w:val="28"/>
                <w:sz w:val="24"/>
                <w:szCs w:val="24"/>
                <w:highlight w:val="none"/>
                <w14:textFill>
                  <w14:solidFill>
                    <w14:schemeClr w14:val="tx1"/>
                  </w14:solidFill>
                </w14:textFill>
              </w:rPr>
              <w:t>。采购代理服务费交纳形式：汇票/支票/电汇。</w:t>
            </w:r>
          </w:p>
          <w:p>
            <w:pPr>
              <w:keepNext w:val="0"/>
              <w:keepLines w:val="0"/>
              <w:pageBreakBefore w:val="0"/>
              <w:kinsoku/>
              <w:wordWrap/>
              <w:overflowPunct/>
              <w:topLinePunct w:val="0"/>
              <w:autoSpaceDE/>
              <w:autoSpaceDN/>
              <w:bidi w:val="0"/>
              <w:adjustRightInd/>
              <w:snapToGrid/>
              <w:spacing w:line="288" w:lineRule="auto"/>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snapToGrid w:val="0"/>
                <w:color w:val="000000" w:themeColor="text1"/>
                <w:kern w:val="28"/>
                <w:sz w:val="24"/>
                <w:szCs w:val="24"/>
                <w:highlight w:val="none"/>
                <w14:textFill>
                  <w14:solidFill>
                    <w14:schemeClr w14:val="tx1"/>
                  </w14:solidFill>
                </w14:textFill>
              </w:rPr>
              <w:t>采购代理服务费由中标人在领取中标通知书前时以人民币方式向采购代理机构支付。</w:t>
            </w:r>
          </w:p>
        </w:tc>
      </w:tr>
    </w:tbl>
    <w:p>
      <w:pPr>
        <w:pStyle w:val="2"/>
        <w:rPr>
          <w:rFonts w:hint="eastAsia"/>
          <w:color w:val="000000" w:themeColor="text1"/>
          <w:highlight w:val="none"/>
          <w14:textFill>
            <w14:solidFill>
              <w14:schemeClr w14:val="tx1"/>
            </w14:solidFill>
          </w14:textFill>
        </w:rPr>
      </w:pPr>
    </w:p>
    <w:bookmarkEnd w:id="10"/>
    <w:p>
      <w:pPr>
        <w:rPr>
          <w:rFonts w:hint="eastAsia" w:ascii="宋体" w:hAnsi="宋体" w:eastAsia="宋体" w:cs="宋体"/>
          <w:b/>
          <w:color w:val="000000" w:themeColor="text1"/>
          <w:sz w:val="32"/>
          <w:szCs w:val="20"/>
          <w:highlight w:val="none"/>
          <w14:textFill>
            <w14:solidFill>
              <w14:schemeClr w14:val="tx1"/>
            </w14:solidFill>
          </w14:textFill>
        </w:rPr>
      </w:pPr>
      <w:bookmarkStart w:id="11" w:name="第三部分"/>
      <w:bookmarkStart w:id="12" w:name="_Toc164416483"/>
      <w:r>
        <w:rPr>
          <w:rFonts w:hint="eastAsia" w:ascii="宋体" w:hAnsi="宋体" w:eastAsia="宋体" w:cs="宋体"/>
          <w:b/>
          <w:color w:val="000000" w:themeColor="text1"/>
          <w:sz w:val="32"/>
          <w:szCs w:val="20"/>
          <w:highlight w:val="none"/>
          <w14:textFill>
            <w14:solidFill>
              <w14:schemeClr w14:val="tx1"/>
            </w14:solidFill>
          </w14:textFill>
        </w:rPr>
        <w:br w:type="page"/>
      </w:r>
    </w:p>
    <w:p>
      <w:pPr>
        <w:adjustRightInd/>
        <w:spacing w:line="360" w:lineRule="auto"/>
        <w:ind w:firstLine="3845" w:firstLineChars="1197"/>
        <w:outlineLvl w:val="0"/>
        <w:rPr>
          <w:rFonts w:hint="eastAsia" w:ascii="宋体" w:hAnsi="宋体" w:eastAsia="宋体" w:cs="宋体"/>
          <w:b/>
          <w:color w:val="000000" w:themeColor="text1"/>
          <w:sz w:val="32"/>
          <w:szCs w:val="20"/>
          <w:highlight w:val="none"/>
          <w14:textFill>
            <w14:solidFill>
              <w14:schemeClr w14:val="tx1"/>
            </w14:solidFill>
          </w14:textFill>
        </w:rPr>
      </w:pPr>
      <w:r>
        <w:rPr>
          <w:rFonts w:hint="eastAsia" w:ascii="宋体" w:hAnsi="宋体" w:eastAsia="宋体" w:cs="宋体"/>
          <w:b/>
          <w:color w:val="000000" w:themeColor="text1"/>
          <w:sz w:val="32"/>
          <w:szCs w:val="20"/>
          <w:highlight w:val="none"/>
          <w14:textFill>
            <w14:solidFill>
              <w14:schemeClr w14:val="tx1"/>
            </w14:solidFill>
          </w14:textFill>
        </w:rPr>
        <w:t>一、总则</w:t>
      </w:r>
    </w:p>
    <w:p>
      <w:pPr>
        <w:snapToGrid w:val="0"/>
        <w:spacing w:line="360" w:lineRule="auto"/>
        <w:ind w:firstLine="361" w:firstLineChars="150"/>
        <w:jc w:val="left"/>
        <w:outlineLvl w:val="1"/>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1. 适用范围</w:t>
      </w:r>
    </w:p>
    <w:p>
      <w:pPr>
        <w:snapToGrid w:val="0"/>
        <w:spacing w:line="360" w:lineRule="auto"/>
        <w:ind w:firstLine="360" w:firstLineChars="150"/>
        <w:jc w:val="left"/>
        <w:outlineLvl w:val="1"/>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本</w:t>
      </w:r>
      <w:r>
        <w:rPr>
          <w:rFonts w:hint="eastAsia" w:ascii="宋体" w:hAnsi="宋体" w:eastAsia="宋体" w:cs="宋体"/>
          <w:color w:val="000000" w:themeColor="text1"/>
          <w:sz w:val="24"/>
          <w:highlight w:val="none"/>
          <w:lang w:eastAsia="zh-CN"/>
          <w14:textFill>
            <w14:solidFill>
              <w14:schemeClr w14:val="tx1"/>
            </w14:solidFill>
          </w14:textFill>
        </w:rPr>
        <w:t>投标文件</w:t>
      </w:r>
      <w:r>
        <w:rPr>
          <w:rFonts w:hint="eastAsia" w:ascii="宋体" w:hAnsi="宋体" w:eastAsia="宋体" w:cs="宋体"/>
          <w:color w:val="000000" w:themeColor="text1"/>
          <w:sz w:val="24"/>
          <w:highlight w:val="none"/>
          <w14:textFill>
            <w14:solidFill>
              <w14:schemeClr w14:val="tx1"/>
            </w14:solidFill>
          </w14:textFill>
        </w:rPr>
        <w:t>适用于该项目的招标、投标、开标、资格审查及信用信息查询、评标、定标、合同、验收等行为（法律、法规另有规定的，从其规定）。</w:t>
      </w:r>
    </w:p>
    <w:p>
      <w:pPr>
        <w:adjustRightInd/>
        <w:spacing w:line="360" w:lineRule="auto"/>
        <w:outlineLvl w:val="0"/>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 xml:space="preserve">   2.定义</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2.1 “采购人”系指招标公告中载明的本项目的采购人。</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2.2 “</w:t>
      </w:r>
      <w:r>
        <w:rPr>
          <w:rFonts w:hint="eastAsia" w:ascii="宋体" w:hAnsi="宋体" w:eastAsia="宋体" w:cs="宋体"/>
          <w:color w:val="000000" w:themeColor="text1"/>
          <w:sz w:val="24"/>
          <w:highlight w:val="none"/>
          <w:lang w:eastAsia="zh-CN"/>
          <w14:textFill>
            <w14:solidFill>
              <w14:schemeClr w14:val="tx1"/>
            </w14:solidFill>
          </w14:textFill>
        </w:rPr>
        <w:t>采购代理机构</w:t>
      </w:r>
      <w:r>
        <w:rPr>
          <w:rFonts w:hint="eastAsia" w:ascii="宋体" w:hAnsi="宋体" w:eastAsia="宋体" w:cs="宋体"/>
          <w:color w:val="000000" w:themeColor="text1"/>
          <w:sz w:val="24"/>
          <w:highlight w:val="none"/>
          <w14:textFill>
            <w14:solidFill>
              <w14:schemeClr w14:val="tx1"/>
            </w14:solidFill>
          </w14:textFill>
        </w:rPr>
        <w:t>”系指招标公告中载明的本项目的</w:t>
      </w:r>
      <w:r>
        <w:rPr>
          <w:rFonts w:hint="eastAsia" w:ascii="宋体" w:hAnsi="宋体" w:eastAsia="宋体" w:cs="宋体"/>
          <w:color w:val="000000" w:themeColor="text1"/>
          <w:sz w:val="24"/>
          <w:highlight w:val="none"/>
          <w:lang w:eastAsia="zh-CN"/>
          <w14:textFill>
            <w14:solidFill>
              <w14:schemeClr w14:val="tx1"/>
            </w14:solidFill>
          </w14:textFill>
        </w:rPr>
        <w:t>采购代理机构</w:t>
      </w:r>
      <w:r>
        <w:rPr>
          <w:rFonts w:hint="eastAsia" w:ascii="宋体" w:hAnsi="宋体" w:eastAsia="宋体" w:cs="宋体"/>
          <w:color w:val="000000" w:themeColor="text1"/>
          <w:sz w:val="24"/>
          <w:highlight w:val="none"/>
          <w14:textFill>
            <w14:solidFill>
              <w14:schemeClr w14:val="tx1"/>
            </w14:solidFill>
          </w14:textFill>
        </w:rPr>
        <w:t>。</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2.3 “</w:t>
      </w:r>
      <w:r>
        <w:rPr>
          <w:rFonts w:hint="eastAsia" w:ascii="宋体" w:hAnsi="宋体" w:eastAsia="宋体" w:cs="宋体"/>
          <w:color w:val="000000" w:themeColor="text1"/>
          <w:sz w:val="24"/>
          <w:highlight w:val="none"/>
          <w:lang w:eastAsia="zh-CN"/>
          <w14:textFill>
            <w14:solidFill>
              <w14:schemeClr w14:val="tx1"/>
            </w14:solidFill>
          </w14:textFill>
        </w:rPr>
        <w:t>供应商</w:t>
      </w:r>
      <w:r>
        <w:rPr>
          <w:rFonts w:hint="eastAsia" w:ascii="宋体" w:hAnsi="宋体" w:eastAsia="宋体" w:cs="宋体"/>
          <w:color w:val="000000" w:themeColor="text1"/>
          <w:sz w:val="24"/>
          <w:highlight w:val="none"/>
          <w14:textFill>
            <w14:solidFill>
              <w14:schemeClr w14:val="tx1"/>
            </w14:solidFill>
          </w14:textFill>
        </w:rPr>
        <w:t>”系指是指响应招标、参加投标竞争的法人、其他组织或者自然人。</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2.4 “负责人”系指法人企业的法定负责人，或其他组织为法律、行政法规规定代表单位行使职权的主要负责人，或自然人本人。</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2.6“电子交易平台”</w:t>
      </w:r>
      <w:r>
        <w:rPr>
          <w:rFonts w:hint="eastAsia" w:ascii="宋体" w:hAnsi="宋体" w:eastAsia="宋体" w:cs="宋体"/>
          <w:color w:val="000000" w:themeColor="text1"/>
          <w:sz w:val="24"/>
          <w:highlight w:val="none"/>
          <w:lang w:val="en-US" w:eastAsia="zh-CN"/>
          <w14:textFill>
            <w14:solidFill>
              <w14:schemeClr w14:val="tx1"/>
            </w14:solidFill>
          </w14:textFill>
        </w:rPr>
        <w:t>系</w:t>
      </w:r>
      <w:r>
        <w:rPr>
          <w:rFonts w:hint="eastAsia" w:ascii="宋体" w:hAnsi="宋体" w:eastAsia="宋体" w:cs="宋体"/>
          <w:color w:val="000000" w:themeColor="text1"/>
          <w:sz w:val="24"/>
          <w:highlight w:val="none"/>
          <w14:textFill>
            <w14:solidFill>
              <w14:schemeClr w14:val="tx1"/>
            </w14:solidFill>
          </w14:textFill>
        </w:rPr>
        <w:t>指本项目政府采购活动所依托的政府采购云平台（https://www.zcygov.cn/）。</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2.7 “▲” 系指实质性要求条款，“</w:t>
      </w:r>
      <w:sdt>
        <w:sdtPr>
          <w:rPr>
            <w:rFonts w:hint="eastAsia" w:ascii="宋体" w:hAnsi="宋体" w:eastAsia="宋体" w:cs="宋体"/>
            <w:color w:val="000000" w:themeColor="text1"/>
            <w:kern w:val="0"/>
            <w:sz w:val="24"/>
            <w:highlight w:val="none"/>
            <w14:textFill>
              <w14:solidFill>
                <w14:schemeClr w14:val="tx1"/>
              </w14:solidFill>
            </w14:textFill>
          </w:rPr>
          <w:id w:val="512970236"/>
          <w14:checkbox>
            <w14:checked w14:val="1"/>
            <w14:checkedState w14:val="00FE" w14:font="Wingdings"/>
            <w14:uncheckedState w14:val="2610" w14:font="MS Gothic"/>
          </w14:checkbox>
        </w:sdtPr>
        <w:sdtEndPr>
          <w:rPr>
            <w:rFonts w:hint="eastAsia" w:ascii="宋体" w:hAnsi="宋体" w:eastAsia="宋体" w:cs="宋体"/>
            <w:color w:val="000000" w:themeColor="text1"/>
            <w:kern w:val="0"/>
            <w:sz w:val="24"/>
            <w:highlight w:val="none"/>
            <w14:textFill>
              <w14:solidFill>
                <w14:schemeClr w14:val="tx1"/>
              </w14:solidFill>
            </w14:textFill>
          </w:rPr>
        </w:sdtEndPr>
        <w:sdtContent>
          <w:r>
            <w:rPr>
              <w:rFonts w:hint="eastAsia" w:ascii="宋体" w:hAnsi="宋体" w:eastAsia="宋体" w:cs="宋体"/>
              <w:color w:val="000000" w:themeColor="text1"/>
              <w:kern w:val="0"/>
              <w:sz w:val="24"/>
              <w:highlight w:val="none"/>
              <w14:textFill>
                <w14:solidFill>
                  <w14:schemeClr w14:val="tx1"/>
                </w14:solidFill>
              </w14:textFill>
            </w:rPr>
            <w:t></w:t>
          </w:r>
        </w:sdtContent>
      </w:sdt>
      <w:r>
        <w:rPr>
          <w:rFonts w:hint="eastAsia" w:ascii="宋体" w:hAnsi="宋体" w:eastAsia="宋体" w:cs="宋体"/>
          <w:color w:val="000000" w:themeColor="text1"/>
          <w:sz w:val="24"/>
          <w:highlight w:val="none"/>
          <w14:textFill>
            <w14:solidFill>
              <w14:schemeClr w14:val="tx1"/>
            </w14:solidFill>
          </w14:textFill>
        </w:rPr>
        <w:t>” 系指适用本项目的要求，“</w:t>
      </w:r>
      <w:sdt>
        <w:sdtPr>
          <w:rPr>
            <w:rFonts w:hint="eastAsia" w:ascii="宋体" w:hAnsi="宋体" w:eastAsia="宋体" w:cs="宋体"/>
            <w:color w:val="000000" w:themeColor="text1"/>
            <w:kern w:val="0"/>
            <w:sz w:val="24"/>
            <w:highlight w:val="none"/>
            <w14:textFill>
              <w14:solidFill>
                <w14:schemeClr w14:val="tx1"/>
              </w14:solidFill>
            </w14:textFill>
          </w:rPr>
          <w:id w:val="404888855"/>
          <w14:checkbox>
            <w14:checked w14:val="0"/>
            <w14:checkedState w14:val="00FE" w14:font="Wingdings"/>
            <w14:uncheckedState w14:val="2610" w14:font="MS Gothic"/>
          </w14:checkbox>
        </w:sdtPr>
        <w:sdtEndPr>
          <w:rPr>
            <w:rFonts w:hint="eastAsia" w:ascii="宋体" w:hAnsi="宋体" w:eastAsia="宋体" w:cs="宋体"/>
            <w:color w:val="000000" w:themeColor="text1"/>
            <w:kern w:val="0"/>
            <w:sz w:val="24"/>
            <w:highlight w:val="none"/>
            <w14:textFill>
              <w14:solidFill>
                <w14:schemeClr w14:val="tx1"/>
              </w14:solidFill>
            </w14:textFill>
          </w:rPr>
        </w:sdtEndPr>
        <w:sdtContent>
          <w:r>
            <w:rPr>
              <w:rFonts w:hint="eastAsia" w:ascii="宋体" w:hAnsi="宋体" w:eastAsia="宋体" w:cs="宋体"/>
              <w:color w:val="000000" w:themeColor="text1"/>
              <w:kern w:val="0"/>
              <w:sz w:val="24"/>
              <w:highlight w:val="none"/>
              <w14:textFill>
                <w14:solidFill>
                  <w14:schemeClr w14:val="tx1"/>
                </w14:solidFill>
              </w14:textFill>
            </w:rPr>
            <w:t>☐</w:t>
          </w:r>
        </w:sdtContent>
      </w:sdt>
      <w:r>
        <w:rPr>
          <w:rFonts w:hint="eastAsia" w:ascii="宋体" w:hAnsi="宋体" w:eastAsia="宋体" w:cs="宋体"/>
          <w:color w:val="000000" w:themeColor="text1"/>
          <w:sz w:val="24"/>
          <w:highlight w:val="none"/>
          <w14:textFill>
            <w14:solidFill>
              <w14:schemeClr w14:val="tx1"/>
            </w14:solidFill>
          </w14:textFill>
        </w:rPr>
        <w:t>” 系指不适用本项目的要求。</w:t>
      </w:r>
    </w:p>
    <w:p>
      <w:pPr>
        <w:spacing w:line="360" w:lineRule="auto"/>
        <w:ind w:firstLine="241" w:firstLineChars="100"/>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3.</w:t>
      </w:r>
      <w:r>
        <w:rPr>
          <w:rFonts w:hint="eastAsia" w:ascii="宋体" w:hAnsi="宋体" w:eastAsia="宋体" w:cs="宋体"/>
          <w:color w:val="000000" w:themeColor="text1"/>
          <w:highlight w:val="none"/>
          <w14:textFill>
            <w14:solidFill>
              <w14:schemeClr w14:val="tx1"/>
            </w14:solidFill>
          </w14:textFill>
        </w:rPr>
        <w:t xml:space="preserve"> </w:t>
      </w:r>
      <w:r>
        <w:rPr>
          <w:rFonts w:hint="eastAsia" w:ascii="宋体" w:hAnsi="宋体" w:eastAsia="宋体" w:cs="宋体"/>
          <w:b/>
          <w:color w:val="000000" w:themeColor="text1"/>
          <w:sz w:val="24"/>
          <w:highlight w:val="none"/>
          <w14:textFill>
            <w14:solidFill>
              <w14:schemeClr w14:val="tx1"/>
            </w14:solidFill>
          </w14:textFill>
        </w:rPr>
        <w:t>采购项目需要落实的政府采购政策</w:t>
      </w:r>
    </w:p>
    <w:p>
      <w:pPr>
        <w:spacing w:line="360" w:lineRule="auto"/>
        <w:ind w:firstLine="240" w:firstLineChars="1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w:t>
      </w:r>
      <w:r>
        <w:rPr>
          <w:rFonts w:hint="eastAsia" w:ascii="宋体" w:hAnsi="宋体" w:eastAsia="宋体" w:cs="宋体"/>
          <w:color w:val="000000" w:themeColor="text1"/>
          <w:sz w:val="24"/>
          <w:highlight w:val="none"/>
          <w:lang w:eastAsia="zh-CN"/>
          <w14:textFill>
            <w14:solidFill>
              <w14:schemeClr w14:val="tx1"/>
            </w14:solidFill>
          </w14:textFill>
        </w:rPr>
        <w:t>采购代理机构</w:t>
      </w:r>
      <w:r>
        <w:rPr>
          <w:rFonts w:hint="eastAsia" w:ascii="宋体" w:hAnsi="宋体" w:eastAsia="宋体" w:cs="宋体"/>
          <w:color w:val="000000" w:themeColor="text1"/>
          <w:sz w:val="24"/>
          <w:highlight w:val="none"/>
          <w14:textFill>
            <w14:solidFill>
              <w14:schemeClr w14:val="tx1"/>
            </w14:solidFill>
          </w14:textFill>
        </w:rPr>
        <w:t>不会对其加以限制，仍将按照公平竞争原则实施采购）；</w:t>
      </w:r>
      <w:r>
        <w:rPr>
          <w:rFonts w:hint="eastAsia" w:ascii="宋体" w:hAnsi="宋体" w:eastAsia="宋体" w:cs="宋体"/>
          <w:color w:val="000000" w:themeColor="text1"/>
          <w:kern w:val="0"/>
          <w:sz w:val="24"/>
          <w:highlight w:val="none"/>
          <w14:textFill>
            <w14:solidFill>
              <w14:schemeClr w14:val="tx1"/>
            </w14:solidFill>
          </w14:textFill>
        </w:rPr>
        <w:t>优先采购向我国企业转让技术、与我国企业签订消化吸收再创新方案的供应商的进口产品</w:t>
      </w:r>
      <w:r>
        <w:rPr>
          <w:rFonts w:hint="eastAsia" w:ascii="宋体" w:hAnsi="宋体" w:eastAsia="宋体" w:cs="宋体"/>
          <w:color w:val="000000" w:themeColor="text1"/>
          <w:sz w:val="24"/>
          <w:highlight w:val="none"/>
          <w14:textFill>
            <w14:solidFill>
              <w14:schemeClr w14:val="tx1"/>
            </w14:solidFill>
          </w14:textFill>
        </w:rPr>
        <w:t>。</w:t>
      </w:r>
    </w:p>
    <w:p>
      <w:pPr>
        <w:spacing w:line="360" w:lineRule="auto"/>
        <w:ind w:firstLine="240" w:firstLineChars="1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3.2 支持绿色发展</w:t>
      </w:r>
    </w:p>
    <w:p>
      <w:pPr>
        <w:spacing w:line="360" w:lineRule="auto"/>
        <w:ind w:firstLine="480" w:firstLineChars="200"/>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w:t>
      </w:r>
      <w:r>
        <w:rPr>
          <w:rFonts w:hint="eastAsia" w:ascii="宋体" w:hAnsi="宋体" w:eastAsia="宋体" w:cs="宋体"/>
          <w:color w:val="000000" w:themeColor="text1"/>
          <w:sz w:val="24"/>
          <w:highlight w:val="none"/>
          <w:lang w:eastAsia="zh-CN"/>
          <w14:textFill>
            <w14:solidFill>
              <w14:schemeClr w14:val="tx1"/>
            </w14:solidFill>
          </w14:textFill>
        </w:rPr>
        <w:t>供应商</w:t>
      </w:r>
      <w:r>
        <w:rPr>
          <w:rFonts w:hint="eastAsia" w:ascii="宋体" w:hAnsi="宋体" w:eastAsia="宋体" w:cs="宋体"/>
          <w:color w:val="000000" w:themeColor="text1"/>
          <w:sz w:val="24"/>
          <w:highlight w:val="none"/>
          <w14:textFill>
            <w14:solidFill>
              <w14:schemeClr w14:val="tx1"/>
            </w14:solidFill>
          </w14:textFill>
        </w:rPr>
        <w:t>须按</w:t>
      </w:r>
      <w:r>
        <w:rPr>
          <w:rFonts w:hint="eastAsia" w:ascii="宋体" w:hAnsi="宋体" w:eastAsia="宋体" w:cs="宋体"/>
          <w:color w:val="000000" w:themeColor="text1"/>
          <w:sz w:val="24"/>
          <w:highlight w:val="none"/>
          <w:lang w:eastAsia="zh-CN"/>
          <w14:textFill>
            <w14:solidFill>
              <w14:schemeClr w14:val="tx1"/>
            </w14:solidFill>
          </w14:textFill>
        </w:rPr>
        <w:t>投标文件</w:t>
      </w:r>
      <w:r>
        <w:rPr>
          <w:rFonts w:hint="eastAsia" w:ascii="宋体" w:hAnsi="宋体" w:eastAsia="宋体" w:cs="宋体"/>
          <w:color w:val="000000" w:themeColor="text1"/>
          <w:sz w:val="24"/>
          <w:highlight w:val="none"/>
          <w14:textFill>
            <w14:solidFill>
              <w14:schemeClr w14:val="tx1"/>
            </w14:solidFill>
          </w14:textFill>
        </w:rPr>
        <w:t>要求提供相关产品认证证书。</w:t>
      </w:r>
      <w:r>
        <w:rPr>
          <w:rFonts w:hint="eastAsia" w:ascii="宋体" w:hAnsi="宋体" w:eastAsia="宋体" w:cs="宋体"/>
          <w:b/>
          <w:color w:val="000000" w:themeColor="text1"/>
          <w:sz w:val="24"/>
          <w:highlight w:val="none"/>
          <w14:textFill>
            <w14:solidFill>
              <w14:schemeClr w14:val="tx1"/>
            </w14:solidFill>
          </w14:textFill>
        </w:rPr>
        <w:t>▲采购人拟采购的产品属于政府强制采购的节能产品品目清单范围的，</w:t>
      </w:r>
      <w:r>
        <w:rPr>
          <w:rFonts w:hint="eastAsia" w:ascii="宋体" w:hAnsi="宋体" w:eastAsia="宋体" w:cs="宋体"/>
          <w:b/>
          <w:color w:val="000000" w:themeColor="text1"/>
          <w:sz w:val="24"/>
          <w:highlight w:val="none"/>
          <w:lang w:eastAsia="zh-CN"/>
          <w14:textFill>
            <w14:solidFill>
              <w14:schemeClr w14:val="tx1"/>
            </w14:solidFill>
          </w14:textFill>
        </w:rPr>
        <w:t>供应商</w:t>
      </w:r>
      <w:r>
        <w:rPr>
          <w:rFonts w:hint="eastAsia" w:ascii="宋体" w:hAnsi="宋体" w:eastAsia="宋体" w:cs="宋体"/>
          <w:b/>
          <w:color w:val="000000" w:themeColor="text1"/>
          <w:sz w:val="24"/>
          <w:highlight w:val="none"/>
          <w14:textFill>
            <w14:solidFill>
              <w14:schemeClr w14:val="tx1"/>
            </w14:solidFill>
          </w14:textFill>
        </w:rPr>
        <w:t>相应的投标产品未获得国家确定的认证机构出具的、处于有效期之内的节能产品认证证书的，投标无效。</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3.2.2 修缮、装修类项目采购建材的，采购人应将绿色建筑和绿色建材性能、指标等作为实质性条件纳入</w:t>
      </w:r>
      <w:r>
        <w:rPr>
          <w:rFonts w:hint="eastAsia" w:ascii="宋体" w:hAnsi="宋体" w:eastAsia="宋体" w:cs="宋体"/>
          <w:color w:val="000000" w:themeColor="text1"/>
          <w:sz w:val="24"/>
          <w:highlight w:val="none"/>
          <w:lang w:eastAsia="zh-CN"/>
          <w14:textFill>
            <w14:solidFill>
              <w14:schemeClr w14:val="tx1"/>
            </w14:solidFill>
          </w14:textFill>
        </w:rPr>
        <w:t>投标文件</w:t>
      </w:r>
      <w:r>
        <w:rPr>
          <w:rFonts w:hint="eastAsia" w:ascii="宋体" w:hAnsi="宋体" w:eastAsia="宋体" w:cs="宋体"/>
          <w:color w:val="000000" w:themeColor="text1"/>
          <w:sz w:val="24"/>
          <w:highlight w:val="none"/>
          <w14:textFill>
            <w14:solidFill>
              <w14:schemeClr w14:val="tx1"/>
            </w14:solidFill>
          </w14:textFill>
        </w:rPr>
        <w:t>和合同。</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鼓励采购单位优先采购秸秆环保板材等资源综合利用产品。鼓励采购单位优先采购绿色物流配送服务、提供新能源交通工具的租赁服务。</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3.2.4 鼓励供应商在参加政府采购过程中开展绿色设计、选择绿色材料、打造绿色制造工艺、开展绿色运输、做好废弃产品回收处理，实现产品全周期的绿色环保。鼓励采购单位对其提高预付款比例、免收履约保证金。</w:t>
      </w:r>
    </w:p>
    <w:p>
      <w:pPr>
        <w:spacing w:line="360" w:lineRule="auto"/>
        <w:ind w:firstLine="240" w:firstLineChars="1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3.3支持中小企业发展</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符合中小企业划分标准的个体工商户，在政府采购活动中视同中小企业。</w:t>
      </w:r>
    </w:p>
    <w:p>
      <w:pPr>
        <w:widowControl/>
        <w:spacing w:line="360" w:lineRule="auto"/>
        <w:ind w:firstLine="480" w:firstLineChars="200"/>
        <w:jc w:val="left"/>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bCs/>
          <w:color w:val="000000" w:themeColor="text1"/>
          <w:sz w:val="24"/>
          <w:highlight w:val="none"/>
          <w14:textFill>
            <w14:solidFill>
              <w14:schemeClr w14:val="tx1"/>
            </w14:solidFill>
          </w14:textFill>
        </w:rPr>
        <w:t>3.3.2</w:t>
      </w:r>
      <w:r>
        <w:rPr>
          <w:rFonts w:hint="eastAsia" w:ascii="宋体" w:hAnsi="宋体" w:eastAsia="宋体" w:cs="宋体"/>
          <w:color w:val="000000" w:themeColor="text1"/>
          <w:kern w:val="0"/>
          <w:sz w:val="24"/>
          <w:highlight w:val="none"/>
          <w14:textFill>
            <w14:solidFill>
              <w14:schemeClr w14:val="tx1"/>
            </w14:solidFill>
          </w14:textFill>
        </w:rPr>
        <w:t>在政府采购活动中，</w:t>
      </w:r>
      <w:r>
        <w:rPr>
          <w:rFonts w:hint="eastAsia" w:ascii="宋体" w:hAnsi="宋体" w:eastAsia="宋体" w:cs="宋体"/>
          <w:color w:val="000000" w:themeColor="text1"/>
          <w:kern w:val="0"/>
          <w:sz w:val="24"/>
          <w:highlight w:val="none"/>
          <w:lang w:eastAsia="zh-CN"/>
          <w14:textFill>
            <w14:solidFill>
              <w14:schemeClr w14:val="tx1"/>
            </w14:solidFill>
          </w14:textFill>
        </w:rPr>
        <w:t>供应商</w:t>
      </w:r>
      <w:r>
        <w:rPr>
          <w:rFonts w:hint="eastAsia" w:ascii="宋体" w:hAnsi="宋体" w:eastAsia="宋体" w:cs="宋体"/>
          <w:color w:val="000000" w:themeColor="text1"/>
          <w:kern w:val="0"/>
          <w:sz w:val="24"/>
          <w:highlight w:val="none"/>
          <w14:textFill>
            <w14:solidFill>
              <w14:schemeClr w14:val="tx1"/>
            </w14:solidFill>
          </w14:textFill>
        </w:rPr>
        <w:t>提供的货物、工程或者服务符合下列情形的，享受中小企业扶持政策：在服务采购项目中，服务由中小企业承接，即提供服务的人员为中小企业依照《中华人民共和国劳动合同法》订立劳动合同的从业人员。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3.3.3对于未预留份额专门面向中小企业的政府采购服务项目，以及预留份额政府采购服务项目中的非预留部分标项，对小型和微型企业的投标报价给予20%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6%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3.3.6可享受中小企业扶持政策的</w:t>
      </w:r>
      <w:r>
        <w:rPr>
          <w:rFonts w:hint="eastAsia" w:ascii="宋体" w:hAnsi="宋体" w:eastAsia="宋体" w:cs="宋体"/>
          <w:color w:val="000000" w:themeColor="text1"/>
          <w:sz w:val="24"/>
          <w:highlight w:val="none"/>
          <w:lang w:eastAsia="zh-CN"/>
          <w14:textFill>
            <w14:solidFill>
              <w14:schemeClr w14:val="tx1"/>
            </w14:solidFill>
          </w14:textFill>
        </w:rPr>
        <w:t>供应商</w:t>
      </w:r>
      <w:r>
        <w:rPr>
          <w:rFonts w:hint="eastAsia" w:ascii="宋体" w:hAnsi="宋体" w:eastAsia="宋体" w:cs="宋体"/>
          <w:color w:val="000000" w:themeColor="text1"/>
          <w:sz w:val="24"/>
          <w:highlight w:val="none"/>
          <w14:textFill>
            <w14:solidFill>
              <w14:schemeClr w14:val="tx1"/>
            </w14:solidFill>
          </w14:textFill>
        </w:rPr>
        <w:t>应按照</w:t>
      </w:r>
      <w:r>
        <w:rPr>
          <w:rFonts w:hint="eastAsia" w:ascii="宋体" w:hAnsi="宋体" w:eastAsia="宋体" w:cs="宋体"/>
          <w:color w:val="000000" w:themeColor="text1"/>
          <w:sz w:val="24"/>
          <w:highlight w:val="none"/>
          <w:lang w:eastAsia="zh-CN"/>
          <w14:textFill>
            <w14:solidFill>
              <w14:schemeClr w14:val="tx1"/>
            </w14:solidFill>
          </w14:textFill>
        </w:rPr>
        <w:t>投标文件</w:t>
      </w:r>
      <w:r>
        <w:rPr>
          <w:rFonts w:hint="eastAsia" w:ascii="宋体" w:hAnsi="宋体" w:eastAsia="宋体" w:cs="宋体"/>
          <w:color w:val="000000" w:themeColor="text1"/>
          <w:sz w:val="24"/>
          <w:highlight w:val="none"/>
          <w14:textFill>
            <w14:solidFill>
              <w14:schemeClr w14:val="tx1"/>
            </w14:solidFill>
          </w14:textFill>
        </w:rPr>
        <w:t>格式要求提供《中小企业声明函》，</w:t>
      </w:r>
      <w:r>
        <w:rPr>
          <w:rFonts w:hint="eastAsia" w:ascii="宋体" w:hAnsi="宋体" w:eastAsia="宋体" w:cs="宋体"/>
          <w:color w:val="000000" w:themeColor="text1"/>
          <w:sz w:val="24"/>
          <w:highlight w:val="none"/>
          <w:lang w:eastAsia="zh-CN"/>
          <w14:textFill>
            <w14:solidFill>
              <w14:schemeClr w14:val="tx1"/>
            </w14:solidFill>
          </w14:textFill>
        </w:rPr>
        <w:t>供应商</w:t>
      </w:r>
      <w:r>
        <w:rPr>
          <w:rFonts w:hint="eastAsia" w:ascii="宋体" w:hAnsi="宋体" w:eastAsia="宋体" w:cs="宋体"/>
          <w:color w:val="000000" w:themeColor="text1"/>
          <w:sz w:val="24"/>
          <w:highlight w:val="none"/>
          <w14:textFill>
            <w14:solidFill>
              <w14:schemeClr w14:val="tx1"/>
            </w14:solidFill>
          </w14:textFill>
        </w:rPr>
        <w:t>提供的《中小企业声明函》与实际情况不符的，不享受中小企业扶持政策。声明内容不实的，属于提供虚假材料谋取中标、成交的，依法承担法律责任。</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3.3.7中小企业享受扶持政策获得政府采购合同的，小微企业不得将合同分包给大中型企业，中型企业不得将合同分包给大型企业。</w:t>
      </w:r>
    </w:p>
    <w:p>
      <w:pPr>
        <w:spacing w:line="360" w:lineRule="auto"/>
        <w:ind w:firstLine="240" w:firstLineChars="1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3.4</w:t>
      </w:r>
      <w:r>
        <w:rPr>
          <w:rFonts w:hint="eastAsia" w:ascii="宋体" w:hAnsi="宋体" w:eastAsia="宋体" w:cs="宋体"/>
          <w:bCs/>
          <w:color w:val="000000" w:themeColor="text1"/>
          <w:sz w:val="24"/>
          <w:highlight w:val="none"/>
          <w14:textFill>
            <w14:solidFill>
              <w14:schemeClr w14:val="tx1"/>
            </w14:solidFill>
          </w14:textFill>
        </w:rPr>
        <w:t>支持创新发展</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3.4.1 采购人优先采购被认定为首台套产品和“制造精品”的自主创新产品。</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3.4.2首台套产品被纳入《首台套产品推广应用指导目录》之日起3年内，以及产品核心技术高于国内领先水平，并具有明晰自主知识产权的“制造精品”产品，自认定之日起2年内视同已具备相应销售业绩，参加政府采购活动时业绩分值为满分。</w:t>
      </w:r>
    </w:p>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3.5平等对待内外资企业和符合条件的破产重整企业</w:t>
      </w:r>
    </w:p>
    <w:p>
      <w:pPr>
        <w:spacing w:line="360" w:lineRule="auto"/>
        <w:ind w:firstLine="240" w:firstLineChars="100"/>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平等对待内外资企业和符合条件的破产重整企业，切实保障企业公平竞争，平等维护企业的合法利益。</w:t>
      </w:r>
      <w:r>
        <w:rPr>
          <w:rFonts w:hint="eastAsia" w:ascii="宋体" w:hAnsi="宋体" w:eastAsia="宋体" w:cs="宋体"/>
          <w:color w:val="000000" w:themeColor="text1"/>
          <w:sz w:val="24"/>
          <w:highlight w:val="none"/>
          <w14:textFill>
            <w14:solidFill>
              <w14:schemeClr w14:val="tx1"/>
            </w14:solidFill>
          </w14:textFill>
        </w:rPr>
        <w:cr/>
      </w:r>
      <w:r>
        <w:rPr>
          <w:rFonts w:hint="eastAsia" w:ascii="宋体" w:hAnsi="宋体" w:eastAsia="宋体" w:cs="宋体"/>
          <w:b/>
          <w:color w:val="000000" w:themeColor="text1"/>
          <w:sz w:val="24"/>
          <w:highlight w:val="none"/>
          <w14:textFill>
            <w14:solidFill>
              <w14:schemeClr w14:val="tx1"/>
            </w14:solidFill>
          </w14:textFill>
        </w:rPr>
        <w:t>4. 询问、质疑、投诉</w:t>
      </w:r>
    </w:p>
    <w:p>
      <w:pPr>
        <w:autoSpaceDE w:val="0"/>
        <w:autoSpaceDN w:val="0"/>
        <w:spacing w:line="360" w:lineRule="auto"/>
        <w:ind w:firstLine="480" w:firstLineChars="200"/>
        <w:jc w:val="left"/>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4.1在线询问、质疑、投诉。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utoSpaceDE w:val="0"/>
        <w:autoSpaceDN w:val="0"/>
        <w:spacing w:line="360" w:lineRule="auto"/>
        <w:ind w:firstLine="480" w:firstLineChars="200"/>
        <w:jc w:val="left"/>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4.2供应商询问</w:t>
      </w:r>
    </w:p>
    <w:p>
      <w:pPr>
        <w:autoSpaceDE w:val="0"/>
        <w:autoSpaceDN w:val="0"/>
        <w:spacing w:line="360" w:lineRule="auto"/>
        <w:ind w:firstLine="480" w:firstLineChars="200"/>
        <w:jc w:val="left"/>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4.3供应商质疑</w:t>
      </w:r>
    </w:p>
    <w:p>
      <w:pPr>
        <w:pStyle w:val="34"/>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4.3</w:t>
      </w:r>
      <w:r>
        <w:rPr>
          <w:rFonts w:hint="eastAsia" w:ascii="宋体" w:hAnsi="宋体" w:eastAsia="宋体" w:cs="宋体"/>
          <w:color w:val="000000" w:themeColor="text1"/>
          <w:sz w:val="24"/>
          <w:highlight w:val="none"/>
          <w14:textFill>
            <w14:solidFill>
              <w14:schemeClr w14:val="tx1"/>
            </w14:solidFill>
          </w14:textFill>
        </w:rPr>
        <w:t>.1提出质疑的供应商应当是参与所质疑项目采购活动的供应商。潜在供应商已依法获取其可质疑的</w:t>
      </w:r>
      <w:r>
        <w:rPr>
          <w:rFonts w:hint="eastAsia" w:ascii="宋体" w:hAnsi="宋体" w:eastAsia="宋体" w:cs="宋体"/>
          <w:color w:val="000000" w:themeColor="text1"/>
          <w:sz w:val="24"/>
          <w:highlight w:val="none"/>
          <w:lang w:eastAsia="zh-CN"/>
          <w14:textFill>
            <w14:solidFill>
              <w14:schemeClr w14:val="tx1"/>
            </w14:solidFill>
          </w14:textFill>
        </w:rPr>
        <w:t>投标文件</w:t>
      </w:r>
      <w:r>
        <w:rPr>
          <w:rFonts w:hint="eastAsia" w:ascii="宋体" w:hAnsi="宋体" w:eastAsia="宋体" w:cs="宋体"/>
          <w:color w:val="000000" w:themeColor="text1"/>
          <w:sz w:val="24"/>
          <w:highlight w:val="none"/>
          <w14:textFill>
            <w14:solidFill>
              <w14:schemeClr w14:val="tx1"/>
            </w14:solidFill>
          </w14:textFill>
        </w:rPr>
        <w:t>的，可以对该文件提出质疑。</w:t>
      </w:r>
    </w:p>
    <w:p>
      <w:pPr>
        <w:pStyle w:val="34"/>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4.3</w:t>
      </w:r>
      <w:r>
        <w:rPr>
          <w:rFonts w:hint="eastAsia" w:ascii="宋体" w:hAnsi="宋体" w:eastAsia="宋体" w:cs="宋体"/>
          <w:color w:val="000000" w:themeColor="text1"/>
          <w:sz w:val="24"/>
          <w:highlight w:val="none"/>
          <w14:textFill>
            <w14:solidFill>
              <w14:schemeClr w14:val="tx1"/>
            </w14:solidFill>
          </w14:textFill>
        </w:rPr>
        <w:t>.2供应商认为</w:t>
      </w:r>
      <w:r>
        <w:rPr>
          <w:rFonts w:hint="eastAsia" w:ascii="宋体" w:hAnsi="宋体" w:eastAsia="宋体" w:cs="宋体"/>
          <w:color w:val="000000" w:themeColor="text1"/>
          <w:sz w:val="24"/>
          <w:highlight w:val="none"/>
          <w:lang w:eastAsia="zh-CN"/>
          <w14:textFill>
            <w14:solidFill>
              <w14:schemeClr w14:val="tx1"/>
            </w14:solidFill>
          </w14:textFill>
        </w:rPr>
        <w:t>投标文件</w:t>
      </w:r>
      <w:r>
        <w:rPr>
          <w:rFonts w:hint="eastAsia" w:ascii="宋体" w:hAnsi="宋体" w:eastAsia="宋体" w:cs="宋体"/>
          <w:color w:val="000000" w:themeColor="text1"/>
          <w:sz w:val="24"/>
          <w:highlight w:val="none"/>
          <w14:textFill>
            <w14:solidFill>
              <w14:schemeClr w14:val="tx1"/>
            </w14:solidFill>
          </w14:textFill>
        </w:rPr>
        <w:t>、采购过程和中标结果使自己的权益受到损害的，可以在知道或者应知其权益受到损害之日起七个工作日内，以书面形式向采购人或者</w:t>
      </w:r>
      <w:r>
        <w:rPr>
          <w:rFonts w:hint="eastAsia" w:ascii="宋体" w:hAnsi="宋体" w:eastAsia="宋体" w:cs="宋体"/>
          <w:color w:val="000000" w:themeColor="text1"/>
          <w:sz w:val="24"/>
          <w:highlight w:val="none"/>
          <w:lang w:eastAsia="zh-CN"/>
          <w14:textFill>
            <w14:solidFill>
              <w14:schemeClr w14:val="tx1"/>
            </w14:solidFill>
          </w14:textFill>
        </w:rPr>
        <w:t>采购代理机构</w:t>
      </w:r>
      <w:r>
        <w:rPr>
          <w:rFonts w:hint="eastAsia" w:ascii="宋体" w:hAnsi="宋体" w:eastAsia="宋体" w:cs="宋体"/>
          <w:color w:val="000000" w:themeColor="text1"/>
          <w:sz w:val="24"/>
          <w:highlight w:val="none"/>
          <w14:textFill>
            <w14:solidFill>
              <w14:schemeClr w14:val="tx1"/>
            </w14:solidFill>
          </w14:textFill>
        </w:rPr>
        <w:t>提出质疑，否则，采购人或者</w:t>
      </w:r>
      <w:r>
        <w:rPr>
          <w:rFonts w:hint="eastAsia" w:ascii="宋体" w:hAnsi="宋体" w:eastAsia="宋体" w:cs="宋体"/>
          <w:color w:val="000000" w:themeColor="text1"/>
          <w:sz w:val="24"/>
          <w:highlight w:val="none"/>
          <w:lang w:eastAsia="zh-CN"/>
          <w14:textFill>
            <w14:solidFill>
              <w14:schemeClr w14:val="tx1"/>
            </w14:solidFill>
          </w14:textFill>
        </w:rPr>
        <w:t>采购代理机构</w:t>
      </w:r>
      <w:r>
        <w:rPr>
          <w:rFonts w:hint="eastAsia" w:ascii="宋体" w:hAnsi="宋体" w:eastAsia="宋体" w:cs="宋体"/>
          <w:color w:val="000000" w:themeColor="text1"/>
          <w:sz w:val="24"/>
          <w:highlight w:val="none"/>
          <w14:textFill>
            <w14:solidFill>
              <w14:schemeClr w14:val="tx1"/>
            </w14:solidFill>
          </w14:textFill>
        </w:rPr>
        <w:t>不予受理：</w:t>
      </w:r>
    </w:p>
    <w:p>
      <w:pPr>
        <w:pStyle w:val="8"/>
        <w:spacing w:line="360" w:lineRule="auto"/>
        <w:ind w:firstLine="480" w:firstLineChars="200"/>
        <w:rPr>
          <w:rFonts w:hint="eastAsia" w:ascii="宋体" w:hAnsi="宋体" w:eastAsia="宋体" w:cs="宋体"/>
          <w:snapToGrid/>
          <w:color w:val="000000" w:themeColor="text1"/>
          <w:kern w:val="2"/>
          <w:sz w:val="24"/>
          <w:highlight w:val="none"/>
          <w14:textFill>
            <w14:solidFill>
              <w14:schemeClr w14:val="tx1"/>
            </w14:solidFill>
          </w14:textFill>
        </w:rPr>
      </w:pPr>
      <w:r>
        <w:rPr>
          <w:rFonts w:hint="eastAsia" w:ascii="宋体" w:hAnsi="宋体" w:eastAsia="宋体" w:cs="宋体"/>
          <w:snapToGrid/>
          <w:color w:val="000000" w:themeColor="text1"/>
          <w:kern w:val="2"/>
          <w:sz w:val="24"/>
          <w:highlight w:val="none"/>
          <w14:textFill>
            <w14:solidFill>
              <w14:schemeClr w14:val="tx1"/>
            </w14:solidFill>
          </w14:textFill>
        </w:rPr>
        <w:t>4.3.2.1对</w:t>
      </w:r>
      <w:r>
        <w:rPr>
          <w:rFonts w:hint="eastAsia" w:ascii="宋体" w:hAnsi="宋体" w:eastAsia="宋体" w:cs="宋体"/>
          <w:snapToGrid/>
          <w:color w:val="000000" w:themeColor="text1"/>
          <w:kern w:val="2"/>
          <w:sz w:val="24"/>
          <w:highlight w:val="none"/>
          <w:lang w:eastAsia="zh-CN"/>
          <w14:textFill>
            <w14:solidFill>
              <w14:schemeClr w14:val="tx1"/>
            </w14:solidFill>
          </w14:textFill>
        </w:rPr>
        <w:t>投标文件</w:t>
      </w:r>
      <w:r>
        <w:rPr>
          <w:rFonts w:hint="eastAsia" w:ascii="宋体" w:hAnsi="宋体" w:eastAsia="宋体" w:cs="宋体"/>
          <w:snapToGrid/>
          <w:color w:val="000000" w:themeColor="text1"/>
          <w:kern w:val="2"/>
          <w:sz w:val="24"/>
          <w:highlight w:val="none"/>
          <w14:textFill>
            <w14:solidFill>
              <w14:schemeClr w14:val="tx1"/>
            </w14:solidFill>
          </w14:textFill>
        </w:rPr>
        <w:t>提出质疑的，质疑期限为供应商获得</w:t>
      </w:r>
      <w:r>
        <w:rPr>
          <w:rFonts w:hint="eastAsia" w:ascii="宋体" w:hAnsi="宋体" w:eastAsia="宋体" w:cs="宋体"/>
          <w:snapToGrid/>
          <w:color w:val="000000" w:themeColor="text1"/>
          <w:kern w:val="2"/>
          <w:sz w:val="24"/>
          <w:highlight w:val="none"/>
          <w:lang w:eastAsia="zh-CN"/>
          <w14:textFill>
            <w14:solidFill>
              <w14:schemeClr w14:val="tx1"/>
            </w14:solidFill>
          </w14:textFill>
        </w:rPr>
        <w:t>投标文件</w:t>
      </w:r>
      <w:r>
        <w:rPr>
          <w:rFonts w:hint="eastAsia" w:ascii="宋体" w:hAnsi="宋体" w:eastAsia="宋体" w:cs="宋体"/>
          <w:snapToGrid/>
          <w:color w:val="000000" w:themeColor="text1"/>
          <w:kern w:val="2"/>
          <w:sz w:val="24"/>
          <w:highlight w:val="none"/>
          <w14:textFill>
            <w14:solidFill>
              <w14:schemeClr w14:val="tx1"/>
            </w14:solidFill>
          </w14:textFill>
        </w:rPr>
        <w:t>之日或者</w:t>
      </w:r>
      <w:r>
        <w:rPr>
          <w:rFonts w:hint="eastAsia" w:ascii="宋体" w:hAnsi="宋体" w:eastAsia="宋体" w:cs="宋体"/>
          <w:snapToGrid/>
          <w:color w:val="000000" w:themeColor="text1"/>
          <w:kern w:val="2"/>
          <w:sz w:val="24"/>
          <w:highlight w:val="none"/>
          <w:lang w:eastAsia="zh-CN"/>
          <w14:textFill>
            <w14:solidFill>
              <w14:schemeClr w14:val="tx1"/>
            </w14:solidFill>
          </w14:textFill>
        </w:rPr>
        <w:t>投标文件</w:t>
      </w:r>
      <w:r>
        <w:rPr>
          <w:rFonts w:hint="eastAsia" w:ascii="宋体" w:hAnsi="宋体" w:eastAsia="宋体" w:cs="宋体"/>
          <w:snapToGrid/>
          <w:color w:val="000000" w:themeColor="text1"/>
          <w:kern w:val="2"/>
          <w:sz w:val="24"/>
          <w:highlight w:val="none"/>
          <w14:textFill>
            <w14:solidFill>
              <w14:schemeClr w14:val="tx1"/>
            </w14:solidFill>
          </w14:textFill>
        </w:rPr>
        <w:t>公告期限届满之日起计算。</w:t>
      </w:r>
    </w:p>
    <w:p>
      <w:pPr>
        <w:pStyle w:val="34"/>
        <w:spacing w:line="360" w:lineRule="auto"/>
        <w:ind w:left="479" w:leftChars="228"/>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4.3.2.2对采购过程提出质疑的，质疑期限为各采购程序环节结束之日起计算。4.3.2.3对采购结果提出质疑的，质疑期限自采购结果公告期限届满之日起计算。</w:t>
      </w:r>
    </w:p>
    <w:p>
      <w:pPr>
        <w:pStyle w:val="34"/>
        <w:spacing w:line="360" w:lineRule="auto"/>
        <w:ind w:firstLine="480" w:firstLineChars="200"/>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4.3.3</w:t>
      </w:r>
      <w:r>
        <w:rPr>
          <w:rFonts w:hint="eastAsia" w:ascii="宋体" w:hAnsi="宋体" w:eastAsia="宋体" w:cs="宋体"/>
          <w:color w:val="000000" w:themeColor="text1"/>
          <w:sz w:val="24"/>
          <w:highlight w:val="none"/>
          <w14:textFill>
            <w14:solidFill>
              <w14:schemeClr w14:val="tx1"/>
            </w14:solidFill>
          </w14:textFill>
        </w:rPr>
        <w:t>供应商提出质疑应当提交质疑函和必要的证明材料。质疑函应当包括下列内容：</w:t>
      </w:r>
    </w:p>
    <w:p>
      <w:pPr>
        <w:pStyle w:val="34"/>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4.3.3.1供应商的姓名或者名称、地址、邮编、联系人及联系电话；</w:t>
      </w:r>
    </w:p>
    <w:p>
      <w:pPr>
        <w:pStyle w:val="34"/>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4.3.3.2质疑项目的名称、编号；</w:t>
      </w:r>
    </w:p>
    <w:p>
      <w:pPr>
        <w:pStyle w:val="34"/>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4.3.3.3具体、明确的质疑事项和与质疑事项相关的请求；</w:t>
      </w:r>
    </w:p>
    <w:p>
      <w:pPr>
        <w:pStyle w:val="34"/>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4.3.3.4事实依据；</w:t>
      </w:r>
    </w:p>
    <w:p>
      <w:pPr>
        <w:pStyle w:val="34"/>
        <w:keepNext w:val="0"/>
        <w:keepLines w:val="0"/>
        <w:pageBreakBefore w:val="0"/>
        <w:widowControl w:val="0"/>
        <w:kinsoku/>
        <w:wordWrap/>
        <w:overflowPunct/>
        <w:topLinePunct w:val="0"/>
        <w:autoSpaceDE/>
        <w:autoSpaceDN/>
        <w:bidi w:val="0"/>
        <w:adjustRightInd/>
        <w:snapToGrid/>
        <w:spacing w:beforeAutospacing="0" w:line="360" w:lineRule="auto"/>
        <w:ind w:firstLine="480" w:firstLineChars="200"/>
        <w:jc w:val="left"/>
        <w:textAlignment w:val="auto"/>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4.3.3.5必要的法律依据；</w:t>
      </w:r>
    </w:p>
    <w:p>
      <w:pPr>
        <w:pStyle w:val="34"/>
        <w:keepNext w:val="0"/>
        <w:keepLines w:val="0"/>
        <w:pageBreakBefore w:val="0"/>
        <w:widowControl w:val="0"/>
        <w:kinsoku/>
        <w:wordWrap/>
        <w:overflowPunct/>
        <w:topLinePunct w:val="0"/>
        <w:autoSpaceDE/>
        <w:autoSpaceDN/>
        <w:bidi w:val="0"/>
        <w:adjustRightInd/>
        <w:snapToGrid/>
        <w:spacing w:beforeAutospacing="0" w:line="360" w:lineRule="auto"/>
        <w:ind w:firstLine="480" w:firstLineChars="200"/>
        <w:jc w:val="left"/>
        <w:textAlignment w:val="auto"/>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4.3.3.6提出质疑的日期。</w:t>
      </w:r>
    </w:p>
    <w:p>
      <w:pPr>
        <w:pStyle w:val="88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400"/>
        <w:contextualSpacing/>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供应商提交的质疑函需一式三份。供应商为自然人的，应当由本人签字；供应商为法人或者其他组织的，应当由法定代表人、主要负责人，或者其授权代表签字或者盖章，并加盖公章。</w:t>
      </w:r>
    </w:p>
    <w:p>
      <w:pPr>
        <w:pStyle w:val="88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400"/>
        <w:contextualSpacing/>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质疑函范本及制作说明详见附件2。</w:t>
      </w:r>
    </w:p>
    <w:p>
      <w:pPr>
        <w:pStyle w:val="887"/>
        <w:shd w:val="clear" w:color="auto" w:fill="FFFFFF"/>
        <w:snapToGrid w:val="0"/>
        <w:spacing w:after="240" w:afterAutospacing="0" w:line="360" w:lineRule="auto"/>
        <w:ind w:firstLine="400"/>
        <w:contextualSpacing/>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4.3.4对同一采购程序环节的质疑，供应商须在法定质疑期内一次性提出。</w:t>
      </w:r>
    </w:p>
    <w:p>
      <w:pPr>
        <w:pStyle w:val="887"/>
        <w:shd w:val="clear" w:color="auto" w:fill="FFFFFF"/>
        <w:snapToGrid w:val="0"/>
        <w:spacing w:after="240" w:afterAutospacing="0" w:line="360" w:lineRule="auto"/>
        <w:ind w:firstLine="400"/>
        <w:contextualSpacing/>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lang w:val="zh-CN"/>
          <w14:textFill>
            <w14:solidFill>
              <w14:schemeClr w14:val="tx1"/>
            </w14:solidFill>
          </w14:textFill>
        </w:rPr>
        <w:t>4.3</w:t>
      </w:r>
      <w:r>
        <w:rPr>
          <w:rFonts w:hint="eastAsia" w:ascii="宋体" w:hAnsi="宋体" w:eastAsia="宋体" w:cs="宋体"/>
          <w:color w:val="000000" w:themeColor="text1"/>
          <w:highlight w:val="none"/>
          <w14:textFill>
            <w14:solidFill>
              <w14:schemeClr w14:val="tx1"/>
            </w14:solidFill>
          </w14:textFill>
        </w:rPr>
        <w:t>.5采购人或者</w:t>
      </w:r>
      <w:r>
        <w:rPr>
          <w:rFonts w:hint="eastAsia" w:ascii="宋体" w:hAnsi="宋体" w:eastAsia="宋体" w:cs="宋体"/>
          <w:color w:val="000000" w:themeColor="text1"/>
          <w:highlight w:val="none"/>
          <w:lang w:eastAsia="zh-CN"/>
          <w14:textFill>
            <w14:solidFill>
              <w14:schemeClr w14:val="tx1"/>
            </w14:solidFill>
          </w14:textFill>
        </w:rPr>
        <w:t>采购代理机构</w:t>
      </w:r>
      <w:r>
        <w:rPr>
          <w:rFonts w:hint="eastAsia" w:ascii="宋体" w:hAnsi="宋体" w:eastAsia="宋体" w:cs="宋体"/>
          <w:color w:val="000000" w:themeColor="text1"/>
          <w:highlight w:val="none"/>
          <w14:textFill>
            <w14:solidFill>
              <w14:schemeClr w14:val="tx1"/>
            </w14:solidFill>
          </w14:textFill>
        </w:rPr>
        <w:t>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w:t>
      </w:r>
      <w:r>
        <w:rPr>
          <w:rFonts w:hint="eastAsia" w:ascii="宋体" w:hAnsi="宋体" w:eastAsia="宋体" w:cs="宋体"/>
          <w:color w:val="000000" w:themeColor="text1"/>
          <w:highlight w:val="none"/>
          <w:lang w:eastAsia="zh-CN"/>
          <w14:textFill>
            <w14:solidFill>
              <w14:schemeClr w14:val="tx1"/>
            </w14:solidFill>
          </w14:textFill>
        </w:rPr>
        <w:t>采购代理机构</w:t>
      </w:r>
      <w:r>
        <w:rPr>
          <w:rFonts w:hint="eastAsia" w:ascii="宋体" w:hAnsi="宋体" w:eastAsia="宋体" w:cs="宋体"/>
          <w:color w:val="000000" w:themeColor="text1"/>
          <w:highlight w:val="none"/>
          <w14:textFill>
            <w14:solidFill>
              <w14:schemeClr w14:val="tx1"/>
            </w14:solidFill>
          </w14:textFill>
        </w:rPr>
        <w:t>在质疑回复后5个工作日内，在浙江政府采购网的“其他公告”栏目公开质疑答复，答复内容应当完整。质疑函作为附件上传。</w:t>
      </w:r>
    </w:p>
    <w:p>
      <w:pPr>
        <w:pStyle w:val="887"/>
        <w:shd w:val="clear" w:color="auto" w:fill="FFFFFF"/>
        <w:snapToGrid w:val="0"/>
        <w:spacing w:after="240" w:afterAutospacing="0" w:line="360" w:lineRule="auto"/>
        <w:ind w:firstLine="400"/>
        <w:contextualSpacing/>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lang w:val="zh-CN"/>
          <w14:textFill>
            <w14:solidFill>
              <w14:schemeClr w14:val="tx1"/>
            </w14:solidFill>
          </w14:textFill>
        </w:rPr>
        <w:t>4.3</w:t>
      </w:r>
      <w:r>
        <w:rPr>
          <w:rFonts w:hint="eastAsia" w:ascii="宋体" w:hAnsi="宋体" w:eastAsia="宋体" w:cs="宋体"/>
          <w:color w:val="000000" w:themeColor="text1"/>
          <w:highlight w:val="none"/>
          <w14:textFill>
            <w14:solidFill>
              <w14:schemeClr w14:val="tx1"/>
            </w14:solidFill>
          </w14:textFill>
        </w:rPr>
        <w:t>.6询问或者质疑事项可能影响采购结果的，采购人应当暂停签订合同，已经签订合同的，应当中止履行合同。</w:t>
      </w:r>
    </w:p>
    <w:p>
      <w:pPr>
        <w:pStyle w:val="887"/>
        <w:shd w:val="clear" w:color="auto" w:fill="FFFFFF"/>
        <w:snapToGrid w:val="0"/>
        <w:spacing w:after="240" w:afterAutospacing="0" w:line="360" w:lineRule="auto"/>
        <w:ind w:firstLine="480" w:firstLineChars="200"/>
        <w:contextualSpacing/>
        <w:rPr>
          <w:rFonts w:hint="eastAsia" w:ascii="宋体" w:hAnsi="宋体" w:eastAsia="宋体" w:cs="宋体"/>
          <w:color w:val="000000" w:themeColor="text1"/>
          <w:highlight w:val="none"/>
          <w:lang w:val="zh-CN"/>
          <w14:textFill>
            <w14:solidFill>
              <w14:schemeClr w14:val="tx1"/>
            </w14:solidFill>
          </w14:textFill>
        </w:rPr>
      </w:pPr>
      <w:r>
        <w:rPr>
          <w:rFonts w:hint="eastAsia" w:ascii="宋体" w:hAnsi="宋体" w:eastAsia="宋体" w:cs="宋体"/>
          <w:color w:val="000000" w:themeColor="text1"/>
          <w:highlight w:val="none"/>
          <w:lang w:val="zh-CN"/>
          <w14:textFill>
            <w14:solidFill>
              <w14:schemeClr w14:val="tx1"/>
            </w14:solidFill>
          </w14:textFill>
        </w:rPr>
        <w:t>4.4供应商投诉</w:t>
      </w:r>
    </w:p>
    <w:p>
      <w:pPr>
        <w:pStyle w:val="887"/>
        <w:shd w:val="clear" w:color="auto" w:fill="FFFFFF"/>
        <w:snapToGrid w:val="0"/>
        <w:spacing w:after="240" w:afterAutospacing="0" w:line="360" w:lineRule="auto"/>
        <w:ind w:firstLine="400"/>
        <w:contextualSpacing/>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4.4.1质疑供应商对采购人、</w:t>
      </w:r>
      <w:r>
        <w:rPr>
          <w:rFonts w:hint="eastAsia" w:ascii="宋体" w:hAnsi="宋体" w:eastAsia="宋体" w:cs="宋体"/>
          <w:color w:val="000000" w:themeColor="text1"/>
          <w:highlight w:val="none"/>
          <w:lang w:eastAsia="zh-CN"/>
          <w14:textFill>
            <w14:solidFill>
              <w14:schemeClr w14:val="tx1"/>
            </w14:solidFill>
          </w14:textFill>
        </w:rPr>
        <w:t>采购代理机构</w:t>
      </w:r>
      <w:r>
        <w:rPr>
          <w:rFonts w:hint="eastAsia" w:ascii="宋体" w:hAnsi="宋体" w:eastAsia="宋体" w:cs="宋体"/>
          <w:color w:val="000000" w:themeColor="text1"/>
          <w:highlight w:val="none"/>
          <w14:textFill>
            <w14:solidFill>
              <w14:schemeClr w14:val="tx1"/>
            </w14:solidFill>
          </w14:textFill>
        </w:rPr>
        <w:t>的答复不满意或者采购人、</w:t>
      </w:r>
      <w:r>
        <w:rPr>
          <w:rFonts w:hint="eastAsia" w:ascii="宋体" w:hAnsi="宋体" w:eastAsia="宋体" w:cs="宋体"/>
          <w:color w:val="000000" w:themeColor="text1"/>
          <w:highlight w:val="none"/>
          <w:lang w:eastAsia="zh-CN"/>
          <w14:textFill>
            <w14:solidFill>
              <w14:schemeClr w14:val="tx1"/>
            </w14:solidFill>
          </w14:textFill>
        </w:rPr>
        <w:t>采购代理机构</w:t>
      </w:r>
      <w:r>
        <w:rPr>
          <w:rFonts w:hint="eastAsia" w:ascii="宋体" w:hAnsi="宋体" w:eastAsia="宋体" w:cs="宋体"/>
          <w:color w:val="000000" w:themeColor="text1"/>
          <w:highlight w:val="none"/>
          <w14:textFill>
            <w14:solidFill>
              <w14:schemeClr w14:val="tx1"/>
            </w14:solidFill>
          </w14:textFill>
        </w:rPr>
        <w:t>未在规定的时间内作出答复的，可以在答复期满后十五个工作日内向同级政府采购监督管理部门提出投诉。</w:t>
      </w:r>
    </w:p>
    <w:p>
      <w:pPr>
        <w:pStyle w:val="887"/>
        <w:shd w:val="clear" w:color="auto" w:fill="FFFFFF"/>
        <w:snapToGrid w:val="0"/>
        <w:spacing w:after="240" w:afterAutospacing="0" w:line="360" w:lineRule="auto"/>
        <w:ind w:firstLine="400"/>
        <w:contextualSpacing/>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4.4.</w:t>
      </w:r>
      <w:r>
        <w:rPr>
          <w:rFonts w:hint="eastAsia" w:ascii="宋体" w:hAnsi="宋体" w:eastAsia="宋体" w:cs="宋体"/>
          <w:color w:val="000000" w:themeColor="text1"/>
          <w:highlight w:val="none"/>
          <w:lang w:val="zh-CN"/>
          <w14:textFill>
            <w14:solidFill>
              <w14:schemeClr w14:val="tx1"/>
            </w14:solidFill>
          </w14:textFill>
        </w:rPr>
        <w:t>2</w:t>
      </w:r>
      <w:r>
        <w:rPr>
          <w:rFonts w:hint="eastAsia" w:ascii="宋体" w:hAnsi="宋体" w:eastAsia="宋体" w:cs="宋体"/>
          <w:color w:val="000000" w:themeColor="text1"/>
          <w:highlight w:val="none"/>
          <w14:textFill>
            <w14:solidFill>
              <w14:schemeClr w14:val="tx1"/>
            </w14:solidFill>
          </w14:textFill>
        </w:rPr>
        <w:t>供应商投诉的事项不得超出已质疑事项的范围，基于质疑答复内容提出的投诉事项除外。</w:t>
      </w:r>
    </w:p>
    <w:p>
      <w:pPr>
        <w:pStyle w:val="887"/>
        <w:shd w:val="clear" w:color="auto" w:fill="FFFFFF"/>
        <w:snapToGrid w:val="0"/>
        <w:spacing w:after="240" w:afterAutospacing="0" w:line="360" w:lineRule="auto"/>
        <w:ind w:firstLine="400"/>
        <w:contextualSpacing/>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4.4.3供应商投诉应当有明确的请求和必要的证明材料。</w:t>
      </w:r>
    </w:p>
    <w:p>
      <w:pPr>
        <w:pStyle w:val="887"/>
        <w:shd w:val="clear" w:color="auto" w:fill="FFFFFF"/>
        <w:snapToGrid w:val="0"/>
        <w:spacing w:after="240" w:afterAutospacing="0" w:line="360" w:lineRule="auto"/>
        <w:ind w:firstLine="400"/>
        <w:contextualSpacing/>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4.4.4以联合体形式参加政府采购活动的，其投诉应当由组成联合体的所有供应商共同提出。</w:t>
      </w:r>
    </w:p>
    <w:p>
      <w:pPr>
        <w:pStyle w:val="887"/>
        <w:shd w:val="clear" w:color="auto" w:fill="FFFFFF"/>
        <w:snapToGrid w:val="0"/>
        <w:spacing w:after="240" w:afterAutospacing="0" w:line="360" w:lineRule="auto"/>
        <w:ind w:firstLine="400"/>
        <w:contextualSpacing/>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4.4.5根据政府采购行政裁决省市区三级联动试点工作安排，杭州市本级、拱墅区、富阳区政府采购项目投诉材料可寄送至浙江省政府采购行政裁决服务中心（杭州），地址：杭州市上城区四季青街道新业路市民之家G03办公室，收件人：朱女士、王女士，电话：0571-85252453。</w:t>
      </w:r>
    </w:p>
    <w:p>
      <w:pPr>
        <w:pStyle w:val="887"/>
        <w:shd w:val="clear" w:color="auto" w:fill="FFFFFF"/>
        <w:snapToGrid w:val="0"/>
        <w:spacing w:after="240" w:afterAutospacing="0" w:line="360" w:lineRule="auto"/>
        <w:ind w:firstLine="400"/>
        <w:contextualSpacing/>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投诉书范本及制作说明详见附件3。</w:t>
      </w:r>
    </w:p>
    <w:p>
      <w:pPr>
        <w:pStyle w:val="131"/>
        <w:snapToGrid w:val="0"/>
        <w:spacing w:before="0"/>
        <w:ind w:firstLine="360"/>
        <w:rPr>
          <w:rFonts w:hint="eastAsia" w:ascii="宋体" w:hAnsi="宋体" w:eastAsia="宋体" w:cs="宋体"/>
          <w:color w:val="000000" w:themeColor="text1"/>
          <w:sz w:val="18"/>
          <w:szCs w:val="18"/>
          <w:highlight w:val="none"/>
          <w14:textFill>
            <w14:solidFill>
              <w14:schemeClr w14:val="tx1"/>
            </w14:solidFill>
          </w14:textFill>
        </w:rPr>
      </w:pPr>
    </w:p>
    <w:p>
      <w:pPr>
        <w:adjustRightInd/>
        <w:spacing w:line="360" w:lineRule="auto"/>
        <w:jc w:val="center"/>
        <w:outlineLvl w:val="0"/>
        <w:rPr>
          <w:rFonts w:hint="eastAsia" w:ascii="宋体" w:hAnsi="宋体" w:eastAsia="宋体" w:cs="宋体"/>
          <w:b/>
          <w:color w:val="000000" w:themeColor="text1"/>
          <w:sz w:val="32"/>
          <w:szCs w:val="20"/>
          <w:highlight w:val="none"/>
          <w14:textFill>
            <w14:solidFill>
              <w14:schemeClr w14:val="tx1"/>
            </w14:solidFill>
          </w14:textFill>
        </w:rPr>
      </w:pPr>
      <w:r>
        <w:rPr>
          <w:rFonts w:hint="eastAsia" w:ascii="宋体" w:hAnsi="宋体" w:eastAsia="宋体" w:cs="宋体"/>
          <w:b/>
          <w:color w:val="000000" w:themeColor="text1"/>
          <w:sz w:val="32"/>
          <w:szCs w:val="20"/>
          <w:highlight w:val="none"/>
          <w14:textFill>
            <w14:solidFill>
              <w14:schemeClr w14:val="tx1"/>
            </w14:solidFill>
          </w14:textFill>
        </w:rPr>
        <w:t xml:space="preserve">      二、</w:t>
      </w:r>
      <w:r>
        <w:rPr>
          <w:rFonts w:hint="eastAsia" w:ascii="宋体" w:hAnsi="宋体" w:eastAsia="宋体" w:cs="宋体"/>
          <w:b/>
          <w:color w:val="000000" w:themeColor="text1"/>
          <w:sz w:val="32"/>
          <w:szCs w:val="20"/>
          <w:highlight w:val="none"/>
          <w:lang w:eastAsia="zh-CN"/>
          <w14:textFill>
            <w14:solidFill>
              <w14:schemeClr w14:val="tx1"/>
            </w14:solidFill>
          </w14:textFill>
        </w:rPr>
        <w:t>投标文件</w:t>
      </w:r>
      <w:r>
        <w:rPr>
          <w:rFonts w:hint="eastAsia" w:ascii="宋体" w:hAnsi="宋体" w:eastAsia="宋体" w:cs="宋体"/>
          <w:b/>
          <w:color w:val="000000" w:themeColor="text1"/>
          <w:sz w:val="32"/>
          <w:szCs w:val="20"/>
          <w:highlight w:val="none"/>
          <w14:textFill>
            <w14:solidFill>
              <w14:schemeClr w14:val="tx1"/>
            </w14:solidFill>
          </w14:textFill>
        </w:rPr>
        <w:t>的构成、澄清、修改</w:t>
      </w:r>
    </w:p>
    <w:p>
      <w:pPr>
        <w:pStyle w:val="34"/>
        <w:spacing w:line="360" w:lineRule="auto"/>
        <w:rPr>
          <w:rFonts w:hint="eastAsia"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b/>
          <w:color w:val="000000" w:themeColor="text1"/>
          <w:sz w:val="24"/>
          <w:szCs w:val="24"/>
          <w:highlight w:val="none"/>
          <w14:textFill>
            <w14:solidFill>
              <w14:schemeClr w14:val="tx1"/>
            </w14:solidFill>
          </w14:textFill>
        </w:rPr>
        <w:t>5．</w:t>
      </w:r>
      <w:r>
        <w:rPr>
          <w:rFonts w:hint="eastAsia" w:ascii="宋体" w:hAnsi="宋体" w:eastAsia="宋体" w:cs="宋体"/>
          <w:b/>
          <w:color w:val="000000" w:themeColor="text1"/>
          <w:sz w:val="24"/>
          <w:szCs w:val="24"/>
          <w:highlight w:val="none"/>
          <w:lang w:eastAsia="zh-CN"/>
          <w14:textFill>
            <w14:solidFill>
              <w14:schemeClr w14:val="tx1"/>
            </w14:solidFill>
          </w14:textFill>
        </w:rPr>
        <w:t>投标文件</w:t>
      </w:r>
      <w:r>
        <w:rPr>
          <w:rFonts w:hint="eastAsia" w:ascii="宋体" w:hAnsi="宋体" w:eastAsia="宋体" w:cs="宋体"/>
          <w:b/>
          <w:color w:val="000000" w:themeColor="text1"/>
          <w:sz w:val="24"/>
          <w:szCs w:val="24"/>
          <w:highlight w:val="none"/>
          <w14:textFill>
            <w14:solidFill>
              <w14:schemeClr w14:val="tx1"/>
            </w14:solidFill>
          </w14:textFill>
        </w:rPr>
        <w:t>的构成</w:t>
      </w:r>
    </w:p>
    <w:p>
      <w:pPr>
        <w:pStyle w:val="34"/>
        <w:spacing w:line="360" w:lineRule="auto"/>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xml:space="preserve">5.1 </w:t>
      </w:r>
      <w:r>
        <w:rPr>
          <w:rFonts w:hint="eastAsia" w:ascii="宋体" w:hAnsi="宋体" w:eastAsia="宋体" w:cs="宋体"/>
          <w:color w:val="000000" w:themeColor="text1"/>
          <w:sz w:val="24"/>
          <w:szCs w:val="24"/>
          <w:highlight w:val="none"/>
          <w:lang w:eastAsia="zh-CN"/>
          <w14:textFill>
            <w14:solidFill>
              <w14:schemeClr w14:val="tx1"/>
            </w14:solidFill>
          </w14:textFill>
        </w:rPr>
        <w:t>投标文件</w:t>
      </w:r>
      <w:r>
        <w:rPr>
          <w:rFonts w:hint="eastAsia" w:ascii="宋体" w:hAnsi="宋体" w:eastAsia="宋体" w:cs="宋体"/>
          <w:color w:val="000000" w:themeColor="text1"/>
          <w:sz w:val="24"/>
          <w:szCs w:val="24"/>
          <w:highlight w:val="none"/>
          <w14:textFill>
            <w14:solidFill>
              <w14:schemeClr w14:val="tx1"/>
            </w14:solidFill>
          </w14:textFill>
        </w:rPr>
        <w:t>包括下列文件及附件：</w:t>
      </w:r>
    </w:p>
    <w:p>
      <w:pPr>
        <w:pStyle w:val="34"/>
        <w:tabs>
          <w:tab w:val="left" w:pos="840"/>
        </w:tabs>
        <w:spacing w:line="360" w:lineRule="auto"/>
        <w:ind w:firstLine="960" w:firstLineChars="4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5.1.1招标公告；</w:t>
      </w:r>
    </w:p>
    <w:p>
      <w:pPr>
        <w:pStyle w:val="34"/>
        <w:tabs>
          <w:tab w:val="left" w:pos="840"/>
        </w:tabs>
        <w:spacing w:line="360" w:lineRule="auto"/>
        <w:ind w:firstLine="960" w:firstLineChars="4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5.1.2</w:t>
      </w:r>
      <w:r>
        <w:rPr>
          <w:rFonts w:hint="eastAsia" w:ascii="宋体" w:hAnsi="宋体" w:eastAsia="宋体" w:cs="宋体"/>
          <w:color w:val="000000" w:themeColor="text1"/>
          <w:sz w:val="24"/>
          <w:szCs w:val="24"/>
          <w:highlight w:val="none"/>
          <w:lang w:eastAsia="zh-CN"/>
          <w14:textFill>
            <w14:solidFill>
              <w14:schemeClr w14:val="tx1"/>
            </w14:solidFill>
          </w14:textFill>
        </w:rPr>
        <w:t>供应商</w:t>
      </w:r>
      <w:r>
        <w:rPr>
          <w:rFonts w:hint="eastAsia" w:ascii="宋体" w:hAnsi="宋体" w:eastAsia="宋体" w:cs="宋体"/>
          <w:color w:val="000000" w:themeColor="text1"/>
          <w:sz w:val="24"/>
          <w:szCs w:val="24"/>
          <w:highlight w:val="none"/>
          <w14:textFill>
            <w14:solidFill>
              <w14:schemeClr w14:val="tx1"/>
            </w14:solidFill>
          </w14:textFill>
        </w:rPr>
        <w:t>须知；</w:t>
      </w:r>
    </w:p>
    <w:p>
      <w:pPr>
        <w:pStyle w:val="34"/>
        <w:tabs>
          <w:tab w:val="left" w:pos="840"/>
        </w:tabs>
        <w:spacing w:line="360" w:lineRule="auto"/>
        <w:ind w:firstLine="960" w:firstLineChars="4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5.1.3采购需求；</w:t>
      </w:r>
    </w:p>
    <w:p>
      <w:pPr>
        <w:pStyle w:val="34"/>
        <w:tabs>
          <w:tab w:val="left" w:pos="840"/>
        </w:tabs>
        <w:spacing w:line="360" w:lineRule="auto"/>
        <w:ind w:firstLine="960" w:firstLineChars="4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5.1.4评标办法；</w:t>
      </w:r>
    </w:p>
    <w:p>
      <w:pPr>
        <w:pStyle w:val="34"/>
        <w:tabs>
          <w:tab w:val="left" w:pos="840"/>
        </w:tabs>
        <w:spacing w:line="360" w:lineRule="auto"/>
        <w:ind w:firstLine="960" w:firstLineChars="4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5.1.5拟签订的合同文本；</w:t>
      </w:r>
    </w:p>
    <w:p>
      <w:pPr>
        <w:pStyle w:val="34"/>
        <w:tabs>
          <w:tab w:val="left" w:pos="840"/>
        </w:tabs>
        <w:spacing w:line="360" w:lineRule="auto"/>
        <w:ind w:firstLine="960" w:firstLineChars="4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5.1.6</w:t>
      </w:r>
      <w:r>
        <w:rPr>
          <w:rFonts w:hint="eastAsia" w:ascii="宋体" w:hAnsi="宋体" w:eastAsia="宋体" w:cs="宋体"/>
          <w:color w:val="000000" w:themeColor="text1"/>
          <w:sz w:val="24"/>
          <w:szCs w:val="24"/>
          <w:highlight w:val="none"/>
          <w14:textFill>
            <w14:solidFill>
              <w14:schemeClr w14:val="tx1"/>
            </w14:solidFill>
          </w14:textFill>
        </w:rPr>
        <w:t>应提交的有关格式范例。</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5.2与本项目有关的</w:t>
      </w:r>
      <w:r>
        <w:rPr>
          <w:rFonts w:hint="eastAsia" w:ascii="宋体" w:hAnsi="宋体" w:eastAsia="宋体" w:cs="宋体"/>
          <w:bCs/>
          <w:color w:val="000000" w:themeColor="text1"/>
          <w:sz w:val="24"/>
          <w:highlight w:val="none"/>
          <w14:textFill>
            <w14:solidFill>
              <w14:schemeClr w14:val="tx1"/>
            </w14:solidFill>
          </w14:textFill>
        </w:rPr>
        <w:t>澄清或者修改的内容为</w:t>
      </w:r>
      <w:r>
        <w:rPr>
          <w:rFonts w:hint="eastAsia" w:ascii="宋体" w:hAnsi="宋体" w:eastAsia="宋体" w:cs="宋体"/>
          <w:bCs/>
          <w:color w:val="000000" w:themeColor="text1"/>
          <w:sz w:val="24"/>
          <w:highlight w:val="none"/>
          <w:lang w:eastAsia="zh-CN"/>
          <w14:textFill>
            <w14:solidFill>
              <w14:schemeClr w14:val="tx1"/>
            </w14:solidFill>
          </w14:textFill>
        </w:rPr>
        <w:t>投标文件</w:t>
      </w:r>
      <w:r>
        <w:rPr>
          <w:rFonts w:hint="eastAsia" w:ascii="宋体" w:hAnsi="宋体" w:eastAsia="宋体" w:cs="宋体"/>
          <w:bCs/>
          <w:color w:val="000000" w:themeColor="text1"/>
          <w:sz w:val="24"/>
          <w:highlight w:val="none"/>
          <w14:textFill>
            <w14:solidFill>
              <w14:schemeClr w14:val="tx1"/>
            </w14:solidFill>
          </w14:textFill>
        </w:rPr>
        <w:t>的组成部分</w:t>
      </w:r>
      <w:r>
        <w:rPr>
          <w:rFonts w:hint="eastAsia" w:ascii="宋体" w:hAnsi="宋体" w:eastAsia="宋体" w:cs="宋体"/>
          <w:color w:val="000000" w:themeColor="text1"/>
          <w:sz w:val="24"/>
          <w:highlight w:val="none"/>
          <w14:textFill>
            <w14:solidFill>
              <w14:schemeClr w14:val="tx1"/>
            </w14:solidFill>
          </w14:textFill>
        </w:rPr>
        <w:t>。</w:t>
      </w:r>
    </w:p>
    <w:p>
      <w:pPr>
        <w:pStyle w:val="34"/>
        <w:spacing w:line="360" w:lineRule="auto"/>
        <w:rPr>
          <w:rFonts w:hint="eastAsia"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b/>
          <w:color w:val="000000" w:themeColor="text1"/>
          <w:sz w:val="24"/>
          <w:szCs w:val="24"/>
          <w:highlight w:val="none"/>
          <w14:textFill>
            <w14:solidFill>
              <w14:schemeClr w14:val="tx1"/>
            </w14:solidFill>
          </w14:textFill>
        </w:rPr>
        <w:t xml:space="preserve">6. </w:t>
      </w:r>
      <w:r>
        <w:rPr>
          <w:rFonts w:hint="eastAsia" w:ascii="宋体" w:hAnsi="宋体" w:eastAsia="宋体" w:cs="宋体"/>
          <w:b/>
          <w:color w:val="000000" w:themeColor="text1"/>
          <w:sz w:val="24"/>
          <w:szCs w:val="24"/>
          <w:highlight w:val="none"/>
          <w:lang w:eastAsia="zh-CN"/>
          <w14:textFill>
            <w14:solidFill>
              <w14:schemeClr w14:val="tx1"/>
            </w14:solidFill>
          </w14:textFill>
        </w:rPr>
        <w:t>投标文件</w:t>
      </w:r>
      <w:r>
        <w:rPr>
          <w:rFonts w:hint="eastAsia" w:ascii="宋体" w:hAnsi="宋体" w:eastAsia="宋体" w:cs="宋体"/>
          <w:b/>
          <w:color w:val="000000" w:themeColor="text1"/>
          <w:sz w:val="24"/>
          <w:szCs w:val="24"/>
          <w:highlight w:val="none"/>
          <w14:textFill>
            <w14:solidFill>
              <w14:schemeClr w14:val="tx1"/>
            </w14:solidFill>
          </w14:textFill>
        </w:rPr>
        <w:t>的澄清、修改</w:t>
      </w:r>
    </w:p>
    <w:p>
      <w:pPr>
        <w:pStyle w:val="131"/>
        <w:snapToGrid w:val="0"/>
        <w:spacing w:before="0"/>
        <w:ind w:firstLine="480"/>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6.1已获取</w:t>
      </w:r>
      <w:r>
        <w:rPr>
          <w:rFonts w:hint="eastAsia" w:ascii="宋体" w:hAnsi="宋体" w:eastAsia="宋体" w:cs="宋体"/>
          <w:color w:val="000000" w:themeColor="text1"/>
          <w:highlight w:val="none"/>
          <w:lang w:eastAsia="zh-CN"/>
          <w14:textFill>
            <w14:solidFill>
              <w14:schemeClr w14:val="tx1"/>
            </w14:solidFill>
          </w14:textFill>
        </w:rPr>
        <w:t>投标文件</w:t>
      </w:r>
      <w:r>
        <w:rPr>
          <w:rFonts w:hint="eastAsia" w:ascii="宋体" w:hAnsi="宋体" w:eastAsia="宋体" w:cs="宋体"/>
          <w:color w:val="000000" w:themeColor="text1"/>
          <w:highlight w:val="none"/>
          <w14:textFill>
            <w14:solidFill>
              <w14:schemeClr w14:val="tx1"/>
            </w14:solidFill>
          </w14:textFill>
        </w:rPr>
        <w:t>的潜在</w:t>
      </w:r>
      <w:r>
        <w:rPr>
          <w:rFonts w:hint="eastAsia" w:ascii="宋体" w:hAnsi="宋体" w:eastAsia="宋体" w:cs="宋体"/>
          <w:color w:val="000000" w:themeColor="text1"/>
          <w:highlight w:val="none"/>
          <w:lang w:eastAsia="zh-CN"/>
          <w14:textFill>
            <w14:solidFill>
              <w14:schemeClr w14:val="tx1"/>
            </w14:solidFill>
          </w14:textFill>
        </w:rPr>
        <w:t>供应商</w:t>
      </w:r>
      <w:r>
        <w:rPr>
          <w:rFonts w:hint="eastAsia" w:ascii="宋体" w:hAnsi="宋体" w:eastAsia="宋体" w:cs="宋体"/>
          <w:color w:val="000000" w:themeColor="text1"/>
          <w:highlight w:val="none"/>
          <w14:textFill>
            <w14:solidFill>
              <w14:schemeClr w14:val="tx1"/>
            </w14:solidFill>
          </w14:textFill>
        </w:rPr>
        <w:t>，若有问题需要澄清，应于投标截止时间前，以书面形式向</w:t>
      </w:r>
      <w:r>
        <w:rPr>
          <w:rFonts w:hint="eastAsia" w:ascii="宋体" w:hAnsi="宋体" w:eastAsia="宋体" w:cs="宋体"/>
          <w:color w:val="000000" w:themeColor="text1"/>
          <w:highlight w:val="none"/>
          <w:lang w:eastAsia="zh-CN"/>
          <w14:textFill>
            <w14:solidFill>
              <w14:schemeClr w14:val="tx1"/>
            </w14:solidFill>
          </w14:textFill>
        </w:rPr>
        <w:t>采购代理机构</w:t>
      </w:r>
      <w:r>
        <w:rPr>
          <w:rFonts w:hint="eastAsia" w:ascii="宋体" w:hAnsi="宋体" w:eastAsia="宋体" w:cs="宋体"/>
          <w:color w:val="000000" w:themeColor="text1"/>
          <w:highlight w:val="none"/>
          <w14:textFill>
            <w14:solidFill>
              <w14:schemeClr w14:val="tx1"/>
            </w14:solidFill>
          </w14:textFill>
        </w:rPr>
        <w:t>提出。</w:t>
      </w:r>
    </w:p>
    <w:p>
      <w:pPr>
        <w:pStyle w:val="131"/>
        <w:snapToGrid w:val="0"/>
        <w:spacing w:before="0"/>
        <w:ind w:firstLine="480"/>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 xml:space="preserve">6.2 </w:t>
      </w:r>
      <w:r>
        <w:rPr>
          <w:rFonts w:hint="eastAsia" w:ascii="宋体" w:hAnsi="宋体" w:eastAsia="宋体" w:cs="宋体"/>
          <w:color w:val="000000" w:themeColor="text1"/>
          <w:highlight w:val="none"/>
          <w:lang w:eastAsia="zh-CN"/>
          <w14:textFill>
            <w14:solidFill>
              <w14:schemeClr w14:val="tx1"/>
            </w14:solidFill>
          </w14:textFill>
        </w:rPr>
        <w:t>采购代理机构</w:t>
      </w:r>
      <w:r>
        <w:rPr>
          <w:rFonts w:hint="eastAsia" w:ascii="宋体" w:hAnsi="宋体" w:eastAsia="宋体" w:cs="宋体"/>
          <w:color w:val="000000" w:themeColor="text1"/>
          <w:highlight w:val="none"/>
          <w14:textFill>
            <w14:solidFill>
              <w14:schemeClr w14:val="tx1"/>
            </w14:solidFill>
          </w14:textFill>
        </w:rPr>
        <w:t>对</w:t>
      </w:r>
      <w:r>
        <w:rPr>
          <w:rFonts w:hint="eastAsia" w:ascii="宋体" w:hAnsi="宋体" w:eastAsia="宋体" w:cs="宋体"/>
          <w:color w:val="000000" w:themeColor="text1"/>
          <w:highlight w:val="none"/>
          <w:lang w:eastAsia="zh-CN"/>
          <w14:textFill>
            <w14:solidFill>
              <w14:schemeClr w14:val="tx1"/>
            </w14:solidFill>
          </w14:textFill>
        </w:rPr>
        <w:t>投标文件</w:t>
      </w:r>
      <w:r>
        <w:rPr>
          <w:rFonts w:hint="eastAsia" w:ascii="宋体" w:hAnsi="宋体" w:eastAsia="宋体" w:cs="宋体"/>
          <w:color w:val="000000" w:themeColor="text1"/>
          <w:highlight w:val="none"/>
          <w14:textFill>
            <w14:solidFill>
              <w14:schemeClr w14:val="tx1"/>
            </w14:solidFill>
          </w14:textFill>
        </w:rPr>
        <w:t>进行澄清或修改的，将同时通过电子交易平台通知已获取</w:t>
      </w:r>
      <w:r>
        <w:rPr>
          <w:rFonts w:hint="eastAsia" w:ascii="宋体" w:hAnsi="宋体" w:eastAsia="宋体" w:cs="宋体"/>
          <w:color w:val="000000" w:themeColor="text1"/>
          <w:highlight w:val="none"/>
          <w:lang w:eastAsia="zh-CN"/>
          <w14:textFill>
            <w14:solidFill>
              <w14:schemeClr w14:val="tx1"/>
            </w14:solidFill>
          </w14:textFill>
        </w:rPr>
        <w:t>投标文件</w:t>
      </w:r>
      <w:r>
        <w:rPr>
          <w:rFonts w:hint="eastAsia" w:ascii="宋体" w:hAnsi="宋体" w:eastAsia="宋体" w:cs="宋体"/>
          <w:color w:val="000000" w:themeColor="text1"/>
          <w:highlight w:val="none"/>
          <w14:textFill>
            <w14:solidFill>
              <w14:schemeClr w14:val="tx1"/>
            </w14:solidFill>
          </w14:textFill>
        </w:rPr>
        <w:t>的潜在</w:t>
      </w:r>
      <w:r>
        <w:rPr>
          <w:rFonts w:hint="eastAsia" w:ascii="宋体" w:hAnsi="宋体" w:eastAsia="宋体" w:cs="宋体"/>
          <w:color w:val="000000" w:themeColor="text1"/>
          <w:highlight w:val="none"/>
          <w:lang w:eastAsia="zh-CN"/>
          <w14:textFill>
            <w14:solidFill>
              <w14:schemeClr w14:val="tx1"/>
            </w14:solidFill>
          </w14:textFill>
        </w:rPr>
        <w:t>供应商</w:t>
      </w:r>
      <w:r>
        <w:rPr>
          <w:rFonts w:hint="eastAsia" w:ascii="宋体" w:hAnsi="宋体" w:eastAsia="宋体" w:cs="宋体"/>
          <w:color w:val="000000" w:themeColor="text1"/>
          <w:highlight w:val="none"/>
          <w14:textFill>
            <w14:solidFill>
              <w14:schemeClr w14:val="tx1"/>
            </w14:solidFill>
          </w14:textFill>
        </w:rPr>
        <w:t>。依法应当公告的，将按规定公告，同时视情况延长投标截止时间和开标时间。该澄清或者修改的内容为</w:t>
      </w:r>
      <w:r>
        <w:rPr>
          <w:rFonts w:hint="eastAsia" w:ascii="宋体" w:hAnsi="宋体" w:eastAsia="宋体" w:cs="宋体"/>
          <w:color w:val="000000" w:themeColor="text1"/>
          <w:highlight w:val="none"/>
          <w:lang w:eastAsia="zh-CN"/>
          <w14:textFill>
            <w14:solidFill>
              <w14:schemeClr w14:val="tx1"/>
            </w14:solidFill>
          </w14:textFill>
        </w:rPr>
        <w:t>投标文件</w:t>
      </w:r>
      <w:r>
        <w:rPr>
          <w:rFonts w:hint="eastAsia" w:ascii="宋体" w:hAnsi="宋体" w:eastAsia="宋体" w:cs="宋体"/>
          <w:color w:val="000000" w:themeColor="text1"/>
          <w:highlight w:val="none"/>
          <w14:textFill>
            <w14:solidFill>
              <w14:schemeClr w14:val="tx1"/>
            </w14:solidFill>
          </w14:textFill>
        </w:rPr>
        <w:t>的组成部分。</w:t>
      </w:r>
    </w:p>
    <w:p>
      <w:pPr>
        <w:pStyle w:val="3"/>
        <w:rPr>
          <w:rFonts w:hint="eastAsia" w:ascii="宋体" w:hAnsi="宋体" w:eastAsia="宋体" w:cs="宋体"/>
          <w:color w:val="000000" w:themeColor="text1"/>
          <w:sz w:val="18"/>
          <w:szCs w:val="18"/>
          <w:highlight w:val="none"/>
          <w:lang w:val="en-US"/>
          <w14:textFill>
            <w14:solidFill>
              <w14:schemeClr w14:val="tx1"/>
            </w14:solidFill>
          </w14:textFill>
        </w:rPr>
      </w:pPr>
      <w:r>
        <w:rPr>
          <w:rFonts w:hint="eastAsia" w:ascii="宋体" w:hAnsi="宋体" w:eastAsia="宋体" w:cs="宋体"/>
          <w:color w:val="000000" w:themeColor="text1"/>
          <w:szCs w:val="24"/>
          <w:highlight w:val="none"/>
          <w:lang w:val="en-US"/>
          <w14:textFill>
            <w14:solidFill>
              <w14:schemeClr w14:val="tx1"/>
            </w14:solidFill>
          </w14:textFill>
        </w:rPr>
        <w:t xml:space="preserve">    </w:t>
      </w:r>
    </w:p>
    <w:p>
      <w:pPr>
        <w:adjustRightInd/>
        <w:spacing w:line="360" w:lineRule="auto"/>
        <w:jc w:val="center"/>
        <w:outlineLvl w:val="0"/>
        <w:rPr>
          <w:rFonts w:hint="eastAsia" w:ascii="宋体" w:hAnsi="宋体" w:eastAsia="宋体" w:cs="宋体"/>
          <w:b/>
          <w:color w:val="000000" w:themeColor="text1"/>
          <w:sz w:val="30"/>
          <w:szCs w:val="20"/>
          <w:highlight w:val="none"/>
          <w14:textFill>
            <w14:solidFill>
              <w14:schemeClr w14:val="tx1"/>
            </w14:solidFill>
          </w14:textFill>
        </w:rPr>
      </w:pPr>
      <w:r>
        <w:rPr>
          <w:rFonts w:hint="eastAsia" w:ascii="宋体" w:hAnsi="宋体" w:eastAsia="宋体" w:cs="宋体"/>
          <w:b/>
          <w:color w:val="000000" w:themeColor="text1"/>
          <w:sz w:val="30"/>
          <w:szCs w:val="20"/>
          <w:highlight w:val="none"/>
          <w14:textFill>
            <w14:solidFill>
              <w14:schemeClr w14:val="tx1"/>
            </w14:solidFill>
          </w14:textFill>
        </w:rPr>
        <w:t>三、投标</w:t>
      </w:r>
    </w:p>
    <w:p>
      <w:pPr>
        <w:pStyle w:val="34"/>
        <w:spacing w:line="360" w:lineRule="auto"/>
        <w:rPr>
          <w:rFonts w:hint="eastAsia"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b/>
          <w:color w:val="000000" w:themeColor="text1"/>
          <w:sz w:val="24"/>
          <w:szCs w:val="24"/>
          <w:highlight w:val="none"/>
          <w14:textFill>
            <w14:solidFill>
              <w14:schemeClr w14:val="tx1"/>
            </w14:solidFill>
          </w14:textFill>
        </w:rPr>
        <w:t xml:space="preserve">7. </w:t>
      </w:r>
      <w:r>
        <w:rPr>
          <w:rFonts w:hint="eastAsia" w:ascii="宋体" w:hAnsi="宋体" w:eastAsia="宋体" w:cs="宋体"/>
          <w:b/>
          <w:color w:val="000000" w:themeColor="text1"/>
          <w:sz w:val="24"/>
          <w:szCs w:val="24"/>
          <w:highlight w:val="none"/>
          <w:lang w:eastAsia="zh-CN"/>
          <w14:textFill>
            <w14:solidFill>
              <w14:schemeClr w14:val="tx1"/>
            </w14:solidFill>
          </w14:textFill>
        </w:rPr>
        <w:t>投标文件</w:t>
      </w:r>
      <w:r>
        <w:rPr>
          <w:rFonts w:hint="eastAsia" w:ascii="宋体" w:hAnsi="宋体" w:eastAsia="宋体" w:cs="宋体"/>
          <w:b/>
          <w:color w:val="000000" w:themeColor="text1"/>
          <w:sz w:val="24"/>
          <w:szCs w:val="24"/>
          <w:highlight w:val="none"/>
          <w14:textFill>
            <w14:solidFill>
              <w14:schemeClr w14:val="tx1"/>
            </w14:solidFill>
          </w14:textFill>
        </w:rPr>
        <w:t>的获取</w:t>
      </w:r>
    </w:p>
    <w:p>
      <w:pPr>
        <w:spacing w:line="360" w:lineRule="auto"/>
        <w:ind w:firstLine="480" w:firstLineChars="200"/>
        <w:rPr>
          <w:rFonts w:hint="eastAsia" w:ascii="宋体" w:hAnsi="宋体" w:eastAsia="宋体" w:cs="宋体"/>
          <w:snapToGrid w:val="0"/>
          <w:color w:val="000000" w:themeColor="text1"/>
          <w:kern w:val="28"/>
          <w:sz w:val="24"/>
          <w:highlight w:val="none"/>
          <w14:textFill>
            <w14:solidFill>
              <w14:schemeClr w14:val="tx1"/>
            </w14:solidFill>
          </w14:textFill>
        </w:rPr>
      </w:pPr>
      <w:r>
        <w:rPr>
          <w:rFonts w:hint="eastAsia" w:ascii="宋体" w:hAnsi="宋体" w:eastAsia="宋体" w:cs="宋体"/>
          <w:snapToGrid w:val="0"/>
          <w:color w:val="000000" w:themeColor="text1"/>
          <w:kern w:val="28"/>
          <w:sz w:val="24"/>
          <w:highlight w:val="none"/>
          <w14:textFill>
            <w14:solidFill>
              <w14:schemeClr w14:val="tx1"/>
            </w14:solidFill>
          </w14:textFill>
        </w:rPr>
        <w:t>详见招标公告中获取</w:t>
      </w:r>
      <w:r>
        <w:rPr>
          <w:rFonts w:hint="eastAsia" w:ascii="宋体" w:hAnsi="宋体" w:eastAsia="宋体" w:cs="宋体"/>
          <w:snapToGrid w:val="0"/>
          <w:color w:val="000000" w:themeColor="text1"/>
          <w:kern w:val="28"/>
          <w:sz w:val="24"/>
          <w:highlight w:val="none"/>
          <w:lang w:eastAsia="zh-CN"/>
          <w14:textFill>
            <w14:solidFill>
              <w14:schemeClr w14:val="tx1"/>
            </w14:solidFill>
          </w14:textFill>
        </w:rPr>
        <w:t>投标文件</w:t>
      </w:r>
      <w:r>
        <w:rPr>
          <w:rFonts w:hint="eastAsia" w:ascii="宋体" w:hAnsi="宋体" w:eastAsia="宋体" w:cs="宋体"/>
          <w:snapToGrid w:val="0"/>
          <w:color w:val="000000" w:themeColor="text1"/>
          <w:kern w:val="28"/>
          <w:sz w:val="24"/>
          <w:highlight w:val="none"/>
          <w14:textFill>
            <w14:solidFill>
              <w14:schemeClr w14:val="tx1"/>
            </w14:solidFill>
          </w14:textFill>
        </w:rPr>
        <w:t>的时间期限、地点、方式及</w:t>
      </w:r>
      <w:r>
        <w:rPr>
          <w:rFonts w:hint="eastAsia" w:ascii="宋体" w:hAnsi="宋体" w:eastAsia="宋体" w:cs="宋体"/>
          <w:snapToGrid w:val="0"/>
          <w:color w:val="000000" w:themeColor="text1"/>
          <w:kern w:val="28"/>
          <w:sz w:val="24"/>
          <w:highlight w:val="none"/>
          <w:lang w:eastAsia="zh-CN"/>
          <w14:textFill>
            <w14:solidFill>
              <w14:schemeClr w14:val="tx1"/>
            </w14:solidFill>
          </w14:textFill>
        </w:rPr>
        <w:t>投标文件</w:t>
      </w:r>
      <w:r>
        <w:rPr>
          <w:rFonts w:hint="eastAsia" w:ascii="宋体" w:hAnsi="宋体" w:eastAsia="宋体" w:cs="宋体"/>
          <w:snapToGrid w:val="0"/>
          <w:color w:val="000000" w:themeColor="text1"/>
          <w:kern w:val="28"/>
          <w:sz w:val="24"/>
          <w:highlight w:val="none"/>
          <w14:textFill>
            <w14:solidFill>
              <w14:schemeClr w14:val="tx1"/>
            </w14:solidFill>
          </w14:textFill>
        </w:rPr>
        <w:t>售价。</w:t>
      </w:r>
    </w:p>
    <w:p>
      <w:pPr>
        <w:pStyle w:val="34"/>
        <w:spacing w:line="360" w:lineRule="auto"/>
        <w:rPr>
          <w:rFonts w:hint="eastAsia"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b/>
          <w:color w:val="000000" w:themeColor="text1"/>
          <w:sz w:val="24"/>
          <w:szCs w:val="24"/>
          <w:highlight w:val="none"/>
          <w14:textFill>
            <w14:solidFill>
              <w14:schemeClr w14:val="tx1"/>
            </w14:solidFill>
          </w14:textFill>
        </w:rPr>
        <w:t>8.开标前答疑会或现场考察</w:t>
      </w:r>
    </w:p>
    <w:p>
      <w:pPr>
        <w:pStyle w:val="34"/>
        <w:spacing w:line="360" w:lineRule="auto"/>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采购人组织潜在</w:t>
      </w:r>
      <w:r>
        <w:rPr>
          <w:rFonts w:hint="eastAsia" w:ascii="宋体" w:hAnsi="宋体" w:eastAsia="宋体" w:cs="宋体"/>
          <w:color w:val="000000" w:themeColor="text1"/>
          <w:sz w:val="24"/>
          <w:szCs w:val="24"/>
          <w:highlight w:val="none"/>
          <w:lang w:eastAsia="zh-CN"/>
          <w14:textFill>
            <w14:solidFill>
              <w14:schemeClr w14:val="tx1"/>
            </w14:solidFill>
          </w14:textFill>
        </w:rPr>
        <w:t>供应商</w:t>
      </w:r>
      <w:r>
        <w:rPr>
          <w:rFonts w:hint="eastAsia" w:ascii="宋体" w:hAnsi="宋体" w:eastAsia="宋体" w:cs="宋体"/>
          <w:color w:val="000000" w:themeColor="text1"/>
          <w:sz w:val="24"/>
          <w:szCs w:val="24"/>
          <w:highlight w:val="none"/>
          <w14:textFill>
            <w14:solidFill>
              <w14:schemeClr w14:val="tx1"/>
            </w14:solidFill>
          </w14:textFill>
        </w:rPr>
        <w:t>现场考察或者召开开标前答疑会的，潜在</w:t>
      </w:r>
      <w:r>
        <w:rPr>
          <w:rFonts w:hint="eastAsia" w:ascii="宋体" w:hAnsi="宋体" w:eastAsia="宋体" w:cs="宋体"/>
          <w:color w:val="000000" w:themeColor="text1"/>
          <w:sz w:val="24"/>
          <w:szCs w:val="24"/>
          <w:highlight w:val="none"/>
          <w:lang w:eastAsia="zh-CN"/>
          <w14:textFill>
            <w14:solidFill>
              <w14:schemeClr w14:val="tx1"/>
            </w14:solidFill>
          </w14:textFill>
        </w:rPr>
        <w:t>供应商</w:t>
      </w:r>
      <w:r>
        <w:rPr>
          <w:rFonts w:hint="eastAsia" w:ascii="宋体" w:hAnsi="宋体" w:eastAsia="宋体" w:cs="宋体"/>
          <w:color w:val="000000" w:themeColor="text1"/>
          <w:sz w:val="24"/>
          <w:szCs w:val="24"/>
          <w:highlight w:val="none"/>
          <w14:textFill>
            <w14:solidFill>
              <w14:schemeClr w14:val="tx1"/>
            </w14:solidFill>
          </w14:textFill>
        </w:rPr>
        <w:t>按第二部分</w:t>
      </w:r>
      <w:r>
        <w:rPr>
          <w:rFonts w:hint="eastAsia" w:ascii="宋体" w:hAnsi="宋体" w:eastAsia="宋体" w:cs="宋体"/>
          <w:color w:val="000000" w:themeColor="text1"/>
          <w:sz w:val="24"/>
          <w:szCs w:val="24"/>
          <w:highlight w:val="none"/>
          <w:lang w:eastAsia="zh-CN"/>
          <w14:textFill>
            <w14:solidFill>
              <w14:schemeClr w14:val="tx1"/>
            </w14:solidFill>
          </w14:textFill>
        </w:rPr>
        <w:t>供应商</w:t>
      </w:r>
      <w:r>
        <w:rPr>
          <w:rFonts w:hint="eastAsia" w:ascii="宋体" w:hAnsi="宋体" w:eastAsia="宋体" w:cs="宋体"/>
          <w:color w:val="000000" w:themeColor="text1"/>
          <w:sz w:val="24"/>
          <w:szCs w:val="24"/>
          <w:highlight w:val="none"/>
          <w14:textFill>
            <w14:solidFill>
              <w14:schemeClr w14:val="tx1"/>
            </w14:solidFill>
          </w14:textFill>
        </w:rPr>
        <w:t>须知前附表的规定参加现场考察或者开标前答疑会。</w:t>
      </w:r>
    </w:p>
    <w:p>
      <w:pPr>
        <w:pStyle w:val="34"/>
        <w:spacing w:line="360" w:lineRule="auto"/>
        <w:rPr>
          <w:rFonts w:hint="eastAsia" w:ascii="宋体" w:hAnsi="宋体" w:eastAsia="宋体" w:cs="宋体"/>
          <w:b/>
          <w:color w:val="000000" w:themeColor="text1"/>
          <w:szCs w:val="24"/>
          <w:highlight w:val="none"/>
          <w14:textFill>
            <w14:solidFill>
              <w14:schemeClr w14:val="tx1"/>
            </w14:solidFill>
          </w14:textFill>
        </w:rPr>
      </w:pPr>
      <w:r>
        <w:rPr>
          <w:rFonts w:hint="eastAsia" w:ascii="宋体" w:hAnsi="宋体" w:eastAsia="宋体" w:cs="宋体"/>
          <w:b/>
          <w:color w:val="000000" w:themeColor="text1"/>
          <w:kern w:val="28"/>
          <w:sz w:val="24"/>
          <w:szCs w:val="24"/>
          <w:highlight w:val="none"/>
          <w14:textFill>
            <w14:solidFill>
              <w14:schemeClr w14:val="tx1"/>
            </w14:solidFill>
          </w14:textFill>
        </w:rPr>
        <w:t>9.投标保证金</w:t>
      </w:r>
    </w:p>
    <w:p>
      <w:pPr>
        <w:pStyle w:val="8"/>
        <w:spacing w:line="360" w:lineRule="auto"/>
        <w:ind w:firstLine="470" w:firstLineChars="196"/>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本项目不需缴纳投标保证金。</w:t>
      </w:r>
    </w:p>
    <w:p>
      <w:pPr>
        <w:pStyle w:val="34"/>
        <w:spacing w:line="360" w:lineRule="auto"/>
        <w:rPr>
          <w:rFonts w:hint="eastAsia"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b/>
          <w:color w:val="000000" w:themeColor="text1"/>
          <w:sz w:val="24"/>
          <w:szCs w:val="24"/>
          <w:highlight w:val="none"/>
          <w14:textFill>
            <w14:solidFill>
              <w14:schemeClr w14:val="tx1"/>
            </w14:solidFill>
          </w14:textFill>
        </w:rPr>
        <w:t>10. 投标文件的语言</w:t>
      </w:r>
    </w:p>
    <w:p>
      <w:pPr>
        <w:autoSpaceDE w:val="0"/>
        <w:autoSpaceDN w:val="0"/>
        <w:spacing w:line="360" w:lineRule="auto"/>
        <w:ind w:firstLine="480" w:firstLineChars="200"/>
        <w:rPr>
          <w:rFonts w:hint="eastAsia" w:ascii="宋体" w:hAnsi="宋体" w:eastAsia="宋体" w:cs="宋体"/>
          <w:color w:val="000000" w:themeColor="text1"/>
          <w:sz w:val="24"/>
          <w:highlight w:val="none"/>
          <w:lang w:val="zh-CN"/>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投标文件及</w:t>
      </w:r>
      <w:r>
        <w:rPr>
          <w:rFonts w:hint="eastAsia" w:ascii="宋体" w:hAnsi="宋体" w:eastAsia="宋体" w:cs="宋体"/>
          <w:color w:val="000000" w:themeColor="text1"/>
          <w:sz w:val="24"/>
          <w:highlight w:val="none"/>
          <w:lang w:eastAsia="zh-CN"/>
          <w14:textFill>
            <w14:solidFill>
              <w14:schemeClr w14:val="tx1"/>
            </w14:solidFill>
          </w14:textFill>
        </w:rPr>
        <w:t>供应商</w:t>
      </w:r>
      <w:r>
        <w:rPr>
          <w:rFonts w:hint="eastAsia" w:ascii="宋体" w:hAnsi="宋体" w:eastAsia="宋体" w:cs="宋体"/>
          <w:color w:val="000000" w:themeColor="text1"/>
          <w:sz w:val="24"/>
          <w:highlight w:val="none"/>
          <w14:textFill>
            <w14:solidFill>
              <w14:schemeClr w14:val="tx1"/>
            </w14:solidFill>
          </w14:textFill>
        </w:rPr>
        <w:t>与采购有关的来往通知、函件和文件均应使用中文。</w:t>
      </w:r>
    </w:p>
    <w:p>
      <w:pPr>
        <w:pStyle w:val="34"/>
        <w:spacing w:line="360" w:lineRule="auto"/>
        <w:rPr>
          <w:rFonts w:hint="eastAsia"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b/>
          <w:color w:val="000000" w:themeColor="text1"/>
          <w:sz w:val="24"/>
          <w:szCs w:val="24"/>
          <w:highlight w:val="none"/>
          <w14:textFill>
            <w14:solidFill>
              <w14:schemeClr w14:val="tx1"/>
            </w14:solidFill>
          </w14:textFill>
        </w:rPr>
        <w:t>11. 投标文件的组成</w:t>
      </w:r>
    </w:p>
    <w:p>
      <w:pPr>
        <w:snapToGrid w:val="0"/>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11.1</w:t>
      </w:r>
      <w:r>
        <w:rPr>
          <w:rFonts w:hint="eastAsia" w:ascii="宋体" w:hAnsi="宋体" w:eastAsia="宋体" w:cs="宋体"/>
          <w:b/>
          <w:color w:val="000000" w:themeColor="text1"/>
          <w:sz w:val="24"/>
          <w:highlight w:val="none"/>
          <w14:textFill>
            <w14:solidFill>
              <w14:schemeClr w14:val="tx1"/>
            </w14:solidFill>
          </w14:textFill>
        </w:rPr>
        <w:t>资格文件</w:t>
      </w:r>
      <w:r>
        <w:rPr>
          <w:rFonts w:hint="eastAsia" w:ascii="宋体" w:hAnsi="宋体" w:eastAsia="宋体" w:cs="宋体"/>
          <w:color w:val="000000" w:themeColor="text1"/>
          <w:sz w:val="24"/>
          <w:highlight w:val="none"/>
          <w14:textFill>
            <w14:solidFill>
              <w14:schemeClr w14:val="tx1"/>
            </w14:solidFill>
          </w14:textFill>
        </w:rPr>
        <w:t>：</w:t>
      </w:r>
    </w:p>
    <w:p>
      <w:pPr>
        <w:snapToGrid w:val="0"/>
        <w:spacing w:line="360" w:lineRule="auto"/>
        <w:ind w:firstLine="960" w:firstLineChars="4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11.1.1符合参加政府采购活动应当具备的一般条件的承诺函；</w:t>
      </w:r>
    </w:p>
    <w:p>
      <w:pPr>
        <w:snapToGrid w:val="0"/>
        <w:spacing w:line="360" w:lineRule="auto"/>
        <w:ind w:firstLine="960" w:firstLineChars="4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11.1.2</w:t>
      </w:r>
      <w:r>
        <w:rPr>
          <w:rFonts w:hint="eastAsia" w:ascii="宋体" w:hAnsi="宋体" w:eastAsia="宋体" w:cs="宋体"/>
          <w:snapToGrid w:val="0"/>
          <w:color w:val="000000" w:themeColor="text1"/>
          <w:kern w:val="28"/>
          <w:sz w:val="24"/>
          <w:szCs w:val="20"/>
          <w:highlight w:val="none"/>
          <w14:textFill>
            <w14:solidFill>
              <w14:schemeClr w14:val="tx1"/>
            </w14:solidFill>
          </w14:textFill>
        </w:rPr>
        <w:t>联合协议（如果有)；</w:t>
      </w:r>
    </w:p>
    <w:p>
      <w:pPr>
        <w:snapToGrid w:val="0"/>
        <w:spacing w:line="360" w:lineRule="auto"/>
        <w:ind w:firstLine="960" w:firstLineChars="4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11.1.3落实政府采购政策需满足的资格要求</w:t>
      </w:r>
      <w:r>
        <w:rPr>
          <w:rFonts w:hint="eastAsia" w:ascii="宋体" w:hAnsi="宋体" w:eastAsia="宋体" w:cs="宋体"/>
          <w:snapToGrid w:val="0"/>
          <w:color w:val="000000" w:themeColor="text1"/>
          <w:kern w:val="28"/>
          <w:sz w:val="24"/>
          <w:szCs w:val="20"/>
          <w:highlight w:val="none"/>
          <w14:textFill>
            <w14:solidFill>
              <w14:schemeClr w14:val="tx1"/>
            </w14:solidFill>
          </w14:textFill>
        </w:rPr>
        <w:t>（如果有)</w:t>
      </w:r>
      <w:r>
        <w:rPr>
          <w:rFonts w:hint="eastAsia" w:ascii="宋体" w:hAnsi="宋体" w:eastAsia="宋体" w:cs="宋体"/>
          <w:color w:val="000000" w:themeColor="text1"/>
          <w:sz w:val="24"/>
          <w:highlight w:val="none"/>
          <w14:textFill>
            <w14:solidFill>
              <w14:schemeClr w14:val="tx1"/>
            </w14:solidFill>
          </w14:textFill>
        </w:rPr>
        <w:t>；</w:t>
      </w:r>
    </w:p>
    <w:p>
      <w:pPr>
        <w:snapToGrid w:val="0"/>
        <w:spacing w:line="360" w:lineRule="auto"/>
        <w:ind w:firstLine="960" w:firstLineChars="4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11.1.4本项目的特定资格要求</w:t>
      </w:r>
      <w:r>
        <w:rPr>
          <w:rFonts w:hint="eastAsia" w:ascii="宋体" w:hAnsi="宋体" w:eastAsia="宋体" w:cs="宋体"/>
          <w:snapToGrid w:val="0"/>
          <w:color w:val="000000" w:themeColor="text1"/>
          <w:kern w:val="28"/>
          <w:sz w:val="24"/>
          <w:szCs w:val="20"/>
          <w:highlight w:val="none"/>
          <w14:textFill>
            <w14:solidFill>
              <w14:schemeClr w14:val="tx1"/>
            </w14:solidFill>
          </w14:textFill>
        </w:rPr>
        <w:t>（如果有)</w:t>
      </w:r>
      <w:r>
        <w:rPr>
          <w:rFonts w:hint="eastAsia" w:ascii="宋体" w:hAnsi="宋体" w:eastAsia="宋体" w:cs="宋体"/>
          <w:color w:val="000000" w:themeColor="text1"/>
          <w:sz w:val="24"/>
          <w:highlight w:val="none"/>
          <w14:textFill>
            <w14:solidFill>
              <w14:schemeClr w14:val="tx1"/>
            </w14:solidFill>
          </w14:textFill>
        </w:rPr>
        <w:t>。</w:t>
      </w:r>
    </w:p>
    <w:p>
      <w:pPr>
        <w:snapToGrid w:val="0"/>
        <w:spacing w:line="360" w:lineRule="auto"/>
        <w:ind w:firstLine="480" w:firstLineChars="200"/>
        <w:rPr>
          <w:rFonts w:hint="eastAsia" w:ascii="宋体" w:hAnsi="宋体" w:eastAsia="宋体" w:cs="宋体"/>
          <w:color w:val="000000" w:themeColor="text1"/>
          <w:sz w:val="24"/>
          <w:highlight w:val="none"/>
          <w:lang w:val="zh-CN"/>
          <w14:textFill>
            <w14:solidFill>
              <w14:schemeClr w14:val="tx1"/>
            </w14:solidFill>
          </w14:textFill>
        </w:rPr>
      </w:pPr>
      <w:r>
        <w:rPr>
          <w:rFonts w:hint="eastAsia" w:ascii="宋体" w:hAnsi="宋体" w:eastAsia="宋体" w:cs="宋体"/>
          <w:color w:val="000000" w:themeColor="text1"/>
          <w:sz w:val="24"/>
          <w:highlight w:val="none"/>
          <w:lang w:val="zh-CN"/>
          <w14:textFill>
            <w14:solidFill>
              <w14:schemeClr w14:val="tx1"/>
            </w14:solidFill>
          </w14:textFill>
        </w:rPr>
        <w:t>11.</w:t>
      </w:r>
      <w:r>
        <w:rPr>
          <w:rFonts w:hint="eastAsia" w:ascii="宋体" w:hAnsi="宋体" w:eastAsia="宋体" w:cs="宋体"/>
          <w:color w:val="000000" w:themeColor="text1"/>
          <w:sz w:val="24"/>
          <w:highlight w:val="none"/>
          <w14:textFill>
            <w14:solidFill>
              <w14:schemeClr w14:val="tx1"/>
            </w14:solidFill>
          </w14:textFill>
        </w:rPr>
        <w:t>2</w:t>
      </w:r>
      <w:r>
        <w:rPr>
          <w:rFonts w:hint="eastAsia" w:ascii="宋体" w:hAnsi="宋体" w:eastAsia="宋体" w:cs="宋体"/>
          <w:color w:val="000000" w:themeColor="text1"/>
          <w:sz w:val="24"/>
          <w:highlight w:val="none"/>
          <w:lang w:val="zh-CN"/>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商务技术</w:t>
      </w:r>
      <w:r>
        <w:rPr>
          <w:rFonts w:hint="eastAsia" w:ascii="宋体" w:hAnsi="宋体" w:eastAsia="宋体" w:cs="宋体"/>
          <w:color w:val="000000" w:themeColor="text1"/>
          <w:sz w:val="24"/>
          <w:highlight w:val="none"/>
          <w:lang w:val="zh-CN"/>
          <w14:textFill>
            <w14:solidFill>
              <w14:schemeClr w14:val="tx1"/>
            </w14:solidFill>
          </w14:textFill>
        </w:rPr>
        <w:t>文件：</w:t>
      </w:r>
    </w:p>
    <w:p>
      <w:pPr>
        <w:snapToGrid w:val="0"/>
        <w:spacing w:line="360" w:lineRule="auto"/>
        <w:ind w:firstLine="960" w:firstLineChars="4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11.2.1投标函；</w:t>
      </w:r>
      <w:r>
        <w:rPr>
          <w:rFonts w:hint="eastAsia" w:ascii="宋体" w:hAnsi="宋体" w:eastAsia="宋体" w:cs="宋体"/>
          <w:color w:val="000000" w:themeColor="text1"/>
          <w:sz w:val="24"/>
          <w:highlight w:val="none"/>
          <w:lang w:val="zh-CN"/>
          <w14:textFill>
            <w14:solidFill>
              <w14:schemeClr w14:val="tx1"/>
            </w14:solidFill>
          </w14:textFill>
        </w:rPr>
        <w:t xml:space="preserve"> </w:t>
      </w:r>
    </w:p>
    <w:p>
      <w:pPr>
        <w:snapToGrid w:val="0"/>
        <w:spacing w:line="360" w:lineRule="auto"/>
        <w:ind w:firstLine="960" w:firstLineChars="4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11.2.2授权委托书或法定代表人（单位负责人、自然人本人）身份证明；</w:t>
      </w:r>
    </w:p>
    <w:p>
      <w:pPr>
        <w:snapToGrid w:val="0"/>
        <w:spacing w:line="360" w:lineRule="auto"/>
        <w:ind w:firstLine="960" w:firstLineChars="4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11.2.3分包意向协议</w:t>
      </w:r>
      <w:r>
        <w:rPr>
          <w:rFonts w:hint="eastAsia" w:ascii="宋体" w:hAnsi="宋体" w:eastAsia="宋体" w:cs="宋体"/>
          <w:snapToGrid w:val="0"/>
          <w:color w:val="000000" w:themeColor="text1"/>
          <w:kern w:val="28"/>
          <w:sz w:val="24"/>
          <w:szCs w:val="20"/>
          <w:highlight w:val="none"/>
          <w14:textFill>
            <w14:solidFill>
              <w14:schemeClr w14:val="tx1"/>
            </w14:solidFill>
          </w14:textFill>
        </w:rPr>
        <w:t>（如果有)</w:t>
      </w:r>
      <w:r>
        <w:rPr>
          <w:rFonts w:hint="eastAsia" w:ascii="宋体" w:hAnsi="宋体" w:eastAsia="宋体" w:cs="宋体"/>
          <w:color w:val="000000" w:themeColor="text1"/>
          <w:sz w:val="24"/>
          <w:highlight w:val="none"/>
          <w14:textFill>
            <w14:solidFill>
              <w14:schemeClr w14:val="tx1"/>
            </w14:solidFill>
          </w14:textFill>
        </w:rPr>
        <w:t>；</w:t>
      </w:r>
    </w:p>
    <w:p>
      <w:pPr>
        <w:snapToGrid w:val="0"/>
        <w:spacing w:line="360" w:lineRule="auto"/>
        <w:ind w:firstLine="960" w:firstLineChars="4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11.2.4符合性审查资料；</w:t>
      </w:r>
    </w:p>
    <w:p>
      <w:pPr>
        <w:snapToGrid w:val="0"/>
        <w:spacing w:line="360" w:lineRule="auto"/>
        <w:ind w:left="420" w:leftChars="200"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11.2.5评标标准相应的商务技术资料；</w:t>
      </w:r>
    </w:p>
    <w:p>
      <w:pPr>
        <w:snapToGrid w:val="0"/>
        <w:spacing w:line="360" w:lineRule="auto"/>
        <w:ind w:left="420" w:leftChars="200"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11.2.6投标标的清单；</w:t>
      </w:r>
    </w:p>
    <w:p>
      <w:pPr>
        <w:snapToGrid w:val="0"/>
        <w:spacing w:line="360" w:lineRule="auto"/>
        <w:ind w:firstLine="960" w:firstLineChars="4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11.2.7商务技术偏离表；</w:t>
      </w:r>
    </w:p>
    <w:p>
      <w:pPr>
        <w:snapToGrid w:val="0"/>
        <w:spacing w:line="360" w:lineRule="auto"/>
        <w:ind w:firstLine="960" w:firstLineChars="400"/>
        <w:rPr>
          <w:rFonts w:hint="eastAsia" w:ascii="宋体" w:hAnsi="宋体" w:eastAsia="宋体" w:cs="宋体"/>
          <w:color w:val="000000" w:themeColor="text1"/>
          <w:sz w:val="24"/>
          <w:highlight w:val="none"/>
          <w:lang w:val="zh-CN"/>
          <w14:textFill>
            <w14:solidFill>
              <w14:schemeClr w14:val="tx1"/>
            </w14:solidFill>
          </w14:textFill>
        </w:rPr>
      </w:pPr>
      <w:r>
        <w:rPr>
          <w:rFonts w:hint="eastAsia" w:ascii="宋体" w:hAnsi="宋体" w:eastAsia="宋体" w:cs="宋体"/>
          <w:color w:val="000000" w:themeColor="text1"/>
          <w:sz w:val="24"/>
          <w:highlight w:val="none"/>
          <w:lang w:val="zh-CN"/>
          <w14:textFill>
            <w14:solidFill>
              <w14:schemeClr w14:val="tx1"/>
            </w14:solidFill>
          </w14:textFill>
        </w:rPr>
        <w:t>11.</w:t>
      </w:r>
      <w:r>
        <w:rPr>
          <w:rFonts w:hint="eastAsia" w:ascii="宋体" w:hAnsi="宋体" w:eastAsia="宋体" w:cs="宋体"/>
          <w:color w:val="000000" w:themeColor="text1"/>
          <w:sz w:val="24"/>
          <w:highlight w:val="none"/>
          <w14:textFill>
            <w14:solidFill>
              <w14:schemeClr w14:val="tx1"/>
            </w14:solidFill>
          </w14:textFill>
        </w:rPr>
        <w:t>2</w:t>
      </w:r>
      <w:r>
        <w:rPr>
          <w:rFonts w:hint="eastAsia" w:ascii="宋体" w:hAnsi="宋体" w:eastAsia="宋体" w:cs="宋体"/>
          <w:color w:val="000000" w:themeColor="text1"/>
          <w:sz w:val="24"/>
          <w:highlight w:val="none"/>
          <w:lang w:val="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8</w:t>
      </w:r>
      <w:r>
        <w:rPr>
          <w:rFonts w:hint="eastAsia" w:ascii="宋体" w:hAnsi="宋体" w:eastAsia="宋体" w:cs="宋体"/>
          <w:color w:val="000000" w:themeColor="text1"/>
          <w:sz w:val="24"/>
          <w:highlight w:val="none"/>
          <w:lang w:val="zh-CN"/>
          <w14:textFill>
            <w14:solidFill>
              <w14:schemeClr w14:val="tx1"/>
            </w14:solidFill>
          </w14:textFill>
        </w:rPr>
        <w:t>政府采购供应商廉洁自律承诺书；</w:t>
      </w:r>
    </w:p>
    <w:p>
      <w:pPr>
        <w:snapToGrid w:val="0"/>
        <w:spacing w:line="360" w:lineRule="auto"/>
        <w:ind w:firstLine="480" w:firstLineChars="200"/>
        <w:rPr>
          <w:rFonts w:hint="eastAsia" w:ascii="宋体" w:hAnsi="宋体" w:eastAsia="宋体" w:cs="宋体"/>
          <w:color w:val="000000" w:themeColor="text1"/>
          <w:sz w:val="24"/>
          <w:highlight w:val="none"/>
          <w:u w:val="singl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11.</w:t>
      </w:r>
      <w:r>
        <w:rPr>
          <w:rFonts w:hint="eastAsia" w:ascii="宋体" w:hAnsi="宋体" w:eastAsia="宋体" w:cs="宋体"/>
          <w:color w:val="000000" w:themeColor="text1"/>
          <w:kern w:val="0"/>
          <w:sz w:val="24"/>
          <w:highlight w:val="none"/>
          <w14:textFill>
            <w14:solidFill>
              <w14:schemeClr w14:val="tx1"/>
            </w14:solidFill>
          </w14:textFill>
        </w:rPr>
        <w:t>3</w:t>
      </w:r>
      <w:r>
        <w:rPr>
          <w:rFonts w:hint="eastAsia" w:ascii="宋体" w:hAnsi="宋体" w:eastAsia="宋体" w:cs="宋体"/>
          <w:b/>
          <w:color w:val="000000" w:themeColor="text1"/>
          <w:sz w:val="24"/>
          <w:highlight w:val="none"/>
          <w14:textFill>
            <w14:solidFill>
              <w14:schemeClr w14:val="tx1"/>
            </w14:solidFill>
          </w14:textFill>
        </w:rPr>
        <w:t>报价文件：</w:t>
      </w:r>
      <w:r>
        <w:rPr>
          <w:rFonts w:hint="eastAsia" w:ascii="宋体" w:hAnsi="宋体" w:eastAsia="宋体" w:cs="宋体"/>
          <w:color w:val="000000" w:themeColor="text1"/>
          <w:sz w:val="24"/>
          <w:highlight w:val="none"/>
          <w14:textFill>
            <w14:solidFill>
              <w14:schemeClr w14:val="tx1"/>
            </w14:solidFill>
          </w14:textFill>
        </w:rPr>
        <w:t xml:space="preserve"> </w:t>
      </w:r>
    </w:p>
    <w:p>
      <w:pPr>
        <w:snapToGrid w:val="0"/>
        <w:spacing w:line="360" w:lineRule="auto"/>
        <w:ind w:firstLine="960" w:firstLineChars="4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11.3.1开标一览表（报价表）；</w:t>
      </w:r>
    </w:p>
    <w:p>
      <w:pPr>
        <w:snapToGrid w:val="0"/>
        <w:spacing w:line="360" w:lineRule="auto"/>
        <w:ind w:firstLine="960" w:firstLineChars="4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11.3.2中小企业声明函。</w:t>
      </w:r>
    </w:p>
    <w:p>
      <w:pPr>
        <w:spacing w:line="360" w:lineRule="auto"/>
        <w:ind w:firstLine="723" w:firstLineChars="300"/>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投标文件含有采购人不能接受的附加条件的，投标无效；</w:t>
      </w:r>
    </w:p>
    <w:p>
      <w:pPr>
        <w:spacing w:line="360" w:lineRule="auto"/>
        <w:ind w:firstLine="723" w:firstLineChars="300"/>
        <w:rPr>
          <w:rFonts w:hint="eastAsia" w:ascii="宋体" w:hAnsi="宋体" w:eastAsia="宋体" w:cs="宋体"/>
          <w:b/>
          <w:color w:val="000000" w:themeColor="text1"/>
          <w:sz w:val="24"/>
          <w:szCs w:val="21"/>
          <w:highlight w:val="none"/>
          <w14:textFill>
            <w14:solidFill>
              <w14:schemeClr w14:val="tx1"/>
            </w14:solidFill>
          </w14:textFill>
        </w:rPr>
      </w:pPr>
      <w:r>
        <w:rPr>
          <w:rFonts w:hint="eastAsia" w:ascii="宋体" w:hAnsi="宋体" w:eastAsia="宋体" w:cs="宋体"/>
          <w:b/>
          <w:color w:val="000000" w:themeColor="text1"/>
          <w:sz w:val="24"/>
          <w:highlight w:val="none"/>
          <w:lang w:eastAsia="zh-CN"/>
          <w14:textFill>
            <w14:solidFill>
              <w14:schemeClr w14:val="tx1"/>
            </w14:solidFill>
          </w14:textFill>
        </w:rPr>
        <w:t>供应商</w:t>
      </w:r>
      <w:r>
        <w:rPr>
          <w:rFonts w:hint="eastAsia" w:ascii="宋体" w:hAnsi="宋体" w:eastAsia="宋体" w:cs="宋体"/>
          <w:b/>
          <w:color w:val="000000" w:themeColor="text1"/>
          <w:sz w:val="24"/>
          <w:highlight w:val="none"/>
          <w14:textFill>
            <w14:solidFill>
              <w14:schemeClr w14:val="tx1"/>
            </w14:solidFill>
          </w14:textFill>
        </w:rPr>
        <w:t>提供虚假材料投标的，投标无效。</w:t>
      </w:r>
    </w:p>
    <w:p>
      <w:pPr>
        <w:pStyle w:val="131"/>
        <w:snapToGrid w:val="0"/>
        <w:spacing w:before="0"/>
        <w:ind w:firstLine="0" w:firstLineChars="0"/>
        <w:outlineLvl w:val="0"/>
        <w:rPr>
          <w:rFonts w:hint="eastAsia" w:ascii="宋体" w:hAnsi="宋体" w:eastAsia="宋体" w:cs="宋体"/>
          <w:b/>
          <w:color w:val="000000" w:themeColor="text1"/>
          <w:szCs w:val="24"/>
          <w:highlight w:val="none"/>
          <w14:textFill>
            <w14:solidFill>
              <w14:schemeClr w14:val="tx1"/>
            </w14:solidFill>
          </w14:textFill>
        </w:rPr>
      </w:pPr>
      <w:r>
        <w:rPr>
          <w:rFonts w:hint="eastAsia" w:ascii="宋体" w:hAnsi="宋体" w:eastAsia="宋体" w:cs="宋体"/>
          <w:b/>
          <w:color w:val="000000" w:themeColor="text1"/>
          <w:szCs w:val="24"/>
          <w:highlight w:val="none"/>
          <w14:textFill>
            <w14:solidFill>
              <w14:schemeClr w14:val="tx1"/>
            </w14:solidFill>
          </w14:textFill>
        </w:rPr>
        <w:t>12</w:t>
      </w:r>
      <w:r>
        <w:rPr>
          <w:rFonts w:hint="eastAsia" w:ascii="宋体" w:hAnsi="宋体" w:eastAsia="宋体" w:cs="宋体"/>
          <w:b/>
          <w:color w:val="000000" w:themeColor="text1"/>
          <w:kern w:val="0"/>
          <w:szCs w:val="24"/>
          <w:highlight w:val="none"/>
          <w:lang w:val="zh-CN"/>
          <w14:textFill>
            <w14:solidFill>
              <w14:schemeClr w14:val="tx1"/>
            </w14:solidFill>
          </w14:textFill>
        </w:rPr>
        <w:t xml:space="preserve">. </w:t>
      </w:r>
      <w:r>
        <w:rPr>
          <w:rFonts w:hint="eastAsia" w:ascii="宋体" w:hAnsi="宋体" w:eastAsia="宋体" w:cs="宋体"/>
          <w:b/>
          <w:color w:val="000000" w:themeColor="text1"/>
          <w:szCs w:val="24"/>
          <w:highlight w:val="none"/>
          <w14:textFill>
            <w14:solidFill>
              <w14:schemeClr w14:val="tx1"/>
            </w14:solidFill>
          </w14:textFill>
        </w:rPr>
        <w:t>投标文件的编制</w:t>
      </w:r>
    </w:p>
    <w:p>
      <w:pPr>
        <w:spacing w:line="360" w:lineRule="auto"/>
        <w:ind w:firstLine="480" w:firstLineChars="200"/>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12.1投标文件分为资格文件、商务技术文件、报价文件三部分。各供应商在编制投标文件时请按照投标文件第六部分规定的格式进行，混乱的编排导致投标文件被误读或评标委员会查找不到有效文件是供应商的风险。</w:t>
      </w:r>
    </w:p>
    <w:p>
      <w:pPr>
        <w:spacing w:line="360" w:lineRule="auto"/>
        <w:ind w:firstLine="480" w:firstLineChars="200"/>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12.2供应商进行电子投标应安装客户端软件—“政采云电子交易客户端”，并按照投标文件和电子交易平台的要求编制并加密投标文件。供应商未按规定加密的投标文件，电子交易平台将拒收并提示。</w:t>
      </w:r>
    </w:p>
    <w:p>
      <w:pPr>
        <w:spacing w:line="360" w:lineRule="auto"/>
        <w:ind w:firstLine="480" w:firstLineChars="200"/>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12.3使用“政采云电子交易客户端”需要提前申领CA数字证书，申领流程请自行前往“浙江政府采购网-下载专区-电子交易客户端-CA驱动和申领流程”进行查阅。</w:t>
      </w:r>
    </w:p>
    <w:p>
      <w:pPr>
        <w:snapToGrid w:val="0"/>
        <w:spacing w:line="360" w:lineRule="auto"/>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13.投标文件的签署、盖章</w:t>
      </w:r>
    </w:p>
    <w:p>
      <w:pPr>
        <w:pStyle w:val="131"/>
        <w:snapToGrid w:val="0"/>
        <w:spacing w:before="0"/>
        <w:ind w:firstLine="480"/>
        <w:rPr>
          <w:rFonts w:hint="eastAsia" w:ascii="宋体" w:hAnsi="宋体" w:eastAsia="宋体" w:cs="宋体"/>
          <w:b/>
          <w:color w:val="000000" w:themeColor="text1"/>
          <w:highlight w:val="none"/>
          <w14:textFill>
            <w14:solidFill>
              <w14:schemeClr w14:val="tx1"/>
            </w14:solidFill>
          </w14:textFill>
        </w:rPr>
      </w:pPr>
      <w:r>
        <w:rPr>
          <w:rFonts w:hint="eastAsia" w:ascii="宋体" w:hAnsi="宋体" w:eastAsia="宋体" w:cs="宋体"/>
          <w:color w:val="000000" w:themeColor="text1"/>
          <w:szCs w:val="24"/>
          <w:highlight w:val="none"/>
          <w14:textFill>
            <w14:solidFill>
              <w14:schemeClr w14:val="tx1"/>
            </w14:solidFill>
          </w14:textFill>
        </w:rPr>
        <w:t>13.1投标文件按照</w:t>
      </w:r>
      <w:r>
        <w:rPr>
          <w:rFonts w:hint="eastAsia" w:ascii="宋体" w:hAnsi="宋体" w:eastAsia="宋体" w:cs="宋体"/>
          <w:color w:val="000000" w:themeColor="text1"/>
          <w:szCs w:val="24"/>
          <w:highlight w:val="none"/>
          <w:lang w:eastAsia="zh-CN"/>
          <w14:textFill>
            <w14:solidFill>
              <w14:schemeClr w14:val="tx1"/>
            </w14:solidFill>
          </w14:textFill>
        </w:rPr>
        <w:t>投标文件</w:t>
      </w:r>
      <w:r>
        <w:rPr>
          <w:rFonts w:hint="eastAsia" w:ascii="宋体" w:hAnsi="宋体" w:eastAsia="宋体" w:cs="宋体"/>
          <w:color w:val="000000" w:themeColor="text1"/>
          <w:szCs w:val="24"/>
          <w:highlight w:val="none"/>
          <w14:textFill>
            <w14:solidFill>
              <w14:schemeClr w14:val="tx1"/>
            </w14:solidFill>
          </w14:textFill>
        </w:rPr>
        <w:t>第六部分格式要</w:t>
      </w:r>
      <w:r>
        <w:rPr>
          <w:rFonts w:hint="eastAsia" w:ascii="宋体" w:hAnsi="宋体" w:eastAsia="宋体" w:cs="宋体"/>
          <w:color w:val="000000" w:themeColor="text1"/>
          <w:highlight w:val="none"/>
          <w14:textFill>
            <w14:solidFill>
              <w14:schemeClr w14:val="tx1"/>
            </w14:solidFill>
          </w14:textFill>
        </w:rPr>
        <w:t>求进行签署、盖章。</w:t>
      </w:r>
      <w:r>
        <w:rPr>
          <w:rFonts w:hint="eastAsia" w:ascii="宋体" w:hAnsi="宋体" w:eastAsia="宋体" w:cs="宋体"/>
          <w:b/>
          <w:color w:val="000000" w:themeColor="text1"/>
          <w:highlight w:val="none"/>
          <w14:textFill>
            <w14:solidFill>
              <w14:schemeClr w14:val="tx1"/>
            </w14:solidFill>
          </w14:textFill>
        </w:rPr>
        <w:t>▲</w:t>
      </w:r>
      <w:r>
        <w:rPr>
          <w:rFonts w:hint="eastAsia" w:ascii="宋体" w:hAnsi="宋体" w:eastAsia="宋体" w:cs="宋体"/>
          <w:b/>
          <w:color w:val="000000" w:themeColor="text1"/>
          <w:highlight w:val="none"/>
          <w:lang w:eastAsia="zh-CN"/>
          <w14:textFill>
            <w14:solidFill>
              <w14:schemeClr w14:val="tx1"/>
            </w14:solidFill>
          </w14:textFill>
        </w:rPr>
        <w:t>供应商</w:t>
      </w:r>
      <w:r>
        <w:rPr>
          <w:rFonts w:hint="eastAsia" w:ascii="宋体" w:hAnsi="宋体" w:eastAsia="宋体" w:cs="宋体"/>
          <w:b/>
          <w:color w:val="000000" w:themeColor="text1"/>
          <w:highlight w:val="none"/>
          <w14:textFill>
            <w14:solidFill>
              <w14:schemeClr w14:val="tx1"/>
            </w14:solidFill>
          </w14:textFill>
        </w:rPr>
        <w:t>的投标文件未按照</w:t>
      </w:r>
      <w:r>
        <w:rPr>
          <w:rFonts w:hint="eastAsia" w:ascii="宋体" w:hAnsi="宋体" w:eastAsia="宋体" w:cs="宋体"/>
          <w:b/>
          <w:color w:val="000000" w:themeColor="text1"/>
          <w:highlight w:val="none"/>
          <w:lang w:eastAsia="zh-CN"/>
          <w14:textFill>
            <w14:solidFill>
              <w14:schemeClr w14:val="tx1"/>
            </w14:solidFill>
          </w14:textFill>
        </w:rPr>
        <w:t>投标文件</w:t>
      </w:r>
      <w:r>
        <w:rPr>
          <w:rFonts w:hint="eastAsia" w:ascii="宋体" w:hAnsi="宋体" w:eastAsia="宋体" w:cs="宋体"/>
          <w:b/>
          <w:color w:val="000000" w:themeColor="text1"/>
          <w:highlight w:val="none"/>
          <w14:textFill>
            <w14:solidFill>
              <w14:schemeClr w14:val="tx1"/>
            </w14:solidFill>
          </w14:textFill>
        </w:rPr>
        <w:t>要求签署、盖章的，其投标无效</w:t>
      </w:r>
      <w:r>
        <w:rPr>
          <w:rFonts w:hint="eastAsia" w:ascii="宋体" w:hAnsi="宋体" w:eastAsia="宋体" w:cs="宋体"/>
          <w:color w:val="000000" w:themeColor="text1"/>
          <w:szCs w:val="24"/>
          <w:highlight w:val="none"/>
          <w14:textFill>
            <w14:solidFill>
              <w14:schemeClr w14:val="tx1"/>
            </w14:solidFill>
          </w14:textFill>
        </w:rPr>
        <w:t>。</w:t>
      </w:r>
    </w:p>
    <w:p>
      <w:pPr>
        <w:pStyle w:val="131"/>
        <w:snapToGrid w:val="0"/>
        <w:spacing w:before="0"/>
        <w:ind w:firstLine="480"/>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13.2为确保网上操作合法、有效和安全，</w:t>
      </w:r>
      <w:r>
        <w:rPr>
          <w:rFonts w:hint="eastAsia" w:ascii="宋体" w:hAnsi="宋体" w:eastAsia="宋体" w:cs="宋体"/>
          <w:color w:val="000000" w:themeColor="text1"/>
          <w:highlight w:val="none"/>
          <w:lang w:eastAsia="zh-CN"/>
          <w14:textFill>
            <w14:solidFill>
              <w14:schemeClr w14:val="tx1"/>
            </w14:solidFill>
          </w14:textFill>
        </w:rPr>
        <w:t>供应商</w:t>
      </w:r>
      <w:r>
        <w:rPr>
          <w:rFonts w:hint="eastAsia" w:ascii="宋体" w:hAnsi="宋体" w:eastAsia="宋体" w:cs="宋体"/>
          <w:color w:val="000000" w:themeColor="text1"/>
          <w:highlight w:val="none"/>
          <w14:textFill>
            <w14:solidFill>
              <w14:schemeClr w14:val="tx1"/>
            </w14:solidFill>
          </w14:textFill>
        </w:rPr>
        <w:t>应当在投标截止时间前完成在“政府采购云平台”的身份认证，确保在电子投标过程中能够对相关数据电文进行加密和使用电子签名。</w:t>
      </w:r>
    </w:p>
    <w:p>
      <w:pPr>
        <w:pStyle w:val="131"/>
        <w:snapToGrid w:val="0"/>
        <w:spacing w:before="0"/>
        <w:ind w:firstLine="480"/>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13.3</w:t>
      </w:r>
      <w:r>
        <w:rPr>
          <w:rFonts w:hint="eastAsia" w:ascii="宋体" w:hAnsi="宋体" w:eastAsia="宋体" w:cs="宋体"/>
          <w:color w:val="000000" w:themeColor="text1"/>
          <w:highlight w:val="none"/>
          <w:lang w:eastAsia="zh-CN"/>
          <w14:textFill>
            <w14:solidFill>
              <w14:schemeClr w14:val="tx1"/>
            </w14:solidFill>
          </w14:textFill>
        </w:rPr>
        <w:t>投标文件</w:t>
      </w:r>
      <w:r>
        <w:rPr>
          <w:rFonts w:hint="eastAsia" w:ascii="宋体" w:hAnsi="宋体" w:eastAsia="宋体" w:cs="宋体"/>
          <w:color w:val="000000" w:themeColor="text1"/>
          <w:highlight w:val="none"/>
          <w14:textFill>
            <w14:solidFill>
              <w14:schemeClr w14:val="tx1"/>
            </w14:solidFill>
          </w14:textFill>
        </w:rPr>
        <w:t>对投标文件签署、盖章的要求适用于电子签名。</w:t>
      </w:r>
    </w:p>
    <w:p>
      <w:pPr>
        <w:pStyle w:val="131"/>
        <w:spacing w:before="0"/>
        <w:ind w:firstLine="0" w:firstLineChars="0"/>
        <w:rPr>
          <w:rFonts w:hint="eastAsia" w:ascii="宋体" w:hAnsi="宋体" w:eastAsia="宋体" w:cs="宋体"/>
          <w:b/>
          <w:color w:val="000000" w:themeColor="text1"/>
          <w:szCs w:val="24"/>
          <w:highlight w:val="none"/>
          <w14:textFill>
            <w14:solidFill>
              <w14:schemeClr w14:val="tx1"/>
            </w14:solidFill>
          </w14:textFill>
        </w:rPr>
      </w:pPr>
      <w:r>
        <w:rPr>
          <w:rFonts w:hint="eastAsia" w:ascii="宋体" w:hAnsi="宋体" w:eastAsia="宋体" w:cs="宋体"/>
          <w:b/>
          <w:color w:val="000000" w:themeColor="text1"/>
          <w:szCs w:val="24"/>
          <w:highlight w:val="none"/>
          <w14:textFill>
            <w14:solidFill>
              <w14:schemeClr w14:val="tx1"/>
            </w14:solidFill>
          </w14:textFill>
        </w:rPr>
        <w:t>14. 投标文件的提交、补充、修改、撤回</w:t>
      </w:r>
    </w:p>
    <w:p>
      <w:pPr>
        <w:pStyle w:val="131"/>
        <w:ind w:firstLine="480"/>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color w:val="000000" w:themeColor="text1"/>
          <w:szCs w:val="24"/>
          <w:highlight w:val="none"/>
          <w14:textFill>
            <w14:solidFill>
              <w14:schemeClr w14:val="tx1"/>
            </w14:solidFill>
          </w14:textFill>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31"/>
        <w:spacing w:before="0"/>
        <w:ind w:firstLine="480"/>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color w:val="000000" w:themeColor="text1"/>
          <w:szCs w:val="24"/>
          <w:highlight w:val="none"/>
          <w14:textFill>
            <w14:solidFill>
              <w14:schemeClr w14:val="tx1"/>
            </w14:solidFill>
          </w14:textFill>
        </w:rPr>
        <w:t>14.2电子交易平台收到投标文件，将妥善保存并即时向供应商发出确认回执通知。在投标截止时间前，除供应商补充、修改或者撤回投标文件外，任何单位和个人不得解密或提取投标文件。</w:t>
      </w:r>
    </w:p>
    <w:p>
      <w:pPr>
        <w:pStyle w:val="131"/>
        <w:spacing w:before="0"/>
        <w:ind w:firstLine="480"/>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color w:val="000000" w:themeColor="text1"/>
          <w:szCs w:val="24"/>
          <w:highlight w:val="none"/>
          <w14:textFill>
            <w14:solidFill>
              <w14:schemeClr w14:val="tx1"/>
            </w14:solidFill>
          </w14:textFill>
        </w:rPr>
        <w:t>14.3采购人、</w:t>
      </w:r>
      <w:r>
        <w:rPr>
          <w:rFonts w:hint="eastAsia" w:ascii="宋体" w:hAnsi="宋体" w:eastAsia="宋体" w:cs="宋体"/>
          <w:color w:val="000000" w:themeColor="text1"/>
          <w:szCs w:val="24"/>
          <w:highlight w:val="none"/>
          <w:lang w:eastAsia="zh-CN"/>
          <w14:textFill>
            <w14:solidFill>
              <w14:schemeClr w14:val="tx1"/>
            </w14:solidFill>
          </w14:textFill>
        </w:rPr>
        <w:t>采购代理机构</w:t>
      </w:r>
      <w:r>
        <w:rPr>
          <w:rFonts w:hint="eastAsia" w:ascii="宋体" w:hAnsi="宋体" w:eastAsia="宋体" w:cs="宋体"/>
          <w:color w:val="000000" w:themeColor="text1"/>
          <w:szCs w:val="24"/>
          <w:highlight w:val="none"/>
          <w14:textFill>
            <w14:solidFill>
              <w14:schemeClr w14:val="tx1"/>
            </w14:solidFill>
          </w14:textFill>
        </w:rPr>
        <w:t>可以视情况延长投标文件提交的截止时间。在上述情况下，</w:t>
      </w:r>
      <w:r>
        <w:rPr>
          <w:rFonts w:hint="eastAsia" w:ascii="宋体" w:hAnsi="宋体" w:eastAsia="宋体" w:cs="宋体"/>
          <w:color w:val="000000" w:themeColor="text1"/>
          <w:szCs w:val="24"/>
          <w:highlight w:val="none"/>
          <w:lang w:eastAsia="zh-CN"/>
          <w14:textFill>
            <w14:solidFill>
              <w14:schemeClr w14:val="tx1"/>
            </w14:solidFill>
          </w14:textFill>
        </w:rPr>
        <w:t>采购代理机构</w:t>
      </w:r>
      <w:r>
        <w:rPr>
          <w:rFonts w:hint="eastAsia" w:ascii="宋体" w:hAnsi="宋体" w:eastAsia="宋体" w:cs="宋体"/>
          <w:color w:val="000000" w:themeColor="text1"/>
          <w:szCs w:val="24"/>
          <w:highlight w:val="none"/>
          <w14:textFill>
            <w14:solidFill>
              <w14:schemeClr w14:val="tx1"/>
            </w14:solidFill>
          </w14:textFill>
        </w:rPr>
        <w:t>与</w:t>
      </w:r>
      <w:r>
        <w:rPr>
          <w:rFonts w:hint="eastAsia" w:ascii="宋体" w:hAnsi="宋体" w:eastAsia="宋体" w:cs="宋体"/>
          <w:color w:val="000000" w:themeColor="text1"/>
          <w:szCs w:val="24"/>
          <w:highlight w:val="none"/>
          <w:lang w:eastAsia="zh-CN"/>
          <w14:textFill>
            <w14:solidFill>
              <w14:schemeClr w14:val="tx1"/>
            </w14:solidFill>
          </w14:textFill>
        </w:rPr>
        <w:t>供应商</w:t>
      </w:r>
      <w:r>
        <w:rPr>
          <w:rFonts w:hint="eastAsia" w:ascii="宋体" w:hAnsi="宋体" w:eastAsia="宋体" w:cs="宋体"/>
          <w:color w:val="000000" w:themeColor="text1"/>
          <w:szCs w:val="24"/>
          <w:highlight w:val="none"/>
          <w14:textFill>
            <w14:solidFill>
              <w14:schemeClr w14:val="tx1"/>
            </w14:solidFill>
          </w14:textFill>
        </w:rPr>
        <w:t>以前在投标截止期方面的全部权利、责任和义务，将适用于延长至新的投标截止期。</w:t>
      </w:r>
    </w:p>
    <w:p>
      <w:pPr>
        <w:pStyle w:val="34"/>
        <w:spacing w:line="360" w:lineRule="auto"/>
        <w:rPr>
          <w:rFonts w:hint="eastAsia"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b/>
          <w:color w:val="000000" w:themeColor="text1"/>
          <w:sz w:val="24"/>
          <w:szCs w:val="24"/>
          <w:highlight w:val="none"/>
          <w14:textFill>
            <w14:solidFill>
              <w14:schemeClr w14:val="tx1"/>
            </w14:solidFill>
          </w14:textFill>
        </w:rPr>
        <w:t>15.备份投标文件</w:t>
      </w:r>
    </w:p>
    <w:p>
      <w:pPr>
        <w:pStyle w:val="34"/>
        <w:spacing w:line="360" w:lineRule="auto"/>
        <w:ind w:firstLine="360" w:firstLineChars="150"/>
        <w:rPr>
          <w:rFonts w:hint="eastAsia"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xml:space="preserve"> 15.1</w:t>
      </w:r>
      <w:r>
        <w:rPr>
          <w:rFonts w:hint="eastAsia" w:ascii="宋体" w:hAnsi="宋体" w:eastAsia="宋体" w:cs="宋体"/>
          <w:color w:val="000000" w:themeColor="text1"/>
          <w:sz w:val="24"/>
          <w:szCs w:val="24"/>
          <w:highlight w:val="none"/>
          <w:lang w:eastAsia="zh-CN"/>
          <w14:textFill>
            <w14:solidFill>
              <w14:schemeClr w14:val="tx1"/>
            </w14:solidFill>
          </w14:textFill>
        </w:rPr>
        <w:t>供应商</w:t>
      </w:r>
      <w:r>
        <w:rPr>
          <w:rFonts w:hint="eastAsia" w:ascii="宋体" w:hAnsi="宋体" w:eastAsia="宋体" w:cs="宋体"/>
          <w:color w:val="000000" w:themeColor="text1"/>
          <w:sz w:val="24"/>
          <w:szCs w:val="24"/>
          <w:highlight w:val="none"/>
          <w14:textFill>
            <w14:solidFill>
              <w14:schemeClr w14:val="tx1"/>
            </w14:solidFill>
          </w14:textFill>
        </w:rPr>
        <w:t>在电子交易平台传输递交投标文件后，还可以在投标截止时间前直接提交或者以邮政快递方式递交备份投标文件1份，</w:t>
      </w:r>
      <w:r>
        <w:rPr>
          <w:rFonts w:hint="eastAsia" w:ascii="宋体" w:hAnsi="宋体" w:eastAsia="宋体" w:cs="宋体"/>
          <w:b/>
          <w:color w:val="000000" w:themeColor="text1"/>
          <w:sz w:val="24"/>
          <w:szCs w:val="24"/>
          <w:highlight w:val="none"/>
          <w14:textFill>
            <w14:solidFill>
              <w14:schemeClr w14:val="tx1"/>
            </w14:solidFill>
          </w14:textFill>
        </w:rPr>
        <w:t>但采购人、</w:t>
      </w:r>
      <w:r>
        <w:rPr>
          <w:rFonts w:hint="eastAsia" w:ascii="宋体" w:hAnsi="宋体" w:eastAsia="宋体" w:cs="宋体"/>
          <w:b/>
          <w:color w:val="000000" w:themeColor="text1"/>
          <w:sz w:val="24"/>
          <w:szCs w:val="24"/>
          <w:highlight w:val="none"/>
          <w:lang w:eastAsia="zh-CN"/>
          <w14:textFill>
            <w14:solidFill>
              <w14:schemeClr w14:val="tx1"/>
            </w14:solidFill>
          </w14:textFill>
        </w:rPr>
        <w:t>采购代理机构</w:t>
      </w:r>
      <w:r>
        <w:rPr>
          <w:rFonts w:hint="eastAsia" w:ascii="宋体" w:hAnsi="宋体" w:eastAsia="宋体" w:cs="宋体"/>
          <w:b/>
          <w:color w:val="000000" w:themeColor="text1"/>
          <w:sz w:val="24"/>
          <w:szCs w:val="24"/>
          <w:highlight w:val="none"/>
          <w14:textFill>
            <w14:solidFill>
              <w14:schemeClr w14:val="tx1"/>
            </w14:solidFill>
          </w14:textFill>
        </w:rPr>
        <w:t>不强制或变相强制</w:t>
      </w:r>
      <w:r>
        <w:rPr>
          <w:rFonts w:hint="eastAsia" w:ascii="宋体" w:hAnsi="宋体" w:eastAsia="宋体" w:cs="宋体"/>
          <w:b/>
          <w:color w:val="000000" w:themeColor="text1"/>
          <w:sz w:val="24"/>
          <w:szCs w:val="24"/>
          <w:highlight w:val="none"/>
          <w:lang w:eastAsia="zh-CN"/>
          <w14:textFill>
            <w14:solidFill>
              <w14:schemeClr w14:val="tx1"/>
            </w14:solidFill>
          </w14:textFill>
        </w:rPr>
        <w:t>供应商</w:t>
      </w:r>
      <w:r>
        <w:rPr>
          <w:rFonts w:hint="eastAsia" w:ascii="宋体" w:hAnsi="宋体" w:eastAsia="宋体" w:cs="宋体"/>
          <w:b/>
          <w:color w:val="000000" w:themeColor="text1"/>
          <w:sz w:val="24"/>
          <w:szCs w:val="24"/>
          <w:highlight w:val="none"/>
          <w14:textFill>
            <w14:solidFill>
              <w14:schemeClr w14:val="tx1"/>
            </w14:solidFill>
          </w14:textFill>
        </w:rPr>
        <w:t>提交备份投标文件。</w:t>
      </w:r>
    </w:p>
    <w:p>
      <w:pPr>
        <w:pStyle w:val="34"/>
        <w:spacing w:line="360" w:lineRule="auto"/>
        <w:ind w:firstLine="480" w:firstLineChars="200"/>
        <w:rPr>
          <w:rFonts w:hint="eastAsia"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15.2备份投标文件须在“政采云投标客户端”制作生成，并储存在</w:t>
      </w:r>
      <w:r>
        <w:rPr>
          <w:rFonts w:hint="eastAsia" w:ascii="宋体" w:hAnsi="宋体" w:eastAsia="宋体" w:cs="宋体"/>
          <w:color w:val="000000" w:themeColor="text1"/>
          <w:sz w:val="24"/>
          <w:highlight w:val="none"/>
          <w14:textFill>
            <w14:solidFill>
              <w14:schemeClr w14:val="tx1"/>
            </w14:solidFill>
          </w14:textFill>
        </w:rPr>
        <w:t>DVD光盘</w:t>
      </w:r>
      <w:r>
        <w:rPr>
          <w:rFonts w:hint="eastAsia" w:ascii="宋体" w:hAnsi="宋体" w:eastAsia="宋体" w:cs="宋体"/>
          <w:color w:val="000000" w:themeColor="text1"/>
          <w:sz w:val="24"/>
          <w:highlight w:val="none"/>
          <w:lang w:val="en-US" w:eastAsia="zh-CN"/>
          <w14:textFill>
            <w14:solidFill>
              <w14:schemeClr w14:val="tx1"/>
            </w14:solidFill>
          </w14:textFill>
        </w:rPr>
        <w:t>等存储介质</w:t>
      </w:r>
      <w:r>
        <w:rPr>
          <w:rFonts w:hint="eastAsia" w:ascii="宋体" w:hAnsi="宋体" w:eastAsia="宋体" w:cs="宋体"/>
          <w:color w:val="000000" w:themeColor="text1"/>
          <w:sz w:val="24"/>
          <w:szCs w:val="24"/>
          <w:highlight w:val="none"/>
          <w14:textFill>
            <w14:solidFill>
              <w14:schemeClr w14:val="tx1"/>
            </w14:solidFill>
          </w14:textFill>
        </w:rPr>
        <w:t>中。备份投标文件应当密封包装并在包装上加盖公章并注明投标项目名称，</w:t>
      </w:r>
      <w:r>
        <w:rPr>
          <w:rFonts w:hint="eastAsia" w:ascii="宋体" w:hAnsi="宋体" w:eastAsia="宋体" w:cs="宋体"/>
          <w:color w:val="000000" w:themeColor="text1"/>
          <w:sz w:val="24"/>
          <w:szCs w:val="24"/>
          <w:highlight w:val="none"/>
          <w:lang w:eastAsia="zh-CN"/>
          <w14:textFill>
            <w14:solidFill>
              <w14:schemeClr w14:val="tx1"/>
            </w14:solidFill>
          </w14:textFill>
        </w:rPr>
        <w:t>供应商</w:t>
      </w:r>
      <w:r>
        <w:rPr>
          <w:rFonts w:hint="eastAsia" w:ascii="宋体" w:hAnsi="宋体" w:eastAsia="宋体" w:cs="宋体"/>
          <w:color w:val="000000" w:themeColor="text1"/>
          <w:sz w:val="24"/>
          <w:szCs w:val="24"/>
          <w:highlight w:val="none"/>
          <w14:textFill>
            <w14:solidFill>
              <w14:schemeClr w14:val="tx1"/>
            </w14:solidFill>
          </w14:textFill>
        </w:rPr>
        <w:t>名称(联合体投标的，包装物封面需注明联合体投标，并注明联合体成员各方的名称和联合协议中约定的牵头人的名称)。</w:t>
      </w:r>
      <w:r>
        <w:rPr>
          <w:rFonts w:hint="eastAsia" w:ascii="宋体" w:hAnsi="宋体" w:eastAsia="宋体" w:cs="宋体"/>
          <w:b/>
          <w:color w:val="000000" w:themeColor="text1"/>
          <w:sz w:val="24"/>
          <w:highlight w:val="none"/>
          <w14:textFill>
            <w14:solidFill>
              <w14:schemeClr w14:val="tx1"/>
            </w14:solidFill>
          </w14:textFill>
        </w:rPr>
        <w:t>不符合上述制作、</w:t>
      </w:r>
      <w:r>
        <w:rPr>
          <w:rFonts w:hint="eastAsia" w:ascii="宋体" w:hAnsi="宋体" w:eastAsia="宋体" w:cs="宋体"/>
          <w:b/>
          <w:color w:val="000000" w:themeColor="text1"/>
          <w:sz w:val="24"/>
          <w:szCs w:val="24"/>
          <w:highlight w:val="none"/>
          <w14:textFill>
            <w14:solidFill>
              <w14:schemeClr w14:val="tx1"/>
            </w14:solidFill>
          </w14:textFill>
        </w:rPr>
        <w:t>存储、密封规定的备份投标文件将被视为无效或者被拒绝接收。</w:t>
      </w:r>
    </w:p>
    <w:p>
      <w:pPr>
        <w:pStyle w:val="34"/>
        <w:spacing w:line="360" w:lineRule="auto"/>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15.3直接提交备份投标文件的，</w:t>
      </w:r>
      <w:r>
        <w:rPr>
          <w:rFonts w:hint="eastAsia" w:ascii="宋体" w:hAnsi="宋体" w:eastAsia="宋体" w:cs="宋体"/>
          <w:color w:val="000000" w:themeColor="text1"/>
          <w:sz w:val="24"/>
          <w:szCs w:val="24"/>
          <w:highlight w:val="none"/>
          <w:lang w:eastAsia="zh-CN"/>
          <w14:textFill>
            <w14:solidFill>
              <w14:schemeClr w14:val="tx1"/>
            </w14:solidFill>
          </w14:textFill>
        </w:rPr>
        <w:t>供应商</w:t>
      </w:r>
      <w:r>
        <w:rPr>
          <w:rFonts w:hint="eastAsia" w:ascii="宋体" w:hAnsi="宋体" w:eastAsia="宋体" w:cs="宋体"/>
          <w:color w:val="000000" w:themeColor="text1"/>
          <w:sz w:val="24"/>
          <w:szCs w:val="24"/>
          <w:highlight w:val="none"/>
          <w14:textFill>
            <w14:solidFill>
              <w14:schemeClr w14:val="tx1"/>
            </w14:solidFill>
          </w14:textFill>
        </w:rPr>
        <w:t>应于投标截止时间前在招标公告中载明的开标地点将备份投标文件提交给</w:t>
      </w:r>
      <w:r>
        <w:rPr>
          <w:rFonts w:hint="eastAsia" w:ascii="宋体" w:hAnsi="宋体" w:eastAsia="宋体" w:cs="宋体"/>
          <w:color w:val="000000" w:themeColor="text1"/>
          <w:sz w:val="24"/>
          <w:szCs w:val="24"/>
          <w:highlight w:val="none"/>
          <w:lang w:eastAsia="zh-CN"/>
          <w14:textFill>
            <w14:solidFill>
              <w14:schemeClr w14:val="tx1"/>
            </w14:solidFill>
          </w14:textFill>
        </w:rPr>
        <w:t>采购代理机构</w:t>
      </w:r>
      <w:r>
        <w:rPr>
          <w:rFonts w:hint="eastAsia" w:ascii="宋体" w:hAnsi="宋体" w:eastAsia="宋体" w:cs="宋体"/>
          <w:color w:val="000000" w:themeColor="text1"/>
          <w:sz w:val="24"/>
          <w:szCs w:val="24"/>
          <w:highlight w:val="none"/>
          <w14:textFill>
            <w14:solidFill>
              <w14:schemeClr w14:val="tx1"/>
            </w14:solidFill>
          </w14:textFill>
        </w:rPr>
        <w:t>，</w:t>
      </w:r>
      <w:r>
        <w:rPr>
          <w:rFonts w:hint="eastAsia" w:ascii="宋体" w:hAnsi="宋体" w:eastAsia="宋体" w:cs="宋体"/>
          <w:color w:val="000000" w:themeColor="text1"/>
          <w:sz w:val="24"/>
          <w:szCs w:val="24"/>
          <w:highlight w:val="none"/>
          <w:lang w:eastAsia="zh-CN"/>
          <w14:textFill>
            <w14:solidFill>
              <w14:schemeClr w14:val="tx1"/>
            </w14:solidFill>
          </w14:textFill>
        </w:rPr>
        <w:t>采购代理机构</w:t>
      </w:r>
      <w:r>
        <w:rPr>
          <w:rFonts w:hint="eastAsia" w:ascii="宋体" w:hAnsi="宋体" w:eastAsia="宋体" w:cs="宋体"/>
          <w:color w:val="000000" w:themeColor="text1"/>
          <w:sz w:val="24"/>
          <w:szCs w:val="24"/>
          <w:highlight w:val="none"/>
          <w14:textFill>
            <w14:solidFill>
              <w14:schemeClr w14:val="tx1"/>
            </w14:solidFill>
          </w14:textFill>
        </w:rPr>
        <w:t>将拒绝接受逾期送达的备份投标文件。</w:t>
      </w:r>
    </w:p>
    <w:p>
      <w:pPr>
        <w:pStyle w:val="34"/>
        <w:spacing w:line="360" w:lineRule="auto"/>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15.4以邮政快递方式递交备份投标文件的，</w:t>
      </w:r>
      <w:r>
        <w:rPr>
          <w:rFonts w:hint="eastAsia" w:ascii="宋体" w:hAnsi="宋体" w:eastAsia="宋体" w:cs="宋体"/>
          <w:color w:val="000000" w:themeColor="text1"/>
          <w:sz w:val="24"/>
          <w:szCs w:val="24"/>
          <w:highlight w:val="none"/>
          <w:lang w:eastAsia="zh-CN"/>
          <w14:textFill>
            <w14:solidFill>
              <w14:schemeClr w14:val="tx1"/>
            </w14:solidFill>
          </w14:textFill>
        </w:rPr>
        <w:t>供应商</w:t>
      </w:r>
      <w:r>
        <w:rPr>
          <w:rFonts w:hint="eastAsia" w:ascii="宋体" w:hAnsi="宋体" w:eastAsia="宋体" w:cs="宋体"/>
          <w:color w:val="000000" w:themeColor="text1"/>
          <w:sz w:val="24"/>
          <w:szCs w:val="24"/>
          <w:highlight w:val="none"/>
          <w14:textFill>
            <w14:solidFill>
              <w14:schemeClr w14:val="tx1"/>
            </w14:solidFill>
          </w14:textFill>
        </w:rPr>
        <w:t>应先将备份投标文件按要求密封和标记，再进行邮政快递包装后邮寄。备份投标文件须在投标截止时间之前送达</w:t>
      </w:r>
      <w:r>
        <w:rPr>
          <w:rFonts w:hint="eastAsia" w:ascii="宋体" w:hAnsi="宋体" w:eastAsia="宋体" w:cs="宋体"/>
          <w:snapToGrid/>
          <w:color w:val="000000" w:themeColor="text1"/>
          <w:sz w:val="24"/>
          <w:szCs w:val="24"/>
          <w:highlight w:val="none"/>
          <w:lang w:eastAsia="zh-CN"/>
          <w14:textFill>
            <w14:solidFill>
              <w14:schemeClr w14:val="tx1"/>
            </w14:solidFill>
          </w14:textFill>
        </w:rPr>
        <w:t>投标文件</w:t>
      </w:r>
      <w:r>
        <w:rPr>
          <w:rFonts w:hint="eastAsia" w:ascii="宋体" w:hAnsi="宋体" w:eastAsia="宋体" w:cs="宋体"/>
          <w:snapToGrid/>
          <w:color w:val="000000" w:themeColor="text1"/>
          <w:sz w:val="24"/>
          <w:szCs w:val="24"/>
          <w:highlight w:val="none"/>
          <w14:textFill>
            <w14:solidFill>
              <w14:schemeClr w14:val="tx1"/>
            </w14:solidFill>
          </w14:textFill>
        </w:rPr>
        <w:t>第二部分</w:t>
      </w:r>
      <w:r>
        <w:rPr>
          <w:rFonts w:hint="eastAsia" w:ascii="宋体" w:hAnsi="宋体" w:eastAsia="宋体" w:cs="宋体"/>
          <w:snapToGrid/>
          <w:color w:val="000000" w:themeColor="text1"/>
          <w:sz w:val="24"/>
          <w:szCs w:val="24"/>
          <w:highlight w:val="none"/>
          <w:lang w:eastAsia="zh-CN"/>
          <w14:textFill>
            <w14:solidFill>
              <w14:schemeClr w14:val="tx1"/>
            </w14:solidFill>
          </w14:textFill>
        </w:rPr>
        <w:t>供应商</w:t>
      </w:r>
      <w:r>
        <w:rPr>
          <w:rFonts w:hint="eastAsia" w:ascii="宋体" w:hAnsi="宋体" w:eastAsia="宋体" w:cs="宋体"/>
          <w:snapToGrid/>
          <w:color w:val="000000" w:themeColor="text1"/>
          <w:sz w:val="24"/>
          <w:szCs w:val="24"/>
          <w:highlight w:val="none"/>
          <w14:textFill>
            <w14:solidFill>
              <w14:schemeClr w14:val="tx1"/>
            </w14:solidFill>
          </w14:textFill>
        </w:rPr>
        <w:t>须知前附表规定的备份投标文件送达地点；</w:t>
      </w:r>
      <w:r>
        <w:rPr>
          <w:rFonts w:hint="eastAsia" w:ascii="宋体" w:hAnsi="宋体" w:eastAsia="宋体" w:cs="宋体"/>
          <w:color w:val="000000" w:themeColor="text1"/>
          <w:sz w:val="24"/>
          <w:szCs w:val="24"/>
          <w:highlight w:val="none"/>
          <w14:textFill>
            <w14:solidFill>
              <w14:schemeClr w14:val="tx1"/>
            </w14:solidFill>
          </w14:textFill>
        </w:rPr>
        <w:t>送达时间以签收人签收时间为准。</w:t>
      </w:r>
      <w:r>
        <w:rPr>
          <w:rFonts w:hint="eastAsia" w:ascii="宋体" w:hAnsi="宋体" w:eastAsia="宋体" w:cs="宋体"/>
          <w:color w:val="000000" w:themeColor="text1"/>
          <w:sz w:val="24"/>
          <w:szCs w:val="24"/>
          <w:highlight w:val="none"/>
          <w:lang w:eastAsia="zh-CN"/>
          <w14:textFill>
            <w14:solidFill>
              <w14:schemeClr w14:val="tx1"/>
            </w14:solidFill>
          </w14:textFill>
        </w:rPr>
        <w:t>采购代理机构</w:t>
      </w:r>
      <w:r>
        <w:rPr>
          <w:rFonts w:hint="eastAsia" w:ascii="宋体" w:hAnsi="宋体" w:eastAsia="宋体" w:cs="宋体"/>
          <w:color w:val="000000" w:themeColor="text1"/>
          <w:sz w:val="24"/>
          <w:szCs w:val="24"/>
          <w:highlight w:val="none"/>
          <w14:textFill>
            <w14:solidFill>
              <w14:schemeClr w14:val="tx1"/>
            </w14:solidFill>
          </w14:textFill>
        </w:rPr>
        <w:t>将拒绝接受逾期送达的备份投标文件。邮寄过程中，电子备份投标文件发生泄露、遗失、损坏或延期送达等情况的，由</w:t>
      </w:r>
      <w:r>
        <w:rPr>
          <w:rFonts w:hint="eastAsia" w:ascii="宋体" w:hAnsi="宋体" w:eastAsia="宋体" w:cs="宋体"/>
          <w:color w:val="000000" w:themeColor="text1"/>
          <w:sz w:val="24"/>
          <w:szCs w:val="24"/>
          <w:highlight w:val="none"/>
          <w:lang w:eastAsia="zh-CN"/>
          <w14:textFill>
            <w14:solidFill>
              <w14:schemeClr w14:val="tx1"/>
            </w14:solidFill>
          </w14:textFill>
        </w:rPr>
        <w:t>供应商</w:t>
      </w:r>
      <w:r>
        <w:rPr>
          <w:rFonts w:hint="eastAsia" w:ascii="宋体" w:hAnsi="宋体" w:eastAsia="宋体" w:cs="宋体"/>
          <w:color w:val="000000" w:themeColor="text1"/>
          <w:sz w:val="24"/>
          <w:szCs w:val="24"/>
          <w:highlight w:val="none"/>
          <w14:textFill>
            <w14:solidFill>
              <w14:schemeClr w14:val="tx1"/>
            </w14:solidFill>
          </w14:textFill>
        </w:rPr>
        <w:t>自行负责。</w:t>
      </w:r>
    </w:p>
    <w:p>
      <w:pPr>
        <w:pStyle w:val="34"/>
        <w:spacing w:line="360" w:lineRule="auto"/>
        <w:ind w:firstLine="479" w:firstLineChars="199"/>
        <w:rPr>
          <w:rFonts w:hint="eastAsia"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b/>
          <w:color w:val="000000" w:themeColor="text1"/>
          <w:sz w:val="24"/>
          <w:szCs w:val="24"/>
          <w:highlight w:val="none"/>
          <w14:textFill>
            <w14:solidFill>
              <w14:schemeClr w14:val="tx1"/>
            </w14:solidFill>
          </w14:textFill>
        </w:rPr>
        <w:t>15.5</w:t>
      </w:r>
      <w:r>
        <w:rPr>
          <w:rFonts w:hint="eastAsia" w:ascii="宋体" w:hAnsi="宋体" w:eastAsia="宋体" w:cs="宋体"/>
          <w:b/>
          <w:color w:val="000000" w:themeColor="text1"/>
          <w:sz w:val="24"/>
          <w:szCs w:val="24"/>
          <w:highlight w:val="none"/>
          <w:lang w:eastAsia="zh-CN"/>
          <w14:textFill>
            <w14:solidFill>
              <w14:schemeClr w14:val="tx1"/>
            </w14:solidFill>
          </w14:textFill>
        </w:rPr>
        <w:t>供应商</w:t>
      </w:r>
      <w:r>
        <w:rPr>
          <w:rFonts w:hint="eastAsia" w:ascii="宋体" w:hAnsi="宋体" w:eastAsia="宋体" w:cs="宋体"/>
          <w:b/>
          <w:color w:val="000000" w:themeColor="text1"/>
          <w:sz w:val="24"/>
          <w:szCs w:val="24"/>
          <w:highlight w:val="none"/>
          <w14:textFill>
            <w14:solidFill>
              <w14:schemeClr w14:val="tx1"/>
            </w14:solidFill>
          </w14:textFill>
        </w:rPr>
        <w:t>仅提交备份投标文件，未在电子交易平台传输递交投标文件的，投标无效。</w:t>
      </w:r>
    </w:p>
    <w:p>
      <w:pPr>
        <w:pStyle w:val="131"/>
        <w:spacing w:before="0"/>
        <w:ind w:firstLine="0" w:firstLineChars="0"/>
        <w:rPr>
          <w:rFonts w:hint="eastAsia" w:ascii="宋体" w:hAnsi="宋体" w:eastAsia="宋体" w:cs="宋体"/>
          <w:b/>
          <w:color w:val="000000" w:themeColor="text1"/>
          <w:szCs w:val="24"/>
          <w:highlight w:val="none"/>
          <w14:textFill>
            <w14:solidFill>
              <w14:schemeClr w14:val="tx1"/>
            </w14:solidFill>
          </w14:textFill>
        </w:rPr>
      </w:pPr>
      <w:r>
        <w:rPr>
          <w:rFonts w:hint="eastAsia" w:ascii="宋体" w:hAnsi="宋体" w:eastAsia="宋体" w:cs="宋体"/>
          <w:b/>
          <w:color w:val="000000" w:themeColor="text1"/>
          <w:szCs w:val="24"/>
          <w:highlight w:val="none"/>
          <w14:textFill>
            <w14:solidFill>
              <w14:schemeClr w14:val="tx1"/>
            </w14:solidFill>
          </w14:textFill>
        </w:rPr>
        <w:t>16.投标文件的无效处理</w:t>
      </w:r>
    </w:p>
    <w:p>
      <w:pPr>
        <w:pStyle w:val="26"/>
        <w:spacing w:line="360" w:lineRule="auto"/>
        <w:ind w:firstLine="360" w:firstLineChars="15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有</w:t>
      </w:r>
      <w:r>
        <w:rPr>
          <w:rFonts w:hint="eastAsia" w:ascii="宋体" w:hAnsi="宋体" w:eastAsia="宋体" w:cs="宋体"/>
          <w:color w:val="000000" w:themeColor="text1"/>
          <w:szCs w:val="21"/>
          <w:highlight w:val="none"/>
          <w:lang w:eastAsia="zh-CN"/>
          <w14:textFill>
            <w14:solidFill>
              <w14:schemeClr w14:val="tx1"/>
            </w14:solidFill>
          </w14:textFill>
        </w:rPr>
        <w:t>投标文件</w:t>
      </w:r>
      <w:r>
        <w:rPr>
          <w:rFonts w:hint="eastAsia" w:ascii="宋体" w:hAnsi="宋体" w:eastAsia="宋体" w:cs="宋体"/>
          <w:color w:val="000000" w:themeColor="text1"/>
          <w:szCs w:val="21"/>
          <w:highlight w:val="none"/>
          <w14:textFill>
            <w14:solidFill>
              <w14:schemeClr w14:val="tx1"/>
            </w14:solidFill>
          </w14:textFill>
        </w:rPr>
        <w:t>第四部分4.2规定的情形之一的，投标无效：</w:t>
      </w:r>
    </w:p>
    <w:p>
      <w:pPr>
        <w:pStyle w:val="131"/>
        <w:spacing w:before="0"/>
        <w:ind w:firstLine="0" w:firstLineChars="0"/>
        <w:rPr>
          <w:rFonts w:hint="eastAsia" w:ascii="宋体" w:hAnsi="宋体" w:eastAsia="宋体" w:cs="宋体"/>
          <w:b/>
          <w:color w:val="000000" w:themeColor="text1"/>
          <w:szCs w:val="24"/>
          <w:highlight w:val="none"/>
          <w14:textFill>
            <w14:solidFill>
              <w14:schemeClr w14:val="tx1"/>
            </w14:solidFill>
          </w14:textFill>
        </w:rPr>
      </w:pPr>
      <w:r>
        <w:rPr>
          <w:rFonts w:hint="eastAsia" w:ascii="宋体" w:hAnsi="宋体" w:eastAsia="宋体" w:cs="宋体"/>
          <w:b/>
          <w:color w:val="000000" w:themeColor="text1"/>
          <w:szCs w:val="24"/>
          <w:highlight w:val="none"/>
          <w14:textFill>
            <w14:solidFill>
              <w14:schemeClr w14:val="tx1"/>
            </w14:solidFill>
          </w14:textFill>
        </w:rPr>
        <w:t>17.投标有效期</w:t>
      </w:r>
    </w:p>
    <w:p>
      <w:pPr>
        <w:spacing w:line="360" w:lineRule="auto"/>
        <w:ind w:firstLine="480" w:firstLineChars="200"/>
        <w:rPr>
          <w:rFonts w:hint="eastAsia" w:ascii="宋体" w:hAnsi="宋体" w:eastAsia="宋体" w:cs="宋体"/>
          <w:b/>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0"/>
          <w:highlight w:val="none"/>
          <w14:textFill>
            <w14:solidFill>
              <w14:schemeClr w14:val="tx1"/>
            </w14:solidFill>
          </w14:textFill>
        </w:rPr>
        <w:t>17.1投标有效期为从提交投标文件的截止之日起90天。▲</w:t>
      </w:r>
      <w:r>
        <w:rPr>
          <w:rFonts w:hint="eastAsia" w:ascii="宋体" w:hAnsi="宋体" w:eastAsia="宋体" w:cs="宋体"/>
          <w:b/>
          <w:color w:val="000000" w:themeColor="text1"/>
          <w:sz w:val="24"/>
          <w:szCs w:val="20"/>
          <w:highlight w:val="none"/>
          <w:lang w:eastAsia="zh-CN"/>
          <w14:textFill>
            <w14:solidFill>
              <w14:schemeClr w14:val="tx1"/>
            </w14:solidFill>
          </w14:textFill>
        </w:rPr>
        <w:t>供应商</w:t>
      </w:r>
      <w:r>
        <w:rPr>
          <w:rFonts w:hint="eastAsia" w:ascii="宋体" w:hAnsi="宋体" w:eastAsia="宋体" w:cs="宋体"/>
          <w:b/>
          <w:color w:val="000000" w:themeColor="text1"/>
          <w:sz w:val="24"/>
          <w:szCs w:val="20"/>
          <w:highlight w:val="none"/>
          <w14:textFill>
            <w14:solidFill>
              <w14:schemeClr w14:val="tx1"/>
            </w14:solidFill>
          </w14:textFill>
        </w:rPr>
        <w:t>的投标文件中承</w:t>
      </w:r>
      <w:r>
        <w:rPr>
          <w:rFonts w:hint="eastAsia" w:ascii="宋体" w:hAnsi="宋体" w:eastAsia="宋体" w:cs="宋体"/>
          <w:b/>
          <w:color w:val="000000" w:themeColor="text1"/>
          <w:sz w:val="24"/>
          <w:szCs w:val="21"/>
          <w:highlight w:val="none"/>
          <w14:textFill>
            <w14:solidFill>
              <w14:schemeClr w14:val="tx1"/>
            </w14:solidFill>
          </w14:textFill>
        </w:rPr>
        <w:t>诺的投标有效期少于</w:t>
      </w:r>
      <w:r>
        <w:rPr>
          <w:rFonts w:hint="eastAsia" w:ascii="宋体" w:hAnsi="宋体" w:eastAsia="宋体" w:cs="宋体"/>
          <w:b/>
          <w:color w:val="000000" w:themeColor="text1"/>
          <w:sz w:val="24"/>
          <w:szCs w:val="21"/>
          <w:highlight w:val="none"/>
          <w:lang w:eastAsia="zh-CN"/>
          <w14:textFill>
            <w14:solidFill>
              <w14:schemeClr w14:val="tx1"/>
            </w14:solidFill>
          </w14:textFill>
        </w:rPr>
        <w:t>投标文件</w:t>
      </w:r>
      <w:r>
        <w:rPr>
          <w:rFonts w:hint="eastAsia" w:ascii="宋体" w:hAnsi="宋体" w:eastAsia="宋体" w:cs="宋体"/>
          <w:b/>
          <w:color w:val="000000" w:themeColor="text1"/>
          <w:sz w:val="24"/>
          <w:szCs w:val="21"/>
          <w:highlight w:val="none"/>
          <w14:textFill>
            <w14:solidFill>
              <w14:schemeClr w14:val="tx1"/>
            </w14:solidFill>
          </w14:textFill>
        </w:rPr>
        <w:t>中载明的投标有效期的，投标无效。</w:t>
      </w:r>
    </w:p>
    <w:p>
      <w:pPr>
        <w:pStyle w:val="131"/>
        <w:spacing w:before="0"/>
        <w:ind w:firstLine="480"/>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17.2投标文件合格投递后，自投标截止日期起，在投标有效期内有效。</w:t>
      </w:r>
    </w:p>
    <w:p>
      <w:pPr>
        <w:pStyle w:val="131"/>
        <w:spacing w:before="0"/>
        <w:ind w:firstLine="480"/>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17.3在原定投标有效期满之前，如果出现特殊情况，</w:t>
      </w:r>
      <w:r>
        <w:rPr>
          <w:rFonts w:hint="eastAsia" w:ascii="宋体" w:hAnsi="宋体" w:eastAsia="宋体" w:cs="宋体"/>
          <w:color w:val="000000" w:themeColor="text1"/>
          <w:highlight w:val="none"/>
          <w:lang w:eastAsia="zh-CN"/>
          <w14:textFill>
            <w14:solidFill>
              <w14:schemeClr w14:val="tx1"/>
            </w14:solidFill>
          </w14:textFill>
        </w:rPr>
        <w:t>采购代理机构</w:t>
      </w:r>
      <w:r>
        <w:rPr>
          <w:rFonts w:hint="eastAsia" w:ascii="宋体" w:hAnsi="宋体" w:eastAsia="宋体" w:cs="宋体"/>
          <w:color w:val="000000" w:themeColor="text1"/>
          <w:highlight w:val="none"/>
          <w14:textFill>
            <w14:solidFill>
              <w14:schemeClr w14:val="tx1"/>
            </w14:solidFill>
          </w14:textFill>
        </w:rPr>
        <w:t>可以以书面形式通知</w:t>
      </w:r>
      <w:r>
        <w:rPr>
          <w:rFonts w:hint="eastAsia" w:ascii="宋体" w:hAnsi="宋体" w:eastAsia="宋体" w:cs="宋体"/>
          <w:color w:val="000000" w:themeColor="text1"/>
          <w:highlight w:val="none"/>
          <w:lang w:eastAsia="zh-CN"/>
          <w14:textFill>
            <w14:solidFill>
              <w14:schemeClr w14:val="tx1"/>
            </w14:solidFill>
          </w14:textFill>
        </w:rPr>
        <w:t>供应商</w:t>
      </w:r>
      <w:r>
        <w:rPr>
          <w:rFonts w:hint="eastAsia" w:ascii="宋体" w:hAnsi="宋体" w:eastAsia="宋体" w:cs="宋体"/>
          <w:color w:val="000000" w:themeColor="text1"/>
          <w:highlight w:val="none"/>
          <w14:textFill>
            <w14:solidFill>
              <w14:schemeClr w14:val="tx1"/>
            </w14:solidFill>
          </w14:textFill>
        </w:rPr>
        <w:t>延长投标有效期。</w:t>
      </w:r>
      <w:r>
        <w:rPr>
          <w:rFonts w:hint="eastAsia" w:ascii="宋体" w:hAnsi="宋体" w:eastAsia="宋体" w:cs="宋体"/>
          <w:color w:val="000000" w:themeColor="text1"/>
          <w:highlight w:val="none"/>
          <w:lang w:eastAsia="zh-CN"/>
          <w14:textFill>
            <w14:solidFill>
              <w14:schemeClr w14:val="tx1"/>
            </w14:solidFill>
          </w14:textFill>
        </w:rPr>
        <w:t>供应商</w:t>
      </w:r>
      <w:r>
        <w:rPr>
          <w:rFonts w:hint="eastAsia" w:ascii="宋体" w:hAnsi="宋体" w:eastAsia="宋体" w:cs="宋体"/>
          <w:color w:val="000000" w:themeColor="text1"/>
          <w:highlight w:val="none"/>
          <w14:textFill>
            <w14:solidFill>
              <w14:schemeClr w14:val="tx1"/>
            </w14:solidFill>
          </w14:textFill>
        </w:rPr>
        <w:t>同意延长的，不得要求或被允许修改其投标文件，</w:t>
      </w:r>
      <w:r>
        <w:rPr>
          <w:rFonts w:hint="eastAsia" w:ascii="宋体" w:hAnsi="宋体" w:eastAsia="宋体" w:cs="宋体"/>
          <w:color w:val="000000" w:themeColor="text1"/>
          <w:highlight w:val="none"/>
          <w:lang w:eastAsia="zh-CN"/>
          <w14:textFill>
            <w14:solidFill>
              <w14:schemeClr w14:val="tx1"/>
            </w14:solidFill>
          </w14:textFill>
        </w:rPr>
        <w:t>供应商</w:t>
      </w:r>
      <w:r>
        <w:rPr>
          <w:rFonts w:hint="eastAsia" w:ascii="宋体" w:hAnsi="宋体" w:eastAsia="宋体" w:cs="宋体"/>
          <w:color w:val="000000" w:themeColor="text1"/>
          <w:highlight w:val="none"/>
          <w14:textFill>
            <w14:solidFill>
              <w14:schemeClr w14:val="tx1"/>
            </w14:solidFill>
          </w14:textFill>
        </w:rPr>
        <w:t>拒绝延长的，其投标无效。</w:t>
      </w:r>
    </w:p>
    <w:p>
      <w:pPr>
        <w:pStyle w:val="131"/>
        <w:spacing w:before="0"/>
        <w:ind w:firstLine="643"/>
        <w:rPr>
          <w:rFonts w:hint="eastAsia" w:ascii="宋体" w:hAnsi="宋体" w:eastAsia="宋体" w:cs="宋体"/>
          <w:b/>
          <w:color w:val="000000" w:themeColor="text1"/>
          <w:sz w:val="32"/>
          <w:highlight w:val="none"/>
          <w14:textFill>
            <w14:solidFill>
              <w14:schemeClr w14:val="tx1"/>
            </w14:solidFill>
          </w14:textFill>
        </w:rPr>
      </w:pPr>
    </w:p>
    <w:p>
      <w:pPr>
        <w:pStyle w:val="131"/>
        <w:spacing w:before="0"/>
        <w:ind w:firstLine="1928" w:firstLineChars="600"/>
        <w:rPr>
          <w:rFonts w:hint="eastAsia" w:ascii="宋体" w:hAnsi="宋体" w:eastAsia="宋体" w:cs="宋体"/>
          <w:b/>
          <w:color w:val="000000" w:themeColor="text1"/>
          <w:sz w:val="32"/>
          <w:highlight w:val="none"/>
          <w14:textFill>
            <w14:solidFill>
              <w14:schemeClr w14:val="tx1"/>
            </w14:solidFill>
          </w14:textFill>
        </w:rPr>
      </w:pPr>
      <w:r>
        <w:rPr>
          <w:rFonts w:hint="eastAsia" w:ascii="宋体" w:hAnsi="宋体" w:eastAsia="宋体" w:cs="宋体"/>
          <w:b/>
          <w:color w:val="000000" w:themeColor="text1"/>
          <w:sz w:val="32"/>
          <w:highlight w:val="none"/>
          <w14:textFill>
            <w14:solidFill>
              <w14:schemeClr w14:val="tx1"/>
            </w14:solidFill>
          </w14:textFill>
        </w:rPr>
        <w:t>四、开标、资格审查与信用信息查询</w:t>
      </w:r>
    </w:p>
    <w:p>
      <w:pPr>
        <w:pStyle w:val="556"/>
        <w:spacing w:before="0" w:line="360" w:lineRule="auto"/>
        <w:ind w:left="0" w:firstLine="241" w:firstLineChars="100"/>
        <w:contextualSpacing/>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szCs w:val="24"/>
          <w:highlight w:val="none"/>
          <w14:textFill>
            <w14:solidFill>
              <w14:schemeClr w14:val="tx1"/>
            </w14:solidFill>
          </w14:textFill>
        </w:rPr>
        <w:t>18.开标</w:t>
      </w:r>
      <w:r>
        <w:rPr>
          <w:rFonts w:hint="eastAsia" w:ascii="宋体" w:hAnsi="宋体" w:eastAsia="宋体" w:cs="宋体"/>
          <w:color w:val="000000" w:themeColor="text1"/>
          <w:sz w:val="24"/>
          <w:highlight w:val="none"/>
          <w14:textFill>
            <w14:solidFill>
              <w14:schemeClr w14:val="tx1"/>
            </w14:solidFill>
          </w14:textFill>
        </w:rPr>
        <w:t xml:space="preserve"> </w:t>
      </w:r>
    </w:p>
    <w:p>
      <w:pPr>
        <w:pStyle w:val="556"/>
        <w:spacing w:before="0" w:line="360" w:lineRule="auto"/>
        <w:ind w:left="0" w:firstLine="480" w:firstLineChars="200"/>
        <w:contextualSpacing/>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18.1</w:t>
      </w:r>
      <w:r>
        <w:rPr>
          <w:rFonts w:hint="eastAsia" w:ascii="宋体" w:hAnsi="宋体" w:eastAsia="宋体" w:cs="宋体"/>
          <w:color w:val="000000" w:themeColor="text1"/>
          <w:sz w:val="24"/>
          <w:highlight w:val="none"/>
          <w:lang w:eastAsia="zh-CN"/>
          <w14:textFill>
            <w14:solidFill>
              <w14:schemeClr w14:val="tx1"/>
            </w14:solidFill>
          </w14:textFill>
        </w:rPr>
        <w:t>采购代理机构</w:t>
      </w:r>
      <w:r>
        <w:rPr>
          <w:rFonts w:hint="eastAsia" w:ascii="宋体" w:hAnsi="宋体" w:eastAsia="宋体" w:cs="宋体"/>
          <w:color w:val="000000" w:themeColor="text1"/>
          <w:sz w:val="24"/>
          <w:highlight w:val="none"/>
          <w14:textFill>
            <w14:solidFill>
              <w14:schemeClr w14:val="tx1"/>
            </w14:solidFill>
          </w14:textFill>
        </w:rPr>
        <w:t>按照</w:t>
      </w:r>
      <w:r>
        <w:rPr>
          <w:rFonts w:hint="eastAsia" w:ascii="宋体" w:hAnsi="宋体" w:eastAsia="宋体" w:cs="宋体"/>
          <w:color w:val="000000" w:themeColor="text1"/>
          <w:sz w:val="24"/>
          <w:highlight w:val="none"/>
          <w:lang w:eastAsia="zh-CN"/>
          <w14:textFill>
            <w14:solidFill>
              <w14:schemeClr w14:val="tx1"/>
            </w14:solidFill>
          </w14:textFill>
        </w:rPr>
        <w:t>投标文件</w:t>
      </w:r>
      <w:r>
        <w:rPr>
          <w:rFonts w:hint="eastAsia" w:ascii="宋体" w:hAnsi="宋体" w:eastAsia="宋体" w:cs="宋体"/>
          <w:color w:val="000000" w:themeColor="text1"/>
          <w:sz w:val="24"/>
          <w:highlight w:val="none"/>
          <w14:textFill>
            <w14:solidFill>
              <w14:schemeClr w14:val="tx1"/>
            </w14:solidFill>
          </w14:textFill>
        </w:rPr>
        <w:t>规定的时间通过电子交易平台组织开标，所有</w:t>
      </w:r>
      <w:r>
        <w:rPr>
          <w:rFonts w:hint="eastAsia" w:ascii="宋体" w:hAnsi="宋体" w:eastAsia="宋体" w:cs="宋体"/>
          <w:color w:val="000000" w:themeColor="text1"/>
          <w:sz w:val="24"/>
          <w:highlight w:val="none"/>
          <w:lang w:eastAsia="zh-CN"/>
          <w14:textFill>
            <w14:solidFill>
              <w14:schemeClr w14:val="tx1"/>
            </w14:solidFill>
          </w14:textFill>
        </w:rPr>
        <w:t>供应商</w:t>
      </w:r>
      <w:r>
        <w:rPr>
          <w:rFonts w:hint="eastAsia" w:ascii="宋体" w:hAnsi="宋体" w:eastAsia="宋体" w:cs="宋体"/>
          <w:color w:val="000000" w:themeColor="text1"/>
          <w:sz w:val="24"/>
          <w:highlight w:val="none"/>
          <w14:textFill>
            <w14:solidFill>
              <w14:schemeClr w14:val="tx1"/>
            </w14:solidFill>
          </w14:textFill>
        </w:rPr>
        <w:t>均应当准时在线参加。</w:t>
      </w:r>
      <w:r>
        <w:rPr>
          <w:rFonts w:hint="eastAsia" w:ascii="宋体" w:hAnsi="宋体" w:eastAsia="宋体" w:cs="宋体"/>
          <w:color w:val="000000" w:themeColor="text1"/>
          <w:sz w:val="24"/>
          <w:highlight w:val="none"/>
          <w:lang w:eastAsia="zh-CN"/>
          <w14:textFill>
            <w14:solidFill>
              <w14:schemeClr w14:val="tx1"/>
            </w14:solidFill>
          </w14:textFill>
        </w:rPr>
        <w:t>供应商</w:t>
      </w:r>
      <w:r>
        <w:rPr>
          <w:rFonts w:hint="eastAsia" w:ascii="宋体" w:hAnsi="宋体" w:eastAsia="宋体" w:cs="宋体"/>
          <w:color w:val="000000" w:themeColor="text1"/>
          <w:sz w:val="24"/>
          <w:highlight w:val="none"/>
          <w14:textFill>
            <w14:solidFill>
              <w14:schemeClr w14:val="tx1"/>
            </w14:solidFill>
          </w14:textFill>
        </w:rPr>
        <w:t>不足3家的，不得开标。</w:t>
      </w:r>
    </w:p>
    <w:p>
      <w:pPr>
        <w:pStyle w:val="556"/>
        <w:spacing w:before="0" w:line="360" w:lineRule="auto"/>
        <w:ind w:left="0" w:firstLine="240" w:firstLineChars="100"/>
        <w:contextualSpacing/>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　18.2开标时，电子交易平台按开标时间自动提取所有投标文件。</w:t>
      </w:r>
      <w:r>
        <w:rPr>
          <w:rFonts w:hint="eastAsia" w:ascii="宋体" w:hAnsi="宋体" w:eastAsia="宋体" w:cs="宋体"/>
          <w:color w:val="000000" w:themeColor="text1"/>
          <w:sz w:val="24"/>
          <w:highlight w:val="none"/>
          <w:lang w:eastAsia="zh-CN"/>
          <w14:textFill>
            <w14:solidFill>
              <w14:schemeClr w14:val="tx1"/>
            </w14:solidFill>
          </w14:textFill>
        </w:rPr>
        <w:t>采购代理机构</w:t>
      </w:r>
      <w:r>
        <w:rPr>
          <w:rFonts w:hint="eastAsia" w:ascii="宋体" w:hAnsi="宋体" w:eastAsia="宋体" w:cs="宋体"/>
          <w:color w:val="000000" w:themeColor="text1"/>
          <w:sz w:val="24"/>
          <w:highlight w:val="none"/>
          <w14:textFill>
            <w14:solidFill>
              <w14:schemeClr w14:val="tx1"/>
            </w14:solidFill>
          </w14:textFill>
        </w:rPr>
        <w:t>依托电子交易平台发起开始解密指令，</w:t>
      </w:r>
      <w:r>
        <w:rPr>
          <w:rFonts w:hint="eastAsia" w:ascii="宋体" w:hAnsi="宋体" w:eastAsia="宋体" w:cs="宋体"/>
          <w:color w:val="000000" w:themeColor="text1"/>
          <w:sz w:val="24"/>
          <w:highlight w:val="none"/>
          <w:lang w:eastAsia="zh-CN"/>
          <w14:textFill>
            <w14:solidFill>
              <w14:schemeClr w14:val="tx1"/>
            </w14:solidFill>
          </w14:textFill>
        </w:rPr>
        <w:t>供应商</w:t>
      </w:r>
      <w:r>
        <w:rPr>
          <w:rFonts w:hint="eastAsia" w:ascii="宋体" w:hAnsi="宋体" w:eastAsia="宋体" w:cs="宋体"/>
          <w:color w:val="000000" w:themeColor="text1"/>
          <w:sz w:val="24"/>
          <w:highlight w:val="none"/>
          <w14:textFill>
            <w14:solidFill>
              <w14:schemeClr w14:val="tx1"/>
            </w14:solidFill>
          </w14:textFill>
        </w:rPr>
        <w:t>按照平台提示和</w:t>
      </w:r>
      <w:r>
        <w:rPr>
          <w:rFonts w:hint="eastAsia" w:ascii="宋体" w:hAnsi="宋体" w:eastAsia="宋体" w:cs="宋体"/>
          <w:color w:val="000000" w:themeColor="text1"/>
          <w:sz w:val="24"/>
          <w:highlight w:val="none"/>
          <w:lang w:eastAsia="zh-CN"/>
          <w14:textFill>
            <w14:solidFill>
              <w14:schemeClr w14:val="tx1"/>
            </w14:solidFill>
          </w14:textFill>
        </w:rPr>
        <w:t>投标文件</w:t>
      </w:r>
      <w:r>
        <w:rPr>
          <w:rFonts w:hint="eastAsia" w:ascii="宋体" w:hAnsi="宋体" w:eastAsia="宋体" w:cs="宋体"/>
          <w:color w:val="000000" w:themeColor="text1"/>
          <w:sz w:val="24"/>
          <w:highlight w:val="none"/>
          <w14:textFill>
            <w14:solidFill>
              <w14:schemeClr w14:val="tx1"/>
            </w14:solidFill>
          </w14:textFill>
        </w:rPr>
        <w:t>的规定在半小时内完成在线解密。</w:t>
      </w:r>
    </w:p>
    <w:p>
      <w:pPr>
        <w:pStyle w:val="556"/>
        <w:spacing w:before="0" w:line="360" w:lineRule="auto"/>
        <w:ind w:left="0" w:firstLine="240" w:firstLineChars="100"/>
        <w:contextualSpacing/>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　18.3</w:t>
      </w:r>
      <w:r>
        <w:rPr>
          <w:rFonts w:hint="eastAsia" w:ascii="宋体" w:hAnsi="宋体" w:eastAsia="宋体" w:cs="宋体"/>
          <w:b/>
          <w:color w:val="000000" w:themeColor="text1"/>
          <w:sz w:val="24"/>
          <w:highlight w:val="none"/>
          <w14:textFill>
            <w14:solidFill>
              <w14:schemeClr w14:val="tx1"/>
            </w14:solidFill>
          </w14:textFill>
        </w:rPr>
        <w:t>投标文件未按时解密，</w:t>
      </w:r>
      <w:r>
        <w:rPr>
          <w:rFonts w:hint="eastAsia" w:ascii="宋体" w:hAnsi="宋体" w:eastAsia="宋体" w:cs="宋体"/>
          <w:b/>
          <w:color w:val="000000" w:themeColor="text1"/>
          <w:sz w:val="24"/>
          <w:highlight w:val="none"/>
          <w:lang w:eastAsia="zh-CN"/>
          <w14:textFill>
            <w14:solidFill>
              <w14:schemeClr w14:val="tx1"/>
            </w14:solidFill>
          </w14:textFill>
        </w:rPr>
        <w:t>供应商</w:t>
      </w:r>
      <w:r>
        <w:rPr>
          <w:rFonts w:hint="eastAsia" w:ascii="宋体" w:hAnsi="宋体" w:eastAsia="宋体" w:cs="宋体"/>
          <w:b/>
          <w:color w:val="000000" w:themeColor="text1"/>
          <w:sz w:val="24"/>
          <w:highlight w:val="none"/>
          <w14:textFill>
            <w14:solidFill>
              <w14:schemeClr w14:val="tx1"/>
            </w14:solidFill>
          </w14:textFill>
        </w:rPr>
        <w:t>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hint="eastAsia" w:ascii="宋体" w:hAnsi="宋体" w:eastAsia="宋体" w:cs="宋体"/>
          <w:b/>
          <w:color w:val="000000" w:themeColor="text1"/>
          <w:sz w:val="24"/>
          <w:szCs w:val="20"/>
          <w:highlight w:val="none"/>
          <w14:textFill>
            <w14:solidFill>
              <w14:schemeClr w14:val="tx1"/>
            </w14:solidFill>
          </w14:textFill>
        </w:rPr>
      </w:pPr>
      <w:r>
        <w:rPr>
          <w:rFonts w:hint="eastAsia" w:ascii="宋体" w:hAnsi="宋体" w:eastAsia="宋体" w:cs="宋体"/>
          <w:b/>
          <w:color w:val="000000" w:themeColor="text1"/>
          <w:sz w:val="24"/>
          <w:szCs w:val="20"/>
          <w:highlight w:val="none"/>
          <w14:textFill>
            <w14:solidFill>
              <w14:schemeClr w14:val="tx1"/>
            </w14:solidFill>
          </w14:textFill>
        </w:rPr>
        <w:t>　19、资格审查</w:t>
      </w:r>
    </w:p>
    <w:p>
      <w:pPr>
        <w:pStyle w:val="131"/>
        <w:spacing w:before="0"/>
        <w:ind w:firstLine="480"/>
        <w:rPr>
          <w:rFonts w:hint="eastAsia" w:ascii="宋体" w:hAnsi="宋体" w:eastAsia="宋体" w:cs="宋体"/>
          <w:color w:val="000000" w:themeColor="text1"/>
          <w:kern w:val="0"/>
          <w:szCs w:val="24"/>
          <w:highlight w:val="none"/>
          <w14:textFill>
            <w14:solidFill>
              <w14:schemeClr w14:val="tx1"/>
            </w14:solidFill>
          </w14:textFill>
        </w:rPr>
      </w:pPr>
      <w:r>
        <w:rPr>
          <w:rFonts w:hint="eastAsia" w:ascii="宋体" w:hAnsi="宋体" w:eastAsia="宋体" w:cs="宋体"/>
          <w:color w:val="000000" w:themeColor="text1"/>
          <w:kern w:val="0"/>
          <w:szCs w:val="24"/>
          <w:highlight w:val="none"/>
          <w14:textFill>
            <w14:solidFill>
              <w14:schemeClr w14:val="tx1"/>
            </w14:solidFill>
          </w14:textFill>
        </w:rPr>
        <w:t>19.1开标后，采购人将依据法律法规和</w:t>
      </w:r>
      <w:r>
        <w:rPr>
          <w:rFonts w:hint="eastAsia" w:ascii="宋体" w:hAnsi="宋体" w:eastAsia="宋体" w:cs="宋体"/>
          <w:color w:val="000000" w:themeColor="text1"/>
          <w:kern w:val="0"/>
          <w:szCs w:val="24"/>
          <w:highlight w:val="none"/>
          <w:lang w:eastAsia="zh-CN"/>
          <w14:textFill>
            <w14:solidFill>
              <w14:schemeClr w14:val="tx1"/>
            </w14:solidFill>
          </w14:textFill>
        </w:rPr>
        <w:t>投标文件</w:t>
      </w:r>
      <w:r>
        <w:rPr>
          <w:rFonts w:hint="eastAsia" w:ascii="宋体" w:hAnsi="宋体" w:eastAsia="宋体" w:cs="宋体"/>
          <w:color w:val="000000" w:themeColor="text1"/>
          <w:kern w:val="0"/>
          <w:szCs w:val="24"/>
          <w:highlight w:val="none"/>
          <w14:textFill>
            <w14:solidFill>
              <w14:schemeClr w14:val="tx1"/>
            </w14:solidFill>
          </w14:textFill>
        </w:rPr>
        <w:t>的规定，对</w:t>
      </w:r>
      <w:r>
        <w:rPr>
          <w:rFonts w:hint="eastAsia" w:ascii="宋体" w:hAnsi="宋体" w:eastAsia="宋体" w:cs="宋体"/>
          <w:color w:val="000000" w:themeColor="text1"/>
          <w:kern w:val="0"/>
          <w:szCs w:val="24"/>
          <w:highlight w:val="none"/>
          <w:lang w:eastAsia="zh-CN"/>
          <w14:textFill>
            <w14:solidFill>
              <w14:schemeClr w14:val="tx1"/>
            </w14:solidFill>
          </w14:textFill>
        </w:rPr>
        <w:t>供应商</w:t>
      </w:r>
      <w:r>
        <w:rPr>
          <w:rFonts w:hint="eastAsia" w:ascii="宋体" w:hAnsi="宋体" w:eastAsia="宋体" w:cs="宋体"/>
          <w:color w:val="000000" w:themeColor="text1"/>
          <w:kern w:val="0"/>
          <w:szCs w:val="24"/>
          <w:highlight w:val="none"/>
          <w14:textFill>
            <w14:solidFill>
              <w14:schemeClr w14:val="tx1"/>
            </w14:solidFill>
          </w14:textFill>
        </w:rPr>
        <w:t>的资格进行审查。</w:t>
      </w:r>
    </w:p>
    <w:p>
      <w:pPr>
        <w:pStyle w:val="131"/>
        <w:spacing w:before="0"/>
        <w:ind w:firstLine="480"/>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kern w:val="0"/>
          <w:szCs w:val="24"/>
          <w:highlight w:val="none"/>
          <w14:textFill>
            <w14:solidFill>
              <w14:schemeClr w14:val="tx1"/>
            </w14:solidFill>
          </w14:textFill>
        </w:rPr>
        <w:t>19.2</w:t>
      </w:r>
      <w:r>
        <w:rPr>
          <w:rFonts w:hint="eastAsia" w:ascii="宋体" w:hAnsi="宋体" w:eastAsia="宋体" w:cs="宋体"/>
          <w:color w:val="000000" w:themeColor="text1"/>
          <w:kern w:val="0"/>
          <w:szCs w:val="24"/>
          <w:highlight w:val="none"/>
          <w:lang w:eastAsia="zh-CN"/>
          <w14:textFill>
            <w14:solidFill>
              <w14:schemeClr w14:val="tx1"/>
            </w14:solidFill>
          </w14:textFill>
        </w:rPr>
        <w:t>供应商</w:t>
      </w:r>
      <w:r>
        <w:rPr>
          <w:rFonts w:hint="eastAsia" w:ascii="宋体" w:hAnsi="宋体" w:eastAsia="宋体" w:cs="宋体"/>
          <w:color w:val="000000" w:themeColor="text1"/>
          <w:kern w:val="0"/>
          <w:szCs w:val="24"/>
          <w:highlight w:val="none"/>
          <w14:textFill>
            <w14:solidFill>
              <w14:schemeClr w14:val="tx1"/>
            </w14:solidFill>
          </w14:textFill>
        </w:rPr>
        <w:t>未按照</w:t>
      </w:r>
      <w:r>
        <w:rPr>
          <w:rFonts w:hint="eastAsia" w:ascii="宋体" w:hAnsi="宋体" w:eastAsia="宋体" w:cs="宋体"/>
          <w:color w:val="000000" w:themeColor="text1"/>
          <w:kern w:val="0"/>
          <w:szCs w:val="24"/>
          <w:highlight w:val="none"/>
          <w:lang w:eastAsia="zh-CN"/>
          <w14:textFill>
            <w14:solidFill>
              <w14:schemeClr w14:val="tx1"/>
            </w14:solidFill>
          </w14:textFill>
        </w:rPr>
        <w:t>投标文件</w:t>
      </w:r>
      <w:r>
        <w:rPr>
          <w:rFonts w:hint="eastAsia" w:ascii="宋体" w:hAnsi="宋体" w:eastAsia="宋体" w:cs="宋体"/>
          <w:color w:val="000000" w:themeColor="text1"/>
          <w:kern w:val="0"/>
          <w:szCs w:val="24"/>
          <w:highlight w:val="none"/>
          <w14:textFill>
            <w14:solidFill>
              <w14:schemeClr w14:val="tx1"/>
            </w14:solidFill>
          </w14:textFill>
        </w:rPr>
        <w:t>要求提供与</w:t>
      </w:r>
      <w:r>
        <w:rPr>
          <w:rFonts w:hint="eastAsia" w:ascii="宋体" w:hAnsi="宋体" w:eastAsia="宋体" w:cs="宋体"/>
          <w:color w:val="000000" w:themeColor="text1"/>
          <w:highlight w:val="none"/>
          <w14:textFill>
            <w14:solidFill>
              <w14:schemeClr w14:val="tx1"/>
            </w14:solidFill>
          </w14:textFill>
        </w:rPr>
        <w:t>资格条件相应的</w:t>
      </w:r>
      <w:r>
        <w:rPr>
          <w:rFonts w:hint="eastAsia" w:ascii="宋体" w:hAnsi="宋体" w:eastAsia="宋体" w:cs="宋体"/>
          <w:color w:val="000000" w:themeColor="text1"/>
          <w:kern w:val="0"/>
          <w:szCs w:val="24"/>
          <w:highlight w:val="none"/>
          <w14:textFill>
            <w14:solidFill>
              <w14:schemeClr w14:val="tx1"/>
            </w14:solidFill>
          </w14:textFill>
        </w:rPr>
        <w:t>有效资格证明材料的，视为</w:t>
      </w:r>
      <w:r>
        <w:rPr>
          <w:rFonts w:hint="eastAsia" w:ascii="宋体" w:hAnsi="宋体" w:eastAsia="宋体" w:cs="宋体"/>
          <w:color w:val="000000" w:themeColor="text1"/>
          <w:highlight w:val="none"/>
          <w:lang w:eastAsia="zh-CN"/>
          <w14:textFill>
            <w14:solidFill>
              <w14:schemeClr w14:val="tx1"/>
            </w14:solidFill>
          </w14:textFill>
        </w:rPr>
        <w:t>供应商</w:t>
      </w:r>
      <w:r>
        <w:rPr>
          <w:rFonts w:hint="eastAsia" w:ascii="宋体" w:hAnsi="宋体" w:eastAsia="宋体" w:cs="宋体"/>
          <w:color w:val="000000" w:themeColor="text1"/>
          <w:highlight w:val="none"/>
          <w14:textFill>
            <w14:solidFill>
              <w14:schemeClr w14:val="tx1"/>
            </w14:solidFill>
          </w14:textFill>
        </w:rPr>
        <w:t>不具备</w:t>
      </w:r>
      <w:r>
        <w:rPr>
          <w:rFonts w:hint="eastAsia" w:ascii="宋体" w:hAnsi="宋体" w:eastAsia="宋体" w:cs="宋体"/>
          <w:color w:val="000000" w:themeColor="text1"/>
          <w:highlight w:val="none"/>
          <w:lang w:eastAsia="zh-CN"/>
          <w14:textFill>
            <w14:solidFill>
              <w14:schemeClr w14:val="tx1"/>
            </w14:solidFill>
          </w14:textFill>
        </w:rPr>
        <w:t>投标文件</w:t>
      </w:r>
      <w:r>
        <w:rPr>
          <w:rFonts w:hint="eastAsia" w:ascii="宋体" w:hAnsi="宋体" w:eastAsia="宋体" w:cs="宋体"/>
          <w:color w:val="000000" w:themeColor="text1"/>
          <w:highlight w:val="none"/>
          <w14:textFill>
            <w14:solidFill>
              <w14:schemeClr w14:val="tx1"/>
            </w14:solidFill>
          </w14:textFill>
        </w:rPr>
        <w:t>中规定的资格要求，其投标无效。</w:t>
      </w:r>
    </w:p>
    <w:p>
      <w:pPr>
        <w:pStyle w:val="131"/>
        <w:spacing w:before="0"/>
        <w:ind w:firstLine="480"/>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kern w:val="0"/>
          <w:szCs w:val="24"/>
          <w:highlight w:val="none"/>
          <w14:textFill>
            <w14:solidFill>
              <w14:schemeClr w14:val="tx1"/>
            </w14:solidFill>
          </w14:textFill>
        </w:rPr>
        <w:t>19.</w:t>
      </w:r>
      <w:r>
        <w:rPr>
          <w:rFonts w:hint="eastAsia" w:ascii="宋体" w:hAnsi="宋体" w:eastAsia="宋体" w:cs="宋体"/>
          <w:color w:val="000000" w:themeColor="text1"/>
          <w:highlight w:val="none"/>
          <w14:textFill>
            <w14:solidFill>
              <w14:schemeClr w14:val="tx1"/>
            </w14:solidFill>
          </w14:textFill>
        </w:rPr>
        <w:t>3对未通过资格审查的</w:t>
      </w:r>
      <w:r>
        <w:rPr>
          <w:rFonts w:hint="eastAsia" w:ascii="宋体" w:hAnsi="宋体" w:eastAsia="宋体" w:cs="宋体"/>
          <w:color w:val="000000" w:themeColor="text1"/>
          <w:highlight w:val="none"/>
          <w:lang w:eastAsia="zh-CN"/>
          <w14:textFill>
            <w14:solidFill>
              <w14:schemeClr w14:val="tx1"/>
            </w14:solidFill>
          </w14:textFill>
        </w:rPr>
        <w:t>供应商</w:t>
      </w:r>
      <w:r>
        <w:rPr>
          <w:rFonts w:hint="eastAsia" w:ascii="宋体" w:hAnsi="宋体" w:eastAsia="宋体" w:cs="宋体"/>
          <w:color w:val="000000" w:themeColor="text1"/>
          <w:highlight w:val="none"/>
          <w14:textFill>
            <w14:solidFill>
              <w14:schemeClr w14:val="tx1"/>
            </w14:solidFill>
          </w14:textFill>
        </w:rPr>
        <w:t>，告知其未通过的原因。</w:t>
      </w:r>
    </w:p>
    <w:p>
      <w:pPr>
        <w:pStyle w:val="131"/>
        <w:spacing w:before="0"/>
        <w:ind w:firstLine="480"/>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kern w:val="0"/>
          <w:szCs w:val="24"/>
          <w:highlight w:val="none"/>
          <w14:textFill>
            <w14:solidFill>
              <w14:schemeClr w14:val="tx1"/>
            </w14:solidFill>
          </w14:textFill>
        </w:rPr>
        <w:t>19.</w:t>
      </w:r>
      <w:r>
        <w:rPr>
          <w:rFonts w:hint="eastAsia" w:ascii="宋体" w:hAnsi="宋体" w:eastAsia="宋体" w:cs="宋体"/>
          <w:color w:val="000000" w:themeColor="text1"/>
          <w:highlight w:val="none"/>
          <w14:textFill>
            <w14:solidFill>
              <w14:schemeClr w14:val="tx1"/>
            </w14:solidFill>
          </w14:textFill>
        </w:rPr>
        <w:t>4合格</w:t>
      </w:r>
      <w:r>
        <w:rPr>
          <w:rFonts w:hint="eastAsia" w:ascii="宋体" w:hAnsi="宋体" w:eastAsia="宋体" w:cs="宋体"/>
          <w:color w:val="000000" w:themeColor="text1"/>
          <w:highlight w:val="none"/>
          <w:lang w:eastAsia="zh-CN"/>
          <w14:textFill>
            <w14:solidFill>
              <w14:schemeClr w14:val="tx1"/>
            </w14:solidFill>
          </w14:textFill>
        </w:rPr>
        <w:t>供应商</w:t>
      </w:r>
      <w:r>
        <w:rPr>
          <w:rFonts w:hint="eastAsia" w:ascii="宋体" w:hAnsi="宋体" w:eastAsia="宋体" w:cs="宋体"/>
          <w:color w:val="000000" w:themeColor="text1"/>
          <w:highlight w:val="none"/>
          <w14:textFill>
            <w14:solidFill>
              <w14:schemeClr w14:val="tx1"/>
            </w14:solidFill>
          </w14:textFill>
        </w:rPr>
        <w:t>不足3家的，不再评标。</w:t>
      </w:r>
    </w:p>
    <w:p>
      <w:pPr>
        <w:pStyle w:val="131"/>
        <w:spacing w:before="0"/>
        <w:ind w:firstLine="0" w:firstLineChars="0"/>
        <w:rPr>
          <w:rFonts w:hint="eastAsia" w:ascii="宋体" w:hAnsi="宋体" w:eastAsia="宋体" w:cs="宋体"/>
          <w:b/>
          <w:color w:val="000000" w:themeColor="text1"/>
          <w:szCs w:val="24"/>
          <w:highlight w:val="none"/>
          <w14:textFill>
            <w14:solidFill>
              <w14:schemeClr w14:val="tx1"/>
            </w14:solidFill>
          </w14:textFill>
        </w:rPr>
      </w:pPr>
      <w:r>
        <w:rPr>
          <w:rFonts w:hint="eastAsia" w:ascii="宋体" w:hAnsi="宋体" w:eastAsia="宋体" w:cs="宋体"/>
          <w:b/>
          <w:color w:val="000000" w:themeColor="text1"/>
          <w:szCs w:val="24"/>
          <w:highlight w:val="none"/>
          <w14:textFill>
            <w14:solidFill>
              <w14:schemeClr w14:val="tx1"/>
            </w14:solidFill>
          </w14:textFill>
        </w:rPr>
        <w:t>20、信用信息查询</w:t>
      </w:r>
    </w:p>
    <w:p>
      <w:pPr>
        <w:pStyle w:val="131"/>
        <w:spacing w:before="0"/>
        <w:ind w:firstLine="495" w:firstLineChars="0"/>
        <w:rPr>
          <w:rFonts w:hint="eastAsia" w:ascii="宋体" w:hAnsi="宋体" w:eastAsia="宋体" w:cs="宋体"/>
          <w:color w:val="000000" w:themeColor="text1"/>
          <w:kern w:val="0"/>
          <w:szCs w:val="24"/>
          <w:highlight w:val="none"/>
          <w14:textFill>
            <w14:solidFill>
              <w14:schemeClr w14:val="tx1"/>
            </w14:solidFill>
          </w14:textFill>
        </w:rPr>
      </w:pPr>
      <w:r>
        <w:rPr>
          <w:rFonts w:hint="eastAsia" w:ascii="宋体" w:hAnsi="宋体" w:eastAsia="宋体" w:cs="宋体"/>
          <w:color w:val="000000" w:themeColor="text1"/>
          <w:kern w:val="0"/>
          <w:szCs w:val="24"/>
          <w:highlight w:val="none"/>
          <w14:textFill>
            <w14:solidFill>
              <w14:schemeClr w14:val="tx1"/>
            </w14:solidFill>
          </w14:textFill>
        </w:rPr>
        <w:t>20.1信用信息查询渠道及截止时间：</w:t>
      </w:r>
      <w:r>
        <w:rPr>
          <w:rFonts w:hint="eastAsia" w:ascii="宋体" w:hAnsi="宋体" w:eastAsia="宋体" w:cs="宋体"/>
          <w:color w:val="000000" w:themeColor="text1"/>
          <w:kern w:val="0"/>
          <w:szCs w:val="24"/>
          <w:highlight w:val="none"/>
          <w:lang w:eastAsia="zh-CN"/>
          <w14:textFill>
            <w14:solidFill>
              <w14:schemeClr w14:val="tx1"/>
            </w14:solidFill>
          </w14:textFill>
        </w:rPr>
        <w:t>采购</w:t>
      </w:r>
      <w:r>
        <w:rPr>
          <w:rFonts w:hint="eastAsia" w:ascii="宋体" w:hAnsi="宋体" w:eastAsia="宋体" w:cs="宋体"/>
          <w:color w:val="000000" w:themeColor="text1"/>
          <w:kern w:val="0"/>
          <w:szCs w:val="24"/>
          <w:highlight w:val="none"/>
          <w:lang w:val="en-US" w:eastAsia="zh-CN"/>
          <w14:textFill>
            <w14:solidFill>
              <w14:schemeClr w14:val="tx1"/>
            </w14:solidFill>
          </w14:textFill>
        </w:rPr>
        <w:t>人</w:t>
      </w:r>
      <w:r>
        <w:rPr>
          <w:rFonts w:hint="eastAsia" w:ascii="宋体" w:hAnsi="宋体" w:eastAsia="宋体" w:cs="宋体"/>
          <w:color w:val="000000" w:themeColor="text1"/>
          <w:kern w:val="0"/>
          <w:szCs w:val="24"/>
          <w:highlight w:val="none"/>
          <w14:textFill>
            <w14:solidFill>
              <w14:schemeClr w14:val="tx1"/>
            </w14:solidFill>
          </w14:textFill>
        </w:rPr>
        <w:t>将在资格审查时通过“信用中国”网站(www.creditchina.gov.cn)、中国政府采购网(www.ccgp.gov.cn)渠道查询</w:t>
      </w:r>
      <w:r>
        <w:rPr>
          <w:rFonts w:hint="eastAsia" w:ascii="宋体" w:hAnsi="宋体" w:eastAsia="宋体" w:cs="宋体"/>
          <w:color w:val="000000" w:themeColor="text1"/>
          <w:kern w:val="0"/>
          <w:szCs w:val="24"/>
          <w:highlight w:val="none"/>
          <w:lang w:eastAsia="zh-CN"/>
          <w14:textFill>
            <w14:solidFill>
              <w14:schemeClr w14:val="tx1"/>
            </w14:solidFill>
          </w14:textFill>
        </w:rPr>
        <w:t>供应商</w:t>
      </w:r>
      <w:r>
        <w:rPr>
          <w:rFonts w:hint="eastAsia" w:ascii="宋体" w:hAnsi="宋体" w:eastAsia="宋体" w:cs="宋体"/>
          <w:color w:val="000000" w:themeColor="text1"/>
          <w:kern w:val="0"/>
          <w:szCs w:val="24"/>
          <w:highlight w:val="none"/>
          <w14:textFill>
            <w14:solidFill>
              <w14:schemeClr w14:val="tx1"/>
            </w14:solidFill>
          </w14:textFill>
        </w:rPr>
        <w:t>接受资格时的信用记录。</w:t>
      </w:r>
    </w:p>
    <w:p>
      <w:pPr>
        <w:pStyle w:val="131"/>
        <w:spacing w:before="0"/>
        <w:ind w:firstLine="495" w:firstLineChars="0"/>
        <w:rPr>
          <w:rFonts w:hint="eastAsia" w:ascii="宋体" w:hAnsi="宋体" w:eastAsia="宋体" w:cs="宋体"/>
          <w:color w:val="000000" w:themeColor="text1"/>
          <w:kern w:val="0"/>
          <w:szCs w:val="24"/>
          <w:highlight w:val="none"/>
          <w14:textFill>
            <w14:solidFill>
              <w14:schemeClr w14:val="tx1"/>
            </w14:solidFill>
          </w14:textFill>
        </w:rPr>
      </w:pPr>
      <w:r>
        <w:rPr>
          <w:rFonts w:hint="eastAsia" w:ascii="宋体" w:hAnsi="宋体" w:eastAsia="宋体" w:cs="宋体"/>
          <w:color w:val="000000" w:themeColor="text1"/>
          <w:kern w:val="0"/>
          <w:szCs w:val="24"/>
          <w:highlight w:val="none"/>
          <w14:textFill>
            <w14:solidFill>
              <w14:schemeClr w14:val="tx1"/>
            </w14:solidFill>
          </w14:textFill>
        </w:rPr>
        <w:t>20.2信用信息查询记录和证据留存的具体方式：现场查询的</w:t>
      </w:r>
      <w:r>
        <w:rPr>
          <w:rFonts w:hint="eastAsia" w:ascii="宋体" w:hAnsi="宋体" w:eastAsia="宋体" w:cs="宋体"/>
          <w:color w:val="000000" w:themeColor="text1"/>
          <w:kern w:val="0"/>
          <w:szCs w:val="24"/>
          <w:highlight w:val="none"/>
          <w:lang w:eastAsia="zh-CN"/>
          <w14:textFill>
            <w14:solidFill>
              <w14:schemeClr w14:val="tx1"/>
            </w14:solidFill>
          </w14:textFill>
        </w:rPr>
        <w:t>供应商</w:t>
      </w:r>
      <w:r>
        <w:rPr>
          <w:rFonts w:hint="eastAsia" w:ascii="宋体" w:hAnsi="宋体" w:eastAsia="宋体" w:cs="宋体"/>
          <w:color w:val="000000" w:themeColor="text1"/>
          <w:kern w:val="0"/>
          <w:szCs w:val="24"/>
          <w:highlight w:val="none"/>
          <w14:textFill>
            <w14:solidFill>
              <w14:schemeClr w14:val="tx1"/>
            </w14:solidFill>
          </w14:textFill>
        </w:rPr>
        <w:t>的信用记录、查询结果经确认后将与采购文件一起存档。</w:t>
      </w:r>
    </w:p>
    <w:p>
      <w:pPr>
        <w:pStyle w:val="131"/>
        <w:spacing w:before="0"/>
        <w:ind w:firstLine="495" w:firstLineChars="0"/>
        <w:rPr>
          <w:rFonts w:hint="eastAsia" w:ascii="宋体" w:hAnsi="宋体" w:eastAsia="宋体" w:cs="宋体"/>
          <w:color w:val="000000" w:themeColor="text1"/>
          <w:kern w:val="0"/>
          <w:szCs w:val="24"/>
          <w:highlight w:val="none"/>
          <w14:textFill>
            <w14:solidFill>
              <w14:schemeClr w14:val="tx1"/>
            </w14:solidFill>
          </w14:textFill>
        </w:rPr>
      </w:pPr>
      <w:r>
        <w:rPr>
          <w:rFonts w:hint="eastAsia" w:ascii="宋体" w:hAnsi="宋体" w:eastAsia="宋体" w:cs="宋体"/>
          <w:color w:val="000000" w:themeColor="text1"/>
          <w:kern w:val="0"/>
          <w:szCs w:val="24"/>
          <w:highlight w:val="none"/>
          <w14:textFill>
            <w14:solidFill>
              <w14:schemeClr w14:val="tx1"/>
            </w14:solidFill>
          </w14:textFill>
        </w:rPr>
        <w:t>20.3信用信息的使用规则：经查询列入失信被执行人名单、重大税收违法案件当事人名单、政府采购严重违法失信行为记录名单的</w:t>
      </w:r>
      <w:r>
        <w:rPr>
          <w:rFonts w:hint="eastAsia" w:ascii="宋体" w:hAnsi="宋体" w:eastAsia="宋体" w:cs="宋体"/>
          <w:color w:val="000000" w:themeColor="text1"/>
          <w:kern w:val="0"/>
          <w:szCs w:val="24"/>
          <w:highlight w:val="none"/>
          <w:lang w:eastAsia="zh-CN"/>
          <w14:textFill>
            <w14:solidFill>
              <w14:schemeClr w14:val="tx1"/>
            </w14:solidFill>
          </w14:textFill>
        </w:rPr>
        <w:t>供应商</w:t>
      </w:r>
      <w:r>
        <w:rPr>
          <w:rFonts w:hint="eastAsia" w:ascii="宋体" w:hAnsi="宋体" w:eastAsia="宋体" w:cs="宋体"/>
          <w:color w:val="000000" w:themeColor="text1"/>
          <w:kern w:val="0"/>
          <w:szCs w:val="24"/>
          <w:highlight w:val="none"/>
          <w14:textFill>
            <w14:solidFill>
              <w14:schemeClr w14:val="tx1"/>
            </w14:solidFill>
          </w14:textFill>
        </w:rPr>
        <w:t>将被拒绝参与政府采购活动。</w:t>
      </w:r>
    </w:p>
    <w:p>
      <w:pPr>
        <w:pStyle w:val="131"/>
        <w:spacing w:before="0"/>
        <w:ind w:firstLine="480"/>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kern w:val="0"/>
          <w:szCs w:val="24"/>
          <w:highlight w:val="none"/>
          <w14:textFill>
            <w14:solidFill>
              <w14:schemeClr w14:val="tx1"/>
            </w14:solidFill>
          </w14:textFill>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eastAsia="宋体" w:cs="宋体"/>
          <w:color w:val="000000" w:themeColor="text1"/>
          <w:highlight w:val="none"/>
          <w14:textFill>
            <w14:solidFill>
              <w14:schemeClr w14:val="tx1"/>
            </w14:solidFill>
          </w14:textFill>
        </w:rPr>
        <w:t>。</w:t>
      </w:r>
    </w:p>
    <w:p>
      <w:pPr>
        <w:pStyle w:val="131"/>
        <w:spacing w:before="0"/>
        <w:ind w:firstLine="0" w:firstLineChars="0"/>
        <w:rPr>
          <w:rFonts w:hint="eastAsia" w:ascii="宋体" w:hAnsi="宋体" w:eastAsia="宋体" w:cs="宋体"/>
          <w:color w:val="000000" w:themeColor="text1"/>
          <w:kern w:val="0"/>
          <w:szCs w:val="24"/>
          <w:highlight w:val="none"/>
          <w14:textFill>
            <w14:solidFill>
              <w14:schemeClr w14:val="tx1"/>
            </w14:solidFill>
          </w14:textFill>
        </w:rPr>
      </w:pPr>
    </w:p>
    <w:p>
      <w:pPr>
        <w:snapToGrid w:val="0"/>
        <w:spacing w:line="360" w:lineRule="auto"/>
        <w:jc w:val="center"/>
        <w:outlineLvl w:val="0"/>
        <w:rPr>
          <w:rFonts w:hint="eastAsia" w:ascii="宋体" w:hAnsi="宋体" w:eastAsia="宋体" w:cs="宋体"/>
          <w:b/>
          <w:color w:val="000000" w:themeColor="text1"/>
          <w:sz w:val="36"/>
          <w:szCs w:val="36"/>
          <w:highlight w:val="none"/>
          <w14:textFill>
            <w14:solidFill>
              <w14:schemeClr w14:val="tx1"/>
            </w14:solidFill>
          </w14:textFill>
        </w:rPr>
      </w:pPr>
      <w:r>
        <w:rPr>
          <w:rFonts w:hint="eastAsia" w:ascii="宋体" w:hAnsi="宋体" w:eastAsia="宋体" w:cs="宋体"/>
          <w:b/>
          <w:color w:val="000000" w:themeColor="text1"/>
          <w:sz w:val="36"/>
          <w:szCs w:val="36"/>
          <w:highlight w:val="none"/>
          <w14:textFill>
            <w14:solidFill>
              <w14:schemeClr w14:val="tx1"/>
            </w14:solidFill>
          </w14:textFill>
        </w:rPr>
        <w:t>五、评标</w:t>
      </w:r>
    </w:p>
    <w:p>
      <w:pPr>
        <w:spacing w:line="360" w:lineRule="auto"/>
        <w:rPr>
          <w:rFonts w:hint="eastAsia" w:ascii="宋体" w:hAnsi="宋体" w:eastAsia="宋体" w:cs="宋体"/>
          <w:b/>
          <w:color w:val="000000" w:themeColor="text1"/>
          <w:sz w:val="24"/>
          <w:highlight w:val="none"/>
          <w14:textFill>
            <w14:solidFill>
              <w14:schemeClr w14:val="tx1"/>
            </w14:solidFill>
          </w14:textFill>
        </w:rPr>
      </w:pPr>
      <w:bookmarkStart w:id="13" w:name="_Toc91899903"/>
      <w:r>
        <w:rPr>
          <w:rFonts w:hint="eastAsia" w:ascii="宋体" w:hAnsi="宋体" w:eastAsia="宋体" w:cs="宋体"/>
          <w:b/>
          <w:color w:val="000000" w:themeColor="text1"/>
          <w:sz w:val="24"/>
          <w:highlight w:val="none"/>
          <w14:textFill>
            <w14:solidFill>
              <w14:schemeClr w14:val="tx1"/>
            </w14:solidFill>
          </w14:textFill>
        </w:rPr>
        <w:t>21.</w:t>
      </w:r>
      <w:r>
        <w:rPr>
          <w:rFonts w:hint="eastAsia" w:ascii="宋体" w:hAnsi="宋体" w:eastAsia="宋体" w:cs="宋体"/>
          <w:color w:val="000000" w:themeColor="text1"/>
          <w:highlight w:val="none"/>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评标委员会将根据</w:t>
      </w:r>
      <w:r>
        <w:rPr>
          <w:rFonts w:hint="eastAsia" w:ascii="宋体" w:hAnsi="宋体" w:eastAsia="宋体" w:cs="宋体"/>
          <w:color w:val="000000" w:themeColor="text1"/>
          <w:sz w:val="24"/>
          <w:highlight w:val="none"/>
          <w:lang w:eastAsia="zh-CN"/>
          <w14:textFill>
            <w14:solidFill>
              <w14:schemeClr w14:val="tx1"/>
            </w14:solidFill>
          </w14:textFill>
        </w:rPr>
        <w:t>投标文件</w:t>
      </w:r>
      <w:r>
        <w:rPr>
          <w:rFonts w:hint="eastAsia" w:ascii="宋体" w:hAnsi="宋体" w:eastAsia="宋体" w:cs="宋体"/>
          <w:color w:val="000000" w:themeColor="text1"/>
          <w:sz w:val="24"/>
          <w:highlight w:val="none"/>
          <w14:textFill>
            <w14:solidFill>
              <w14:schemeClr w14:val="tx1"/>
            </w14:solidFill>
          </w14:textFill>
        </w:rPr>
        <w:t>和有关规定，履行评标工作职责，并按照评标方法及评分标准，全面衡量各</w:t>
      </w:r>
      <w:r>
        <w:rPr>
          <w:rFonts w:hint="eastAsia" w:ascii="宋体" w:hAnsi="宋体" w:eastAsia="宋体" w:cs="宋体"/>
          <w:color w:val="000000" w:themeColor="text1"/>
          <w:sz w:val="24"/>
          <w:highlight w:val="none"/>
          <w:lang w:eastAsia="zh-CN"/>
          <w14:textFill>
            <w14:solidFill>
              <w14:schemeClr w14:val="tx1"/>
            </w14:solidFill>
          </w14:textFill>
        </w:rPr>
        <w:t>供应商</w:t>
      </w:r>
      <w:r>
        <w:rPr>
          <w:rFonts w:hint="eastAsia" w:ascii="宋体" w:hAnsi="宋体" w:eastAsia="宋体" w:cs="宋体"/>
          <w:color w:val="000000" w:themeColor="text1"/>
          <w:sz w:val="24"/>
          <w:highlight w:val="none"/>
          <w14:textFill>
            <w14:solidFill>
              <w14:schemeClr w14:val="tx1"/>
            </w14:solidFill>
          </w14:textFill>
        </w:rPr>
        <w:t>对</w:t>
      </w:r>
      <w:r>
        <w:rPr>
          <w:rFonts w:hint="eastAsia" w:ascii="宋体" w:hAnsi="宋体" w:eastAsia="宋体" w:cs="宋体"/>
          <w:color w:val="000000" w:themeColor="text1"/>
          <w:sz w:val="24"/>
          <w:highlight w:val="none"/>
          <w:lang w:eastAsia="zh-CN"/>
          <w14:textFill>
            <w14:solidFill>
              <w14:schemeClr w14:val="tx1"/>
            </w14:solidFill>
          </w14:textFill>
        </w:rPr>
        <w:t>投标文件</w:t>
      </w:r>
      <w:r>
        <w:rPr>
          <w:rFonts w:hint="eastAsia" w:ascii="宋体" w:hAnsi="宋体" w:eastAsia="宋体" w:cs="宋体"/>
          <w:color w:val="000000" w:themeColor="text1"/>
          <w:sz w:val="24"/>
          <w:highlight w:val="none"/>
          <w14:textFill>
            <w14:solidFill>
              <w14:schemeClr w14:val="tx1"/>
            </w14:solidFill>
          </w14:textFill>
        </w:rPr>
        <w:t>的响应情况。对实质上响应</w:t>
      </w:r>
      <w:r>
        <w:rPr>
          <w:rFonts w:hint="eastAsia" w:ascii="宋体" w:hAnsi="宋体" w:eastAsia="宋体" w:cs="宋体"/>
          <w:color w:val="000000" w:themeColor="text1"/>
          <w:sz w:val="24"/>
          <w:highlight w:val="none"/>
          <w:lang w:eastAsia="zh-CN"/>
          <w14:textFill>
            <w14:solidFill>
              <w14:schemeClr w14:val="tx1"/>
            </w14:solidFill>
          </w14:textFill>
        </w:rPr>
        <w:t>投标文件</w:t>
      </w:r>
      <w:r>
        <w:rPr>
          <w:rFonts w:hint="eastAsia" w:ascii="宋体" w:hAnsi="宋体" w:eastAsia="宋体" w:cs="宋体"/>
          <w:color w:val="000000" w:themeColor="text1"/>
          <w:sz w:val="24"/>
          <w:highlight w:val="none"/>
          <w14:textFill>
            <w14:solidFill>
              <w14:schemeClr w14:val="tx1"/>
            </w14:solidFill>
          </w14:textFill>
        </w:rPr>
        <w:t>的</w:t>
      </w:r>
      <w:r>
        <w:rPr>
          <w:rFonts w:hint="eastAsia" w:ascii="宋体" w:hAnsi="宋体" w:eastAsia="宋体" w:cs="宋体"/>
          <w:color w:val="000000" w:themeColor="text1"/>
          <w:sz w:val="24"/>
          <w:highlight w:val="none"/>
          <w:lang w:eastAsia="zh-CN"/>
          <w14:textFill>
            <w14:solidFill>
              <w14:schemeClr w14:val="tx1"/>
            </w14:solidFill>
          </w14:textFill>
        </w:rPr>
        <w:t>供应商</w:t>
      </w:r>
      <w:r>
        <w:rPr>
          <w:rFonts w:hint="eastAsia" w:ascii="宋体" w:hAnsi="宋体" w:eastAsia="宋体" w:cs="宋体"/>
          <w:color w:val="000000" w:themeColor="text1"/>
          <w:sz w:val="24"/>
          <w:highlight w:val="none"/>
          <w14:textFill>
            <w14:solidFill>
              <w14:schemeClr w14:val="tx1"/>
            </w14:solidFill>
          </w14:textFill>
        </w:rPr>
        <w:t>，按照评审因素的量化指标排出推荐中标的</w:t>
      </w:r>
      <w:r>
        <w:rPr>
          <w:rFonts w:hint="eastAsia" w:ascii="宋体" w:hAnsi="宋体" w:eastAsia="宋体" w:cs="宋体"/>
          <w:color w:val="000000" w:themeColor="text1"/>
          <w:sz w:val="24"/>
          <w:highlight w:val="none"/>
          <w:lang w:eastAsia="zh-CN"/>
          <w14:textFill>
            <w14:solidFill>
              <w14:schemeClr w14:val="tx1"/>
            </w14:solidFill>
          </w14:textFill>
        </w:rPr>
        <w:t>供应商</w:t>
      </w:r>
      <w:r>
        <w:rPr>
          <w:rFonts w:hint="eastAsia" w:ascii="宋体" w:hAnsi="宋体" w:eastAsia="宋体" w:cs="宋体"/>
          <w:color w:val="000000" w:themeColor="text1"/>
          <w:sz w:val="24"/>
          <w:highlight w:val="none"/>
          <w14:textFill>
            <w14:solidFill>
              <w14:schemeClr w14:val="tx1"/>
            </w14:solidFill>
          </w14:textFill>
        </w:rPr>
        <w:t>的先后顺序，并按顺序提出授标建议。</w:t>
      </w:r>
      <w:r>
        <w:rPr>
          <w:rFonts w:hint="eastAsia" w:ascii="宋体" w:hAnsi="宋体" w:eastAsia="宋体" w:cs="宋体"/>
          <w:b/>
          <w:color w:val="000000" w:themeColor="text1"/>
          <w:sz w:val="24"/>
          <w:highlight w:val="none"/>
          <w14:textFill>
            <w14:solidFill>
              <w14:schemeClr w14:val="tx1"/>
            </w14:solidFill>
          </w14:textFill>
        </w:rPr>
        <w:t>详见</w:t>
      </w:r>
      <w:r>
        <w:rPr>
          <w:rFonts w:hint="eastAsia" w:ascii="宋体" w:hAnsi="宋体" w:eastAsia="宋体" w:cs="宋体"/>
          <w:b/>
          <w:color w:val="000000" w:themeColor="text1"/>
          <w:sz w:val="24"/>
          <w:highlight w:val="none"/>
          <w:lang w:eastAsia="zh-CN"/>
          <w14:textFill>
            <w14:solidFill>
              <w14:schemeClr w14:val="tx1"/>
            </w14:solidFill>
          </w14:textFill>
        </w:rPr>
        <w:t>投标文件</w:t>
      </w:r>
      <w:r>
        <w:rPr>
          <w:rFonts w:hint="eastAsia" w:ascii="宋体" w:hAnsi="宋体" w:eastAsia="宋体" w:cs="宋体"/>
          <w:b/>
          <w:color w:val="000000" w:themeColor="text1"/>
          <w:sz w:val="24"/>
          <w:highlight w:val="none"/>
          <w14:textFill>
            <w14:solidFill>
              <w14:schemeClr w14:val="tx1"/>
            </w14:solidFill>
          </w14:textFill>
        </w:rPr>
        <w:t>第四部分评标办法。</w:t>
      </w:r>
    </w:p>
    <w:p>
      <w:pPr>
        <w:spacing w:line="360" w:lineRule="auto"/>
        <w:rPr>
          <w:rFonts w:hint="eastAsia" w:ascii="宋体" w:hAnsi="宋体" w:eastAsia="宋体" w:cs="宋体"/>
          <w:b/>
          <w:color w:val="000000" w:themeColor="text1"/>
          <w:sz w:val="24"/>
          <w:highlight w:val="none"/>
          <w14:textFill>
            <w14:solidFill>
              <w14:schemeClr w14:val="tx1"/>
            </w14:solidFill>
          </w14:textFill>
        </w:rPr>
      </w:pPr>
    </w:p>
    <w:p>
      <w:pPr>
        <w:snapToGrid w:val="0"/>
        <w:spacing w:line="360" w:lineRule="auto"/>
        <w:jc w:val="center"/>
        <w:outlineLvl w:val="0"/>
        <w:rPr>
          <w:rFonts w:hint="eastAsia" w:ascii="宋体" w:hAnsi="宋体" w:eastAsia="宋体" w:cs="宋体"/>
          <w:b/>
          <w:color w:val="000000" w:themeColor="text1"/>
          <w:sz w:val="36"/>
          <w:szCs w:val="36"/>
          <w:highlight w:val="none"/>
          <w14:textFill>
            <w14:solidFill>
              <w14:schemeClr w14:val="tx1"/>
            </w14:solidFill>
          </w14:textFill>
        </w:rPr>
      </w:pPr>
      <w:r>
        <w:rPr>
          <w:rFonts w:hint="eastAsia" w:ascii="宋体" w:hAnsi="宋体" w:eastAsia="宋体" w:cs="宋体"/>
          <w:b/>
          <w:color w:val="000000" w:themeColor="text1"/>
          <w:sz w:val="36"/>
          <w:szCs w:val="36"/>
          <w:highlight w:val="none"/>
          <w14:textFill>
            <w14:solidFill>
              <w14:schemeClr w14:val="tx1"/>
            </w14:solidFill>
          </w14:textFill>
        </w:rPr>
        <w:t>六、定 标</w:t>
      </w:r>
    </w:p>
    <w:p>
      <w:pPr>
        <w:pStyle w:val="26"/>
        <w:spacing w:line="360" w:lineRule="auto"/>
        <w:ind w:left="479" w:hanging="479" w:hangingChars="199"/>
        <w:rPr>
          <w:rFonts w:hint="eastAsia" w:ascii="宋体" w:hAnsi="宋体" w:eastAsia="宋体" w:cs="宋体"/>
          <w:b/>
          <w:color w:val="000000" w:themeColor="text1"/>
          <w:highlight w:val="none"/>
          <w14:textFill>
            <w14:solidFill>
              <w14:schemeClr w14:val="tx1"/>
            </w14:solidFill>
          </w14:textFill>
        </w:rPr>
      </w:pPr>
      <w:r>
        <w:rPr>
          <w:rFonts w:hint="eastAsia" w:ascii="宋体" w:hAnsi="宋体" w:eastAsia="宋体" w:cs="宋体"/>
          <w:b/>
          <w:color w:val="000000" w:themeColor="text1"/>
          <w:highlight w:val="none"/>
          <w14:textFill>
            <w14:solidFill>
              <w14:schemeClr w14:val="tx1"/>
            </w14:solidFill>
          </w14:textFill>
        </w:rPr>
        <w:t>22. 确定中标供应商</w:t>
      </w:r>
    </w:p>
    <w:p>
      <w:pPr>
        <w:pStyle w:val="131"/>
        <w:snapToGrid w:val="0"/>
        <w:spacing w:before="0"/>
        <w:ind w:firstLine="480"/>
        <w:rPr>
          <w:rFonts w:hint="eastAsia" w:ascii="宋体" w:hAnsi="宋体" w:eastAsia="宋体" w:cs="宋体"/>
          <w:b/>
          <w:color w:val="000000" w:themeColor="text1"/>
          <w:szCs w:val="24"/>
          <w:highlight w:val="none"/>
          <w14:textFill>
            <w14:solidFill>
              <w14:schemeClr w14:val="tx1"/>
            </w14:solidFill>
          </w14:textFill>
        </w:rPr>
      </w:pPr>
      <w:r>
        <w:rPr>
          <w:rFonts w:hint="eastAsia" w:ascii="宋体" w:hAnsi="宋体" w:eastAsia="宋体" w:cs="宋体"/>
          <w:color w:val="000000" w:themeColor="text1"/>
          <w:szCs w:val="24"/>
          <w:highlight w:val="none"/>
          <w14:textFill>
            <w14:solidFill>
              <w14:schemeClr w14:val="tx1"/>
            </w14:solidFill>
          </w14:textFill>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在采购结果确认环节，中标（成交）候选人撤销投标（响应）文件不能成为采购人不确认采购结果的正当理由。中标、成交通知书和中标、成交结果公告应当在规定时间内同时发出。</w:t>
      </w:r>
    </w:p>
    <w:p>
      <w:pPr>
        <w:pStyle w:val="131"/>
        <w:snapToGrid w:val="0"/>
        <w:spacing w:before="0"/>
        <w:ind w:firstLine="0" w:firstLineChars="0"/>
        <w:rPr>
          <w:rFonts w:hint="eastAsia" w:ascii="宋体" w:hAnsi="宋体" w:eastAsia="宋体" w:cs="宋体"/>
          <w:b/>
          <w:color w:val="000000" w:themeColor="text1"/>
          <w:szCs w:val="24"/>
          <w:highlight w:val="none"/>
          <w14:textFill>
            <w14:solidFill>
              <w14:schemeClr w14:val="tx1"/>
            </w14:solidFill>
          </w14:textFill>
        </w:rPr>
      </w:pPr>
      <w:r>
        <w:rPr>
          <w:rFonts w:hint="eastAsia" w:ascii="宋体" w:hAnsi="宋体" w:eastAsia="宋体" w:cs="宋体"/>
          <w:b/>
          <w:color w:val="000000" w:themeColor="text1"/>
          <w:szCs w:val="24"/>
          <w:highlight w:val="none"/>
          <w14:textFill>
            <w14:solidFill>
              <w14:schemeClr w14:val="tx1"/>
            </w14:solidFill>
          </w14:textFill>
        </w:rPr>
        <w:t>23. 中标通知与中标结果公告</w:t>
      </w:r>
    </w:p>
    <w:p>
      <w:pPr>
        <w:widowControl/>
        <w:shd w:val="clear" w:color="auto" w:fill="FFFFFF"/>
        <w:spacing w:line="360" w:lineRule="auto"/>
        <w:ind w:firstLine="480"/>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23.1自中标人确定之日起2个工作日内，</w:t>
      </w:r>
      <w:r>
        <w:rPr>
          <w:rFonts w:hint="eastAsia" w:ascii="宋体" w:hAnsi="宋体" w:eastAsia="宋体" w:cs="宋体"/>
          <w:color w:val="000000" w:themeColor="text1"/>
          <w:sz w:val="24"/>
          <w:highlight w:val="none"/>
          <w:lang w:eastAsia="zh-CN"/>
          <w14:textFill>
            <w14:solidFill>
              <w14:schemeClr w14:val="tx1"/>
            </w14:solidFill>
          </w14:textFill>
        </w:rPr>
        <w:t>采购代理机构</w:t>
      </w:r>
      <w:r>
        <w:rPr>
          <w:rFonts w:hint="eastAsia" w:ascii="宋体" w:hAnsi="宋体" w:eastAsia="宋体" w:cs="宋体"/>
          <w:color w:val="000000" w:themeColor="text1"/>
          <w:sz w:val="24"/>
          <w:highlight w:val="none"/>
          <w14:textFill>
            <w14:solidFill>
              <w14:schemeClr w14:val="tx1"/>
            </w14:solidFill>
          </w14:textFill>
        </w:rPr>
        <w:t>通过电子交易平台向中标人发出中标通知书，同时编制发布采购结果公告。</w:t>
      </w:r>
      <w:r>
        <w:rPr>
          <w:rFonts w:hint="eastAsia" w:ascii="宋体" w:hAnsi="宋体" w:eastAsia="宋体" w:cs="宋体"/>
          <w:color w:val="000000" w:themeColor="text1"/>
          <w:sz w:val="24"/>
          <w:highlight w:val="none"/>
          <w:lang w:eastAsia="zh-CN"/>
          <w14:textFill>
            <w14:solidFill>
              <w14:schemeClr w14:val="tx1"/>
            </w14:solidFill>
          </w14:textFill>
        </w:rPr>
        <w:t>采购代理机构</w:t>
      </w:r>
      <w:r>
        <w:rPr>
          <w:rFonts w:hint="eastAsia" w:ascii="宋体" w:hAnsi="宋体" w:eastAsia="宋体" w:cs="宋体"/>
          <w:color w:val="000000" w:themeColor="text1"/>
          <w:sz w:val="24"/>
          <w:highlight w:val="none"/>
          <w14:textFill>
            <w14:solidFill>
              <w14:schemeClr w14:val="tx1"/>
            </w14:solidFill>
          </w14:textFill>
        </w:rPr>
        <w:t>也可以以纸质形式进行中标通知。</w:t>
      </w:r>
    </w:p>
    <w:p>
      <w:pPr>
        <w:widowControl/>
        <w:shd w:val="clear" w:color="auto" w:fill="FFFFFF"/>
        <w:spacing w:line="360" w:lineRule="auto"/>
        <w:ind w:firstLine="480"/>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23.2中标结果公告内容包括采购人及其委托的</w:t>
      </w:r>
      <w:r>
        <w:rPr>
          <w:rFonts w:hint="eastAsia" w:ascii="宋体" w:hAnsi="宋体" w:eastAsia="宋体" w:cs="宋体"/>
          <w:color w:val="000000" w:themeColor="text1"/>
          <w:sz w:val="24"/>
          <w:highlight w:val="none"/>
          <w:lang w:eastAsia="zh-CN"/>
          <w14:textFill>
            <w14:solidFill>
              <w14:schemeClr w14:val="tx1"/>
            </w14:solidFill>
          </w14:textFill>
        </w:rPr>
        <w:t>采购代理机构</w:t>
      </w:r>
      <w:r>
        <w:rPr>
          <w:rFonts w:hint="eastAsia" w:ascii="宋体" w:hAnsi="宋体" w:eastAsia="宋体" w:cs="宋体"/>
          <w:color w:val="000000" w:themeColor="text1"/>
          <w:sz w:val="24"/>
          <w:highlight w:val="none"/>
          <w14:textFill>
            <w14:solidFill>
              <w14:schemeClr w14:val="tx1"/>
            </w14:solidFill>
          </w14:textFill>
        </w:rPr>
        <w:t>的名称、地址、联系方式，项目名称和项目编号，中标人名称、地址和中标金额，主要中标标的的名称、规格型号、数量、单价、服务要求，开标记录、</w:t>
      </w:r>
      <w:bookmarkStart w:id="14" w:name="_Hlk101184471"/>
      <w:r>
        <w:rPr>
          <w:rFonts w:hint="eastAsia" w:ascii="宋体" w:hAnsi="宋体" w:eastAsia="宋体" w:cs="宋体"/>
          <w:color w:val="000000" w:themeColor="text1"/>
          <w:sz w:val="24"/>
          <w:highlight w:val="none"/>
          <w14:textFill>
            <w14:solidFill>
              <w14:schemeClr w14:val="tx1"/>
            </w14:solidFill>
          </w14:textFill>
        </w:rPr>
        <w:t>资格审查情况、评审专家抽取规则、符合性审查情况、</w:t>
      </w:r>
      <w:bookmarkEnd w:id="14"/>
      <w:r>
        <w:rPr>
          <w:rFonts w:hint="eastAsia" w:ascii="宋体" w:hAnsi="宋体" w:eastAsia="宋体" w:cs="宋体"/>
          <w:color w:val="000000" w:themeColor="text1"/>
          <w:sz w:val="24"/>
          <w:highlight w:val="none"/>
          <w14:textFill>
            <w14:solidFill>
              <w14:schemeClr w14:val="tx1"/>
            </w14:solidFill>
          </w14:textFill>
        </w:rPr>
        <w:t>未中标情况说明、中标公告期限以及评审专家名单、评分汇总及明细。</w:t>
      </w:r>
    </w:p>
    <w:p>
      <w:pPr>
        <w:widowControl/>
        <w:shd w:val="clear" w:color="auto" w:fill="FFFFFF"/>
        <w:spacing w:line="360" w:lineRule="auto"/>
        <w:ind w:firstLine="480"/>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23.3公告期限为1个工作日。</w:t>
      </w:r>
    </w:p>
    <w:p>
      <w:pPr>
        <w:snapToGrid w:val="0"/>
        <w:spacing w:line="360" w:lineRule="auto"/>
        <w:ind w:left="120" w:leftChars="57" w:firstLine="361" w:firstLineChars="150"/>
        <w:jc w:val="center"/>
        <w:rPr>
          <w:rFonts w:hint="eastAsia" w:ascii="宋体" w:hAnsi="宋体" w:eastAsia="宋体" w:cs="宋体"/>
          <w:b/>
          <w:color w:val="000000" w:themeColor="text1"/>
          <w:sz w:val="24"/>
          <w:szCs w:val="24"/>
          <w:highlight w:val="none"/>
          <w14:textFill>
            <w14:solidFill>
              <w14:schemeClr w14:val="tx1"/>
            </w14:solidFill>
          </w14:textFill>
        </w:rPr>
      </w:pPr>
    </w:p>
    <w:p>
      <w:pPr>
        <w:snapToGrid w:val="0"/>
        <w:spacing w:line="360" w:lineRule="auto"/>
        <w:ind w:left="120" w:leftChars="57" w:firstLine="482" w:firstLineChars="150"/>
        <w:jc w:val="center"/>
        <w:rPr>
          <w:rFonts w:hint="eastAsia" w:ascii="宋体" w:hAnsi="宋体" w:eastAsia="宋体" w:cs="宋体"/>
          <w:b/>
          <w:color w:val="000000" w:themeColor="text1"/>
          <w:sz w:val="32"/>
          <w:highlight w:val="none"/>
          <w14:textFill>
            <w14:solidFill>
              <w14:schemeClr w14:val="tx1"/>
            </w14:solidFill>
          </w14:textFill>
        </w:rPr>
      </w:pPr>
      <w:r>
        <w:rPr>
          <w:rFonts w:hint="eastAsia" w:ascii="宋体" w:hAnsi="宋体" w:eastAsia="宋体" w:cs="宋体"/>
          <w:b/>
          <w:color w:val="000000" w:themeColor="text1"/>
          <w:sz w:val="32"/>
          <w:highlight w:val="none"/>
          <w14:textFill>
            <w14:solidFill>
              <w14:schemeClr w14:val="tx1"/>
            </w14:solidFill>
          </w14:textFill>
        </w:rPr>
        <w:t>七、合同授予</w:t>
      </w:r>
    </w:p>
    <w:p>
      <w:pPr>
        <w:pStyle w:val="26"/>
        <w:spacing w:line="360" w:lineRule="auto"/>
        <w:ind w:left="479" w:hanging="479" w:hangingChars="199"/>
        <w:rPr>
          <w:rFonts w:hint="eastAsia" w:ascii="宋体" w:hAnsi="宋体" w:eastAsia="宋体" w:cs="宋体"/>
          <w:b/>
          <w:color w:val="000000" w:themeColor="text1"/>
          <w:highlight w:val="none"/>
          <w14:textFill>
            <w14:solidFill>
              <w14:schemeClr w14:val="tx1"/>
            </w14:solidFill>
          </w14:textFill>
        </w:rPr>
      </w:pPr>
      <w:r>
        <w:rPr>
          <w:rFonts w:hint="eastAsia" w:ascii="宋体" w:hAnsi="宋体" w:eastAsia="宋体" w:cs="宋体"/>
          <w:b/>
          <w:color w:val="000000" w:themeColor="text1"/>
          <w:highlight w:val="none"/>
          <w14:textFill>
            <w14:solidFill>
              <w14:schemeClr w14:val="tx1"/>
            </w14:solidFill>
          </w14:textFill>
        </w:rPr>
        <w:t xml:space="preserve">24. </w:t>
      </w:r>
      <w:r>
        <w:rPr>
          <w:rFonts w:hint="eastAsia" w:ascii="宋体" w:hAnsi="宋体" w:eastAsia="宋体" w:cs="宋体"/>
          <w:color w:val="000000" w:themeColor="text1"/>
          <w:highlight w:val="none"/>
          <w14:textFill>
            <w14:solidFill>
              <w14:schemeClr w14:val="tx1"/>
            </w14:solidFill>
          </w14:textFill>
        </w:rPr>
        <w:t>合同主要条款详见第五部分拟签订的合同文本。</w:t>
      </w:r>
    </w:p>
    <w:p>
      <w:pPr>
        <w:pStyle w:val="26"/>
        <w:spacing w:line="360" w:lineRule="auto"/>
        <w:ind w:left="479" w:hanging="479" w:hangingChars="199"/>
        <w:rPr>
          <w:rFonts w:hint="eastAsia" w:ascii="宋体" w:hAnsi="宋体" w:eastAsia="宋体" w:cs="宋体"/>
          <w:b/>
          <w:color w:val="000000" w:themeColor="text1"/>
          <w:highlight w:val="none"/>
          <w14:textFill>
            <w14:solidFill>
              <w14:schemeClr w14:val="tx1"/>
            </w14:solidFill>
          </w14:textFill>
        </w:rPr>
      </w:pPr>
      <w:r>
        <w:rPr>
          <w:rFonts w:hint="eastAsia" w:ascii="宋体" w:hAnsi="宋体" w:eastAsia="宋体" w:cs="宋体"/>
          <w:b/>
          <w:color w:val="000000" w:themeColor="text1"/>
          <w:highlight w:val="none"/>
          <w14:textFill>
            <w14:solidFill>
              <w14:schemeClr w14:val="tx1"/>
            </w14:solidFill>
          </w14:textFill>
        </w:rPr>
        <w:t>25. 合同的签订</w:t>
      </w:r>
    </w:p>
    <w:p>
      <w:pPr>
        <w:widowControl/>
        <w:shd w:val="clear" w:color="auto" w:fill="FFFFFF"/>
        <w:spacing w:line="360" w:lineRule="auto"/>
        <w:ind w:firstLine="480"/>
        <w:jc w:val="left"/>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25.1</w:t>
      </w:r>
      <w:r>
        <w:rPr>
          <w:rFonts w:hint="eastAsia" w:ascii="宋体" w:hAnsi="宋体" w:eastAsia="宋体" w:cs="宋体"/>
          <w:color w:val="000000" w:themeColor="text1"/>
          <w:kern w:val="0"/>
          <w:sz w:val="24"/>
          <w:highlight w:val="none"/>
          <w14:textFill>
            <w14:solidFill>
              <w14:schemeClr w14:val="tx1"/>
            </w14:solidFill>
          </w14:textFill>
        </w:rPr>
        <w:t xml:space="preserve"> 采购人与中标人应当通过电子交易平台在中标通知书发出之日起三十日内，按照</w:t>
      </w:r>
      <w:r>
        <w:rPr>
          <w:rFonts w:hint="eastAsia" w:ascii="宋体" w:hAnsi="宋体" w:eastAsia="宋体" w:cs="宋体"/>
          <w:color w:val="000000" w:themeColor="text1"/>
          <w:kern w:val="0"/>
          <w:sz w:val="24"/>
          <w:highlight w:val="none"/>
          <w:lang w:eastAsia="zh-CN"/>
          <w14:textFill>
            <w14:solidFill>
              <w14:schemeClr w14:val="tx1"/>
            </w14:solidFill>
          </w14:textFill>
        </w:rPr>
        <w:t>投标文件</w:t>
      </w:r>
      <w:r>
        <w:rPr>
          <w:rFonts w:hint="eastAsia" w:ascii="宋体" w:hAnsi="宋体" w:eastAsia="宋体" w:cs="宋体"/>
          <w:color w:val="000000" w:themeColor="text1"/>
          <w:kern w:val="0"/>
          <w:sz w:val="24"/>
          <w:highlight w:val="none"/>
          <w14:textFill>
            <w14:solidFill>
              <w14:schemeClr w14:val="tx1"/>
            </w14:solidFill>
          </w14:textFill>
        </w:rPr>
        <w:t>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131"/>
        <w:snapToGrid w:val="0"/>
        <w:spacing w:before="0"/>
        <w:ind w:firstLine="480"/>
        <w:rPr>
          <w:rFonts w:hint="eastAsia" w:ascii="宋体" w:hAnsi="宋体" w:eastAsia="宋体" w:cs="宋体"/>
          <w:color w:val="000000" w:themeColor="text1"/>
          <w:kern w:val="0"/>
          <w:highlight w:val="none"/>
          <w14:textFill>
            <w14:solidFill>
              <w14:schemeClr w14:val="tx1"/>
            </w14:solidFill>
          </w14:textFill>
        </w:rPr>
      </w:pPr>
      <w:r>
        <w:rPr>
          <w:rFonts w:hint="eastAsia" w:ascii="宋体" w:hAnsi="宋体" w:eastAsia="宋体" w:cs="宋体"/>
          <w:color w:val="000000" w:themeColor="text1"/>
          <w:kern w:val="0"/>
          <w:highlight w:val="none"/>
          <w:lang w:val="zh-CN"/>
          <w14:textFill>
            <w14:solidFill>
              <w14:schemeClr w14:val="tx1"/>
            </w14:solidFill>
          </w14:textFill>
        </w:rPr>
        <w:t>25.2中标人按规定的日期、时间、地点，由法定代表人或其授权代表与采购人代表签订合同。如中标人为联合体的，由联合体成员各方法定代表人或其授权代表与采购人代表签订合同。</w:t>
      </w:r>
    </w:p>
    <w:p>
      <w:pPr>
        <w:pStyle w:val="131"/>
        <w:snapToGrid w:val="0"/>
        <w:spacing w:before="0"/>
        <w:ind w:firstLine="480"/>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25.3如签订合同并生效后，供应商无故拒绝或延期，除按照合同条款处理外，列入不良行为记录一次，并给予通报。</w:t>
      </w:r>
    </w:p>
    <w:p>
      <w:pPr>
        <w:pStyle w:val="131"/>
        <w:snapToGrid w:val="0"/>
        <w:spacing w:before="0"/>
        <w:ind w:firstLine="480"/>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25.4中标供应商拒绝与采购人签订合同的，采购人可以按照评审报告推荐的中标或者成交候选人名单排序，确定下一候选人为中标供应商，也可以重新开展政府采购活动。</w:t>
      </w:r>
    </w:p>
    <w:p>
      <w:pPr>
        <w:pStyle w:val="131"/>
        <w:snapToGrid w:val="0"/>
        <w:spacing w:before="0" w:after="120"/>
        <w:ind w:firstLine="480"/>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25.5采购合同由采购人与中标供应商根据</w:t>
      </w:r>
      <w:r>
        <w:rPr>
          <w:rFonts w:hint="eastAsia" w:ascii="宋体" w:hAnsi="宋体" w:eastAsia="宋体" w:cs="宋体"/>
          <w:color w:val="000000" w:themeColor="text1"/>
          <w:highlight w:val="none"/>
          <w:lang w:eastAsia="zh-CN"/>
          <w14:textFill>
            <w14:solidFill>
              <w14:schemeClr w14:val="tx1"/>
            </w14:solidFill>
          </w14:textFill>
        </w:rPr>
        <w:t>投标文件</w:t>
      </w:r>
      <w:r>
        <w:rPr>
          <w:rFonts w:hint="eastAsia" w:ascii="宋体" w:hAnsi="宋体" w:eastAsia="宋体" w:cs="宋体"/>
          <w:color w:val="000000" w:themeColor="text1"/>
          <w:highlight w:val="none"/>
          <w14:textFill>
            <w14:solidFill>
              <w14:schemeClr w14:val="tx1"/>
            </w14:solidFill>
          </w14:textFill>
        </w:rPr>
        <w:t>、投标文件等内容通过政府采购电子交易平台在线签订，自动备案。</w:t>
      </w:r>
    </w:p>
    <w:p>
      <w:pPr>
        <w:pStyle w:val="26"/>
        <w:spacing w:line="360" w:lineRule="auto"/>
        <w:ind w:left="479" w:hanging="479" w:hangingChars="199"/>
        <w:rPr>
          <w:rFonts w:hint="eastAsia" w:ascii="宋体" w:hAnsi="宋体" w:eastAsia="宋体" w:cs="宋体"/>
          <w:b/>
          <w:color w:val="000000" w:themeColor="text1"/>
          <w:highlight w:val="none"/>
          <w14:textFill>
            <w14:solidFill>
              <w14:schemeClr w14:val="tx1"/>
            </w14:solidFill>
          </w14:textFill>
        </w:rPr>
      </w:pPr>
      <w:r>
        <w:rPr>
          <w:rFonts w:hint="eastAsia" w:ascii="宋体" w:hAnsi="宋体" w:eastAsia="宋体" w:cs="宋体"/>
          <w:b/>
          <w:color w:val="000000" w:themeColor="text1"/>
          <w:highlight w:val="none"/>
          <w14:textFill>
            <w14:solidFill>
              <w14:schemeClr w14:val="tx1"/>
            </w14:solidFill>
          </w14:textFill>
        </w:rPr>
        <w:t>26. 履约保证金</w:t>
      </w:r>
    </w:p>
    <w:p>
      <w:pPr>
        <w:tabs>
          <w:tab w:val="left" w:pos="0"/>
        </w:tabs>
        <w:spacing w:line="360" w:lineRule="auto"/>
        <w:ind w:firstLine="482"/>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拟签订的合同文本要求中标供应商提交履约保证金的，供应商应当以支票、汇票、本票或者金融机构、担保机构出具的保函等非现金形式提交</w:t>
      </w:r>
      <w:r>
        <w:rPr>
          <w:rFonts w:hint="eastAsia" w:ascii="宋体" w:hAnsi="宋体" w:eastAsia="宋体" w:cs="宋体"/>
          <w:color w:val="000000" w:themeColor="text1"/>
          <w:sz w:val="24"/>
          <w:highlight w:val="none"/>
          <w14:textFill>
            <w14:solidFill>
              <w14:schemeClr w14:val="tx1"/>
            </w14:solidFill>
          </w14:textFill>
        </w:rPr>
        <w:t>。履约保证金的数额不得超过政府采购合同金额的1%，鼓励根据项目特点、供应商诚信等因素免收履约保证金或降低缴纳比例。鼓励和支持供应商以银行、保险公司出具的保函形式提供履约保证金。采购人不得拒收履约保函，项目验收结束后应及时退还，延迟退还的，应当按照合同约定和法律规定承担相应的赔偿责任。</w:t>
      </w:r>
    </w:p>
    <w:p>
      <w:pPr>
        <w:pStyle w:val="6"/>
        <w:ind w:left="0" w:firstLine="480" w:firstLineChars="200"/>
        <w:rPr>
          <w:rFonts w:hint="eastAsia" w:ascii="宋体" w:hAnsi="宋体" w:eastAsia="宋体" w:cs="宋体"/>
          <w:b w:val="0"/>
          <w:bCs w:val="0"/>
          <w:snapToGrid w:val="0"/>
          <w:color w:val="000000" w:themeColor="text1"/>
          <w:kern w:val="28"/>
          <w:sz w:val="24"/>
          <w:highlight w:val="none"/>
          <w14:textFill>
            <w14:solidFill>
              <w14:schemeClr w14:val="tx1"/>
            </w14:solidFill>
          </w14:textFill>
        </w:rPr>
      </w:pPr>
      <w:r>
        <w:rPr>
          <w:rFonts w:hint="eastAsia" w:ascii="宋体" w:hAnsi="宋体" w:eastAsia="宋体" w:cs="宋体"/>
          <w:b w:val="0"/>
          <w:bCs w:val="0"/>
          <w:snapToGrid w:val="0"/>
          <w:color w:val="000000" w:themeColor="text1"/>
          <w:kern w:val="28"/>
          <w:sz w:val="24"/>
          <w:highlight w:val="none"/>
          <w14:textFill>
            <w14:solidFill>
              <w14:schemeClr w14:val="tx1"/>
            </w14:solidFill>
          </w14:textFill>
        </w:rPr>
        <w:t>供应商</w:t>
      </w:r>
      <w:r>
        <w:rPr>
          <w:rFonts w:hint="eastAsia" w:ascii="宋体" w:hAnsi="宋体" w:eastAsia="宋体" w:cs="宋体"/>
          <w:b w:val="0"/>
          <w:bCs w:val="0"/>
          <w:snapToGrid w:val="0"/>
          <w:color w:val="000000" w:themeColor="text1"/>
          <w:kern w:val="28"/>
          <w:sz w:val="24"/>
          <w:highlight w:val="none"/>
          <w:lang w:val="en-US"/>
          <w14:textFill>
            <w14:solidFill>
              <w14:schemeClr w14:val="tx1"/>
            </w14:solidFill>
          </w14:textFill>
        </w:rPr>
        <w:t>可</w:t>
      </w:r>
      <w:r>
        <w:rPr>
          <w:rFonts w:hint="eastAsia" w:ascii="宋体" w:hAnsi="宋体" w:eastAsia="宋体" w:cs="宋体"/>
          <w:b w:val="0"/>
          <w:bCs w:val="0"/>
          <w:snapToGrid w:val="0"/>
          <w:color w:val="000000" w:themeColor="text1"/>
          <w:kern w:val="28"/>
          <w:sz w:val="24"/>
          <w:highlight w:val="none"/>
          <w14:textFill>
            <w14:solidFill>
              <w14:schemeClr w14:val="tx1"/>
            </w14:solidFill>
          </w14:textFill>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pStyle w:val="6"/>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b/>
          <w:bCs/>
          <w:color w:val="000000" w:themeColor="text1"/>
          <w:sz w:val="24"/>
          <w:szCs w:val="32"/>
          <w:highlight w:val="none"/>
          <w:lang w:val="en-US"/>
          <w14:textFill>
            <w14:solidFill>
              <w14:schemeClr w14:val="tx1"/>
            </w14:solidFill>
          </w14:textFill>
        </w:rPr>
        <w:t>27.预付款</w:t>
      </w:r>
    </w:p>
    <w:p>
      <w:pPr>
        <w:adjustRightInd/>
        <w:spacing w:line="360" w:lineRule="auto"/>
        <w:ind w:firstLine="480" w:firstLineChars="200"/>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采购单位应当在政府采购合同中约定预付款，对中小企业合同预付款比例原则上不低于合同金额的40％，不高于合同金额的70%；项目分年安排预算的，每年预付款比例不低于项目年度计划支付资金额的40％，不高于合同金额的70%；采购项目实施以人工投入为主的，可适当降低预付款比例，但不得低于20%。对供应商为大型企业的项目或者以人工投入为主且实行按月定期结算支付款项的项目，预付款可低于上述比例或者不约定预付款。在签订合同时，供应商明确表示无需预付款或者主动要求降低预付款比例的，采购单位可不适用前述规定。采购单位根据项目特点、供应商诚信等因素，可以要求供应商提交银行、保险公司等金融机构出具的预付款保函或其他担保措施。政府采购预付款应在合同生效以及具备实施条件后5个工作日内支付。政府采购工程以及与工程建设有关的货物、服务，采用招标方式采购的，预付款从其相关规定。供应商可登录政采云前台大厅选择金融服务 - 【保函保险服务】出具预付款保函，具体步骤：选择产品—填写供应商信息—选择中标项目—确认信息—等待保险/保函受理—确认保单—支付保费—成功出单。政采云金融专线400-903-9583。</w:t>
      </w:r>
    </w:p>
    <w:p>
      <w:pPr>
        <w:snapToGrid w:val="0"/>
        <w:spacing w:line="360" w:lineRule="auto"/>
        <w:ind w:firstLine="2518" w:firstLineChars="1045"/>
        <w:rPr>
          <w:rFonts w:hint="eastAsia" w:ascii="宋体" w:hAnsi="宋体" w:eastAsia="宋体" w:cs="宋体"/>
          <w:b/>
          <w:color w:val="000000" w:themeColor="text1"/>
          <w:sz w:val="24"/>
          <w:szCs w:val="24"/>
          <w:highlight w:val="none"/>
          <w14:textFill>
            <w14:solidFill>
              <w14:schemeClr w14:val="tx1"/>
            </w14:solidFill>
          </w14:textFill>
        </w:rPr>
      </w:pPr>
    </w:p>
    <w:p>
      <w:pPr>
        <w:snapToGrid w:val="0"/>
        <w:spacing w:line="360" w:lineRule="auto"/>
        <w:jc w:val="center"/>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32"/>
          <w:highlight w:val="none"/>
          <w14:textFill>
            <w14:solidFill>
              <w14:schemeClr w14:val="tx1"/>
            </w14:solidFill>
          </w14:textFill>
        </w:rPr>
        <w:t>八、电子交易活动的中止</w:t>
      </w:r>
    </w:p>
    <w:p>
      <w:pPr>
        <w:pStyle w:val="131"/>
        <w:snapToGrid w:val="0"/>
        <w:spacing w:before="0"/>
        <w:ind w:firstLine="0" w:firstLineChars="0"/>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b/>
          <w:bCs/>
          <w:color w:val="000000" w:themeColor="text1"/>
          <w:sz w:val="24"/>
          <w:szCs w:val="20"/>
          <w:highlight w:val="none"/>
          <w14:textFill>
            <w14:solidFill>
              <w14:schemeClr w14:val="tx1"/>
            </w14:solidFill>
          </w14:textFill>
        </w:rPr>
        <w:t>2</w:t>
      </w:r>
      <w:r>
        <w:rPr>
          <w:rFonts w:hint="eastAsia" w:ascii="宋体" w:hAnsi="宋体" w:eastAsia="宋体" w:cs="宋体"/>
          <w:b/>
          <w:bCs/>
          <w:color w:val="000000" w:themeColor="text1"/>
          <w:sz w:val="24"/>
          <w:szCs w:val="24"/>
          <w:highlight w:val="none"/>
          <w14:textFill>
            <w14:solidFill>
              <w14:schemeClr w14:val="tx1"/>
            </w14:solidFill>
          </w14:textFill>
        </w:rPr>
        <w:t>8</w:t>
      </w:r>
      <w:r>
        <w:rPr>
          <w:rFonts w:hint="eastAsia" w:ascii="宋体" w:hAnsi="宋体" w:eastAsia="宋体" w:cs="宋体"/>
          <w:b/>
          <w:color w:val="000000" w:themeColor="text1"/>
          <w:szCs w:val="24"/>
          <w:highlight w:val="none"/>
          <w14:textFill>
            <w14:solidFill>
              <w14:schemeClr w14:val="tx1"/>
            </w14:solidFill>
          </w14:textFill>
        </w:rPr>
        <w:t>. 电子交易活动的中止。</w:t>
      </w:r>
      <w:r>
        <w:rPr>
          <w:rFonts w:hint="eastAsia" w:ascii="宋体" w:hAnsi="宋体" w:eastAsia="宋体" w:cs="宋体"/>
          <w:color w:val="000000" w:themeColor="text1"/>
          <w:highlight w:val="none"/>
          <w14:textFill>
            <w14:solidFill>
              <w14:schemeClr w14:val="tx1"/>
            </w14:solidFill>
          </w14:textFill>
        </w:rPr>
        <w:t>采购过程中出现以下情形，导致电子交易平台无法正常运行，或者无法保证电子交易的公平、公正和安全时，</w:t>
      </w:r>
      <w:r>
        <w:rPr>
          <w:rFonts w:hint="eastAsia" w:ascii="宋体" w:hAnsi="宋体" w:eastAsia="宋体" w:cs="宋体"/>
          <w:color w:val="000000" w:themeColor="text1"/>
          <w:highlight w:val="none"/>
          <w:lang w:eastAsia="zh-CN"/>
          <w14:textFill>
            <w14:solidFill>
              <w14:schemeClr w14:val="tx1"/>
            </w14:solidFill>
          </w14:textFill>
        </w:rPr>
        <w:t>采购代理机构</w:t>
      </w:r>
      <w:r>
        <w:rPr>
          <w:rFonts w:hint="eastAsia" w:ascii="宋体" w:hAnsi="宋体" w:eastAsia="宋体" w:cs="宋体"/>
          <w:color w:val="000000" w:themeColor="text1"/>
          <w:highlight w:val="none"/>
          <w14:textFill>
            <w14:solidFill>
              <w14:schemeClr w14:val="tx1"/>
            </w14:solidFill>
          </w14:textFill>
        </w:rPr>
        <w:t>可中止电子交易活动：</w:t>
      </w:r>
    </w:p>
    <w:p>
      <w:pPr>
        <w:pStyle w:val="131"/>
        <w:snapToGrid w:val="0"/>
        <w:spacing w:before="0"/>
        <w:ind w:firstLine="480"/>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 xml:space="preserve">28.1电子交易平台发生故障而无法登录访问的； </w:t>
      </w:r>
    </w:p>
    <w:p>
      <w:pPr>
        <w:pStyle w:val="131"/>
        <w:snapToGrid w:val="0"/>
        <w:spacing w:before="0"/>
        <w:ind w:firstLine="480"/>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28.2电子交易平台应用或数据库出现错误，不能进行正常操作的；</w:t>
      </w:r>
    </w:p>
    <w:p>
      <w:pPr>
        <w:pStyle w:val="131"/>
        <w:snapToGrid w:val="0"/>
        <w:spacing w:before="0"/>
        <w:ind w:firstLine="480"/>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28.3电子交易平台发现严重安全漏洞，有潜在泄密危险的；</w:t>
      </w:r>
    </w:p>
    <w:p>
      <w:pPr>
        <w:pStyle w:val="131"/>
        <w:snapToGrid w:val="0"/>
        <w:spacing w:before="0"/>
        <w:ind w:firstLine="480"/>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 xml:space="preserve">28.4病毒发作导致不能进行正常操作的； </w:t>
      </w:r>
    </w:p>
    <w:p>
      <w:pPr>
        <w:pStyle w:val="131"/>
        <w:snapToGrid w:val="0"/>
        <w:spacing w:before="0"/>
        <w:ind w:firstLine="480"/>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28.5其他无法保证电子交易的公平、公正和安全的情况。</w:t>
      </w:r>
    </w:p>
    <w:p>
      <w:pPr>
        <w:pStyle w:val="131"/>
        <w:snapToGrid w:val="0"/>
        <w:spacing w:before="0"/>
        <w:ind w:firstLine="0" w:firstLineChars="0"/>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 xml:space="preserve"> 29.出现以上情形，不影响采购公平、公正性的，采购组织机构可以待上述情形消除后继续组织电子交易活动，也可以决定某些环节以纸质形式进行；影响或可能影响采购公平、公正性的，应当重新采购。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hint="eastAsia" w:ascii="宋体" w:hAnsi="宋体" w:eastAsia="宋体" w:cs="宋体"/>
          <w:color w:val="000000" w:themeColor="text1"/>
          <w:sz w:val="24"/>
          <w:highlight w:val="none"/>
          <w14:textFill>
            <w14:solidFill>
              <w14:schemeClr w14:val="tx1"/>
            </w14:solidFill>
          </w14:textFill>
        </w:rPr>
      </w:pPr>
    </w:p>
    <w:p>
      <w:pPr>
        <w:snapToGrid w:val="0"/>
        <w:spacing w:line="360" w:lineRule="auto"/>
        <w:ind w:left="120" w:leftChars="57" w:firstLine="482" w:firstLineChars="150"/>
        <w:jc w:val="center"/>
        <w:rPr>
          <w:rFonts w:hint="eastAsia" w:ascii="宋体" w:hAnsi="宋体" w:eastAsia="宋体" w:cs="宋体"/>
          <w:b/>
          <w:color w:val="000000" w:themeColor="text1"/>
          <w:sz w:val="32"/>
          <w:highlight w:val="none"/>
          <w14:textFill>
            <w14:solidFill>
              <w14:schemeClr w14:val="tx1"/>
            </w14:solidFill>
          </w14:textFill>
        </w:rPr>
      </w:pPr>
      <w:r>
        <w:rPr>
          <w:rFonts w:hint="eastAsia" w:ascii="宋体" w:hAnsi="宋体" w:eastAsia="宋体" w:cs="宋体"/>
          <w:b/>
          <w:color w:val="000000" w:themeColor="text1"/>
          <w:sz w:val="32"/>
          <w:highlight w:val="none"/>
          <w14:textFill>
            <w14:solidFill>
              <w14:schemeClr w14:val="tx1"/>
            </w14:solidFill>
          </w14:textFill>
        </w:rPr>
        <w:t>九、验收</w:t>
      </w:r>
    </w:p>
    <w:p>
      <w:pPr>
        <w:pStyle w:val="26"/>
        <w:spacing w:line="360" w:lineRule="auto"/>
        <w:ind w:firstLine="0" w:firstLineChars="0"/>
        <w:rPr>
          <w:rFonts w:hint="eastAsia" w:ascii="宋体" w:hAnsi="宋体" w:eastAsia="宋体" w:cs="宋体"/>
          <w:b/>
          <w:color w:val="000000" w:themeColor="text1"/>
          <w:highlight w:val="none"/>
          <w14:textFill>
            <w14:solidFill>
              <w14:schemeClr w14:val="tx1"/>
            </w14:solidFill>
          </w14:textFill>
        </w:rPr>
      </w:pPr>
      <w:r>
        <w:rPr>
          <w:rFonts w:hint="eastAsia" w:ascii="宋体" w:hAnsi="宋体" w:eastAsia="宋体" w:cs="宋体"/>
          <w:b/>
          <w:color w:val="000000" w:themeColor="text1"/>
          <w:highlight w:val="none"/>
          <w14:textFill>
            <w14:solidFill>
              <w14:schemeClr w14:val="tx1"/>
            </w14:solidFill>
          </w14:textFill>
        </w:rPr>
        <w:t>30.验收</w:t>
      </w:r>
    </w:p>
    <w:p>
      <w:pPr>
        <w:tabs>
          <w:tab w:val="left" w:pos="0"/>
        </w:tabs>
        <w:spacing w:line="360" w:lineRule="auto"/>
        <w:ind w:firstLine="480"/>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30.1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30.2采购人可以邀请参加本项目的其他</w:t>
      </w:r>
      <w:r>
        <w:rPr>
          <w:rFonts w:hint="eastAsia" w:ascii="宋体" w:hAnsi="宋体" w:eastAsia="宋体" w:cs="宋体"/>
          <w:color w:val="000000" w:themeColor="text1"/>
          <w:kern w:val="0"/>
          <w:sz w:val="24"/>
          <w:highlight w:val="none"/>
          <w:lang w:eastAsia="zh-CN"/>
          <w14:textFill>
            <w14:solidFill>
              <w14:schemeClr w14:val="tx1"/>
            </w14:solidFill>
          </w14:textFill>
        </w:rPr>
        <w:t>供应商</w:t>
      </w:r>
      <w:r>
        <w:rPr>
          <w:rFonts w:hint="eastAsia" w:ascii="宋体" w:hAnsi="宋体" w:eastAsia="宋体" w:cs="宋体"/>
          <w:color w:val="000000" w:themeColor="text1"/>
          <w:kern w:val="0"/>
          <w:sz w:val="24"/>
          <w:highlight w:val="none"/>
          <w14:textFill>
            <w14:solidFill>
              <w14:schemeClr w14:val="tx1"/>
            </w14:solidFill>
          </w14:textFill>
        </w:rPr>
        <w:t>或者第三方机构参与验收。参与验收的</w:t>
      </w:r>
      <w:r>
        <w:rPr>
          <w:rFonts w:hint="eastAsia" w:ascii="宋体" w:hAnsi="宋体" w:eastAsia="宋体" w:cs="宋体"/>
          <w:color w:val="000000" w:themeColor="text1"/>
          <w:kern w:val="0"/>
          <w:sz w:val="24"/>
          <w:highlight w:val="none"/>
          <w:lang w:eastAsia="zh-CN"/>
          <w14:textFill>
            <w14:solidFill>
              <w14:schemeClr w14:val="tx1"/>
            </w14:solidFill>
          </w14:textFill>
        </w:rPr>
        <w:t>供应商</w:t>
      </w:r>
      <w:r>
        <w:rPr>
          <w:rFonts w:hint="eastAsia" w:ascii="宋体" w:hAnsi="宋体" w:eastAsia="宋体" w:cs="宋体"/>
          <w:color w:val="000000" w:themeColor="text1"/>
          <w:kern w:val="0"/>
          <w:sz w:val="24"/>
          <w:highlight w:val="none"/>
          <w14:textFill>
            <w14:solidFill>
              <w14:schemeClr w14:val="tx1"/>
            </w14:solidFill>
          </w14:textFill>
        </w:rPr>
        <w:t>或者第三方机构的意见作为验收书的参考资料一并存档。</w:t>
      </w:r>
    </w:p>
    <w:p>
      <w:pPr>
        <w:tabs>
          <w:tab w:val="left" w:pos="0"/>
        </w:tabs>
        <w:spacing w:line="360" w:lineRule="auto"/>
        <w:ind w:firstLine="480"/>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30.3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hint="eastAsia"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30.4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3"/>
    <w:p>
      <w:pPr>
        <w:tabs>
          <w:tab w:val="left" w:pos="0"/>
        </w:tabs>
        <w:spacing w:line="360" w:lineRule="auto"/>
        <w:ind w:firstLine="480"/>
        <w:rPr>
          <w:rFonts w:hint="eastAsia" w:ascii="宋体" w:hAnsi="宋体" w:eastAsia="宋体" w:cs="宋体"/>
          <w:color w:val="000000" w:themeColor="text1"/>
          <w:kern w:val="0"/>
          <w:sz w:val="24"/>
          <w:highlight w:val="none"/>
          <w14:textFill>
            <w14:solidFill>
              <w14:schemeClr w14:val="tx1"/>
            </w14:solidFill>
          </w14:textFill>
        </w:rPr>
        <w:sectPr>
          <w:headerReference r:id="rId4" w:type="first"/>
          <w:footerReference r:id="rId7" w:type="first"/>
          <w:headerReference r:id="rId3" w:type="default"/>
          <w:footerReference r:id="rId5" w:type="default"/>
          <w:footerReference r:id="rId6" w:type="even"/>
          <w:pgSz w:w="11906" w:h="16838"/>
          <w:pgMar w:top="1474" w:right="1587" w:bottom="1474" w:left="1587" w:header="851" w:footer="992" w:gutter="0"/>
          <w:cols w:space="720" w:num="1"/>
          <w:titlePg/>
          <w:docGrid w:linePitch="312" w:charSpace="0"/>
        </w:sectPr>
      </w:pPr>
      <w:bookmarkStart w:id="15" w:name="_Hlt68403820"/>
      <w:bookmarkEnd w:id="15"/>
      <w:bookmarkStart w:id="16" w:name="_Hlt74729768"/>
      <w:bookmarkEnd w:id="16"/>
      <w:bookmarkStart w:id="17" w:name="_Hlt75236101"/>
      <w:bookmarkEnd w:id="17"/>
      <w:bookmarkStart w:id="18" w:name="_Hlt75236011"/>
      <w:bookmarkEnd w:id="18"/>
      <w:bookmarkStart w:id="19" w:name="_Hlt75236290"/>
      <w:bookmarkEnd w:id="19"/>
      <w:bookmarkStart w:id="20" w:name="_Hlt68072998"/>
      <w:bookmarkEnd w:id="20"/>
      <w:bookmarkStart w:id="21" w:name="_Hlt74714665"/>
      <w:bookmarkEnd w:id="21"/>
      <w:bookmarkStart w:id="22" w:name="_Hlt74730295"/>
      <w:bookmarkEnd w:id="22"/>
      <w:bookmarkStart w:id="23" w:name="_Hlt68057669"/>
      <w:bookmarkEnd w:id="23"/>
      <w:bookmarkStart w:id="24" w:name="_Hlt74707468"/>
      <w:bookmarkEnd w:id="24"/>
      <w:bookmarkStart w:id="25" w:name="_Hlt68073093"/>
      <w:bookmarkEnd w:id="25"/>
      <w:bookmarkStart w:id="26" w:name="_Hlt68072990"/>
      <w:bookmarkEnd w:id="26"/>
    </w:p>
    <w:bookmarkEnd w:id="11"/>
    <w:bookmarkEnd w:id="12"/>
    <w:p>
      <w:pPr>
        <w:spacing w:line="360" w:lineRule="auto"/>
        <w:jc w:val="center"/>
        <w:outlineLvl w:val="0"/>
        <w:rPr>
          <w:rFonts w:hint="eastAsia" w:ascii="宋体" w:hAnsi="宋体" w:eastAsia="宋体" w:cs="宋体"/>
          <w:b/>
          <w:color w:val="000000" w:themeColor="text1"/>
          <w:sz w:val="36"/>
          <w:szCs w:val="36"/>
          <w:highlight w:val="none"/>
          <w14:textFill>
            <w14:solidFill>
              <w14:schemeClr w14:val="tx1"/>
            </w14:solidFill>
          </w14:textFill>
        </w:rPr>
      </w:pPr>
      <w:bookmarkStart w:id="27" w:name="第四部分"/>
      <w:r>
        <w:rPr>
          <w:rFonts w:hint="eastAsia" w:ascii="宋体" w:hAnsi="宋体" w:eastAsia="宋体" w:cs="宋体"/>
          <w:b/>
          <w:color w:val="000000" w:themeColor="text1"/>
          <w:sz w:val="36"/>
          <w:szCs w:val="36"/>
          <w:highlight w:val="none"/>
          <w14:textFill>
            <w14:solidFill>
              <w14:schemeClr w14:val="tx1"/>
            </w14:solidFill>
          </w14:textFill>
        </w:rPr>
        <w:t>第三部分   采购需求</w:t>
      </w:r>
    </w:p>
    <w:p>
      <w:pPr>
        <w:keepNext w:val="0"/>
        <w:keepLines w:val="0"/>
        <w:pageBreakBefore w:val="0"/>
        <w:kinsoku/>
        <w:wordWrap/>
        <w:overflowPunct/>
        <w:topLinePunct w:val="0"/>
        <w:bidi w:val="0"/>
        <w:adjustRightInd/>
        <w:snapToGrid/>
        <w:spacing w:line="360" w:lineRule="auto"/>
        <w:ind w:firstLine="482" w:firstLineChars="200"/>
        <w:jc w:val="left"/>
        <w:textAlignment w:val="auto"/>
        <w:rPr>
          <w:rFonts w:hint="eastAsia"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b/>
          <w:color w:val="000000" w:themeColor="text1"/>
          <w:sz w:val="24"/>
          <w:szCs w:val="24"/>
          <w:highlight w:val="none"/>
          <w14:textFill>
            <w14:solidFill>
              <w14:schemeClr w14:val="tx1"/>
            </w14:solidFill>
          </w14:textFill>
        </w:rPr>
        <w:t>一、项目概况及要求</w:t>
      </w:r>
    </w:p>
    <w:p>
      <w:pPr>
        <w:keepNext w:val="0"/>
        <w:keepLines w:val="0"/>
        <w:pageBreakBefore w:val="0"/>
        <w:widowControl w:val="0"/>
        <w:kinsoku/>
        <w:wordWrap/>
        <w:overflowPunct/>
        <w:topLinePunct w:val="0"/>
        <w:bidi w:val="0"/>
        <w:adjustRightInd/>
        <w:snapToGrid/>
        <w:spacing w:line="360" w:lineRule="auto"/>
        <w:ind w:firstLine="482"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t>1、项目名称：</w:t>
      </w:r>
      <w:r>
        <w:rPr>
          <w:rFonts w:hint="eastAsia" w:ascii="宋体" w:hAnsi="宋体" w:eastAsia="宋体" w:cs="宋体"/>
          <w:color w:val="000000" w:themeColor="text1"/>
          <w:sz w:val="24"/>
          <w:szCs w:val="24"/>
          <w:highlight w:val="none"/>
          <w14:textFill>
            <w14:solidFill>
              <w14:schemeClr w14:val="tx1"/>
            </w14:solidFill>
          </w14:textFill>
        </w:rPr>
        <w:t>拱墅区临丁路等7条、东新路等8条市属区管道路市政环卫一体化综合养护服务项目</w:t>
      </w:r>
    </w:p>
    <w:p>
      <w:pPr>
        <w:pStyle w:val="2"/>
        <w:keepNext w:val="0"/>
        <w:keepLines w:val="0"/>
        <w:pageBreakBefore w:val="0"/>
        <w:widowControl w:val="0"/>
        <w:kinsoku/>
        <w:wordWrap/>
        <w:overflowPunct/>
        <w:topLinePunct w:val="0"/>
        <w:bidi w:val="0"/>
        <w:adjustRightInd/>
        <w:snapToGrid/>
        <w:spacing w:line="360" w:lineRule="auto"/>
        <w:ind w:firstLine="480" w:firstLineChars="200"/>
        <w:jc w:val="left"/>
        <w:textAlignment w:val="auto"/>
        <w:rPr>
          <w:rFonts w:hint="eastAsia" w:ascii="宋体" w:hAnsi="宋体" w:eastAsia="宋体" w:cs="宋体"/>
          <w:snapToGrid/>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snapToGrid/>
          <w:color w:val="000000" w:themeColor="text1"/>
          <w:kern w:val="2"/>
          <w:sz w:val="24"/>
          <w:szCs w:val="24"/>
          <w:highlight w:val="none"/>
          <w:lang w:val="en-US" w:eastAsia="zh-CN" w:bidi="ar-SA"/>
          <w14:textFill>
            <w14:solidFill>
              <w14:schemeClr w14:val="tx1"/>
            </w14:solidFill>
          </w14:textFill>
        </w:rPr>
        <w:t>标项一：</w:t>
      </w:r>
      <w:r>
        <w:rPr>
          <w:rFonts w:hint="eastAsia" w:hAnsi="宋体" w:cs="宋体"/>
          <w:snapToGrid/>
          <w:color w:val="000000" w:themeColor="text1"/>
          <w:kern w:val="2"/>
          <w:sz w:val="24"/>
          <w:szCs w:val="24"/>
          <w:highlight w:val="none"/>
          <w:lang w:val="en-US" w:eastAsia="zh-CN" w:bidi="ar-SA"/>
          <w14:textFill>
            <w14:solidFill>
              <w14:schemeClr w14:val="tx1"/>
            </w14:solidFill>
          </w14:textFill>
        </w:rPr>
        <w:t>临丁路等7条市属区管道路市政环卫一体化综合养护服务项目</w:t>
      </w:r>
    </w:p>
    <w:p>
      <w:pPr>
        <w:pStyle w:val="4"/>
        <w:keepNext w:val="0"/>
        <w:keepLines w:val="0"/>
        <w:pageBreakBefore w:val="0"/>
        <w:widowControl w:val="0"/>
        <w:kinsoku/>
        <w:wordWrap/>
        <w:overflowPunct/>
        <w:topLinePunct w:val="0"/>
        <w:bidi w:val="0"/>
        <w:adjustRightInd/>
        <w:snapToGrid/>
        <w:spacing w:line="360" w:lineRule="auto"/>
        <w:ind w:left="0" w:leftChars="0" w:firstLine="480" w:firstLineChars="200"/>
        <w:jc w:val="left"/>
        <w:textAlignment w:val="auto"/>
        <w:rPr>
          <w:rFonts w:hint="eastAsia" w:ascii="宋体" w:hAnsi="宋体" w:eastAsia="宋体" w:cs="宋体"/>
          <w:snapToGrid/>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snapToGrid/>
          <w:color w:val="000000" w:themeColor="text1"/>
          <w:kern w:val="2"/>
          <w:sz w:val="24"/>
          <w:szCs w:val="24"/>
          <w:highlight w:val="none"/>
          <w:lang w:val="en-US" w:eastAsia="zh-CN" w:bidi="ar-SA"/>
          <w14:textFill>
            <w14:solidFill>
              <w14:schemeClr w14:val="tx1"/>
            </w14:solidFill>
          </w14:textFill>
        </w:rPr>
        <w:t>标项二：</w:t>
      </w:r>
      <w:r>
        <w:rPr>
          <w:rFonts w:hint="eastAsia" w:ascii="宋体" w:hAnsi="宋体" w:cs="宋体"/>
          <w:snapToGrid/>
          <w:color w:val="000000" w:themeColor="text1"/>
          <w:kern w:val="2"/>
          <w:sz w:val="24"/>
          <w:szCs w:val="24"/>
          <w:highlight w:val="none"/>
          <w:lang w:val="en-US" w:eastAsia="zh-CN" w:bidi="ar-SA"/>
          <w14:textFill>
            <w14:solidFill>
              <w14:schemeClr w14:val="tx1"/>
            </w14:solidFill>
          </w14:textFill>
        </w:rPr>
        <w:t>东新路等8条市属区管道路市政环卫一体化综合养护服务项目</w:t>
      </w:r>
    </w:p>
    <w:p>
      <w:pPr>
        <w:keepNext w:val="0"/>
        <w:keepLines w:val="0"/>
        <w:pageBreakBefore w:val="0"/>
        <w:kinsoku/>
        <w:wordWrap/>
        <w:overflowPunct/>
        <w:topLinePunct w:val="0"/>
        <w:bidi w:val="0"/>
        <w:adjustRightInd/>
        <w:snapToGrid/>
        <w:spacing w:line="360" w:lineRule="auto"/>
        <w:ind w:firstLine="482"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2、</w:t>
      </w:r>
      <w:r>
        <w:rPr>
          <w:rFonts w:hint="eastAsia" w:ascii="宋体" w:hAnsi="宋体" w:eastAsia="宋体" w:cs="宋体"/>
          <w:b/>
          <w:bCs/>
          <w:color w:val="000000" w:themeColor="text1"/>
          <w:sz w:val="24"/>
          <w:szCs w:val="24"/>
          <w:highlight w:val="none"/>
          <w14:textFill>
            <w14:solidFill>
              <w14:schemeClr w14:val="tx1"/>
            </w14:solidFill>
          </w14:textFill>
        </w:rPr>
        <w:t>采购内容：</w:t>
      </w:r>
      <w:r>
        <w:rPr>
          <w:rFonts w:hint="eastAsia" w:ascii="宋体" w:hAnsi="宋体" w:eastAsia="宋体" w:cs="宋体"/>
          <w:color w:val="000000" w:themeColor="text1"/>
          <w:sz w:val="24"/>
          <w:szCs w:val="24"/>
          <w:highlight w:val="none"/>
          <w:lang w:val="en-US" w:eastAsia="zh-CN"/>
          <w14:textFill>
            <w14:solidFill>
              <w14:schemeClr w14:val="tx1"/>
            </w14:solidFill>
          </w14:textFill>
        </w:rPr>
        <w:t>为</w:t>
      </w:r>
      <w:r>
        <w:rPr>
          <w:rFonts w:hint="eastAsia" w:ascii="宋体" w:hAnsi="宋体" w:eastAsia="宋体" w:cs="宋体"/>
          <w:color w:val="000000" w:themeColor="text1"/>
          <w:sz w:val="24"/>
          <w:szCs w:val="24"/>
          <w:highlight w:val="none"/>
          <w14:textFill>
            <w14:solidFill>
              <w14:schemeClr w14:val="tx1"/>
            </w14:solidFill>
          </w14:textFill>
        </w:rPr>
        <w:t>拱墅区临丁路等7条、东新路等8条市属区管道路市政环卫一体化综合养护</w:t>
      </w:r>
      <w:r>
        <w:rPr>
          <w:rFonts w:hint="eastAsia" w:ascii="宋体" w:hAnsi="宋体" w:eastAsia="宋体" w:cs="宋体"/>
          <w:color w:val="000000" w:themeColor="text1"/>
          <w:sz w:val="24"/>
          <w:szCs w:val="24"/>
          <w:highlight w:val="none"/>
          <w:lang w:val="en-US" w:eastAsia="zh-CN"/>
          <w14:textFill>
            <w14:solidFill>
              <w14:schemeClr w14:val="tx1"/>
            </w14:solidFill>
          </w14:textFill>
        </w:rPr>
        <w:t>提供</w:t>
      </w:r>
      <w:r>
        <w:rPr>
          <w:rFonts w:hint="eastAsia" w:ascii="宋体" w:hAnsi="宋体" w:eastAsia="宋体" w:cs="宋体"/>
          <w:color w:val="000000" w:themeColor="text1"/>
          <w:sz w:val="24"/>
          <w:szCs w:val="24"/>
          <w:highlight w:val="none"/>
          <w14:textFill>
            <w14:solidFill>
              <w14:schemeClr w14:val="tx1"/>
            </w14:solidFill>
          </w14:textFill>
        </w:rPr>
        <w:t>服务</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包含</w:t>
      </w:r>
      <w:r>
        <w:rPr>
          <w:rFonts w:hint="eastAsia" w:ascii="宋体" w:hAnsi="宋体" w:eastAsia="宋体" w:cs="宋体"/>
          <w:color w:val="000000" w:themeColor="text1"/>
          <w:sz w:val="24"/>
          <w:szCs w:val="24"/>
          <w:highlight w:val="none"/>
          <w:lang w:val="en-US" w:eastAsia="zh-CN"/>
          <w14:textFill>
            <w14:solidFill>
              <w14:schemeClr w14:val="tx1"/>
            </w14:solidFill>
          </w14:textFill>
        </w:rPr>
        <w:t>采购</w:t>
      </w:r>
      <w:r>
        <w:rPr>
          <w:rFonts w:hint="eastAsia" w:ascii="宋体" w:hAnsi="宋体" w:eastAsia="宋体" w:cs="宋体"/>
          <w:color w:val="000000" w:themeColor="text1"/>
          <w:sz w:val="24"/>
          <w:szCs w:val="24"/>
          <w:highlight w:val="none"/>
          <w14:textFill>
            <w14:solidFill>
              <w14:schemeClr w14:val="tx1"/>
            </w14:solidFill>
          </w14:textFill>
        </w:rPr>
        <w:t>范围内道路综合性养护包括道路路面、绿地保洁（路侧绿地、中央隔离带、机非隔离带绿地以道路侧石边线为基准向相应绿地范围内推算1米范围的绿地作为绿地保洁范围）、沿线牛皮癣清除、无主垃圾及废土清除，以及道路范围内所有环卫设施、交通隔离墩（栏）、路灯杆、交通杆等城市家具的保洁；道路路面、人行道、排水、桥梁等各项设施的检查、小修；养护范围内防汛防台、抗雪防冻、突发事件的应急处理及重大活动保障的配合工作等内容。</w:t>
      </w:r>
    </w:p>
    <w:p>
      <w:pPr>
        <w:keepNext w:val="0"/>
        <w:keepLines w:val="0"/>
        <w:pageBreakBefore w:val="0"/>
        <w:kinsoku/>
        <w:wordWrap/>
        <w:overflowPunct/>
        <w:topLinePunct w:val="0"/>
        <w:bidi w:val="0"/>
        <w:adjustRightInd/>
        <w:snapToGrid/>
        <w:spacing w:line="360" w:lineRule="auto"/>
        <w:ind w:firstLine="482"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t>3、合同履约期限：</w:t>
      </w:r>
      <w:r>
        <w:rPr>
          <w:rFonts w:hint="eastAsia" w:ascii="宋体" w:hAnsi="宋体" w:eastAsia="宋体" w:cs="宋体"/>
          <w:b w:val="0"/>
          <w:bCs w:val="0"/>
          <w:snapToGrid w:val="0"/>
          <w:color w:val="000000" w:themeColor="text1"/>
          <w:spacing w:val="13"/>
          <w:kern w:val="0"/>
          <w:sz w:val="24"/>
          <w:szCs w:val="24"/>
          <w:highlight w:val="none"/>
          <w:lang w:val="en-US" w:eastAsia="zh-CN"/>
          <w14:textFill>
            <w14:solidFill>
              <w14:schemeClr w14:val="tx1"/>
            </w14:solidFill>
          </w14:textFill>
        </w:rPr>
        <w:t>3年</w:t>
      </w:r>
      <w:r>
        <w:rPr>
          <w:rFonts w:hint="eastAsia" w:ascii="宋体" w:hAnsi="宋体" w:cs="宋体"/>
          <w:b w:val="0"/>
          <w:bCs w:val="0"/>
          <w:snapToGrid w:val="0"/>
          <w:color w:val="000000" w:themeColor="text1"/>
          <w:spacing w:val="13"/>
          <w:kern w:val="0"/>
          <w:sz w:val="24"/>
          <w:szCs w:val="24"/>
          <w:highlight w:val="none"/>
          <w:lang w:val="en-US" w:eastAsia="zh-CN"/>
          <w14:textFill>
            <w14:solidFill>
              <w14:schemeClr w14:val="tx1"/>
            </w14:solidFill>
          </w14:textFill>
        </w:rPr>
        <w:t>，</w:t>
      </w:r>
      <w:r>
        <w:rPr>
          <w:rFonts w:hint="eastAsia" w:ascii="宋体" w:hAnsi="宋体" w:eastAsia="宋体" w:cs="宋体"/>
          <w:b w:val="0"/>
          <w:bCs w:val="0"/>
          <w:snapToGrid w:val="0"/>
          <w:color w:val="000000" w:themeColor="text1"/>
          <w:spacing w:val="13"/>
          <w:kern w:val="0"/>
          <w:sz w:val="24"/>
          <w:szCs w:val="24"/>
          <w:highlight w:val="none"/>
          <w:lang w:val="en-US" w:eastAsia="zh-CN"/>
          <w14:textFill>
            <w14:solidFill>
              <w14:schemeClr w14:val="tx1"/>
            </w14:solidFill>
          </w14:textFill>
        </w:rPr>
        <w:t>具体起始日期以合同</w:t>
      </w:r>
      <w:r>
        <w:rPr>
          <w:rFonts w:hint="eastAsia" w:ascii="宋体" w:hAnsi="宋体" w:cs="宋体"/>
          <w:b w:val="0"/>
          <w:bCs w:val="0"/>
          <w:snapToGrid w:val="0"/>
          <w:color w:val="000000" w:themeColor="text1"/>
          <w:spacing w:val="13"/>
          <w:kern w:val="0"/>
          <w:sz w:val="24"/>
          <w:szCs w:val="24"/>
          <w:highlight w:val="none"/>
          <w:lang w:val="en-US" w:eastAsia="zh-CN"/>
          <w14:textFill>
            <w14:solidFill>
              <w14:schemeClr w14:val="tx1"/>
            </w14:solidFill>
          </w14:textFill>
        </w:rPr>
        <w:t>约</w:t>
      </w:r>
      <w:r>
        <w:rPr>
          <w:rFonts w:hint="eastAsia" w:ascii="宋体" w:hAnsi="宋体" w:eastAsia="宋体" w:cs="宋体"/>
          <w:b w:val="0"/>
          <w:bCs w:val="0"/>
          <w:snapToGrid w:val="0"/>
          <w:color w:val="000000" w:themeColor="text1"/>
          <w:spacing w:val="13"/>
          <w:kern w:val="0"/>
          <w:sz w:val="24"/>
          <w:szCs w:val="24"/>
          <w:highlight w:val="none"/>
          <w:lang w:val="en-US" w:eastAsia="zh-CN"/>
          <w14:textFill>
            <w14:solidFill>
              <w14:schemeClr w14:val="tx1"/>
            </w14:solidFill>
          </w14:textFill>
        </w:rPr>
        <w:t>订为准</w:t>
      </w:r>
      <w:r>
        <w:rPr>
          <w:rFonts w:hint="eastAsia" w:ascii="宋体" w:hAnsi="宋体" w:cs="宋体"/>
          <w:b w:val="0"/>
          <w:bCs w:val="0"/>
          <w:snapToGrid w:val="0"/>
          <w:color w:val="000000" w:themeColor="text1"/>
          <w:spacing w:val="13"/>
          <w:kern w:val="0"/>
          <w:sz w:val="24"/>
          <w:szCs w:val="24"/>
          <w:highlight w:val="none"/>
          <w:lang w:val="en-US" w:eastAsia="zh-CN"/>
          <w14:textFill>
            <w14:solidFill>
              <w14:schemeClr w14:val="tx1"/>
            </w14:solidFill>
          </w14:textFill>
        </w:rPr>
        <w:t>，合同期限采取“1+1+1”模式签订</w:t>
      </w:r>
      <w:r>
        <w:rPr>
          <w:rFonts w:hint="eastAsia" w:ascii="宋体" w:hAnsi="宋体" w:eastAsia="宋体" w:cs="宋体"/>
          <w:color w:val="000000" w:themeColor="text1"/>
          <w:sz w:val="24"/>
          <w:szCs w:val="24"/>
          <w:highlight w:val="none"/>
          <w14:textFill>
            <w14:solidFill>
              <w14:schemeClr w14:val="tx1"/>
            </w14:solidFill>
          </w14:textFill>
        </w:rPr>
        <w:t>。</w:t>
      </w:r>
    </w:p>
    <w:p>
      <w:pPr>
        <w:keepNext w:val="0"/>
        <w:keepLines w:val="0"/>
        <w:pageBreakBefore w:val="0"/>
        <w:kinsoku/>
        <w:wordWrap/>
        <w:overflowPunct/>
        <w:topLinePunct w:val="0"/>
        <w:bidi w:val="0"/>
        <w:adjustRightInd/>
        <w:snapToGrid/>
        <w:spacing w:line="360" w:lineRule="auto"/>
        <w:ind w:firstLine="482" w:firstLineChars="200"/>
        <w:jc w:val="left"/>
        <w:textAlignment w:val="auto"/>
        <w:rPr>
          <w:rStyle w:val="76"/>
          <w:rFonts w:hint="eastAsia" w:ascii="宋体" w:hAnsi="宋体" w:eastAsia="宋体" w:cs="宋体"/>
          <w:snapToGrid/>
          <w:color w:val="000000" w:themeColor="text1"/>
          <w:kern w:val="2"/>
          <w:sz w:val="24"/>
          <w:szCs w:val="24"/>
          <w:highlight w:val="none"/>
          <w14:textFill>
            <w14:solidFill>
              <w14:schemeClr w14:val="tx1"/>
            </w14:solidFill>
          </w14:textFill>
        </w:rPr>
      </w:pPr>
      <w:r>
        <w:rPr>
          <w:rStyle w:val="76"/>
          <w:rFonts w:hint="eastAsia" w:ascii="宋体" w:hAnsi="宋体" w:eastAsia="宋体" w:cs="宋体"/>
          <w:b/>
          <w:bCs/>
          <w:snapToGrid/>
          <w:color w:val="000000" w:themeColor="text1"/>
          <w:kern w:val="2"/>
          <w:sz w:val="24"/>
          <w:szCs w:val="24"/>
          <w:highlight w:val="none"/>
          <w14:textFill>
            <w14:solidFill>
              <w14:schemeClr w14:val="tx1"/>
            </w14:solidFill>
          </w14:textFill>
        </w:rPr>
        <w:t>4、预算金额：</w:t>
      </w:r>
      <w:r>
        <w:rPr>
          <w:rStyle w:val="76"/>
          <w:rFonts w:hint="eastAsia" w:ascii="宋体" w:hAnsi="宋体" w:cs="宋体"/>
          <w:snapToGrid/>
          <w:color w:val="000000" w:themeColor="text1"/>
          <w:kern w:val="2"/>
          <w:sz w:val="24"/>
          <w:szCs w:val="24"/>
          <w:highlight w:val="none"/>
          <w:lang w:val="en-US" w:eastAsia="zh-CN"/>
          <w14:textFill>
            <w14:solidFill>
              <w14:schemeClr w14:val="tx1"/>
            </w14:solidFill>
          </w14:textFill>
        </w:rPr>
        <w:t>118866782.68</w:t>
      </w:r>
      <w:r>
        <w:rPr>
          <w:rStyle w:val="76"/>
          <w:rFonts w:hint="eastAsia" w:ascii="宋体" w:hAnsi="宋体" w:eastAsia="宋体" w:cs="宋体"/>
          <w:snapToGrid/>
          <w:color w:val="000000" w:themeColor="text1"/>
          <w:kern w:val="2"/>
          <w:sz w:val="24"/>
          <w:szCs w:val="24"/>
          <w:highlight w:val="none"/>
          <w:lang w:eastAsia="zh-CN"/>
          <w14:textFill>
            <w14:solidFill>
              <w14:schemeClr w14:val="tx1"/>
            </w14:solidFill>
          </w14:textFill>
        </w:rPr>
        <w:t>.00</w:t>
      </w:r>
      <w:r>
        <w:rPr>
          <w:rStyle w:val="76"/>
          <w:rFonts w:hint="eastAsia" w:ascii="宋体" w:hAnsi="宋体" w:eastAsia="宋体" w:cs="宋体"/>
          <w:snapToGrid/>
          <w:color w:val="000000" w:themeColor="text1"/>
          <w:kern w:val="2"/>
          <w:sz w:val="24"/>
          <w:szCs w:val="24"/>
          <w:highlight w:val="none"/>
          <w14:textFill>
            <w14:solidFill>
              <w14:schemeClr w14:val="tx1"/>
            </w14:solidFill>
          </w14:textFill>
        </w:rPr>
        <w:t>（</w:t>
      </w:r>
      <w:r>
        <w:rPr>
          <w:rStyle w:val="76"/>
          <w:rFonts w:hint="eastAsia" w:ascii="宋体" w:hAnsi="宋体" w:eastAsia="宋体" w:cs="宋体"/>
          <w:snapToGrid/>
          <w:color w:val="000000" w:themeColor="text1"/>
          <w:kern w:val="2"/>
          <w:sz w:val="24"/>
          <w:szCs w:val="24"/>
          <w:highlight w:val="none"/>
          <w:lang w:val="en-US" w:eastAsia="zh-CN"/>
          <w14:textFill>
            <w14:solidFill>
              <w14:schemeClr w14:val="tx1"/>
            </w14:solidFill>
          </w14:textFill>
        </w:rPr>
        <w:t>其中</w:t>
      </w:r>
      <w:r>
        <w:rPr>
          <w:rStyle w:val="76"/>
          <w:rFonts w:hint="eastAsia" w:ascii="宋体" w:hAnsi="宋体" w:eastAsia="宋体" w:cs="宋体"/>
          <w:snapToGrid/>
          <w:color w:val="000000" w:themeColor="text1"/>
          <w:kern w:val="2"/>
          <w:sz w:val="24"/>
          <w:szCs w:val="24"/>
          <w:highlight w:val="none"/>
          <w14:textFill>
            <w14:solidFill>
              <w14:schemeClr w14:val="tx1"/>
            </w14:solidFill>
          </w14:textFill>
        </w:rPr>
        <w:t>标项</w:t>
      </w:r>
      <w:r>
        <w:rPr>
          <w:rFonts w:hint="eastAsia" w:ascii="宋体" w:hAnsi="宋体" w:eastAsia="宋体" w:cs="宋体"/>
          <w:color w:val="000000" w:themeColor="text1"/>
          <w:sz w:val="24"/>
          <w:szCs w:val="24"/>
          <w:highlight w:val="none"/>
          <w14:textFill>
            <w14:solidFill>
              <w14:schemeClr w14:val="tx1"/>
            </w14:solidFill>
          </w14:textFill>
        </w:rPr>
        <w:t>一</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cs="宋体"/>
          <w:snapToGrid/>
          <w:color w:val="000000" w:themeColor="text1"/>
          <w:kern w:val="2"/>
          <w:sz w:val="24"/>
          <w:szCs w:val="24"/>
          <w:highlight w:val="none"/>
          <w:lang w:val="en-US" w:eastAsia="zh-CN" w:bidi="ar-SA"/>
          <w14:textFill>
            <w14:solidFill>
              <w14:schemeClr w14:val="tx1"/>
            </w14:solidFill>
          </w14:textFill>
        </w:rPr>
        <w:t>临丁路等7条市属区管道路市政环卫一体化综合养护服务项目</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w:t>
      </w:r>
      <w:r>
        <w:rPr>
          <w:rFonts w:hint="eastAsia" w:ascii="宋体" w:hAnsi="宋体" w:cs="宋体"/>
          <w:color w:val="000000" w:themeColor="text1"/>
          <w:sz w:val="24"/>
          <w:szCs w:val="24"/>
          <w:highlight w:val="none"/>
          <w:lang w:val="en-US" w:eastAsia="zh-CN"/>
          <w14:textFill>
            <w14:solidFill>
              <w14:schemeClr w14:val="tx1"/>
            </w14:solidFill>
          </w14:textFill>
        </w:rPr>
        <w:t>54759721.35</w:t>
      </w:r>
      <w:r>
        <w:rPr>
          <w:rFonts w:hint="eastAsia" w:ascii="宋体" w:hAnsi="宋体" w:eastAsia="宋体" w:cs="宋体"/>
          <w:color w:val="000000" w:themeColor="text1"/>
          <w:sz w:val="24"/>
          <w:szCs w:val="24"/>
          <w:highlight w:val="none"/>
          <w14:textFill>
            <w14:solidFill>
              <w14:schemeClr w14:val="tx1"/>
            </w14:solidFill>
          </w14:textFill>
        </w:rPr>
        <w:t xml:space="preserve"> 标项二</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cs="宋体"/>
          <w:snapToGrid/>
          <w:color w:val="000000" w:themeColor="text1"/>
          <w:kern w:val="2"/>
          <w:sz w:val="24"/>
          <w:szCs w:val="24"/>
          <w:highlight w:val="none"/>
          <w:lang w:val="en-US" w:eastAsia="zh-CN" w:bidi="ar-SA"/>
          <w14:textFill>
            <w14:solidFill>
              <w14:schemeClr w14:val="tx1"/>
            </w14:solidFill>
          </w14:textFill>
        </w:rPr>
        <w:t>东新路等8条市属区管道路市政环卫一体化综合养护服务项目</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w:t>
      </w:r>
      <w:r>
        <w:rPr>
          <w:rFonts w:hint="eastAsia" w:ascii="宋体" w:hAnsi="宋体" w:cs="宋体"/>
          <w:color w:val="000000" w:themeColor="text1"/>
          <w:sz w:val="24"/>
          <w:szCs w:val="24"/>
          <w:highlight w:val="none"/>
          <w:lang w:val="en-US" w:eastAsia="zh-CN"/>
          <w14:textFill>
            <w14:solidFill>
              <w14:schemeClr w14:val="tx1"/>
            </w14:solidFill>
          </w14:textFill>
        </w:rPr>
        <w:t>64107061.33</w:t>
      </w:r>
      <w:r>
        <w:rPr>
          <w:rFonts w:hint="eastAsia" w:ascii="宋体" w:hAnsi="宋体" w:eastAsia="宋体" w:cs="宋体"/>
          <w:color w:val="000000" w:themeColor="text1"/>
          <w:sz w:val="24"/>
          <w:szCs w:val="24"/>
          <w:highlight w:val="none"/>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b/>
          <w:color w:val="000000" w:themeColor="text1"/>
          <w:sz w:val="24"/>
          <w:szCs w:val="24"/>
          <w:highlight w:val="none"/>
          <w:lang w:val="en-US" w:eastAsia="zh-CN"/>
          <w14:textFill>
            <w14:solidFill>
              <w14:schemeClr w14:val="tx1"/>
            </w14:solidFill>
          </w14:textFill>
        </w:rPr>
      </w:pPr>
      <w:r>
        <w:rPr>
          <w:rFonts w:hint="eastAsia" w:ascii="宋体" w:hAnsi="宋体" w:eastAsia="宋体" w:cs="宋体"/>
          <w:b/>
          <w:color w:val="000000" w:themeColor="text1"/>
          <w:sz w:val="24"/>
          <w:szCs w:val="24"/>
          <w:highlight w:val="none"/>
          <w:lang w:val="en-US" w:eastAsia="zh-CN"/>
          <w14:textFill>
            <w14:solidFill>
              <w14:schemeClr w14:val="tx1"/>
            </w14:solidFill>
          </w14:textFill>
        </w:rPr>
        <w:t>5、履约地点：</w:t>
      </w:r>
      <w:r>
        <w:rPr>
          <w:rFonts w:hint="eastAsia" w:ascii="宋体" w:hAnsi="宋体" w:eastAsia="宋体" w:cs="宋体"/>
          <w:b w:val="0"/>
          <w:bCs/>
          <w:color w:val="000000" w:themeColor="text1"/>
          <w:sz w:val="24"/>
          <w:szCs w:val="24"/>
          <w:highlight w:val="none"/>
          <w:lang w:val="en-US" w:eastAsia="zh-CN"/>
          <w14:textFill>
            <w14:solidFill>
              <w14:schemeClr w14:val="tx1"/>
            </w14:solidFill>
          </w14:textFill>
        </w:rPr>
        <w:t>杭州市拱墅区</w:t>
      </w:r>
    </w:p>
    <w:p>
      <w:pPr>
        <w:keepNext w:val="0"/>
        <w:keepLines w:val="0"/>
        <w:pageBreakBefore w:val="0"/>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b/>
          <w:color w:val="000000" w:themeColor="text1"/>
          <w:sz w:val="24"/>
          <w:szCs w:val="24"/>
          <w:highlight w:val="none"/>
          <w:lang w:val="en-US" w:eastAsia="zh-CN"/>
          <w14:textFill>
            <w14:solidFill>
              <w14:schemeClr w14:val="tx1"/>
            </w14:solidFill>
          </w14:textFill>
        </w:rPr>
      </w:pPr>
      <w:r>
        <w:rPr>
          <w:rFonts w:hint="eastAsia" w:ascii="宋体" w:hAnsi="宋体" w:eastAsia="宋体" w:cs="宋体"/>
          <w:b/>
          <w:color w:val="000000" w:themeColor="text1"/>
          <w:sz w:val="24"/>
          <w:szCs w:val="24"/>
          <w:highlight w:val="none"/>
          <w:lang w:val="en-US" w:eastAsia="zh-CN"/>
          <w14:textFill>
            <w14:solidFill>
              <w14:schemeClr w14:val="tx1"/>
            </w14:solidFill>
          </w14:textFill>
        </w:rPr>
        <w:t>6、</w:t>
      </w:r>
      <w:r>
        <w:rPr>
          <w:rFonts w:hint="eastAsia" w:ascii="宋体" w:hAnsi="宋体" w:eastAsia="宋体" w:cs="宋体"/>
          <w:b/>
          <w:bCs/>
          <w:color w:val="000000" w:themeColor="text1"/>
          <w:sz w:val="24"/>
          <w:szCs w:val="24"/>
          <w:highlight w:val="none"/>
          <w14:textFill>
            <w14:solidFill>
              <w14:schemeClr w14:val="tx1"/>
            </w14:solidFill>
          </w14:textFill>
        </w:rPr>
        <w:t>▲本项目有</w:t>
      </w:r>
      <w:r>
        <w:rPr>
          <w:rStyle w:val="76"/>
          <w:rFonts w:hint="eastAsia" w:ascii="宋体" w:hAnsi="宋体" w:eastAsia="宋体" w:cs="宋体"/>
          <w:b/>
          <w:bCs/>
          <w:snapToGrid/>
          <w:color w:val="000000" w:themeColor="text1"/>
          <w:kern w:val="2"/>
          <w:sz w:val="24"/>
          <w:szCs w:val="24"/>
          <w:highlight w:val="none"/>
          <w14:textFill>
            <w14:solidFill>
              <w14:schemeClr w14:val="tx1"/>
            </w14:solidFill>
          </w14:textFill>
        </w:rPr>
        <w:t>标项</w:t>
      </w:r>
      <w:r>
        <w:rPr>
          <w:rFonts w:hint="eastAsia" w:ascii="宋体" w:hAnsi="宋体" w:eastAsia="宋体" w:cs="宋体"/>
          <w:b/>
          <w:bCs/>
          <w:color w:val="000000" w:themeColor="text1"/>
          <w:sz w:val="24"/>
          <w:szCs w:val="24"/>
          <w:highlight w:val="none"/>
          <w14:textFill>
            <w14:solidFill>
              <w14:schemeClr w14:val="tx1"/>
            </w14:solidFill>
          </w14:textFill>
        </w:rPr>
        <w:t>一、标项二共</w:t>
      </w:r>
      <w:r>
        <w:rPr>
          <w:rFonts w:hint="eastAsia" w:ascii="宋体" w:hAnsi="宋体" w:eastAsia="宋体" w:cs="宋体"/>
          <w:b/>
          <w:color w:val="000000" w:themeColor="text1"/>
          <w:kern w:val="0"/>
          <w:sz w:val="24"/>
          <w:szCs w:val="24"/>
          <w:highlight w:val="none"/>
          <w:lang w:val="en-US" w:eastAsia="zh-CN"/>
          <w14:textFill>
            <w14:solidFill>
              <w14:schemeClr w14:val="tx1"/>
            </w14:solidFill>
          </w14:textFill>
        </w:rPr>
        <w:t>2</w:t>
      </w:r>
      <w:r>
        <w:rPr>
          <w:rFonts w:hint="eastAsia" w:ascii="宋体" w:hAnsi="宋体" w:eastAsia="宋体" w:cs="宋体"/>
          <w:b/>
          <w:color w:val="000000" w:themeColor="text1"/>
          <w:kern w:val="0"/>
          <w:sz w:val="24"/>
          <w:szCs w:val="24"/>
          <w:highlight w:val="none"/>
          <w14:textFill>
            <w14:solidFill>
              <w14:schemeClr w14:val="tx1"/>
            </w14:solidFill>
          </w14:textFill>
        </w:rPr>
        <w:t>个标项同时招标，供应商可以同时参加这</w:t>
      </w:r>
      <w:r>
        <w:rPr>
          <w:rFonts w:hint="eastAsia" w:ascii="宋体" w:hAnsi="宋体" w:eastAsia="宋体" w:cs="宋体"/>
          <w:b/>
          <w:color w:val="000000" w:themeColor="text1"/>
          <w:kern w:val="0"/>
          <w:sz w:val="24"/>
          <w:szCs w:val="24"/>
          <w:highlight w:val="none"/>
          <w:lang w:val="en-US" w:eastAsia="zh-CN"/>
          <w14:textFill>
            <w14:solidFill>
              <w14:schemeClr w14:val="tx1"/>
            </w14:solidFill>
          </w14:textFill>
        </w:rPr>
        <w:t>2</w:t>
      </w:r>
      <w:r>
        <w:rPr>
          <w:rFonts w:hint="eastAsia" w:ascii="宋体" w:hAnsi="宋体" w:eastAsia="宋体" w:cs="宋体"/>
          <w:b/>
          <w:color w:val="000000" w:themeColor="text1"/>
          <w:kern w:val="0"/>
          <w:sz w:val="24"/>
          <w:szCs w:val="24"/>
          <w:highlight w:val="none"/>
          <w14:textFill>
            <w14:solidFill>
              <w14:schemeClr w14:val="tx1"/>
            </w14:solidFill>
          </w14:textFill>
        </w:rPr>
        <w:t>个标项的投标，评标时将按标项一至标项</w:t>
      </w:r>
      <w:r>
        <w:rPr>
          <w:rFonts w:hint="eastAsia" w:ascii="宋体" w:hAnsi="宋体" w:eastAsia="宋体" w:cs="宋体"/>
          <w:b/>
          <w:color w:val="000000" w:themeColor="text1"/>
          <w:kern w:val="0"/>
          <w:sz w:val="24"/>
          <w:szCs w:val="24"/>
          <w:highlight w:val="none"/>
          <w:lang w:val="en-US" w:eastAsia="zh-CN"/>
          <w14:textFill>
            <w14:solidFill>
              <w14:schemeClr w14:val="tx1"/>
            </w14:solidFill>
          </w14:textFill>
        </w:rPr>
        <w:t>二</w:t>
      </w:r>
      <w:r>
        <w:rPr>
          <w:rFonts w:hint="eastAsia" w:ascii="宋体" w:hAnsi="宋体" w:eastAsia="宋体" w:cs="宋体"/>
          <w:b/>
          <w:color w:val="000000" w:themeColor="text1"/>
          <w:kern w:val="0"/>
          <w:sz w:val="24"/>
          <w:szCs w:val="24"/>
          <w:highlight w:val="none"/>
          <w14:textFill>
            <w14:solidFill>
              <w14:schemeClr w14:val="tx1"/>
            </w14:solidFill>
          </w14:textFill>
        </w:rPr>
        <w:t>的顺序进行评标。为保证服务质量，同一套项目成员班子和机械设备只能服务于一个标项，如供应商拟投入的同一套项目成员班子和机械设备服务于两个标项，或有兼任（共用）的，当供应商已在前一个标项被推荐为第一中标候选人时，则只保留前标项的中标资格，由该标段的第二中标候选人中标，以此类推</w:t>
      </w:r>
      <w:r>
        <w:rPr>
          <w:rFonts w:hint="eastAsia" w:ascii="宋体" w:hAnsi="宋体" w:eastAsia="宋体" w:cs="宋体"/>
          <w:b/>
          <w:color w:val="000000" w:themeColor="text1"/>
          <w:sz w:val="24"/>
          <w:szCs w:val="24"/>
          <w:highlight w:val="none"/>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b/>
          <w:color w:val="000000" w:themeColor="text1"/>
          <w:sz w:val="24"/>
          <w:szCs w:val="24"/>
          <w:highlight w:val="none"/>
          <w14:textFill>
            <w14:solidFill>
              <w14:schemeClr w14:val="tx1"/>
            </w14:solidFill>
          </w14:textFill>
        </w:rPr>
        <w:t>二、道路</w:t>
      </w:r>
      <w:r>
        <w:rPr>
          <w:rFonts w:hint="eastAsia" w:ascii="宋体" w:hAnsi="宋体" w:eastAsia="宋体" w:cs="宋体"/>
          <w:b/>
          <w:color w:val="000000" w:themeColor="text1"/>
          <w:sz w:val="24"/>
          <w:szCs w:val="24"/>
          <w:highlight w:val="none"/>
          <w:lang w:val="en-US" w:eastAsia="zh-CN"/>
          <w14:textFill>
            <w14:solidFill>
              <w14:schemeClr w14:val="tx1"/>
            </w14:solidFill>
          </w14:textFill>
        </w:rPr>
        <w:t>市政养护服务要求和</w:t>
      </w:r>
      <w:r>
        <w:rPr>
          <w:rFonts w:hint="eastAsia" w:ascii="宋体" w:hAnsi="宋体" w:eastAsia="宋体" w:cs="宋体"/>
          <w:b/>
          <w:color w:val="000000" w:themeColor="text1"/>
          <w:sz w:val="24"/>
          <w:szCs w:val="24"/>
          <w:highlight w:val="none"/>
          <w14:textFill>
            <w14:solidFill>
              <w14:schemeClr w14:val="tx1"/>
            </w14:solidFill>
          </w14:textFill>
        </w:rPr>
        <w:t>技术规范</w:t>
      </w:r>
    </w:p>
    <w:p>
      <w:pPr>
        <w:keepNext w:val="0"/>
        <w:keepLines w:val="0"/>
        <w:pageBreakBefore w:val="0"/>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b/>
          <w:color w:val="000000" w:themeColor="text1"/>
          <w:sz w:val="24"/>
          <w:szCs w:val="24"/>
          <w:highlight w:val="none"/>
          <w:lang w:val="en-US" w:eastAsia="zh-CN"/>
          <w14:textFill>
            <w14:solidFill>
              <w14:schemeClr w14:val="tx1"/>
            </w14:solidFill>
          </w14:textFill>
        </w:rPr>
      </w:pPr>
      <w:bookmarkStart w:id="28" w:name="_Toc394482327"/>
      <w:bookmarkStart w:id="29" w:name="_Toc394482266"/>
      <w:r>
        <w:rPr>
          <w:rFonts w:hint="eastAsia" w:ascii="宋体" w:hAnsi="宋体" w:eastAsia="宋体" w:cs="宋体"/>
          <w:b/>
          <w:bCs/>
          <w:color w:val="000000" w:themeColor="text1"/>
          <w:sz w:val="24"/>
          <w:szCs w:val="24"/>
          <w:highlight w:val="none"/>
          <w:lang w:val="en-US" w:eastAsia="zh-CN"/>
          <w14:textFill>
            <w14:solidFill>
              <w14:schemeClr w14:val="tx1"/>
            </w14:solidFill>
          </w14:textFill>
        </w:rPr>
        <w:t xml:space="preserve">   1、</w:t>
      </w:r>
      <w:r>
        <w:rPr>
          <w:rFonts w:hint="eastAsia" w:ascii="宋体" w:hAnsi="宋体" w:eastAsia="宋体" w:cs="宋体"/>
          <w:b/>
          <w:color w:val="000000" w:themeColor="text1"/>
          <w:sz w:val="24"/>
          <w:szCs w:val="24"/>
          <w:highlight w:val="none"/>
          <w14:textFill>
            <w14:solidFill>
              <w14:schemeClr w14:val="tx1"/>
            </w14:solidFill>
          </w14:textFill>
        </w:rPr>
        <w:t>道路</w:t>
      </w:r>
      <w:r>
        <w:rPr>
          <w:rFonts w:hint="eastAsia" w:ascii="宋体" w:hAnsi="宋体" w:eastAsia="宋体" w:cs="宋体"/>
          <w:b/>
          <w:color w:val="000000" w:themeColor="text1"/>
          <w:sz w:val="24"/>
          <w:szCs w:val="24"/>
          <w:highlight w:val="none"/>
          <w:lang w:val="en-US" w:eastAsia="zh-CN"/>
          <w14:textFill>
            <w14:solidFill>
              <w14:schemeClr w14:val="tx1"/>
            </w14:solidFill>
          </w14:textFill>
        </w:rPr>
        <w:t>市政养护服务要求</w:t>
      </w:r>
    </w:p>
    <w:p>
      <w:pPr>
        <w:keepNext w:val="0"/>
        <w:keepLines w:val="0"/>
        <w:pageBreakBefore w:val="0"/>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color w:val="000000" w:themeColor="text1"/>
          <w:kern w:val="0"/>
          <w:sz w:val="24"/>
          <w:szCs w:val="24"/>
          <w:highlight w:val="none"/>
          <w:shd w:val="clear" w:color="FFFFFF" w:fill="D9D9D9"/>
          <w14:textFill>
            <w14:solidFill>
              <w14:schemeClr w14:val="tx1"/>
            </w14:solidFill>
          </w14:textFill>
        </w:rPr>
      </w:pPr>
      <w:r>
        <w:rPr>
          <w:rFonts w:hint="eastAsia" w:ascii="宋体" w:hAnsi="宋体" w:eastAsia="宋体" w:cs="宋体"/>
          <w:b/>
          <w:bCs/>
          <w:color w:val="000000" w:themeColor="text1"/>
          <w:sz w:val="24"/>
          <w:szCs w:val="24"/>
          <w:highlight w:val="none"/>
          <w:shd w:val="clear" w:color="FFFFFF" w:fill="D9D9D9"/>
          <w14:textFill>
            <w14:solidFill>
              <w14:schemeClr w14:val="tx1"/>
            </w14:solidFill>
          </w14:textFill>
        </w:rPr>
        <w:t>▲</w:t>
      </w:r>
      <w:r>
        <w:rPr>
          <w:rFonts w:hint="eastAsia" w:ascii="宋体" w:hAnsi="宋体" w:eastAsia="宋体" w:cs="宋体"/>
          <w:b/>
          <w:bCs/>
          <w:color w:val="000000" w:themeColor="text1"/>
          <w:sz w:val="24"/>
          <w:szCs w:val="24"/>
          <w:highlight w:val="none"/>
          <w:shd w:val="clear" w:color="FFFFFF" w:fill="D9D9D9"/>
          <w:lang w:val="en-US" w:eastAsia="zh-CN"/>
          <w14:textFill>
            <w14:solidFill>
              <w14:schemeClr w14:val="tx1"/>
            </w14:solidFill>
          </w14:textFill>
        </w:rPr>
        <w:t>标项一：</w:t>
      </w:r>
      <w:bookmarkEnd w:id="28"/>
      <w:bookmarkEnd w:id="29"/>
      <w:r>
        <w:rPr>
          <w:rFonts w:hint="eastAsia" w:ascii="宋体" w:hAnsi="宋体" w:cs="宋体"/>
          <w:b/>
          <w:bCs/>
          <w:snapToGrid/>
          <w:color w:val="000000" w:themeColor="text1"/>
          <w:kern w:val="2"/>
          <w:sz w:val="24"/>
          <w:szCs w:val="24"/>
          <w:highlight w:val="none"/>
          <w:shd w:val="clear" w:color="FFFFFF" w:fill="D9D9D9"/>
          <w:lang w:val="en-US" w:eastAsia="zh-CN" w:bidi="ar-SA"/>
          <w14:textFill>
            <w14:solidFill>
              <w14:schemeClr w14:val="tx1"/>
            </w14:solidFill>
          </w14:textFill>
        </w:rPr>
        <w:t>临丁路等7条市属区管道路市政环卫一体化综合养护服务项目</w:t>
      </w:r>
    </w:p>
    <w:p>
      <w:pPr>
        <w:pStyle w:val="8"/>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（1）道路面积合计520490平方米，预计3年养护经费测算5480万元，养护期2023年7月1日至2026年6月30日。</w:t>
      </w:r>
    </w:p>
    <w:p>
      <w:pPr>
        <w:pStyle w:val="8"/>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2</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设施量清单</w:t>
      </w:r>
    </w:p>
    <w:p>
      <w:pPr>
        <w:pStyle w:val="8"/>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napToGrid w:val="0"/>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①</w:t>
      </w:r>
      <w:r>
        <w:rPr>
          <w:rFonts w:hint="eastAsia" w:ascii="宋体" w:hAnsi="宋体" w:eastAsia="宋体" w:cs="宋体"/>
          <w:color w:val="000000" w:themeColor="text1"/>
          <w:sz w:val="24"/>
          <w:szCs w:val="24"/>
          <w:highlight w:val="none"/>
          <w14:textFill>
            <w14:solidFill>
              <w14:schemeClr w14:val="tx1"/>
            </w14:solidFill>
          </w14:textFill>
        </w:rPr>
        <w:t>临丁路等7条</w:t>
      </w:r>
      <w:r>
        <w:rPr>
          <w:rFonts w:hint="eastAsia" w:ascii="宋体" w:hAnsi="宋体" w:eastAsia="宋体" w:cs="宋体"/>
          <w:snapToGrid w:val="0"/>
          <w:color w:val="000000" w:themeColor="text1"/>
          <w:kern w:val="0"/>
          <w:sz w:val="24"/>
          <w:szCs w:val="24"/>
          <w:highlight w:val="none"/>
          <w14:textFill>
            <w14:solidFill>
              <w14:schemeClr w14:val="tx1"/>
            </w14:solidFill>
          </w14:textFill>
        </w:rPr>
        <w:t>市政设施量清单</w:t>
      </w:r>
    </w:p>
    <w:tbl>
      <w:tblPr>
        <w:tblStyle w:val="62"/>
        <w:tblW w:w="8966" w:type="dxa"/>
        <w:tblInd w:w="-21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16"/>
        <w:gridCol w:w="3634"/>
        <w:gridCol w:w="1416"/>
        <w:gridCol w:w="1417"/>
        <w:gridCol w:w="15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序号</w:t>
            </w:r>
          </w:p>
        </w:tc>
        <w:tc>
          <w:tcPr>
            <w:tcW w:w="36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项目名称</w:t>
            </w:r>
          </w:p>
        </w:tc>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单位</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设施量</w:t>
            </w:r>
          </w:p>
        </w:tc>
        <w:tc>
          <w:tcPr>
            <w:tcW w:w="15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维护内容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1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c>
          <w:tcPr>
            <w:tcW w:w="36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1.1、石桥路（钱家河桥-石祥路）</w:t>
            </w:r>
          </w:p>
        </w:tc>
        <w:tc>
          <w:tcPr>
            <w:tcW w:w="283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使用年限：15年以上</w:t>
            </w:r>
          </w:p>
        </w:tc>
        <w:tc>
          <w:tcPr>
            <w:tcW w:w="15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w:t>
            </w:r>
            <w:r>
              <w:rPr>
                <w:rStyle w:val="146"/>
                <w:rFonts w:hint="eastAsia" w:ascii="宋体" w:hAnsi="宋体" w:eastAsia="宋体" w:cs="宋体"/>
                <w:color w:val="000000" w:themeColor="text1"/>
                <w:sz w:val="21"/>
                <w:szCs w:val="21"/>
                <w:highlight w:val="none"/>
                <w:lang w:val="en-US" w:eastAsia="zh-CN" w:bidi="ar"/>
                <w14:textFill>
                  <w14:solidFill>
                    <w14:schemeClr w14:val="tx1"/>
                  </w14:solidFill>
                </w14:textFill>
              </w:rPr>
              <w:t>竣工</w:t>
            </w:r>
            <w:r>
              <w:rPr>
                <w:rStyle w:val="122"/>
                <w:rFonts w:hint="eastAsia" w:ascii="宋体" w:hAnsi="宋体" w:eastAsia="宋体" w:cs="宋体"/>
                <w:color w:val="000000" w:themeColor="text1"/>
                <w:sz w:val="21"/>
                <w:szCs w:val="21"/>
                <w:highlight w:val="none"/>
                <w:lang w:val="en-US" w:eastAsia="zh-CN" w:bidi="ar"/>
                <w14:textFill>
                  <w14:solidFill>
                    <w14:schemeClr w14:val="tx1"/>
                  </w14:solidFill>
                </w14:textFill>
              </w:rPr>
              <w:t>:2004</w:t>
            </w:r>
            <w:r>
              <w:rPr>
                <w:rStyle w:val="146"/>
                <w:rFonts w:hint="eastAsia" w:ascii="宋体" w:hAnsi="宋体" w:eastAsia="宋体" w:cs="宋体"/>
                <w:color w:val="000000" w:themeColor="text1"/>
                <w:sz w:val="21"/>
                <w:szCs w:val="21"/>
                <w:highlight w:val="none"/>
                <w:lang w:val="en-US" w:eastAsia="zh-CN" w:bidi="ar"/>
                <w14:textFill>
                  <w14:solidFill>
                    <w14:schemeClr w14:val="tx1"/>
                  </w14:solidFill>
                </w14:textFill>
              </w:rPr>
              <w:t>年</w:t>
            </w:r>
            <w:r>
              <w:rPr>
                <w:rStyle w:val="122"/>
                <w:rFonts w:hint="eastAsia" w:ascii="宋体" w:hAnsi="宋体" w:eastAsia="宋体" w:cs="宋体"/>
                <w:color w:val="000000" w:themeColor="text1"/>
                <w:sz w:val="21"/>
                <w:szCs w:val="21"/>
                <w:highlight w:val="none"/>
                <w:lang w:val="en-US" w:eastAsia="zh-CN" w:bidi="ar"/>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w:t>
            </w:r>
          </w:p>
        </w:tc>
        <w:tc>
          <w:tcPr>
            <w:tcW w:w="36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道路巡视</w:t>
            </w:r>
          </w:p>
        </w:tc>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w:t>
            </w:r>
            <w:r>
              <w:rPr>
                <w:rStyle w:val="122"/>
                <w:rFonts w:hint="eastAsia" w:ascii="宋体" w:hAnsi="宋体" w:eastAsia="宋体" w:cs="宋体"/>
                <w:color w:val="000000" w:themeColor="text1"/>
                <w:sz w:val="21"/>
                <w:szCs w:val="21"/>
                <w:highlight w:val="none"/>
                <w:lang w:val="en-US" w:eastAsia="zh-CN" w:bidi="ar"/>
                <w14:textFill>
                  <w14:solidFill>
                    <w14:schemeClr w14:val="tx1"/>
                  </w14:solidFill>
                </w14:textFill>
              </w:rPr>
              <w:t>·</w:t>
            </w:r>
            <w:r>
              <w:rPr>
                <w:rStyle w:val="146"/>
                <w:rFonts w:hint="eastAsia" w:ascii="宋体" w:hAnsi="宋体" w:eastAsia="宋体" w:cs="宋体"/>
                <w:color w:val="000000" w:themeColor="text1"/>
                <w:sz w:val="21"/>
                <w:szCs w:val="21"/>
                <w:highlight w:val="none"/>
                <w:lang w:val="en-US" w:eastAsia="zh-CN" w:bidi="ar"/>
                <w14:textFill>
                  <w14:solidFill>
                    <w14:schemeClr w14:val="tx1"/>
                  </w14:solidFill>
                </w14:textFill>
              </w:rPr>
              <w:t>次</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2.059</w:t>
            </w:r>
          </w:p>
        </w:tc>
        <w:tc>
          <w:tcPr>
            <w:tcW w:w="15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2</w:t>
            </w:r>
          </w:p>
        </w:tc>
        <w:tc>
          <w:tcPr>
            <w:tcW w:w="36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沥青混凝土路面</w:t>
            </w:r>
          </w:p>
        </w:tc>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82352</w:t>
            </w:r>
          </w:p>
        </w:tc>
        <w:tc>
          <w:tcPr>
            <w:tcW w:w="15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3</w:t>
            </w:r>
          </w:p>
        </w:tc>
        <w:tc>
          <w:tcPr>
            <w:tcW w:w="36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人行道板</w:t>
            </w:r>
          </w:p>
        </w:tc>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14412</w:t>
            </w:r>
          </w:p>
        </w:tc>
        <w:tc>
          <w:tcPr>
            <w:tcW w:w="15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4</w:t>
            </w:r>
          </w:p>
        </w:tc>
        <w:tc>
          <w:tcPr>
            <w:tcW w:w="36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平石</w:t>
            </w:r>
          </w:p>
        </w:tc>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m</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15441</w:t>
            </w:r>
          </w:p>
        </w:tc>
        <w:tc>
          <w:tcPr>
            <w:tcW w:w="15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5</w:t>
            </w:r>
          </w:p>
        </w:tc>
        <w:tc>
          <w:tcPr>
            <w:tcW w:w="36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侧石</w:t>
            </w:r>
          </w:p>
        </w:tc>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m</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15441</w:t>
            </w:r>
          </w:p>
        </w:tc>
        <w:tc>
          <w:tcPr>
            <w:tcW w:w="15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6</w:t>
            </w:r>
          </w:p>
        </w:tc>
        <w:tc>
          <w:tcPr>
            <w:tcW w:w="36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升检查井及井筒 φ700</w:t>
            </w:r>
          </w:p>
        </w:tc>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座</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104</w:t>
            </w:r>
          </w:p>
        </w:tc>
        <w:tc>
          <w:tcPr>
            <w:tcW w:w="15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7</w:t>
            </w:r>
          </w:p>
        </w:tc>
        <w:tc>
          <w:tcPr>
            <w:tcW w:w="36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调换检查井φ700井座</w:t>
            </w:r>
          </w:p>
        </w:tc>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座</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104</w:t>
            </w:r>
          </w:p>
        </w:tc>
        <w:tc>
          <w:tcPr>
            <w:tcW w:w="15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8</w:t>
            </w:r>
          </w:p>
        </w:tc>
        <w:tc>
          <w:tcPr>
            <w:tcW w:w="36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调换检查井φ700井盖</w:t>
            </w:r>
          </w:p>
        </w:tc>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座</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104</w:t>
            </w:r>
          </w:p>
        </w:tc>
        <w:tc>
          <w:tcPr>
            <w:tcW w:w="15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9</w:t>
            </w:r>
          </w:p>
        </w:tc>
        <w:tc>
          <w:tcPr>
            <w:tcW w:w="36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升雨水口510*390</w:t>
            </w:r>
          </w:p>
        </w:tc>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座</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209</w:t>
            </w:r>
          </w:p>
        </w:tc>
        <w:tc>
          <w:tcPr>
            <w:tcW w:w="15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10</w:t>
            </w:r>
          </w:p>
        </w:tc>
        <w:tc>
          <w:tcPr>
            <w:tcW w:w="36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调换雨水口510*390井座</w:t>
            </w:r>
          </w:p>
        </w:tc>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座</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209</w:t>
            </w:r>
          </w:p>
        </w:tc>
        <w:tc>
          <w:tcPr>
            <w:tcW w:w="15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11</w:t>
            </w:r>
          </w:p>
        </w:tc>
        <w:tc>
          <w:tcPr>
            <w:tcW w:w="36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调换雨水口510*390井盖</w:t>
            </w:r>
          </w:p>
        </w:tc>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座</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209</w:t>
            </w:r>
          </w:p>
        </w:tc>
        <w:tc>
          <w:tcPr>
            <w:tcW w:w="15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12</w:t>
            </w:r>
          </w:p>
        </w:tc>
        <w:tc>
          <w:tcPr>
            <w:tcW w:w="36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调换路名牌直杆</w:t>
            </w:r>
          </w:p>
        </w:tc>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根</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5</w:t>
            </w:r>
          </w:p>
        </w:tc>
        <w:tc>
          <w:tcPr>
            <w:tcW w:w="15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13</w:t>
            </w:r>
          </w:p>
        </w:tc>
        <w:tc>
          <w:tcPr>
            <w:tcW w:w="36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调换路名牌面</w:t>
            </w:r>
          </w:p>
        </w:tc>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块</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5</w:t>
            </w:r>
          </w:p>
        </w:tc>
        <w:tc>
          <w:tcPr>
            <w:tcW w:w="15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14</w:t>
            </w:r>
          </w:p>
        </w:tc>
        <w:tc>
          <w:tcPr>
            <w:tcW w:w="36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桥梁栏杆</w:t>
            </w:r>
          </w:p>
        </w:tc>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m</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139.12</w:t>
            </w:r>
          </w:p>
        </w:tc>
        <w:tc>
          <w:tcPr>
            <w:tcW w:w="15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15</w:t>
            </w:r>
          </w:p>
        </w:tc>
        <w:tc>
          <w:tcPr>
            <w:tcW w:w="36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调换伸缩缝及清理</w:t>
            </w:r>
          </w:p>
        </w:tc>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m</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262.4</w:t>
            </w:r>
          </w:p>
        </w:tc>
        <w:tc>
          <w:tcPr>
            <w:tcW w:w="15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16</w:t>
            </w:r>
          </w:p>
        </w:tc>
        <w:tc>
          <w:tcPr>
            <w:tcW w:w="36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调换橡胶止水带及清理</w:t>
            </w:r>
          </w:p>
        </w:tc>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m</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262.4</w:t>
            </w:r>
          </w:p>
        </w:tc>
        <w:tc>
          <w:tcPr>
            <w:tcW w:w="15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17</w:t>
            </w:r>
          </w:p>
        </w:tc>
        <w:tc>
          <w:tcPr>
            <w:tcW w:w="36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支座保养维修</w:t>
            </w:r>
          </w:p>
        </w:tc>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只</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640</w:t>
            </w:r>
          </w:p>
        </w:tc>
        <w:tc>
          <w:tcPr>
            <w:tcW w:w="15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18</w:t>
            </w:r>
          </w:p>
        </w:tc>
        <w:tc>
          <w:tcPr>
            <w:tcW w:w="36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桥梁沉降观测检测</w:t>
            </w:r>
          </w:p>
        </w:tc>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项</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4</w:t>
            </w:r>
          </w:p>
        </w:tc>
        <w:tc>
          <w:tcPr>
            <w:tcW w:w="15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19</w:t>
            </w:r>
          </w:p>
        </w:tc>
        <w:tc>
          <w:tcPr>
            <w:tcW w:w="36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人行道路护栏修复</w:t>
            </w:r>
          </w:p>
        </w:tc>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m</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0</w:t>
            </w:r>
          </w:p>
        </w:tc>
        <w:tc>
          <w:tcPr>
            <w:tcW w:w="15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20</w:t>
            </w:r>
          </w:p>
        </w:tc>
        <w:tc>
          <w:tcPr>
            <w:tcW w:w="36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人行道路护栏清洁</w:t>
            </w:r>
          </w:p>
        </w:tc>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m</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0</w:t>
            </w:r>
          </w:p>
        </w:tc>
        <w:tc>
          <w:tcPr>
            <w:tcW w:w="15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21</w:t>
            </w:r>
          </w:p>
        </w:tc>
        <w:tc>
          <w:tcPr>
            <w:tcW w:w="36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道路常规检测及评价</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次</w:t>
            </w:r>
            <w:r>
              <w:rPr>
                <w:rStyle w:val="122"/>
                <w:rFonts w:hint="eastAsia" w:ascii="宋体" w:hAnsi="宋体" w:eastAsia="宋体" w:cs="宋体"/>
                <w:color w:val="000000" w:themeColor="text1"/>
                <w:sz w:val="21"/>
                <w:szCs w:val="21"/>
                <w:highlight w:val="none"/>
                <w:lang w:val="en-US" w:eastAsia="zh-CN" w:bidi="ar"/>
                <w14:textFill>
                  <w14:solidFill>
                    <w14:schemeClr w14:val="tx1"/>
                  </w14:solidFill>
                </w14:textFill>
              </w:rPr>
              <w:t>/</w:t>
            </w:r>
            <w:r>
              <w:rPr>
                <w:rStyle w:val="146"/>
                <w:rFonts w:hint="eastAsia" w:ascii="宋体" w:hAnsi="宋体" w:eastAsia="宋体" w:cs="宋体"/>
                <w:color w:val="000000" w:themeColor="text1"/>
                <w:sz w:val="21"/>
                <w:szCs w:val="21"/>
                <w:highlight w:val="none"/>
                <w:lang w:val="en-US" w:eastAsia="zh-CN" w:bidi="ar"/>
                <w14:textFill>
                  <w14:solidFill>
                    <w14:schemeClr w14:val="tx1"/>
                  </w14:solidFill>
                </w14:textFill>
              </w:rPr>
              <w:t>年</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w:t>
            </w:r>
          </w:p>
        </w:tc>
        <w:tc>
          <w:tcPr>
            <w:tcW w:w="15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0" w:hRule="atLeast"/>
        </w:trPr>
        <w:tc>
          <w:tcPr>
            <w:tcW w:w="91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c>
          <w:tcPr>
            <w:tcW w:w="36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1.2、石桥路（石祥路-临丁路）</w:t>
            </w:r>
          </w:p>
        </w:tc>
        <w:tc>
          <w:tcPr>
            <w:tcW w:w="283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使用年限：15年以上</w:t>
            </w:r>
          </w:p>
        </w:tc>
        <w:tc>
          <w:tcPr>
            <w:tcW w:w="15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w:t>
            </w:r>
            <w:r>
              <w:rPr>
                <w:rStyle w:val="146"/>
                <w:rFonts w:hint="eastAsia" w:ascii="宋体" w:hAnsi="宋体" w:eastAsia="宋体" w:cs="宋体"/>
                <w:color w:val="000000" w:themeColor="text1"/>
                <w:sz w:val="21"/>
                <w:szCs w:val="21"/>
                <w:highlight w:val="none"/>
                <w:lang w:val="en-US" w:eastAsia="zh-CN" w:bidi="ar"/>
                <w14:textFill>
                  <w14:solidFill>
                    <w14:schemeClr w14:val="tx1"/>
                  </w14:solidFill>
                </w14:textFill>
              </w:rPr>
              <w:t>竣工</w:t>
            </w:r>
            <w:r>
              <w:rPr>
                <w:rStyle w:val="122"/>
                <w:rFonts w:hint="eastAsia" w:ascii="宋体" w:hAnsi="宋体" w:eastAsia="宋体" w:cs="宋体"/>
                <w:color w:val="000000" w:themeColor="text1"/>
                <w:sz w:val="21"/>
                <w:szCs w:val="21"/>
                <w:highlight w:val="none"/>
                <w:lang w:val="en-US" w:eastAsia="zh-CN" w:bidi="ar"/>
                <w14:textFill>
                  <w14:solidFill>
                    <w14:schemeClr w14:val="tx1"/>
                  </w14:solidFill>
                </w14:textFill>
              </w:rPr>
              <w:t>:2003</w:t>
            </w:r>
            <w:r>
              <w:rPr>
                <w:rStyle w:val="146"/>
                <w:rFonts w:hint="eastAsia" w:ascii="宋体" w:hAnsi="宋体" w:eastAsia="宋体" w:cs="宋体"/>
                <w:color w:val="000000" w:themeColor="text1"/>
                <w:sz w:val="21"/>
                <w:szCs w:val="21"/>
                <w:highlight w:val="none"/>
                <w:lang w:val="en-US" w:eastAsia="zh-CN" w:bidi="ar"/>
                <w14:textFill>
                  <w14:solidFill>
                    <w14:schemeClr w14:val="tx1"/>
                  </w14:solidFill>
                </w14:textFill>
              </w:rPr>
              <w:t>年</w:t>
            </w:r>
            <w:r>
              <w:rPr>
                <w:rStyle w:val="122"/>
                <w:rFonts w:hint="eastAsia" w:ascii="宋体" w:hAnsi="宋体" w:eastAsia="宋体" w:cs="宋体"/>
                <w:color w:val="000000" w:themeColor="text1"/>
                <w:sz w:val="21"/>
                <w:szCs w:val="21"/>
                <w:highlight w:val="none"/>
                <w:lang w:val="en-US" w:eastAsia="zh-CN" w:bidi="ar"/>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w:t>
            </w:r>
          </w:p>
        </w:tc>
        <w:tc>
          <w:tcPr>
            <w:tcW w:w="36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道路巡视</w:t>
            </w:r>
          </w:p>
        </w:tc>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w:t>
            </w:r>
            <w:r>
              <w:rPr>
                <w:rStyle w:val="122"/>
                <w:rFonts w:hint="eastAsia" w:ascii="宋体" w:hAnsi="宋体" w:eastAsia="宋体" w:cs="宋体"/>
                <w:color w:val="000000" w:themeColor="text1"/>
                <w:sz w:val="21"/>
                <w:szCs w:val="21"/>
                <w:highlight w:val="none"/>
                <w:lang w:val="en-US" w:eastAsia="zh-CN" w:bidi="ar"/>
                <w14:textFill>
                  <w14:solidFill>
                    <w14:schemeClr w14:val="tx1"/>
                  </w14:solidFill>
                </w14:textFill>
              </w:rPr>
              <w:t>·</w:t>
            </w:r>
            <w:r>
              <w:rPr>
                <w:rStyle w:val="146"/>
                <w:rFonts w:hint="eastAsia" w:ascii="宋体" w:hAnsi="宋体" w:eastAsia="宋体" w:cs="宋体"/>
                <w:color w:val="000000" w:themeColor="text1"/>
                <w:sz w:val="21"/>
                <w:szCs w:val="21"/>
                <w:highlight w:val="none"/>
                <w:lang w:val="en-US" w:eastAsia="zh-CN" w:bidi="ar"/>
                <w14:textFill>
                  <w14:solidFill>
                    <w14:schemeClr w14:val="tx1"/>
                  </w14:solidFill>
                </w14:textFill>
              </w:rPr>
              <w:t>次</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1.94</w:t>
            </w:r>
          </w:p>
        </w:tc>
        <w:tc>
          <w:tcPr>
            <w:tcW w:w="15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2</w:t>
            </w:r>
          </w:p>
        </w:tc>
        <w:tc>
          <w:tcPr>
            <w:tcW w:w="36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沥青混凝土路面</w:t>
            </w:r>
          </w:p>
        </w:tc>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67907</w:t>
            </w:r>
          </w:p>
        </w:tc>
        <w:tc>
          <w:tcPr>
            <w:tcW w:w="15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3</w:t>
            </w:r>
          </w:p>
        </w:tc>
        <w:tc>
          <w:tcPr>
            <w:tcW w:w="36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人行道板</w:t>
            </w:r>
          </w:p>
        </w:tc>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12611</w:t>
            </w:r>
          </w:p>
        </w:tc>
        <w:tc>
          <w:tcPr>
            <w:tcW w:w="15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4</w:t>
            </w:r>
          </w:p>
        </w:tc>
        <w:tc>
          <w:tcPr>
            <w:tcW w:w="36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平石</w:t>
            </w:r>
          </w:p>
        </w:tc>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m</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14551</w:t>
            </w:r>
          </w:p>
        </w:tc>
        <w:tc>
          <w:tcPr>
            <w:tcW w:w="15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5</w:t>
            </w:r>
          </w:p>
        </w:tc>
        <w:tc>
          <w:tcPr>
            <w:tcW w:w="36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侧石</w:t>
            </w:r>
          </w:p>
        </w:tc>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m</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14551</w:t>
            </w:r>
          </w:p>
        </w:tc>
        <w:tc>
          <w:tcPr>
            <w:tcW w:w="15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6</w:t>
            </w:r>
          </w:p>
        </w:tc>
        <w:tc>
          <w:tcPr>
            <w:tcW w:w="36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升检查井及井筒 φ700</w:t>
            </w:r>
          </w:p>
        </w:tc>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座</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100</w:t>
            </w:r>
          </w:p>
        </w:tc>
        <w:tc>
          <w:tcPr>
            <w:tcW w:w="15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7</w:t>
            </w:r>
          </w:p>
        </w:tc>
        <w:tc>
          <w:tcPr>
            <w:tcW w:w="36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调换检查井φ700井座</w:t>
            </w:r>
          </w:p>
        </w:tc>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座</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100</w:t>
            </w:r>
          </w:p>
        </w:tc>
        <w:tc>
          <w:tcPr>
            <w:tcW w:w="15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8</w:t>
            </w:r>
          </w:p>
        </w:tc>
        <w:tc>
          <w:tcPr>
            <w:tcW w:w="36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调换检查井φ700井盖</w:t>
            </w:r>
          </w:p>
        </w:tc>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座</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100</w:t>
            </w:r>
          </w:p>
        </w:tc>
        <w:tc>
          <w:tcPr>
            <w:tcW w:w="15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9</w:t>
            </w:r>
          </w:p>
        </w:tc>
        <w:tc>
          <w:tcPr>
            <w:tcW w:w="36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升雨水口510*390</w:t>
            </w:r>
          </w:p>
        </w:tc>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座</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197</w:t>
            </w:r>
          </w:p>
        </w:tc>
        <w:tc>
          <w:tcPr>
            <w:tcW w:w="15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10</w:t>
            </w:r>
          </w:p>
        </w:tc>
        <w:tc>
          <w:tcPr>
            <w:tcW w:w="36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调换雨水口510*390井座</w:t>
            </w:r>
          </w:p>
        </w:tc>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座</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197</w:t>
            </w:r>
          </w:p>
        </w:tc>
        <w:tc>
          <w:tcPr>
            <w:tcW w:w="15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11</w:t>
            </w:r>
          </w:p>
        </w:tc>
        <w:tc>
          <w:tcPr>
            <w:tcW w:w="36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调换雨水口510*390井盖</w:t>
            </w:r>
          </w:p>
        </w:tc>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座</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197</w:t>
            </w:r>
          </w:p>
        </w:tc>
        <w:tc>
          <w:tcPr>
            <w:tcW w:w="15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12</w:t>
            </w:r>
          </w:p>
        </w:tc>
        <w:tc>
          <w:tcPr>
            <w:tcW w:w="36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调换路名牌直杆</w:t>
            </w:r>
          </w:p>
        </w:tc>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根</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12</w:t>
            </w:r>
          </w:p>
        </w:tc>
        <w:tc>
          <w:tcPr>
            <w:tcW w:w="15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13</w:t>
            </w:r>
          </w:p>
        </w:tc>
        <w:tc>
          <w:tcPr>
            <w:tcW w:w="36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调换路名牌面</w:t>
            </w:r>
          </w:p>
        </w:tc>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块</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12</w:t>
            </w:r>
          </w:p>
        </w:tc>
        <w:tc>
          <w:tcPr>
            <w:tcW w:w="15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14</w:t>
            </w:r>
          </w:p>
        </w:tc>
        <w:tc>
          <w:tcPr>
            <w:tcW w:w="36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桥梁栏杆</w:t>
            </w:r>
          </w:p>
        </w:tc>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m</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0</w:t>
            </w:r>
          </w:p>
        </w:tc>
        <w:tc>
          <w:tcPr>
            <w:tcW w:w="15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15</w:t>
            </w:r>
          </w:p>
        </w:tc>
        <w:tc>
          <w:tcPr>
            <w:tcW w:w="36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调换伸缩缝及清理</w:t>
            </w:r>
          </w:p>
        </w:tc>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m</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0</w:t>
            </w:r>
          </w:p>
        </w:tc>
        <w:tc>
          <w:tcPr>
            <w:tcW w:w="15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16</w:t>
            </w:r>
          </w:p>
        </w:tc>
        <w:tc>
          <w:tcPr>
            <w:tcW w:w="36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调换橡胶止水带及清理</w:t>
            </w:r>
          </w:p>
        </w:tc>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m</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0</w:t>
            </w:r>
          </w:p>
        </w:tc>
        <w:tc>
          <w:tcPr>
            <w:tcW w:w="15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17</w:t>
            </w:r>
          </w:p>
        </w:tc>
        <w:tc>
          <w:tcPr>
            <w:tcW w:w="36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支座保养维修</w:t>
            </w:r>
          </w:p>
        </w:tc>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只</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0</w:t>
            </w:r>
          </w:p>
        </w:tc>
        <w:tc>
          <w:tcPr>
            <w:tcW w:w="15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18</w:t>
            </w:r>
          </w:p>
        </w:tc>
        <w:tc>
          <w:tcPr>
            <w:tcW w:w="36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桥梁沉降观测检测</w:t>
            </w:r>
          </w:p>
        </w:tc>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项</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0</w:t>
            </w:r>
          </w:p>
        </w:tc>
        <w:tc>
          <w:tcPr>
            <w:tcW w:w="15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19</w:t>
            </w:r>
          </w:p>
        </w:tc>
        <w:tc>
          <w:tcPr>
            <w:tcW w:w="36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人行道路护栏修复</w:t>
            </w:r>
          </w:p>
        </w:tc>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m</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0</w:t>
            </w:r>
          </w:p>
        </w:tc>
        <w:tc>
          <w:tcPr>
            <w:tcW w:w="15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20</w:t>
            </w:r>
          </w:p>
        </w:tc>
        <w:tc>
          <w:tcPr>
            <w:tcW w:w="36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人行道路护栏清洁</w:t>
            </w:r>
          </w:p>
        </w:tc>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m</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0</w:t>
            </w:r>
          </w:p>
        </w:tc>
        <w:tc>
          <w:tcPr>
            <w:tcW w:w="15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21</w:t>
            </w:r>
          </w:p>
        </w:tc>
        <w:tc>
          <w:tcPr>
            <w:tcW w:w="36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道路常规检测及评价</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次</w:t>
            </w:r>
            <w:r>
              <w:rPr>
                <w:rStyle w:val="122"/>
                <w:rFonts w:hint="eastAsia" w:ascii="宋体" w:hAnsi="宋体" w:eastAsia="宋体" w:cs="宋体"/>
                <w:color w:val="000000" w:themeColor="text1"/>
                <w:sz w:val="21"/>
                <w:szCs w:val="21"/>
                <w:highlight w:val="none"/>
                <w:lang w:val="en-US" w:eastAsia="zh-CN" w:bidi="ar"/>
                <w14:textFill>
                  <w14:solidFill>
                    <w14:schemeClr w14:val="tx1"/>
                  </w14:solidFill>
                </w14:textFill>
              </w:rPr>
              <w:t>/</w:t>
            </w:r>
            <w:r>
              <w:rPr>
                <w:rStyle w:val="146"/>
                <w:rFonts w:hint="eastAsia" w:ascii="宋体" w:hAnsi="宋体" w:eastAsia="宋体" w:cs="宋体"/>
                <w:color w:val="000000" w:themeColor="text1"/>
                <w:sz w:val="21"/>
                <w:szCs w:val="21"/>
                <w:highlight w:val="none"/>
                <w:lang w:val="en-US" w:eastAsia="zh-CN" w:bidi="ar"/>
                <w14:textFill>
                  <w14:solidFill>
                    <w14:schemeClr w14:val="tx1"/>
                  </w14:solidFill>
                </w14:textFill>
              </w:rPr>
              <w:t>年</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w:t>
            </w:r>
          </w:p>
        </w:tc>
        <w:tc>
          <w:tcPr>
            <w:tcW w:w="15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1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c>
          <w:tcPr>
            <w:tcW w:w="36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2、石祥路（上塘河桥-石桥路）</w:t>
            </w:r>
          </w:p>
        </w:tc>
        <w:tc>
          <w:tcPr>
            <w:tcW w:w="283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使用年限：15年以上</w:t>
            </w:r>
          </w:p>
        </w:tc>
        <w:tc>
          <w:tcPr>
            <w:tcW w:w="15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w:t>
            </w:r>
            <w:r>
              <w:rPr>
                <w:rStyle w:val="146"/>
                <w:rFonts w:hint="eastAsia" w:ascii="宋体" w:hAnsi="宋体" w:eastAsia="宋体" w:cs="宋体"/>
                <w:color w:val="000000" w:themeColor="text1"/>
                <w:sz w:val="21"/>
                <w:szCs w:val="21"/>
                <w:highlight w:val="none"/>
                <w:lang w:val="en-US" w:eastAsia="zh-CN" w:bidi="ar"/>
                <w14:textFill>
                  <w14:solidFill>
                    <w14:schemeClr w14:val="tx1"/>
                  </w14:solidFill>
                </w14:textFill>
              </w:rPr>
              <w:t>竣工</w:t>
            </w:r>
            <w:r>
              <w:rPr>
                <w:rStyle w:val="122"/>
                <w:rFonts w:hint="eastAsia" w:ascii="宋体" w:hAnsi="宋体" w:eastAsia="宋体" w:cs="宋体"/>
                <w:color w:val="000000" w:themeColor="text1"/>
                <w:sz w:val="21"/>
                <w:szCs w:val="21"/>
                <w:highlight w:val="none"/>
                <w:lang w:val="en-US" w:eastAsia="zh-CN" w:bidi="ar"/>
                <w14:textFill>
                  <w14:solidFill>
                    <w14:schemeClr w14:val="tx1"/>
                  </w14:solidFill>
                </w14:textFill>
              </w:rPr>
              <w:t>:2000</w:t>
            </w:r>
            <w:r>
              <w:rPr>
                <w:rStyle w:val="146"/>
                <w:rFonts w:hint="eastAsia" w:ascii="宋体" w:hAnsi="宋体" w:eastAsia="宋体" w:cs="宋体"/>
                <w:color w:val="000000" w:themeColor="text1"/>
                <w:sz w:val="21"/>
                <w:szCs w:val="21"/>
                <w:highlight w:val="none"/>
                <w:lang w:val="en-US" w:eastAsia="zh-CN" w:bidi="ar"/>
                <w14:textFill>
                  <w14:solidFill>
                    <w14:schemeClr w14:val="tx1"/>
                  </w14:solidFill>
                </w14:textFill>
              </w:rPr>
              <w:t>年</w:t>
            </w:r>
            <w:r>
              <w:rPr>
                <w:rStyle w:val="122"/>
                <w:rFonts w:hint="eastAsia" w:ascii="宋体" w:hAnsi="宋体" w:eastAsia="宋体" w:cs="宋体"/>
                <w:color w:val="000000" w:themeColor="text1"/>
                <w:sz w:val="21"/>
                <w:szCs w:val="21"/>
                <w:highlight w:val="none"/>
                <w:lang w:val="en-US" w:eastAsia="zh-CN" w:bidi="ar"/>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w:t>
            </w:r>
          </w:p>
        </w:tc>
        <w:tc>
          <w:tcPr>
            <w:tcW w:w="36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道路巡视</w:t>
            </w:r>
          </w:p>
        </w:tc>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w:t>
            </w:r>
            <w:r>
              <w:rPr>
                <w:rStyle w:val="122"/>
                <w:rFonts w:hint="eastAsia" w:ascii="宋体" w:hAnsi="宋体" w:eastAsia="宋体" w:cs="宋体"/>
                <w:color w:val="000000" w:themeColor="text1"/>
                <w:sz w:val="21"/>
                <w:szCs w:val="21"/>
                <w:highlight w:val="none"/>
                <w:lang w:val="en-US" w:eastAsia="zh-CN" w:bidi="ar"/>
                <w14:textFill>
                  <w14:solidFill>
                    <w14:schemeClr w14:val="tx1"/>
                  </w14:solidFill>
                </w14:textFill>
              </w:rPr>
              <w:t>·</w:t>
            </w:r>
            <w:r>
              <w:rPr>
                <w:rStyle w:val="146"/>
                <w:rFonts w:hint="eastAsia" w:ascii="宋体" w:hAnsi="宋体" w:eastAsia="宋体" w:cs="宋体"/>
                <w:color w:val="000000" w:themeColor="text1"/>
                <w:sz w:val="21"/>
                <w:szCs w:val="21"/>
                <w:highlight w:val="none"/>
                <w:lang w:val="en-US" w:eastAsia="zh-CN" w:bidi="ar"/>
                <w14:textFill>
                  <w14:solidFill>
                    <w14:schemeClr w14:val="tx1"/>
                  </w14:solidFill>
                </w14:textFill>
              </w:rPr>
              <w:t>次</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2.222</w:t>
            </w:r>
          </w:p>
        </w:tc>
        <w:tc>
          <w:tcPr>
            <w:tcW w:w="15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2</w:t>
            </w:r>
          </w:p>
        </w:tc>
        <w:tc>
          <w:tcPr>
            <w:tcW w:w="36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沥青混凝土路面</w:t>
            </w:r>
          </w:p>
        </w:tc>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55550</w:t>
            </w:r>
          </w:p>
        </w:tc>
        <w:tc>
          <w:tcPr>
            <w:tcW w:w="15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3</w:t>
            </w:r>
          </w:p>
        </w:tc>
        <w:tc>
          <w:tcPr>
            <w:tcW w:w="36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人行道板</w:t>
            </w:r>
          </w:p>
        </w:tc>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35552</w:t>
            </w:r>
          </w:p>
        </w:tc>
        <w:tc>
          <w:tcPr>
            <w:tcW w:w="15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4</w:t>
            </w:r>
          </w:p>
        </w:tc>
        <w:tc>
          <w:tcPr>
            <w:tcW w:w="36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平石</w:t>
            </w:r>
          </w:p>
        </w:tc>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m</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17776</w:t>
            </w:r>
          </w:p>
        </w:tc>
        <w:tc>
          <w:tcPr>
            <w:tcW w:w="15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5</w:t>
            </w:r>
          </w:p>
        </w:tc>
        <w:tc>
          <w:tcPr>
            <w:tcW w:w="36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侧石</w:t>
            </w:r>
          </w:p>
        </w:tc>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m</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17776</w:t>
            </w:r>
          </w:p>
        </w:tc>
        <w:tc>
          <w:tcPr>
            <w:tcW w:w="15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6</w:t>
            </w:r>
          </w:p>
        </w:tc>
        <w:tc>
          <w:tcPr>
            <w:tcW w:w="36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升检查井及井筒 φ700</w:t>
            </w:r>
          </w:p>
        </w:tc>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座</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112</w:t>
            </w:r>
          </w:p>
        </w:tc>
        <w:tc>
          <w:tcPr>
            <w:tcW w:w="15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7</w:t>
            </w:r>
          </w:p>
        </w:tc>
        <w:tc>
          <w:tcPr>
            <w:tcW w:w="36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调换检查井φ700井座</w:t>
            </w:r>
          </w:p>
        </w:tc>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座</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112</w:t>
            </w:r>
          </w:p>
        </w:tc>
        <w:tc>
          <w:tcPr>
            <w:tcW w:w="15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8</w:t>
            </w:r>
          </w:p>
        </w:tc>
        <w:tc>
          <w:tcPr>
            <w:tcW w:w="36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调换检查井φ700井盖</w:t>
            </w:r>
          </w:p>
        </w:tc>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座</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112</w:t>
            </w:r>
          </w:p>
        </w:tc>
        <w:tc>
          <w:tcPr>
            <w:tcW w:w="15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9</w:t>
            </w:r>
          </w:p>
        </w:tc>
        <w:tc>
          <w:tcPr>
            <w:tcW w:w="36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升雨水口510*390</w:t>
            </w:r>
          </w:p>
        </w:tc>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座</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156</w:t>
            </w:r>
          </w:p>
        </w:tc>
        <w:tc>
          <w:tcPr>
            <w:tcW w:w="15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10</w:t>
            </w:r>
          </w:p>
        </w:tc>
        <w:tc>
          <w:tcPr>
            <w:tcW w:w="36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调换雨水口510*390井座</w:t>
            </w:r>
          </w:p>
        </w:tc>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座</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156</w:t>
            </w:r>
          </w:p>
        </w:tc>
        <w:tc>
          <w:tcPr>
            <w:tcW w:w="15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11</w:t>
            </w:r>
          </w:p>
        </w:tc>
        <w:tc>
          <w:tcPr>
            <w:tcW w:w="36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调换雨水口510*390井盖</w:t>
            </w:r>
          </w:p>
        </w:tc>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座</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156</w:t>
            </w:r>
          </w:p>
        </w:tc>
        <w:tc>
          <w:tcPr>
            <w:tcW w:w="15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12</w:t>
            </w:r>
          </w:p>
        </w:tc>
        <w:tc>
          <w:tcPr>
            <w:tcW w:w="36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调换路名牌直杆</w:t>
            </w:r>
          </w:p>
        </w:tc>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根</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11</w:t>
            </w:r>
          </w:p>
        </w:tc>
        <w:tc>
          <w:tcPr>
            <w:tcW w:w="15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13</w:t>
            </w:r>
          </w:p>
        </w:tc>
        <w:tc>
          <w:tcPr>
            <w:tcW w:w="36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调换路名牌面</w:t>
            </w:r>
          </w:p>
        </w:tc>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块</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11</w:t>
            </w:r>
          </w:p>
        </w:tc>
        <w:tc>
          <w:tcPr>
            <w:tcW w:w="15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14</w:t>
            </w:r>
          </w:p>
        </w:tc>
        <w:tc>
          <w:tcPr>
            <w:tcW w:w="36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桥梁栏杆</w:t>
            </w:r>
          </w:p>
        </w:tc>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m</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65.32</w:t>
            </w:r>
          </w:p>
        </w:tc>
        <w:tc>
          <w:tcPr>
            <w:tcW w:w="15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15</w:t>
            </w:r>
          </w:p>
        </w:tc>
        <w:tc>
          <w:tcPr>
            <w:tcW w:w="36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调换伸缩缝及清理</w:t>
            </w:r>
          </w:p>
        </w:tc>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m</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79.4</w:t>
            </w:r>
          </w:p>
        </w:tc>
        <w:tc>
          <w:tcPr>
            <w:tcW w:w="15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16</w:t>
            </w:r>
          </w:p>
        </w:tc>
        <w:tc>
          <w:tcPr>
            <w:tcW w:w="36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调换橡胶止水带及清理</w:t>
            </w:r>
          </w:p>
        </w:tc>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m</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79.4</w:t>
            </w:r>
          </w:p>
        </w:tc>
        <w:tc>
          <w:tcPr>
            <w:tcW w:w="15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17</w:t>
            </w:r>
          </w:p>
        </w:tc>
        <w:tc>
          <w:tcPr>
            <w:tcW w:w="36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支座保养维修</w:t>
            </w:r>
          </w:p>
        </w:tc>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只</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404</w:t>
            </w:r>
          </w:p>
        </w:tc>
        <w:tc>
          <w:tcPr>
            <w:tcW w:w="15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18</w:t>
            </w:r>
          </w:p>
        </w:tc>
        <w:tc>
          <w:tcPr>
            <w:tcW w:w="36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桥梁沉降观测检测</w:t>
            </w:r>
          </w:p>
        </w:tc>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项</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2</w:t>
            </w:r>
          </w:p>
        </w:tc>
        <w:tc>
          <w:tcPr>
            <w:tcW w:w="15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19</w:t>
            </w:r>
          </w:p>
        </w:tc>
        <w:tc>
          <w:tcPr>
            <w:tcW w:w="36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人行道路护栏修复</w:t>
            </w:r>
          </w:p>
        </w:tc>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m</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0</w:t>
            </w:r>
          </w:p>
        </w:tc>
        <w:tc>
          <w:tcPr>
            <w:tcW w:w="15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20</w:t>
            </w:r>
          </w:p>
        </w:tc>
        <w:tc>
          <w:tcPr>
            <w:tcW w:w="36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人行道路护栏清洁</w:t>
            </w:r>
          </w:p>
        </w:tc>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m</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0</w:t>
            </w:r>
          </w:p>
        </w:tc>
        <w:tc>
          <w:tcPr>
            <w:tcW w:w="15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21</w:t>
            </w:r>
          </w:p>
        </w:tc>
        <w:tc>
          <w:tcPr>
            <w:tcW w:w="36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道路常规检测及评价</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次</w:t>
            </w:r>
            <w:r>
              <w:rPr>
                <w:rStyle w:val="122"/>
                <w:rFonts w:hint="eastAsia" w:ascii="宋体" w:hAnsi="宋体" w:eastAsia="宋体" w:cs="宋体"/>
                <w:color w:val="000000" w:themeColor="text1"/>
                <w:sz w:val="21"/>
                <w:szCs w:val="21"/>
                <w:highlight w:val="none"/>
                <w:lang w:val="en-US" w:eastAsia="zh-CN" w:bidi="ar"/>
                <w14:textFill>
                  <w14:solidFill>
                    <w14:schemeClr w14:val="tx1"/>
                  </w14:solidFill>
                </w14:textFill>
              </w:rPr>
              <w:t>/</w:t>
            </w:r>
            <w:r>
              <w:rPr>
                <w:rStyle w:val="146"/>
                <w:rFonts w:hint="eastAsia" w:ascii="宋体" w:hAnsi="宋体" w:eastAsia="宋体" w:cs="宋体"/>
                <w:color w:val="000000" w:themeColor="text1"/>
                <w:sz w:val="21"/>
                <w:szCs w:val="21"/>
                <w:highlight w:val="none"/>
                <w:lang w:val="en-US" w:eastAsia="zh-CN" w:bidi="ar"/>
                <w14:textFill>
                  <w14:solidFill>
                    <w14:schemeClr w14:val="tx1"/>
                  </w14:solidFill>
                </w14:textFill>
              </w:rPr>
              <w:t>年</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w:t>
            </w:r>
          </w:p>
        </w:tc>
        <w:tc>
          <w:tcPr>
            <w:tcW w:w="15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1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c>
          <w:tcPr>
            <w:tcW w:w="36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3、华丰路（石桥路—同协路）</w:t>
            </w:r>
          </w:p>
        </w:tc>
        <w:tc>
          <w:tcPr>
            <w:tcW w:w="283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使用年限：1-3年</w:t>
            </w:r>
          </w:p>
        </w:tc>
        <w:tc>
          <w:tcPr>
            <w:tcW w:w="15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w:t>
            </w:r>
            <w:r>
              <w:rPr>
                <w:rStyle w:val="146"/>
                <w:rFonts w:hint="eastAsia" w:ascii="宋体" w:hAnsi="宋体" w:eastAsia="宋体" w:cs="宋体"/>
                <w:color w:val="000000" w:themeColor="text1"/>
                <w:sz w:val="21"/>
                <w:szCs w:val="21"/>
                <w:highlight w:val="none"/>
                <w:lang w:val="en-US" w:eastAsia="zh-CN" w:bidi="ar"/>
                <w14:textFill>
                  <w14:solidFill>
                    <w14:schemeClr w14:val="tx1"/>
                  </w14:solidFill>
                </w14:textFill>
              </w:rPr>
              <w:t>竣工</w:t>
            </w:r>
            <w:r>
              <w:rPr>
                <w:rStyle w:val="122"/>
                <w:rFonts w:hint="eastAsia" w:ascii="宋体" w:hAnsi="宋体" w:eastAsia="宋体" w:cs="宋体"/>
                <w:color w:val="000000" w:themeColor="text1"/>
                <w:sz w:val="21"/>
                <w:szCs w:val="21"/>
                <w:highlight w:val="none"/>
                <w:lang w:val="en-US" w:eastAsia="zh-CN" w:bidi="ar"/>
                <w14:textFill>
                  <w14:solidFill>
                    <w14:schemeClr w14:val="tx1"/>
                  </w14:solidFill>
                </w14:textFill>
              </w:rPr>
              <w:t>:2022</w:t>
            </w:r>
            <w:r>
              <w:rPr>
                <w:rStyle w:val="146"/>
                <w:rFonts w:hint="eastAsia" w:ascii="宋体" w:hAnsi="宋体" w:eastAsia="宋体" w:cs="宋体"/>
                <w:color w:val="000000" w:themeColor="text1"/>
                <w:sz w:val="21"/>
                <w:szCs w:val="21"/>
                <w:highlight w:val="none"/>
                <w:lang w:val="en-US" w:eastAsia="zh-CN" w:bidi="ar"/>
                <w14:textFill>
                  <w14:solidFill>
                    <w14:schemeClr w14:val="tx1"/>
                  </w14:solidFill>
                </w14:textFill>
              </w:rPr>
              <w:t>年</w:t>
            </w:r>
            <w:r>
              <w:rPr>
                <w:rStyle w:val="122"/>
                <w:rFonts w:hint="eastAsia" w:ascii="宋体" w:hAnsi="宋体" w:eastAsia="宋体" w:cs="宋体"/>
                <w:color w:val="000000" w:themeColor="text1"/>
                <w:sz w:val="21"/>
                <w:szCs w:val="21"/>
                <w:highlight w:val="none"/>
                <w:lang w:val="en-US" w:eastAsia="zh-CN" w:bidi="ar"/>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w:t>
            </w:r>
          </w:p>
        </w:tc>
        <w:tc>
          <w:tcPr>
            <w:tcW w:w="36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道路巡视</w:t>
            </w:r>
          </w:p>
        </w:tc>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w:t>
            </w:r>
            <w:r>
              <w:rPr>
                <w:rStyle w:val="122"/>
                <w:rFonts w:hint="eastAsia" w:ascii="宋体" w:hAnsi="宋体" w:eastAsia="宋体" w:cs="宋体"/>
                <w:color w:val="000000" w:themeColor="text1"/>
                <w:sz w:val="21"/>
                <w:szCs w:val="21"/>
                <w:highlight w:val="none"/>
                <w:lang w:val="en-US" w:eastAsia="zh-CN" w:bidi="ar"/>
                <w14:textFill>
                  <w14:solidFill>
                    <w14:schemeClr w14:val="tx1"/>
                  </w14:solidFill>
                </w14:textFill>
              </w:rPr>
              <w:t>·</w:t>
            </w:r>
            <w:r>
              <w:rPr>
                <w:rStyle w:val="146"/>
                <w:rFonts w:hint="eastAsia" w:ascii="宋体" w:hAnsi="宋体" w:eastAsia="宋体" w:cs="宋体"/>
                <w:color w:val="000000" w:themeColor="text1"/>
                <w:sz w:val="21"/>
                <w:szCs w:val="21"/>
                <w:highlight w:val="none"/>
                <w:lang w:val="en-US" w:eastAsia="zh-CN" w:bidi="ar"/>
                <w14:textFill>
                  <w14:solidFill>
                    <w14:schemeClr w14:val="tx1"/>
                  </w14:solidFill>
                </w14:textFill>
              </w:rPr>
              <w:t>次</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1.884</w:t>
            </w:r>
          </w:p>
        </w:tc>
        <w:tc>
          <w:tcPr>
            <w:tcW w:w="15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2</w:t>
            </w:r>
          </w:p>
        </w:tc>
        <w:tc>
          <w:tcPr>
            <w:tcW w:w="36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沥青混凝土路面</w:t>
            </w:r>
          </w:p>
        </w:tc>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55965</w:t>
            </w:r>
          </w:p>
        </w:tc>
        <w:tc>
          <w:tcPr>
            <w:tcW w:w="15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3</w:t>
            </w:r>
          </w:p>
        </w:tc>
        <w:tc>
          <w:tcPr>
            <w:tcW w:w="36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人行道板</w:t>
            </w:r>
          </w:p>
        </w:tc>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10902</w:t>
            </w:r>
          </w:p>
        </w:tc>
        <w:tc>
          <w:tcPr>
            <w:tcW w:w="15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4</w:t>
            </w:r>
          </w:p>
        </w:tc>
        <w:tc>
          <w:tcPr>
            <w:tcW w:w="36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平石</w:t>
            </w:r>
          </w:p>
        </w:tc>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m</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10699</w:t>
            </w:r>
          </w:p>
        </w:tc>
        <w:tc>
          <w:tcPr>
            <w:tcW w:w="15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5</w:t>
            </w:r>
          </w:p>
        </w:tc>
        <w:tc>
          <w:tcPr>
            <w:tcW w:w="36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侧石</w:t>
            </w:r>
          </w:p>
        </w:tc>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m</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14476</w:t>
            </w:r>
          </w:p>
        </w:tc>
        <w:tc>
          <w:tcPr>
            <w:tcW w:w="15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6</w:t>
            </w:r>
          </w:p>
        </w:tc>
        <w:tc>
          <w:tcPr>
            <w:tcW w:w="36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升检查井及井筒 φ700</w:t>
            </w:r>
          </w:p>
        </w:tc>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座</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91</w:t>
            </w:r>
          </w:p>
        </w:tc>
        <w:tc>
          <w:tcPr>
            <w:tcW w:w="15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7</w:t>
            </w:r>
          </w:p>
        </w:tc>
        <w:tc>
          <w:tcPr>
            <w:tcW w:w="36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调换检查井φ700井座</w:t>
            </w:r>
          </w:p>
        </w:tc>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座</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91</w:t>
            </w:r>
          </w:p>
        </w:tc>
        <w:tc>
          <w:tcPr>
            <w:tcW w:w="15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8</w:t>
            </w:r>
          </w:p>
        </w:tc>
        <w:tc>
          <w:tcPr>
            <w:tcW w:w="36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调换检查井φ700井盖</w:t>
            </w:r>
          </w:p>
        </w:tc>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座</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91</w:t>
            </w:r>
          </w:p>
        </w:tc>
        <w:tc>
          <w:tcPr>
            <w:tcW w:w="15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9</w:t>
            </w:r>
          </w:p>
        </w:tc>
        <w:tc>
          <w:tcPr>
            <w:tcW w:w="36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升雨水口510*390</w:t>
            </w:r>
          </w:p>
        </w:tc>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座</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106</w:t>
            </w:r>
          </w:p>
        </w:tc>
        <w:tc>
          <w:tcPr>
            <w:tcW w:w="15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10</w:t>
            </w:r>
          </w:p>
        </w:tc>
        <w:tc>
          <w:tcPr>
            <w:tcW w:w="36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调换雨水口510*390井座</w:t>
            </w:r>
          </w:p>
        </w:tc>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座</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106</w:t>
            </w:r>
          </w:p>
        </w:tc>
        <w:tc>
          <w:tcPr>
            <w:tcW w:w="15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11</w:t>
            </w:r>
          </w:p>
        </w:tc>
        <w:tc>
          <w:tcPr>
            <w:tcW w:w="36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调换雨水口510*390井盖</w:t>
            </w:r>
          </w:p>
        </w:tc>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座</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106</w:t>
            </w:r>
          </w:p>
        </w:tc>
        <w:tc>
          <w:tcPr>
            <w:tcW w:w="15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12</w:t>
            </w:r>
          </w:p>
        </w:tc>
        <w:tc>
          <w:tcPr>
            <w:tcW w:w="36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调换路名牌直杆</w:t>
            </w:r>
          </w:p>
        </w:tc>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根</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20</w:t>
            </w:r>
          </w:p>
        </w:tc>
        <w:tc>
          <w:tcPr>
            <w:tcW w:w="15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13</w:t>
            </w:r>
          </w:p>
        </w:tc>
        <w:tc>
          <w:tcPr>
            <w:tcW w:w="36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调换路名牌面</w:t>
            </w:r>
          </w:p>
        </w:tc>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块</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20</w:t>
            </w:r>
          </w:p>
        </w:tc>
        <w:tc>
          <w:tcPr>
            <w:tcW w:w="15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14</w:t>
            </w:r>
          </w:p>
        </w:tc>
        <w:tc>
          <w:tcPr>
            <w:tcW w:w="36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桥梁栏杆</w:t>
            </w:r>
          </w:p>
        </w:tc>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m</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135.08</w:t>
            </w:r>
          </w:p>
        </w:tc>
        <w:tc>
          <w:tcPr>
            <w:tcW w:w="15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15</w:t>
            </w:r>
          </w:p>
        </w:tc>
        <w:tc>
          <w:tcPr>
            <w:tcW w:w="36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调换伸缩缝及清理</w:t>
            </w:r>
          </w:p>
        </w:tc>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m</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118.2</w:t>
            </w:r>
          </w:p>
        </w:tc>
        <w:tc>
          <w:tcPr>
            <w:tcW w:w="15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16</w:t>
            </w:r>
          </w:p>
        </w:tc>
        <w:tc>
          <w:tcPr>
            <w:tcW w:w="36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调换橡胶止水带及清理</w:t>
            </w:r>
          </w:p>
        </w:tc>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m</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118.2</w:t>
            </w:r>
          </w:p>
        </w:tc>
        <w:tc>
          <w:tcPr>
            <w:tcW w:w="15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17</w:t>
            </w:r>
          </w:p>
        </w:tc>
        <w:tc>
          <w:tcPr>
            <w:tcW w:w="36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支座保养维修</w:t>
            </w:r>
          </w:p>
        </w:tc>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只</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432</w:t>
            </w:r>
          </w:p>
        </w:tc>
        <w:tc>
          <w:tcPr>
            <w:tcW w:w="15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18</w:t>
            </w:r>
          </w:p>
        </w:tc>
        <w:tc>
          <w:tcPr>
            <w:tcW w:w="36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桥梁沉降观测检测</w:t>
            </w:r>
          </w:p>
        </w:tc>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项</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3</w:t>
            </w:r>
          </w:p>
        </w:tc>
        <w:tc>
          <w:tcPr>
            <w:tcW w:w="15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19</w:t>
            </w:r>
          </w:p>
        </w:tc>
        <w:tc>
          <w:tcPr>
            <w:tcW w:w="36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人行道路护栏修复</w:t>
            </w:r>
          </w:p>
        </w:tc>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m</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0</w:t>
            </w:r>
          </w:p>
        </w:tc>
        <w:tc>
          <w:tcPr>
            <w:tcW w:w="15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20</w:t>
            </w:r>
          </w:p>
        </w:tc>
        <w:tc>
          <w:tcPr>
            <w:tcW w:w="36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人行道路护栏清洁</w:t>
            </w:r>
          </w:p>
        </w:tc>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m</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0</w:t>
            </w:r>
          </w:p>
        </w:tc>
        <w:tc>
          <w:tcPr>
            <w:tcW w:w="15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21</w:t>
            </w:r>
          </w:p>
        </w:tc>
        <w:tc>
          <w:tcPr>
            <w:tcW w:w="36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道路常规检测及评价</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次</w:t>
            </w:r>
            <w:r>
              <w:rPr>
                <w:rStyle w:val="122"/>
                <w:rFonts w:hint="eastAsia" w:ascii="宋体" w:hAnsi="宋体" w:eastAsia="宋体" w:cs="宋体"/>
                <w:color w:val="000000" w:themeColor="text1"/>
                <w:sz w:val="21"/>
                <w:szCs w:val="21"/>
                <w:highlight w:val="none"/>
                <w:lang w:val="en-US" w:eastAsia="zh-CN" w:bidi="ar"/>
                <w14:textFill>
                  <w14:solidFill>
                    <w14:schemeClr w14:val="tx1"/>
                  </w14:solidFill>
                </w14:textFill>
              </w:rPr>
              <w:t>/</w:t>
            </w:r>
            <w:r>
              <w:rPr>
                <w:rStyle w:val="146"/>
                <w:rFonts w:hint="eastAsia" w:ascii="宋体" w:hAnsi="宋体" w:eastAsia="宋体" w:cs="宋体"/>
                <w:color w:val="000000" w:themeColor="text1"/>
                <w:sz w:val="21"/>
                <w:szCs w:val="21"/>
                <w:highlight w:val="none"/>
                <w:lang w:val="en-US" w:eastAsia="zh-CN" w:bidi="ar"/>
                <w14:textFill>
                  <w14:solidFill>
                    <w14:schemeClr w14:val="tx1"/>
                  </w14:solidFill>
                </w14:textFill>
              </w:rPr>
              <w:t>年</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w:t>
            </w:r>
          </w:p>
        </w:tc>
        <w:tc>
          <w:tcPr>
            <w:tcW w:w="15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1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c>
          <w:tcPr>
            <w:tcW w:w="36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4.1、临丁路（上塘河—石桥路）</w:t>
            </w:r>
          </w:p>
        </w:tc>
        <w:tc>
          <w:tcPr>
            <w:tcW w:w="283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使用年限：15年以上</w:t>
            </w:r>
          </w:p>
        </w:tc>
        <w:tc>
          <w:tcPr>
            <w:tcW w:w="15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w:t>
            </w:r>
            <w:r>
              <w:rPr>
                <w:rStyle w:val="146"/>
                <w:rFonts w:hint="eastAsia" w:ascii="宋体" w:hAnsi="宋体" w:eastAsia="宋体" w:cs="宋体"/>
                <w:color w:val="000000" w:themeColor="text1"/>
                <w:sz w:val="21"/>
                <w:szCs w:val="21"/>
                <w:highlight w:val="none"/>
                <w:lang w:val="en-US" w:eastAsia="zh-CN" w:bidi="ar"/>
                <w14:textFill>
                  <w14:solidFill>
                    <w14:schemeClr w14:val="tx1"/>
                  </w14:solidFill>
                </w14:textFill>
              </w:rPr>
              <w:t>竣工</w:t>
            </w:r>
            <w:r>
              <w:rPr>
                <w:rStyle w:val="122"/>
                <w:rFonts w:hint="eastAsia" w:ascii="宋体" w:hAnsi="宋体" w:eastAsia="宋体" w:cs="宋体"/>
                <w:color w:val="000000" w:themeColor="text1"/>
                <w:sz w:val="21"/>
                <w:szCs w:val="21"/>
                <w:highlight w:val="none"/>
                <w:lang w:val="en-US" w:eastAsia="zh-CN" w:bidi="ar"/>
                <w14:textFill>
                  <w14:solidFill>
                    <w14:schemeClr w14:val="tx1"/>
                  </w14:solidFill>
                </w14:textFill>
              </w:rPr>
              <w:t>:2004</w:t>
            </w:r>
            <w:r>
              <w:rPr>
                <w:rStyle w:val="146"/>
                <w:rFonts w:hint="eastAsia" w:ascii="宋体" w:hAnsi="宋体" w:eastAsia="宋体" w:cs="宋体"/>
                <w:color w:val="000000" w:themeColor="text1"/>
                <w:sz w:val="21"/>
                <w:szCs w:val="21"/>
                <w:highlight w:val="none"/>
                <w:lang w:val="en-US" w:eastAsia="zh-CN" w:bidi="ar"/>
                <w14:textFill>
                  <w14:solidFill>
                    <w14:schemeClr w14:val="tx1"/>
                  </w14:solidFill>
                </w14:textFill>
              </w:rPr>
              <w:t>年</w:t>
            </w:r>
            <w:r>
              <w:rPr>
                <w:rStyle w:val="122"/>
                <w:rFonts w:hint="eastAsia" w:ascii="宋体" w:hAnsi="宋体" w:eastAsia="宋体" w:cs="宋体"/>
                <w:color w:val="000000" w:themeColor="text1"/>
                <w:sz w:val="21"/>
                <w:szCs w:val="21"/>
                <w:highlight w:val="none"/>
                <w:lang w:val="en-US" w:eastAsia="zh-CN" w:bidi="ar"/>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w:t>
            </w:r>
          </w:p>
        </w:tc>
        <w:tc>
          <w:tcPr>
            <w:tcW w:w="36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道路巡视</w:t>
            </w:r>
          </w:p>
        </w:tc>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w:t>
            </w:r>
            <w:r>
              <w:rPr>
                <w:rStyle w:val="122"/>
                <w:rFonts w:hint="eastAsia" w:ascii="宋体" w:hAnsi="宋体" w:eastAsia="宋体" w:cs="宋体"/>
                <w:color w:val="000000" w:themeColor="text1"/>
                <w:sz w:val="21"/>
                <w:szCs w:val="21"/>
                <w:highlight w:val="none"/>
                <w:lang w:val="en-US" w:eastAsia="zh-CN" w:bidi="ar"/>
                <w14:textFill>
                  <w14:solidFill>
                    <w14:schemeClr w14:val="tx1"/>
                  </w14:solidFill>
                </w14:textFill>
              </w:rPr>
              <w:t>·</w:t>
            </w:r>
            <w:r>
              <w:rPr>
                <w:rStyle w:val="146"/>
                <w:rFonts w:hint="eastAsia" w:ascii="宋体" w:hAnsi="宋体" w:eastAsia="宋体" w:cs="宋体"/>
                <w:color w:val="000000" w:themeColor="text1"/>
                <w:sz w:val="21"/>
                <w:szCs w:val="21"/>
                <w:highlight w:val="none"/>
                <w:lang w:val="en-US" w:eastAsia="zh-CN" w:bidi="ar"/>
                <w14:textFill>
                  <w14:solidFill>
                    <w14:schemeClr w14:val="tx1"/>
                  </w14:solidFill>
                </w14:textFill>
              </w:rPr>
              <w:t>次</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0.496</w:t>
            </w:r>
          </w:p>
        </w:tc>
        <w:tc>
          <w:tcPr>
            <w:tcW w:w="15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2</w:t>
            </w:r>
          </w:p>
        </w:tc>
        <w:tc>
          <w:tcPr>
            <w:tcW w:w="36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沥青混凝土路面</w:t>
            </w:r>
          </w:p>
        </w:tc>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17856</w:t>
            </w:r>
          </w:p>
        </w:tc>
        <w:tc>
          <w:tcPr>
            <w:tcW w:w="15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3</w:t>
            </w:r>
          </w:p>
        </w:tc>
        <w:tc>
          <w:tcPr>
            <w:tcW w:w="36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人行道板</w:t>
            </w:r>
          </w:p>
        </w:tc>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2976</w:t>
            </w:r>
          </w:p>
        </w:tc>
        <w:tc>
          <w:tcPr>
            <w:tcW w:w="15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4</w:t>
            </w:r>
          </w:p>
        </w:tc>
        <w:tc>
          <w:tcPr>
            <w:tcW w:w="36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平石</w:t>
            </w:r>
          </w:p>
        </w:tc>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m</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3968</w:t>
            </w:r>
          </w:p>
        </w:tc>
        <w:tc>
          <w:tcPr>
            <w:tcW w:w="15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5</w:t>
            </w:r>
          </w:p>
        </w:tc>
        <w:tc>
          <w:tcPr>
            <w:tcW w:w="36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侧石</w:t>
            </w:r>
          </w:p>
        </w:tc>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m</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3968</w:t>
            </w:r>
          </w:p>
        </w:tc>
        <w:tc>
          <w:tcPr>
            <w:tcW w:w="15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6</w:t>
            </w:r>
          </w:p>
        </w:tc>
        <w:tc>
          <w:tcPr>
            <w:tcW w:w="36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升检查井及井筒 φ700</w:t>
            </w:r>
          </w:p>
        </w:tc>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座</w:t>
            </w:r>
          </w:p>
        </w:tc>
        <w:tc>
          <w:tcPr>
            <w:tcW w:w="141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27</w:t>
            </w:r>
          </w:p>
        </w:tc>
        <w:tc>
          <w:tcPr>
            <w:tcW w:w="15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7</w:t>
            </w:r>
          </w:p>
        </w:tc>
        <w:tc>
          <w:tcPr>
            <w:tcW w:w="36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调换检查井φ700井座</w:t>
            </w:r>
          </w:p>
        </w:tc>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座</w:t>
            </w:r>
          </w:p>
        </w:tc>
        <w:tc>
          <w:tcPr>
            <w:tcW w:w="141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27</w:t>
            </w:r>
          </w:p>
        </w:tc>
        <w:tc>
          <w:tcPr>
            <w:tcW w:w="15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8</w:t>
            </w:r>
          </w:p>
        </w:tc>
        <w:tc>
          <w:tcPr>
            <w:tcW w:w="36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调换检查井φ700井盖</w:t>
            </w:r>
          </w:p>
        </w:tc>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座</w:t>
            </w:r>
          </w:p>
        </w:tc>
        <w:tc>
          <w:tcPr>
            <w:tcW w:w="141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27</w:t>
            </w:r>
          </w:p>
        </w:tc>
        <w:tc>
          <w:tcPr>
            <w:tcW w:w="15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9</w:t>
            </w:r>
          </w:p>
        </w:tc>
        <w:tc>
          <w:tcPr>
            <w:tcW w:w="36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升雨水口510*390</w:t>
            </w:r>
          </w:p>
        </w:tc>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座</w:t>
            </w:r>
          </w:p>
        </w:tc>
        <w:tc>
          <w:tcPr>
            <w:tcW w:w="141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48</w:t>
            </w:r>
          </w:p>
        </w:tc>
        <w:tc>
          <w:tcPr>
            <w:tcW w:w="15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10</w:t>
            </w:r>
          </w:p>
        </w:tc>
        <w:tc>
          <w:tcPr>
            <w:tcW w:w="36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调换雨水口510*390井座</w:t>
            </w:r>
          </w:p>
        </w:tc>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座</w:t>
            </w:r>
          </w:p>
        </w:tc>
        <w:tc>
          <w:tcPr>
            <w:tcW w:w="141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48</w:t>
            </w:r>
          </w:p>
        </w:tc>
        <w:tc>
          <w:tcPr>
            <w:tcW w:w="15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11</w:t>
            </w:r>
          </w:p>
        </w:tc>
        <w:tc>
          <w:tcPr>
            <w:tcW w:w="36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调换雨水口510*390井盖</w:t>
            </w:r>
          </w:p>
        </w:tc>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座</w:t>
            </w:r>
          </w:p>
        </w:tc>
        <w:tc>
          <w:tcPr>
            <w:tcW w:w="141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48</w:t>
            </w:r>
          </w:p>
        </w:tc>
        <w:tc>
          <w:tcPr>
            <w:tcW w:w="15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12</w:t>
            </w:r>
          </w:p>
        </w:tc>
        <w:tc>
          <w:tcPr>
            <w:tcW w:w="36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调换路名牌直杆</w:t>
            </w:r>
          </w:p>
        </w:tc>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根</w:t>
            </w:r>
          </w:p>
        </w:tc>
        <w:tc>
          <w:tcPr>
            <w:tcW w:w="141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2</w:t>
            </w:r>
          </w:p>
        </w:tc>
        <w:tc>
          <w:tcPr>
            <w:tcW w:w="15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13</w:t>
            </w:r>
          </w:p>
        </w:tc>
        <w:tc>
          <w:tcPr>
            <w:tcW w:w="36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调换路名牌面</w:t>
            </w:r>
          </w:p>
        </w:tc>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块</w:t>
            </w:r>
          </w:p>
        </w:tc>
        <w:tc>
          <w:tcPr>
            <w:tcW w:w="141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2</w:t>
            </w:r>
          </w:p>
        </w:tc>
        <w:tc>
          <w:tcPr>
            <w:tcW w:w="15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14</w:t>
            </w:r>
          </w:p>
        </w:tc>
        <w:tc>
          <w:tcPr>
            <w:tcW w:w="36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桥梁栏杆</w:t>
            </w:r>
          </w:p>
        </w:tc>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m</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c>
          <w:tcPr>
            <w:tcW w:w="15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15</w:t>
            </w:r>
          </w:p>
        </w:tc>
        <w:tc>
          <w:tcPr>
            <w:tcW w:w="36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调换伸缩缝及清理</w:t>
            </w:r>
          </w:p>
        </w:tc>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m</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c>
          <w:tcPr>
            <w:tcW w:w="15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16</w:t>
            </w:r>
          </w:p>
        </w:tc>
        <w:tc>
          <w:tcPr>
            <w:tcW w:w="36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调换橡胶止水带及清理</w:t>
            </w:r>
          </w:p>
        </w:tc>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m</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c>
          <w:tcPr>
            <w:tcW w:w="15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17</w:t>
            </w:r>
          </w:p>
        </w:tc>
        <w:tc>
          <w:tcPr>
            <w:tcW w:w="36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支座保养维修</w:t>
            </w:r>
          </w:p>
        </w:tc>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只</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c>
          <w:tcPr>
            <w:tcW w:w="15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18</w:t>
            </w:r>
          </w:p>
        </w:tc>
        <w:tc>
          <w:tcPr>
            <w:tcW w:w="36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桥梁沉降观测检测</w:t>
            </w:r>
          </w:p>
        </w:tc>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项</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c>
          <w:tcPr>
            <w:tcW w:w="15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19</w:t>
            </w:r>
          </w:p>
        </w:tc>
        <w:tc>
          <w:tcPr>
            <w:tcW w:w="36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人行道路护栏修复</w:t>
            </w:r>
          </w:p>
        </w:tc>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m</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0</w:t>
            </w:r>
          </w:p>
        </w:tc>
        <w:tc>
          <w:tcPr>
            <w:tcW w:w="15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20</w:t>
            </w:r>
          </w:p>
        </w:tc>
        <w:tc>
          <w:tcPr>
            <w:tcW w:w="36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人行道路护栏清洁</w:t>
            </w:r>
          </w:p>
        </w:tc>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m</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0</w:t>
            </w:r>
          </w:p>
        </w:tc>
        <w:tc>
          <w:tcPr>
            <w:tcW w:w="15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21</w:t>
            </w:r>
          </w:p>
        </w:tc>
        <w:tc>
          <w:tcPr>
            <w:tcW w:w="36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道路常规检测及评价</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次</w:t>
            </w:r>
            <w:r>
              <w:rPr>
                <w:rStyle w:val="122"/>
                <w:rFonts w:hint="eastAsia" w:ascii="宋体" w:hAnsi="宋体" w:eastAsia="宋体" w:cs="宋体"/>
                <w:color w:val="000000" w:themeColor="text1"/>
                <w:sz w:val="21"/>
                <w:szCs w:val="21"/>
                <w:highlight w:val="none"/>
                <w:lang w:val="en-US" w:eastAsia="zh-CN" w:bidi="ar"/>
                <w14:textFill>
                  <w14:solidFill>
                    <w14:schemeClr w14:val="tx1"/>
                  </w14:solidFill>
                </w14:textFill>
              </w:rPr>
              <w:t>/</w:t>
            </w:r>
            <w:r>
              <w:rPr>
                <w:rStyle w:val="146"/>
                <w:rFonts w:hint="eastAsia" w:ascii="宋体" w:hAnsi="宋体" w:eastAsia="宋体" w:cs="宋体"/>
                <w:color w:val="000000" w:themeColor="text1"/>
                <w:sz w:val="21"/>
                <w:szCs w:val="21"/>
                <w:highlight w:val="none"/>
                <w:lang w:val="en-US" w:eastAsia="zh-CN" w:bidi="ar"/>
                <w14:textFill>
                  <w14:solidFill>
                    <w14:schemeClr w14:val="tx1"/>
                  </w14:solidFill>
                </w14:textFill>
              </w:rPr>
              <w:t>年</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w:t>
            </w:r>
          </w:p>
        </w:tc>
        <w:tc>
          <w:tcPr>
            <w:tcW w:w="15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91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c>
          <w:tcPr>
            <w:tcW w:w="36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4.2、临丁路（石桥路-洋家港）</w:t>
            </w:r>
          </w:p>
        </w:tc>
        <w:tc>
          <w:tcPr>
            <w:tcW w:w="283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使用年限：</w:t>
            </w:r>
            <w:r>
              <w:rPr>
                <w:rStyle w:val="122"/>
                <w:rFonts w:hint="eastAsia" w:ascii="宋体" w:hAnsi="宋体" w:eastAsia="宋体" w:cs="宋体"/>
                <w:color w:val="000000" w:themeColor="text1"/>
                <w:sz w:val="21"/>
                <w:szCs w:val="21"/>
                <w:highlight w:val="none"/>
                <w:lang w:val="en-US" w:eastAsia="zh-CN" w:bidi="ar"/>
                <w14:textFill>
                  <w14:solidFill>
                    <w14:schemeClr w14:val="tx1"/>
                  </w14:solidFill>
                </w14:textFill>
              </w:rPr>
              <w:t>1-3</w:t>
            </w:r>
            <w:r>
              <w:rPr>
                <w:rStyle w:val="146"/>
                <w:rFonts w:hint="eastAsia" w:ascii="宋体" w:hAnsi="宋体" w:eastAsia="宋体" w:cs="宋体"/>
                <w:color w:val="000000" w:themeColor="text1"/>
                <w:sz w:val="21"/>
                <w:szCs w:val="21"/>
                <w:highlight w:val="none"/>
                <w:lang w:val="en-US" w:eastAsia="zh-CN" w:bidi="ar"/>
                <w14:textFill>
                  <w14:solidFill>
                    <w14:schemeClr w14:val="tx1"/>
                  </w14:solidFill>
                </w14:textFill>
              </w:rPr>
              <w:t>年</w:t>
            </w:r>
          </w:p>
        </w:tc>
        <w:tc>
          <w:tcPr>
            <w:tcW w:w="15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w:t>
            </w:r>
            <w:r>
              <w:rPr>
                <w:rStyle w:val="146"/>
                <w:rFonts w:hint="eastAsia" w:ascii="宋体" w:hAnsi="宋体" w:eastAsia="宋体" w:cs="宋体"/>
                <w:color w:val="000000" w:themeColor="text1"/>
                <w:sz w:val="21"/>
                <w:szCs w:val="21"/>
                <w:highlight w:val="none"/>
                <w:lang w:val="en-US" w:eastAsia="zh-CN" w:bidi="ar"/>
                <w14:textFill>
                  <w14:solidFill>
                    <w14:schemeClr w14:val="tx1"/>
                  </w14:solidFill>
                </w14:textFill>
              </w:rPr>
              <w:t>竣工</w:t>
            </w:r>
            <w:r>
              <w:rPr>
                <w:rStyle w:val="122"/>
                <w:rFonts w:hint="eastAsia" w:ascii="宋体" w:hAnsi="宋体" w:eastAsia="宋体" w:cs="宋体"/>
                <w:color w:val="000000" w:themeColor="text1"/>
                <w:sz w:val="21"/>
                <w:szCs w:val="21"/>
                <w:highlight w:val="none"/>
                <w:lang w:val="en-US" w:eastAsia="zh-CN" w:bidi="ar"/>
                <w14:textFill>
                  <w14:solidFill>
                    <w14:schemeClr w14:val="tx1"/>
                  </w14:solidFill>
                </w14:textFill>
              </w:rPr>
              <w:t>:2022</w:t>
            </w:r>
            <w:r>
              <w:rPr>
                <w:rStyle w:val="146"/>
                <w:rFonts w:hint="eastAsia" w:ascii="宋体" w:hAnsi="宋体" w:eastAsia="宋体" w:cs="宋体"/>
                <w:color w:val="000000" w:themeColor="text1"/>
                <w:sz w:val="21"/>
                <w:szCs w:val="21"/>
                <w:highlight w:val="none"/>
                <w:lang w:val="en-US" w:eastAsia="zh-CN" w:bidi="ar"/>
                <w14:textFill>
                  <w14:solidFill>
                    <w14:schemeClr w14:val="tx1"/>
                  </w14:solidFill>
                </w14:textFill>
              </w:rPr>
              <w:t>年</w:t>
            </w:r>
            <w:r>
              <w:rPr>
                <w:rStyle w:val="122"/>
                <w:rFonts w:hint="eastAsia" w:ascii="宋体" w:hAnsi="宋体" w:eastAsia="宋体" w:cs="宋体"/>
                <w:color w:val="000000" w:themeColor="text1"/>
                <w:sz w:val="21"/>
                <w:szCs w:val="21"/>
                <w:highlight w:val="none"/>
                <w:lang w:val="en-US" w:eastAsia="zh-CN" w:bidi="ar"/>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w:t>
            </w:r>
          </w:p>
        </w:tc>
        <w:tc>
          <w:tcPr>
            <w:tcW w:w="36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道路巡视</w:t>
            </w:r>
          </w:p>
        </w:tc>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w:t>
            </w:r>
            <w:r>
              <w:rPr>
                <w:rStyle w:val="122"/>
                <w:rFonts w:hint="eastAsia" w:ascii="宋体" w:hAnsi="宋体" w:eastAsia="宋体" w:cs="宋体"/>
                <w:color w:val="000000" w:themeColor="text1"/>
                <w:sz w:val="21"/>
                <w:szCs w:val="21"/>
                <w:highlight w:val="none"/>
                <w:lang w:val="en-US" w:eastAsia="zh-CN" w:bidi="ar"/>
                <w14:textFill>
                  <w14:solidFill>
                    <w14:schemeClr w14:val="tx1"/>
                  </w14:solidFill>
                </w14:textFill>
              </w:rPr>
              <w:t>·</w:t>
            </w:r>
            <w:r>
              <w:rPr>
                <w:rStyle w:val="146"/>
                <w:rFonts w:hint="eastAsia" w:ascii="宋体" w:hAnsi="宋体" w:eastAsia="宋体" w:cs="宋体"/>
                <w:color w:val="000000" w:themeColor="text1"/>
                <w:sz w:val="21"/>
                <w:szCs w:val="21"/>
                <w:highlight w:val="none"/>
                <w:lang w:val="en-US" w:eastAsia="zh-CN" w:bidi="ar"/>
                <w14:textFill>
                  <w14:solidFill>
                    <w14:schemeClr w14:val="tx1"/>
                  </w14:solidFill>
                </w14:textFill>
              </w:rPr>
              <w:t>次</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0.859</w:t>
            </w:r>
          </w:p>
        </w:tc>
        <w:tc>
          <w:tcPr>
            <w:tcW w:w="15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2</w:t>
            </w:r>
          </w:p>
        </w:tc>
        <w:tc>
          <w:tcPr>
            <w:tcW w:w="36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沥青混凝土路面</w:t>
            </w:r>
          </w:p>
        </w:tc>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30330</w:t>
            </w:r>
          </w:p>
        </w:tc>
        <w:tc>
          <w:tcPr>
            <w:tcW w:w="15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3</w:t>
            </w:r>
          </w:p>
        </w:tc>
        <w:tc>
          <w:tcPr>
            <w:tcW w:w="36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人行道板</w:t>
            </w:r>
          </w:p>
        </w:tc>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2911</w:t>
            </w:r>
          </w:p>
        </w:tc>
        <w:tc>
          <w:tcPr>
            <w:tcW w:w="15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4</w:t>
            </w:r>
          </w:p>
        </w:tc>
        <w:tc>
          <w:tcPr>
            <w:tcW w:w="36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平石</w:t>
            </w:r>
          </w:p>
        </w:tc>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m</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6908</w:t>
            </w:r>
          </w:p>
        </w:tc>
        <w:tc>
          <w:tcPr>
            <w:tcW w:w="15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5</w:t>
            </w:r>
          </w:p>
        </w:tc>
        <w:tc>
          <w:tcPr>
            <w:tcW w:w="36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侧石</w:t>
            </w:r>
          </w:p>
        </w:tc>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m</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8764</w:t>
            </w:r>
          </w:p>
        </w:tc>
        <w:tc>
          <w:tcPr>
            <w:tcW w:w="15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6</w:t>
            </w:r>
          </w:p>
        </w:tc>
        <w:tc>
          <w:tcPr>
            <w:tcW w:w="36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升检查井及井筒 φ700</w:t>
            </w:r>
          </w:p>
        </w:tc>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座</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48</w:t>
            </w:r>
          </w:p>
        </w:tc>
        <w:tc>
          <w:tcPr>
            <w:tcW w:w="15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7</w:t>
            </w:r>
          </w:p>
        </w:tc>
        <w:tc>
          <w:tcPr>
            <w:tcW w:w="36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调换检查井φ700井座</w:t>
            </w:r>
          </w:p>
        </w:tc>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座</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48</w:t>
            </w:r>
          </w:p>
        </w:tc>
        <w:tc>
          <w:tcPr>
            <w:tcW w:w="15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8</w:t>
            </w:r>
          </w:p>
        </w:tc>
        <w:tc>
          <w:tcPr>
            <w:tcW w:w="36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调换检查井φ700井盖</w:t>
            </w:r>
          </w:p>
        </w:tc>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座</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48</w:t>
            </w:r>
          </w:p>
        </w:tc>
        <w:tc>
          <w:tcPr>
            <w:tcW w:w="15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9</w:t>
            </w:r>
          </w:p>
        </w:tc>
        <w:tc>
          <w:tcPr>
            <w:tcW w:w="36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升雨水口510*390</w:t>
            </w:r>
          </w:p>
        </w:tc>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座</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61</w:t>
            </w:r>
          </w:p>
        </w:tc>
        <w:tc>
          <w:tcPr>
            <w:tcW w:w="15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10</w:t>
            </w:r>
          </w:p>
        </w:tc>
        <w:tc>
          <w:tcPr>
            <w:tcW w:w="36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调换雨水口510*390井座</w:t>
            </w:r>
          </w:p>
        </w:tc>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座</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61</w:t>
            </w:r>
          </w:p>
        </w:tc>
        <w:tc>
          <w:tcPr>
            <w:tcW w:w="15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11</w:t>
            </w:r>
          </w:p>
        </w:tc>
        <w:tc>
          <w:tcPr>
            <w:tcW w:w="36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调换雨水口510*390井盖</w:t>
            </w:r>
          </w:p>
        </w:tc>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座</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61</w:t>
            </w:r>
          </w:p>
        </w:tc>
        <w:tc>
          <w:tcPr>
            <w:tcW w:w="15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12</w:t>
            </w:r>
          </w:p>
        </w:tc>
        <w:tc>
          <w:tcPr>
            <w:tcW w:w="36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调换路名牌直杆</w:t>
            </w:r>
          </w:p>
        </w:tc>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根</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4</w:t>
            </w:r>
          </w:p>
        </w:tc>
        <w:tc>
          <w:tcPr>
            <w:tcW w:w="15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13</w:t>
            </w:r>
          </w:p>
        </w:tc>
        <w:tc>
          <w:tcPr>
            <w:tcW w:w="36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调换路名牌面</w:t>
            </w:r>
          </w:p>
        </w:tc>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块</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4</w:t>
            </w:r>
          </w:p>
        </w:tc>
        <w:tc>
          <w:tcPr>
            <w:tcW w:w="15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14</w:t>
            </w:r>
          </w:p>
        </w:tc>
        <w:tc>
          <w:tcPr>
            <w:tcW w:w="36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桥梁栏杆</w:t>
            </w:r>
          </w:p>
        </w:tc>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m</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32</w:t>
            </w:r>
          </w:p>
        </w:tc>
        <w:tc>
          <w:tcPr>
            <w:tcW w:w="15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15</w:t>
            </w:r>
          </w:p>
        </w:tc>
        <w:tc>
          <w:tcPr>
            <w:tcW w:w="36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调换伸缩缝及清理</w:t>
            </w:r>
          </w:p>
        </w:tc>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m</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248</w:t>
            </w:r>
          </w:p>
        </w:tc>
        <w:tc>
          <w:tcPr>
            <w:tcW w:w="15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16</w:t>
            </w:r>
          </w:p>
        </w:tc>
        <w:tc>
          <w:tcPr>
            <w:tcW w:w="36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调换橡胶止水带及清理</w:t>
            </w:r>
          </w:p>
        </w:tc>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m</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248</w:t>
            </w:r>
          </w:p>
        </w:tc>
        <w:tc>
          <w:tcPr>
            <w:tcW w:w="15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59"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17</w:t>
            </w:r>
          </w:p>
        </w:tc>
        <w:tc>
          <w:tcPr>
            <w:tcW w:w="36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支座保养维修</w:t>
            </w:r>
          </w:p>
        </w:tc>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只</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240</w:t>
            </w:r>
          </w:p>
        </w:tc>
        <w:tc>
          <w:tcPr>
            <w:tcW w:w="15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18</w:t>
            </w:r>
          </w:p>
        </w:tc>
        <w:tc>
          <w:tcPr>
            <w:tcW w:w="36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桥梁沉降观测检测</w:t>
            </w:r>
          </w:p>
        </w:tc>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项</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w:t>
            </w:r>
          </w:p>
        </w:tc>
        <w:tc>
          <w:tcPr>
            <w:tcW w:w="15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19</w:t>
            </w:r>
          </w:p>
        </w:tc>
        <w:tc>
          <w:tcPr>
            <w:tcW w:w="36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人行道路护栏修复</w:t>
            </w:r>
          </w:p>
        </w:tc>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m</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48</w:t>
            </w:r>
          </w:p>
        </w:tc>
        <w:tc>
          <w:tcPr>
            <w:tcW w:w="15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20</w:t>
            </w:r>
          </w:p>
        </w:tc>
        <w:tc>
          <w:tcPr>
            <w:tcW w:w="36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人行道路护栏清洁</w:t>
            </w:r>
          </w:p>
        </w:tc>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m</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48</w:t>
            </w:r>
          </w:p>
        </w:tc>
        <w:tc>
          <w:tcPr>
            <w:tcW w:w="15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21</w:t>
            </w:r>
          </w:p>
        </w:tc>
        <w:tc>
          <w:tcPr>
            <w:tcW w:w="36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道路常规检测及评价</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次</w:t>
            </w:r>
            <w:r>
              <w:rPr>
                <w:rStyle w:val="122"/>
                <w:rFonts w:hint="eastAsia" w:ascii="宋体" w:hAnsi="宋体" w:eastAsia="宋体" w:cs="宋体"/>
                <w:color w:val="000000" w:themeColor="text1"/>
                <w:sz w:val="21"/>
                <w:szCs w:val="21"/>
                <w:highlight w:val="none"/>
                <w:lang w:val="en-US" w:eastAsia="zh-CN" w:bidi="ar"/>
                <w14:textFill>
                  <w14:solidFill>
                    <w14:schemeClr w14:val="tx1"/>
                  </w14:solidFill>
                </w14:textFill>
              </w:rPr>
              <w:t>/</w:t>
            </w:r>
            <w:r>
              <w:rPr>
                <w:rStyle w:val="146"/>
                <w:rFonts w:hint="eastAsia" w:ascii="宋体" w:hAnsi="宋体" w:eastAsia="宋体" w:cs="宋体"/>
                <w:color w:val="000000" w:themeColor="text1"/>
                <w:sz w:val="21"/>
                <w:szCs w:val="21"/>
                <w:highlight w:val="none"/>
                <w:lang w:val="en-US" w:eastAsia="zh-CN" w:bidi="ar"/>
                <w14:textFill>
                  <w14:solidFill>
                    <w14:schemeClr w14:val="tx1"/>
                  </w14:solidFill>
                </w14:textFill>
              </w:rPr>
              <w:t>年</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w:t>
            </w:r>
          </w:p>
        </w:tc>
        <w:tc>
          <w:tcPr>
            <w:tcW w:w="15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1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c>
          <w:tcPr>
            <w:tcW w:w="36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5、同协路（石祥东路-五会港（南岸线）)</w:t>
            </w:r>
          </w:p>
        </w:tc>
        <w:tc>
          <w:tcPr>
            <w:tcW w:w="283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使用年限：15年以上</w:t>
            </w:r>
          </w:p>
        </w:tc>
        <w:tc>
          <w:tcPr>
            <w:tcW w:w="15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w:t>
            </w:r>
            <w:r>
              <w:rPr>
                <w:rStyle w:val="146"/>
                <w:rFonts w:hint="eastAsia" w:ascii="宋体" w:hAnsi="宋体" w:eastAsia="宋体" w:cs="宋体"/>
                <w:color w:val="000000" w:themeColor="text1"/>
                <w:sz w:val="21"/>
                <w:szCs w:val="21"/>
                <w:highlight w:val="none"/>
                <w:lang w:val="en-US" w:eastAsia="zh-CN" w:bidi="ar"/>
                <w14:textFill>
                  <w14:solidFill>
                    <w14:schemeClr w14:val="tx1"/>
                  </w14:solidFill>
                </w14:textFill>
              </w:rPr>
              <w:t>竣工</w:t>
            </w:r>
            <w:r>
              <w:rPr>
                <w:rStyle w:val="122"/>
                <w:rFonts w:hint="eastAsia" w:ascii="宋体" w:hAnsi="宋体" w:eastAsia="宋体" w:cs="宋体"/>
                <w:color w:val="000000" w:themeColor="text1"/>
                <w:sz w:val="21"/>
                <w:szCs w:val="21"/>
                <w:highlight w:val="none"/>
                <w:lang w:val="en-US" w:eastAsia="zh-CN" w:bidi="ar"/>
                <w14:textFill>
                  <w14:solidFill>
                    <w14:schemeClr w14:val="tx1"/>
                  </w14:solidFill>
                </w14:textFill>
              </w:rPr>
              <w:t>:2007</w:t>
            </w:r>
            <w:r>
              <w:rPr>
                <w:rStyle w:val="146"/>
                <w:rFonts w:hint="eastAsia" w:ascii="宋体" w:hAnsi="宋体" w:eastAsia="宋体" w:cs="宋体"/>
                <w:color w:val="000000" w:themeColor="text1"/>
                <w:sz w:val="21"/>
                <w:szCs w:val="21"/>
                <w:highlight w:val="none"/>
                <w:lang w:val="en-US" w:eastAsia="zh-CN" w:bidi="ar"/>
                <w14:textFill>
                  <w14:solidFill>
                    <w14:schemeClr w14:val="tx1"/>
                  </w14:solidFill>
                </w14:textFill>
              </w:rPr>
              <w:t>年</w:t>
            </w:r>
            <w:r>
              <w:rPr>
                <w:rStyle w:val="122"/>
                <w:rFonts w:hint="eastAsia" w:ascii="宋体" w:hAnsi="宋体" w:eastAsia="宋体" w:cs="宋体"/>
                <w:color w:val="000000" w:themeColor="text1"/>
                <w:sz w:val="21"/>
                <w:szCs w:val="21"/>
                <w:highlight w:val="none"/>
                <w:lang w:val="en-US" w:eastAsia="zh-CN" w:bidi="ar"/>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w:t>
            </w:r>
          </w:p>
        </w:tc>
        <w:tc>
          <w:tcPr>
            <w:tcW w:w="36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道路巡视</w:t>
            </w:r>
          </w:p>
        </w:tc>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w:t>
            </w:r>
            <w:r>
              <w:rPr>
                <w:rStyle w:val="122"/>
                <w:rFonts w:hint="eastAsia" w:ascii="宋体" w:hAnsi="宋体" w:eastAsia="宋体" w:cs="宋体"/>
                <w:color w:val="000000" w:themeColor="text1"/>
                <w:sz w:val="21"/>
                <w:szCs w:val="21"/>
                <w:highlight w:val="none"/>
                <w:lang w:val="en-US" w:eastAsia="zh-CN" w:bidi="ar"/>
                <w14:textFill>
                  <w14:solidFill>
                    <w14:schemeClr w14:val="tx1"/>
                  </w14:solidFill>
                </w14:textFill>
              </w:rPr>
              <w:t>·</w:t>
            </w:r>
            <w:r>
              <w:rPr>
                <w:rStyle w:val="146"/>
                <w:rFonts w:hint="eastAsia" w:ascii="宋体" w:hAnsi="宋体" w:eastAsia="宋体" w:cs="宋体"/>
                <w:color w:val="000000" w:themeColor="text1"/>
                <w:sz w:val="21"/>
                <w:szCs w:val="21"/>
                <w:highlight w:val="none"/>
                <w:lang w:val="en-US" w:eastAsia="zh-CN" w:bidi="ar"/>
                <w14:textFill>
                  <w14:solidFill>
                    <w14:schemeClr w14:val="tx1"/>
                  </w14:solidFill>
                </w14:textFill>
              </w:rPr>
              <w:t>次</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1.265</w:t>
            </w:r>
          </w:p>
        </w:tc>
        <w:tc>
          <w:tcPr>
            <w:tcW w:w="15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2</w:t>
            </w:r>
          </w:p>
        </w:tc>
        <w:tc>
          <w:tcPr>
            <w:tcW w:w="36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沥青混凝土路面</w:t>
            </w:r>
          </w:p>
        </w:tc>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39206</w:t>
            </w:r>
          </w:p>
        </w:tc>
        <w:tc>
          <w:tcPr>
            <w:tcW w:w="15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3</w:t>
            </w:r>
          </w:p>
        </w:tc>
        <w:tc>
          <w:tcPr>
            <w:tcW w:w="36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人行道板</w:t>
            </w:r>
          </w:p>
        </w:tc>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3558</w:t>
            </w:r>
          </w:p>
        </w:tc>
        <w:tc>
          <w:tcPr>
            <w:tcW w:w="15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4</w:t>
            </w:r>
          </w:p>
        </w:tc>
        <w:tc>
          <w:tcPr>
            <w:tcW w:w="36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平石</w:t>
            </w:r>
          </w:p>
        </w:tc>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m</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6586</w:t>
            </w:r>
          </w:p>
        </w:tc>
        <w:tc>
          <w:tcPr>
            <w:tcW w:w="15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5</w:t>
            </w:r>
          </w:p>
        </w:tc>
        <w:tc>
          <w:tcPr>
            <w:tcW w:w="36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侧石</w:t>
            </w:r>
          </w:p>
        </w:tc>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m</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11646</w:t>
            </w:r>
          </w:p>
        </w:tc>
        <w:tc>
          <w:tcPr>
            <w:tcW w:w="15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6</w:t>
            </w:r>
          </w:p>
        </w:tc>
        <w:tc>
          <w:tcPr>
            <w:tcW w:w="36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升检查井及井筒 φ700</w:t>
            </w:r>
          </w:p>
        </w:tc>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座</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61</w:t>
            </w:r>
          </w:p>
        </w:tc>
        <w:tc>
          <w:tcPr>
            <w:tcW w:w="15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7</w:t>
            </w:r>
          </w:p>
        </w:tc>
        <w:tc>
          <w:tcPr>
            <w:tcW w:w="36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调换检查井φ700井座</w:t>
            </w:r>
          </w:p>
        </w:tc>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座</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61</w:t>
            </w:r>
          </w:p>
        </w:tc>
        <w:tc>
          <w:tcPr>
            <w:tcW w:w="15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8</w:t>
            </w:r>
          </w:p>
        </w:tc>
        <w:tc>
          <w:tcPr>
            <w:tcW w:w="36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调换检查井φ700井盖</w:t>
            </w:r>
          </w:p>
        </w:tc>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座</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61</w:t>
            </w:r>
          </w:p>
        </w:tc>
        <w:tc>
          <w:tcPr>
            <w:tcW w:w="15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9</w:t>
            </w:r>
          </w:p>
        </w:tc>
        <w:tc>
          <w:tcPr>
            <w:tcW w:w="36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升雨水口510*390</w:t>
            </w:r>
          </w:p>
        </w:tc>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座</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159</w:t>
            </w:r>
          </w:p>
        </w:tc>
        <w:tc>
          <w:tcPr>
            <w:tcW w:w="15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10</w:t>
            </w:r>
          </w:p>
        </w:tc>
        <w:tc>
          <w:tcPr>
            <w:tcW w:w="36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调换雨水口510*390井座</w:t>
            </w:r>
          </w:p>
        </w:tc>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座</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159</w:t>
            </w:r>
          </w:p>
        </w:tc>
        <w:tc>
          <w:tcPr>
            <w:tcW w:w="15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11</w:t>
            </w:r>
          </w:p>
        </w:tc>
        <w:tc>
          <w:tcPr>
            <w:tcW w:w="36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调换雨水口510*390井盖</w:t>
            </w:r>
          </w:p>
        </w:tc>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座</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159</w:t>
            </w:r>
          </w:p>
        </w:tc>
        <w:tc>
          <w:tcPr>
            <w:tcW w:w="15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12</w:t>
            </w:r>
          </w:p>
        </w:tc>
        <w:tc>
          <w:tcPr>
            <w:tcW w:w="36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调换路名牌直杆</w:t>
            </w:r>
          </w:p>
        </w:tc>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根</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8</w:t>
            </w:r>
          </w:p>
        </w:tc>
        <w:tc>
          <w:tcPr>
            <w:tcW w:w="15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13</w:t>
            </w:r>
          </w:p>
        </w:tc>
        <w:tc>
          <w:tcPr>
            <w:tcW w:w="36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调换路名牌面</w:t>
            </w:r>
          </w:p>
        </w:tc>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块</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8</w:t>
            </w:r>
          </w:p>
        </w:tc>
        <w:tc>
          <w:tcPr>
            <w:tcW w:w="15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14</w:t>
            </w:r>
          </w:p>
        </w:tc>
        <w:tc>
          <w:tcPr>
            <w:tcW w:w="36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桥梁栏杆</w:t>
            </w:r>
          </w:p>
        </w:tc>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m</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0</w:t>
            </w:r>
          </w:p>
        </w:tc>
        <w:tc>
          <w:tcPr>
            <w:tcW w:w="15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15</w:t>
            </w:r>
          </w:p>
        </w:tc>
        <w:tc>
          <w:tcPr>
            <w:tcW w:w="36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调换伸缩缝及清理</w:t>
            </w:r>
          </w:p>
        </w:tc>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m</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0</w:t>
            </w:r>
          </w:p>
        </w:tc>
        <w:tc>
          <w:tcPr>
            <w:tcW w:w="15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16</w:t>
            </w:r>
          </w:p>
        </w:tc>
        <w:tc>
          <w:tcPr>
            <w:tcW w:w="36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调换橡胶止水带及清理</w:t>
            </w:r>
          </w:p>
        </w:tc>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m</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0</w:t>
            </w:r>
          </w:p>
        </w:tc>
        <w:tc>
          <w:tcPr>
            <w:tcW w:w="15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17</w:t>
            </w:r>
          </w:p>
        </w:tc>
        <w:tc>
          <w:tcPr>
            <w:tcW w:w="36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支座保养维修</w:t>
            </w:r>
          </w:p>
        </w:tc>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只</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0</w:t>
            </w:r>
          </w:p>
        </w:tc>
        <w:tc>
          <w:tcPr>
            <w:tcW w:w="15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18</w:t>
            </w:r>
          </w:p>
        </w:tc>
        <w:tc>
          <w:tcPr>
            <w:tcW w:w="36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桥梁沉降观测检测</w:t>
            </w:r>
          </w:p>
        </w:tc>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项</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0</w:t>
            </w:r>
          </w:p>
        </w:tc>
        <w:tc>
          <w:tcPr>
            <w:tcW w:w="15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19</w:t>
            </w:r>
          </w:p>
        </w:tc>
        <w:tc>
          <w:tcPr>
            <w:tcW w:w="36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人行道路护栏修复</w:t>
            </w:r>
          </w:p>
        </w:tc>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m</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0</w:t>
            </w:r>
          </w:p>
        </w:tc>
        <w:tc>
          <w:tcPr>
            <w:tcW w:w="15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20</w:t>
            </w:r>
          </w:p>
        </w:tc>
        <w:tc>
          <w:tcPr>
            <w:tcW w:w="36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人行道路护栏清洁</w:t>
            </w:r>
          </w:p>
        </w:tc>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m</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0</w:t>
            </w:r>
          </w:p>
        </w:tc>
        <w:tc>
          <w:tcPr>
            <w:tcW w:w="15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21</w:t>
            </w:r>
          </w:p>
        </w:tc>
        <w:tc>
          <w:tcPr>
            <w:tcW w:w="36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道路常规检测及评价</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次</w:t>
            </w:r>
            <w:r>
              <w:rPr>
                <w:rStyle w:val="122"/>
                <w:rFonts w:hint="eastAsia" w:ascii="宋体" w:hAnsi="宋体" w:eastAsia="宋体" w:cs="宋体"/>
                <w:color w:val="000000" w:themeColor="text1"/>
                <w:sz w:val="21"/>
                <w:szCs w:val="21"/>
                <w:highlight w:val="none"/>
                <w:lang w:val="en-US" w:eastAsia="zh-CN" w:bidi="ar"/>
                <w14:textFill>
                  <w14:solidFill>
                    <w14:schemeClr w14:val="tx1"/>
                  </w14:solidFill>
                </w14:textFill>
              </w:rPr>
              <w:t>/</w:t>
            </w:r>
            <w:r>
              <w:rPr>
                <w:rStyle w:val="146"/>
                <w:rFonts w:hint="eastAsia" w:ascii="宋体" w:hAnsi="宋体" w:eastAsia="宋体" w:cs="宋体"/>
                <w:color w:val="000000" w:themeColor="text1"/>
                <w:sz w:val="21"/>
                <w:szCs w:val="21"/>
                <w:highlight w:val="none"/>
                <w:lang w:val="en-US" w:eastAsia="zh-CN" w:bidi="ar"/>
                <w14:textFill>
                  <w14:solidFill>
                    <w14:schemeClr w14:val="tx1"/>
                  </w14:solidFill>
                </w14:textFill>
              </w:rPr>
              <w:t>年</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w:t>
            </w:r>
          </w:p>
        </w:tc>
        <w:tc>
          <w:tcPr>
            <w:tcW w:w="15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1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c>
          <w:tcPr>
            <w:tcW w:w="36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6、石祥东路（石桥路-同协路西侧）</w:t>
            </w:r>
          </w:p>
        </w:tc>
        <w:tc>
          <w:tcPr>
            <w:tcW w:w="283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使用年限：</w:t>
            </w:r>
            <w:r>
              <w:rPr>
                <w:rStyle w:val="122"/>
                <w:rFonts w:hint="eastAsia" w:ascii="宋体" w:hAnsi="宋体" w:eastAsia="宋体" w:cs="宋体"/>
                <w:color w:val="000000" w:themeColor="text1"/>
                <w:sz w:val="21"/>
                <w:szCs w:val="21"/>
                <w:highlight w:val="none"/>
                <w:lang w:val="en-US" w:eastAsia="zh-CN" w:bidi="ar"/>
                <w14:textFill>
                  <w14:solidFill>
                    <w14:schemeClr w14:val="tx1"/>
                  </w14:solidFill>
                </w14:textFill>
              </w:rPr>
              <w:t>15</w:t>
            </w:r>
            <w:r>
              <w:rPr>
                <w:rStyle w:val="146"/>
                <w:rFonts w:hint="eastAsia" w:ascii="宋体" w:hAnsi="宋体" w:eastAsia="宋体" w:cs="宋体"/>
                <w:color w:val="000000" w:themeColor="text1"/>
                <w:sz w:val="21"/>
                <w:szCs w:val="21"/>
                <w:highlight w:val="none"/>
                <w:lang w:val="en-US" w:eastAsia="zh-CN" w:bidi="ar"/>
                <w14:textFill>
                  <w14:solidFill>
                    <w14:schemeClr w14:val="tx1"/>
                  </w14:solidFill>
                </w14:textFill>
              </w:rPr>
              <w:t>年以上</w:t>
            </w:r>
          </w:p>
        </w:tc>
        <w:tc>
          <w:tcPr>
            <w:tcW w:w="15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w:t>
            </w:r>
            <w:r>
              <w:rPr>
                <w:rStyle w:val="146"/>
                <w:rFonts w:hint="eastAsia" w:ascii="宋体" w:hAnsi="宋体" w:eastAsia="宋体" w:cs="宋体"/>
                <w:color w:val="000000" w:themeColor="text1"/>
                <w:sz w:val="21"/>
                <w:szCs w:val="21"/>
                <w:highlight w:val="none"/>
                <w:lang w:val="en-US" w:eastAsia="zh-CN" w:bidi="ar"/>
                <w14:textFill>
                  <w14:solidFill>
                    <w14:schemeClr w14:val="tx1"/>
                  </w14:solidFill>
                </w14:textFill>
              </w:rPr>
              <w:t>竣工</w:t>
            </w:r>
            <w:r>
              <w:rPr>
                <w:rStyle w:val="122"/>
                <w:rFonts w:hint="eastAsia" w:ascii="宋体" w:hAnsi="宋体" w:eastAsia="宋体" w:cs="宋体"/>
                <w:color w:val="000000" w:themeColor="text1"/>
                <w:sz w:val="21"/>
                <w:szCs w:val="21"/>
                <w:highlight w:val="none"/>
                <w:lang w:val="en-US" w:eastAsia="zh-CN" w:bidi="ar"/>
                <w14:textFill>
                  <w14:solidFill>
                    <w14:schemeClr w14:val="tx1"/>
                  </w14:solidFill>
                </w14:textFill>
              </w:rPr>
              <w:t>:2008</w:t>
            </w:r>
            <w:r>
              <w:rPr>
                <w:rStyle w:val="146"/>
                <w:rFonts w:hint="eastAsia" w:ascii="宋体" w:hAnsi="宋体" w:eastAsia="宋体" w:cs="宋体"/>
                <w:color w:val="000000" w:themeColor="text1"/>
                <w:sz w:val="21"/>
                <w:szCs w:val="21"/>
                <w:highlight w:val="none"/>
                <w:lang w:val="en-US" w:eastAsia="zh-CN" w:bidi="ar"/>
                <w14:textFill>
                  <w14:solidFill>
                    <w14:schemeClr w14:val="tx1"/>
                  </w14:solidFill>
                </w14:textFill>
              </w:rPr>
              <w:t>年</w:t>
            </w:r>
            <w:r>
              <w:rPr>
                <w:rStyle w:val="122"/>
                <w:rFonts w:hint="eastAsia" w:ascii="宋体" w:hAnsi="宋体" w:eastAsia="宋体" w:cs="宋体"/>
                <w:color w:val="000000" w:themeColor="text1"/>
                <w:sz w:val="21"/>
                <w:szCs w:val="21"/>
                <w:highlight w:val="none"/>
                <w:lang w:val="en-US" w:eastAsia="zh-CN" w:bidi="ar"/>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w:t>
            </w:r>
          </w:p>
        </w:tc>
        <w:tc>
          <w:tcPr>
            <w:tcW w:w="36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道路巡视</w:t>
            </w:r>
          </w:p>
        </w:tc>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w:t>
            </w:r>
            <w:r>
              <w:rPr>
                <w:rStyle w:val="122"/>
                <w:rFonts w:hint="eastAsia" w:ascii="宋体" w:hAnsi="宋体" w:eastAsia="宋体" w:cs="宋体"/>
                <w:color w:val="000000" w:themeColor="text1"/>
                <w:sz w:val="21"/>
                <w:szCs w:val="21"/>
                <w:highlight w:val="none"/>
                <w:lang w:val="en-US" w:eastAsia="zh-CN" w:bidi="ar"/>
                <w14:textFill>
                  <w14:solidFill>
                    <w14:schemeClr w14:val="tx1"/>
                  </w14:solidFill>
                </w14:textFill>
              </w:rPr>
              <w:t>·</w:t>
            </w:r>
            <w:r>
              <w:rPr>
                <w:rStyle w:val="146"/>
                <w:rFonts w:hint="eastAsia" w:ascii="宋体" w:hAnsi="宋体" w:eastAsia="宋体" w:cs="宋体"/>
                <w:color w:val="000000" w:themeColor="text1"/>
                <w:sz w:val="21"/>
                <w:szCs w:val="21"/>
                <w:highlight w:val="none"/>
                <w:lang w:val="en-US" w:eastAsia="zh-CN" w:bidi="ar"/>
                <w14:textFill>
                  <w14:solidFill>
                    <w14:schemeClr w14:val="tx1"/>
                  </w14:solidFill>
                </w14:textFill>
              </w:rPr>
              <w:t>次</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1.811</w:t>
            </w:r>
          </w:p>
        </w:tc>
        <w:tc>
          <w:tcPr>
            <w:tcW w:w="15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2</w:t>
            </w:r>
          </w:p>
        </w:tc>
        <w:tc>
          <w:tcPr>
            <w:tcW w:w="36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沥青混凝土路面</w:t>
            </w:r>
          </w:p>
        </w:tc>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48278</w:t>
            </w:r>
          </w:p>
        </w:tc>
        <w:tc>
          <w:tcPr>
            <w:tcW w:w="15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3</w:t>
            </w:r>
          </w:p>
        </w:tc>
        <w:tc>
          <w:tcPr>
            <w:tcW w:w="36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人行道板</w:t>
            </w:r>
          </w:p>
        </w:tc>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13940.8</w:t>
            </w:r>
          </w:p>
        </w:tc>
        <w:tc>
          <w:tcPr>
            <w:tcW w:w="15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4</w:t>
            </w:r>
          </w:p>
        </w:tc>
        <w:tc>
          <w:tcPr>
            <w:tcW w:w="36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平石</w:t>
            </w:r>
          </w:p>
        </w:tc>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m</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14488</w:t>
            </w:r>
          </w:p>
        </w:tc>
        <w:tc>
          <w:tcPr>
            <w:tcW w:w="15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5</w:t>
            </w:r>
          </w:p>
        </w:tc>
        <w:tc>
          <w:tcPr>
            <w:tcW w:w="36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侧石</w:t>
            </w:r>
          </w:p>
        </w:tc>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m</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14488</w:t>
            </w:r>
          </w:p>
        </w:tc>
        <w:tc>
          <w:tcPr>
            <w:tcW w:w="15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6</w:t>
            </w:r>
          </w:p>
        </w:tc>
        <w:tc>
          <w:tcPr>
            <w:tcW w:w="36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升检查井及井筒 φ700</w:t>
            </w:r>
          </w:p>
        </w:tc>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座</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38</w:t>
            </w:r>
          </w:p>
        </w:tc>
        <w:tc>
          <w:tcPr>
            <w:tcW w:w="15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7</w:t>
            </w:r>
          </w:p>
        </w:tc>
        <w:tc>
          <w:tcPr>
            <w:tcW w:w="36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调换检查井φ700井座</w:t>
            </w:r>
          </w:p>
        </w:tc>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座</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38</w:t>
            </w:r>
          </w:p>
        </w:tc>
        <w:tc>
          <w:tcPr>
            <w:tcW w:w="15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8</w:t>
            </w:r>
          </w:p>
        </w:tc>
        <w:tc>
          <w:tcPr>
            <w:tcW w:w="36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调换检查井φ700井盖</w:t>
            </w:r>
          </w:p>
        </w:tc>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座</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38</w:t>
            </w:r>
          </w:p>
        </w:tc>
        <w:tc>
          <w:tcPr>
            <w:tcW w:w="15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9</w:t>
            </w:r>
          </w:p>
        </w:tc>
        <w:tc>
          <w:tcPr>
            <w:tcW w:w="36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升雨水口510*390</w:t>
            </w:r>
          </w:p>
        </w:tc>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座</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76</w:t>
            </w:r>
          </w:p>
        </w:tc>
        <w:tc>
          <w:tcPr>
            <w:tcW w:w="15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10</w:t>
            </w:r>
          </w:p>
        </w:tc>
        <w:tc>
          <w:tcPr>
            <w:tcW w:w="36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调换雨水口510*390井座</w:t>
            </w:r>
          </w:p>
        </w:tc>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座</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76</w:t>
            </w:r>
          </w:p>
        </w:tc>
        <w:tc>
          <w:tcPr>
            <w:tcW w:w="15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11</w:t>
            </w:r>
          </w:p>
        </w:tc>
        <w:tc>
          <w:tcPr>
            <w:tcW w:w="36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调换雨水口510*390井盖</w:t>
            </w:r>
          </w:p>
        </w:tc>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座</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76</w:t>
            </w:r>
          </w:p>
        </w:tc>
        <w:tc>
          <w:tcPr>
            <w:tcW w:w="15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12</w:t>
            </w:r>
          </w:p>
        </w:tc>
        <w:tc>
          <w:tcPr>
            <w:tcW w:w="36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调换路名牌直杆</w:t>
            </w:r>
          </w:p>
        </w:tc>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根</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7</w:t>
            </w:r>
          </w:p>
        </w:tc>
        <w:tc>
          <w:tcPr>
            <w:tcW w:w="15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13</w:t>
            </w:r>
          </w:p>
        </w:tc>
        <w:tc>
          <w:tcPr>
            <w:tcW w:w="36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调换路名牌面</w:t>
            </w:r>
          </w:p>
        </w:tc>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块</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7</w:t>
            </w:r>
          </w:p>
        </w:tc>
        <w:tc>
          <w:tcPr>
            <w:tcW w:w="15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14</w:t>
            </w:r>
          </w:p>
        </w:tc>
        <w:tc>
          <w:tcPr>
            <w:tcW w:w="36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桥梁栏杆</w:t>
            </w:r>
          </w:p>
        </w:tc>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m</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138</w:t>
            </w:r>
          </w:p>
        </w:tc>
        <w:tc>
          <w:tcPr>
            <w:tcW w:w="15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15</w:t>
            </w:r>
          </w:p>
        </w:tc>
        <w:tc>
          <w:tcPr>
            <w:tcW w:w="36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调换伸缩缝及清理</w:t>
            </w:r>
          </w:p>
        </w:tc>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m</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203.6</w:t>
            </w:r>
          </w:p>
        </w:tc>
        <w:tc>
          <w:tcPr>
            <w:tcW w:w="15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16</w:t>
            </w:r>
          </w:p>
        </w:tc>
        <w:tc>
          <w:tcPr>
            <w:tcW w:w="36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调换橡胶止水带及清理</w:t>
            </w:r>
          </w:p>
        </w:tc>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m</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203.6</w:t>
            </w:r>
          </w:p>
        </w:tc>
        <w:tc>
          <w:tcPr>
            <w:tcW w:w="15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17</w:t>
            </w:r>
          </w:p>
        </w:tc>
        <w:tc>
          <w:tcPr>
            <w:tcW w:w="36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支座保养维修</w:t>
            </w:r>
          </w:p>
        </w:tc>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只</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432</w:t>
            </w:r>
          </w:p>
        </w:tc>
        <w:tc>
          <w:tcPr>
            <w:tcW w:w="15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18</w:t>
            </w:r>
          </w:p>
        </w:tc>
        <w:tc>
          <w:tcPr>
            <w:tcW w:w="36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桥梁沉降观测检测</w:t>
            </w:r>
          </w:p>
        </w:tc>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项</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4</w:t>
            </w:r>
          </w:p>
        </w:tc>
        <w:tc>
          <w:tcPr>
            <w:tcW w:w="15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19</w:t>
            </w:r>
          </w:p>
        </w:tc>
        <w:tc>
          <w:tcPr>
            <w:tcW w:w="36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人行道路护栏修复</w:t>
            </w:r>
          </w:p>
        </w:tc>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m</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0</w:t>
            </w:r>
          </w:p>
        </w:tc>
        <w:tc>
          <w:tcPr>
            <w:tcW w:w="15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20</w:t>
            </w:r>
          </w:p>
        </w:tc>
        <w:tc>
          <w:tcPr>
            <w:tcW w:w="36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人行道路护栏清洁</w:t>
            </w:r>
          </w:p>
        </w:tc>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m</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0</w:t>
            </w:r>
          </w:p>
        </w:tc>
        <w:tc>
          <w:tcPr>
            <w:tcW w:w="15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21</w:t>
            </w:r>
          </w:p>
        </w:tc>
        <w:tc>
          <w:tcPr>
            <w:tcW w:w="36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道路常规检测及评价</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次</w:t>
            </w:r>
            <w:r>
              <w:rPr>
                <w:rStyle w:val="122"/>
                <w:rFonts w:hint="eastAsia" w:ascii="宋体" w:hAnsi="宋体" w:eastAsia="宋体" w:cs="宋体"/>
                <w:color w:val="000000" w:themeColor="text1"/>
                <w:sz w:val="21"/>
                <w:szCs w:val="21"/>
                <w:highlight w:val="none"/>
                <w:lang w:val="en-US" w:eastAsia="zh-CN" w:bidi="ar"/>
                <w14:textFill>
                  <w14:solidFill>
                    <w14:schemeClr w14:val="tx1"/>
                  </w14:solidFill>
                </w14:textFill>
              </w:rPr>
              <w:t>/</w:t>
            </w:r>
            <w:r>
              <w:rPr>
                <w:rStyle w:val="146"/>
                <w:rFonts w:hint="eastAsia" w:ascii="宋体" w:hAnsi="宋体" w:eastAsia="宋体" w:cs="宋体"/>
                <w:color w:val="000000" w:themeColor="text1"/>
                <w:sz w:val="21"/>
                <w:szCs w:val="21"/>
                <w:highlight w:val="none"/>
                <w:lang w:val="en-US" w:eastAsia="zh-CN" w:bidi="ar"/>
                <w14:textFill>
                  <w14:solidFill>
                    <w14:schemeClr w14:val="tx1"/>
                  </w14:solidFill>
                </w14:textFill>
              </w:rPr>
              <w:t>年</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w:t>
            </w:r>
          </w:p>
        </w:tc>
        <w:tc>
          <w:tcPr>
            <w:tcW w:w="15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1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c>
          <w:tcPr>
            <w:tcW w:w="36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7、永祥街（石桥路—上塘河东岸）</w:t>
            </w:r>
          </w:p>
        </w:tc>
        <w:tc>
          <w:tcPr>
            <w:tcW w:w="283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使用年限：</w:t>
            </w:r>
            <w:r>
              <w:rPr>
                <w:rStyle w:val="122"/>
                <w:rFonts w:hint="eastAsia" w:ascii="宋体" w:hAnsi="宋体" w:eastAsia="宋体" w:cs="宋体"/>
                <w:color w:val="000000" w:themeColor="text1"/>
                <w:sz w:val="21"/>
                <w:szCs w:val="21"/>
                <w:highlight w:val="none"/>
                <w:lang w:val="en-US" w:eastAsia="zh-CN" w:bidi="ar"/>
                <w14:textFill>
                  <w14:solidFill>
                    <w14:schemeClr w14:val="tx1"/>
                  </w14:solidFill>
                </w14:textFill>
              </w:rPr>
              <w:t>15</w:t>
            </w:r>
            <w:r>
              <w:rPr>
                <w:rStyle w:val="146"/>
                <w:rFonts w:hint="eastAsia" w:ascii="宋体" w:hAnsi="宋体" w:eastAsia="宋体" w:cs="宋体"/>
                <w:color w:val="000000" w:themeColor="text1"/>
                <w:sz w:val="21"/>
                <w:szCs w:val="21"/>
                <w:highlight w:val="none"/>
                <w:lang w:val="en-US" w:eastAsia="zh-CN" w:bidi="ar"/>
                <w14:textFill>
                  <w14:solidFill>
                    <w14:schemeClr w14:val="tx1"/>
                  </w14:solidFill>
                </w14:textFill>
              </w:rPr>
              <w:t>年以上</w:t>
            </w:r>
          </w:p>
        </w:tc>
        <w:tc>
          <w:tcPr>
            <w:tcW w:w="15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w:t>
            </w:r>
            <w:r>
              <w:rPr>
                <w:rStyle w:val="146"/>
                <w:rFonts w:hint="eastAsia" w:ascii="宋体" w:hAnsi="宋体" w:eastAsia="宋体" w:cs="宋体"/>
                <w:color w:val="000000" w:themeColor="text1"/>
                <w:sz w:val="21"/>
                <w:szCs w:val="21"/>
                <w:highlight w:val="none"/>
                <w:lang w:val="en-US" w:eastAsia="zh-CN" w:bidi="ar"/>
                <w14:textFill>
                  <w14:solidFill>
                    <w14:schemeClr w14:val="tx1"/>
                  </w14:solidFill>
                </w14:textFill>
              </w:rPr>
              <w:t>竣工</w:t>
            </w:r>
            <w:r>
              <w:rPr>
                <w:rStyle w:val="122"/>
                <w:rFonts w:hint="eastAsia" w:ascii="宋体" w:hAnsi="宋体" w:eastAsia="宋体" w:cs="宋体"/>
                <w:color w:val="000000" w:themeColor="text1"/>
                <w:sz w:val="21"/>
                <w:szCs w:val="21"/>
                <w:highlight w:val="none"/>
                <w:lang w:val="en-US" w:eastAsia="zh-CN" w:bidi="ar"/>
                <w14:textFill>
                  <w14:solidFill>
                    <w14:schemeClr w14:val="tx1"/>
                  </w14:solidFill>
                </w14:textFill>
              </w:rPr>
              <w:t>:2008</w:t>
            </w:r>
            <w:r>
              <w:rPr>
                <w:rStyle w:val="146"/>
                <w:rFonts w:hint="eastAsia" w:ascii="宋体" w:hAnsi="宋体" w:eastAsia="宋体" w:cs="宋体"/>
                <w:color w:val="000000" w:themeColor="text1"/>
                <w:sz w:val="21"/>
                <w:szCs w:val="21"/>
                <w:highlight w:val="none"/>
                <w:lang w:val="en-US" w:eastAsia="zh-CN" w:bidi="ar"/>
                <w14:textFill>
                  <w14:solidFill>
                    <w14:schemeClr w14:val="tx1"/>
                  </w14:solidFill>
                </w14:textFill>
              </w:rPr>
              <w:t>年</w:t>
            </w:r>
            <w:r>
              <w:rPr>
                <w:rStyle w:val="122"/>
                <w:rFonts w:hint="eastAsia" w:ascii="宋体" w:hAnsi="宋体" w:eastAsia="宋体" w:cs="宋体"/>
                <w:color w:val="000000" w:themeColor="text1"/>
                <w:sz w:val="21"/>
                <w:szCs w:val="21"/>
                <w:highlight w:val="none"/>
                <w:lang w:val="en-US" w:eastAsia="zh-CN" w:bidi="ar"/>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w:t>
            </w:r>
          </w:p>
        </w:tc>
        <w:tc>
          <w:tcPr>
            <w:tcW w:w="36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道路巡视</w:t>
            </w:r>
          </w:p>
        </w:tc>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w:t>
            </w:r>
            <w:r>
              <w:rPr>
                <w:rStyle w:val="122"/>
                <w:rFonts w:hint="eastAsia" w:ascii="宋体" w:hAnsi="宋体" w:eastAsia="宋体" w:cs="宋体"/>
                <w:color w:val="000000" w:themeColor="text1"/>
                <w:sz w:val="21"/>
                <w:szCs w:val="21"/>
                <w:highlight w:val="none"/>
                <w:lang w:val="en-US" w:eastAsia="zh-CN" w:bidi="ar"/>
                <w14:textFill>
                  <w14:solidFill>
                    <w14:schemeClr w14:val="tx1"/>
                  </w14:solidFill>
                </w14:textFill>
              </w:rPr>
              <w:t>·</w:t>
            </w:r>
            <w:r>
              <w:rPr>
                <w:rStyle w:val="146"/>
                <w:rFonts w:hint="eastAsia" w:ascii="宋体" w:hAnsi="宋体" w:eastAsia="宋体" w:cs="宋体"/>
                <w:color w:val="000000" w:themeColor="text1"/>
                <w:sz w:val="21"/>
                <w:szCs w:val="21"/>
                <w:highlight w:val="none"/>
                <w:lang w:val="en-US" w:eastAsia="zh-CN" w:bidi="ar"/>
                <w14:textFill>
                  <w14:solidFill>
                    <w14:schemeClr w14:val="tx1"/>
                  </w14:solidFill>
                </w14:textFill>
              </w:rPr>
              <w:t>次</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0.694</w:t>
            </w:r>
          </w:p>
        </w:tc>
        <w:tc>
          <w:tcPr>
            <w:tcW w:w="15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2</w:t>
            </w:r>
          </w:p>
        </w:tc>
        <w:tc>
          <w:tcPr>
            <w:tcW w:w="36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沥青混凝土路面</w:t>
            </w:r>
          </w:p>
        </w:tc>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21482</w:t>
            </w:r>
          </w:p>
        </w:tc>
        <w:tc>
          <w:tcPr>
            <w:tcW w:w="15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3</w:t>
            </w:r>
          </w:p>
        </w:tc>
        <w:tc>
          <w:tcPr>
            <w:tcW w:w="36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人行道板</w:t>
            </w:r>
          </w:p>
        </w:tc>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4701</w:t>
            </w:r>
          </w:p>
        </w:tc>
        <w:tc>
          <w:tcPr>
            <w:tcW w:w="15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4</w:t>
            </w:r>
          </w:p>
        </w:tc>
        <w:tc>
          <w:tcPr>
            <w:tcW w:w="36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平石</w:t>
            </w:r>
          </w:p>
        </w:tc>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m</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0</w:t>
            </w:r>
          </w:p>
        </w:tc>
        <w:tc>
          <w:tcPr>
            <w:tcW w:w="15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5</w:t>
            </w:r>
          </w:p>
        </w:tc>
        <w:tc>
          <w:tcPr>
            <w:tcW w:w="36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侧石</w:t>
            </w:r>
          </w:p>
        </w:tc>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m</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6280</w:t>
            </w:r>
          </w:p>
        </w:tc>
        <w:tc>
          <w:tcPr>
            <w:tcW w:w="15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6</w:t>
            </w:r>
          </w:p>
        </w:tc>
        <w:tc>
          <w:tcPr>
            <w:tcW w:w="36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升检查井及井筒 φ700</w:t>
            </w:r>
          </w:p>
        </w:tc>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座</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33</w:t>
            </w:r>
          </w:p>
        </w:tc>
        <w:tc>
          <w:tcPr>
            <w:tcW w:w="15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7</w:t>
            </w:r>
          </w:p>
        </w:tc>
        <w:tc>
          <w:tcPr>
            <w:tcW w:w="36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调换检查井φ700井座</w:t>
            </w:r>
          </w:p>
        </w:tc>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座</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33</w:t>
            </w:r>
          </w:p>
        </w:tc>
        <w:tc>
          <w:tcPr>
            <w:tcW w:w="15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8</w:t>
            </w:r>
          </w:p>
        </w:tc>
        <w:tc>
          <w:tcPr>
            <w:tcW w:w="36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调换检查井φ700井盖</w:t>
            </w:r>
          </w:p>
        </w:tc>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座</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33</w:t>
            </w:r>
          </w:p>
        </w:tc>
        <w:tc>
          <w:tcPr>
            <w:tcW w:w="15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9</w:t>
            </w:r>
          </w:p>
        </w:tc>
        <w:tc>
          <w:tcPr>
            <w:tcW w:w="36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升雨水口510*390</w:t>
            </w:r>
          </w:p>
        </w:tc>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座</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66</w:t>
            </w:r>
          </w:p>
        </w:tc>
        <w:tc>
          <w:tcPr>
            <w:tcW w:w="15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10</w:t>
            </w:r>
          </w:p>
        </w:tc>
        <w:tc>
          <w:tcPr>
            <w:tcW w:w="36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调换雨水口510*390井座</w:t>
            </w:r>
          </w:p>
        </w:tc>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座</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66</w:t>
            </w:r>
          </w:p>
        </w:tc>
        <w:tc>
          <w:tcPr>
            <w:tcW w:w="15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11</w:t>
            </w:r>
          </w:p>
        </w:tc>
        <w:tc>
          <w:tcPr>
            <w:tcW w:w="36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调换雨水口510*390井盖</w:t>
            </w:r>
          </w:p>
        </w:tc>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座</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66</w:t>
            </w:r>
          </w:p>
        </w:tc>
        <w:tc>
          <w:tcPr>
            <w:tcW w:w="15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12</w:t>
            </w:r>
          </w:p>
        </w:tc>
        <w:tc>
          <w:tcPr>
            <w:tcW w:w="36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调换路名牌直杆</w:t>
            </w:r>
          </w:p>
        </w:tc>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根</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11</w:t>
            </w:r>
          </w:p>
        </w:tc>
        <w:tc>
          <w:tcPr>
            <w:tcW w:w="15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13</w:t>
            </w:r>
          </w:p>
        </w:tc>
        <w:tc>
          <w:tcPr>
            <w:tcW w:w="36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调换路名牌面</w:t>
            </w:r>
          </w:p>
        </w:tc>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块</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11</w:t>
            </w:r>
          </w:p>
        </w:tc>
        <w:tc>
          <w:tcPr>
            <w:tcW w:w="15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14</w:t>
            </w:r>
          </w:p>
        </w:tc>
        <w:tc>
          <w:tcPr>
            <w:tcW w:w="36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桥梁栏杆</w:t>
            </w:r>
          </w:p>
        </w:tc>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m</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138.8</w:t>
            </w:r>
          </w:p>
        </w:tc>
        <w:tc>
          <w:tcPr>
            <w:tcW w:w="15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15</w:t>
            </w:r>
          </w:p>
        </w:tc>
        <w:tc>
          <w:tcPr>
            <w:tcW w:w="36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调换伸缩缝及清理</w:t>
            </w:r>
          </w:p>
        </w:tc>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m</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73.04</w:t>
            </w:r>
          </w:p>
        </w:tc>
        <w:tc>
          <w:tcPr>
            <w:tcW w:w="15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16</w:t>
            </w:r>
          </w:p>
        </w:tc>
        <w:tc>
          <w:tcPr>
            <w:tcW w:w="36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调换橡胶止水带及清理</w:t>
            </w:r>
          </w:p>
        </w:tc>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m</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73.04</w:t>
            </w:r>
          </w:p>
        </w:tc>
        <w:tc>
          <w:tcPr>
            <w:tcW w:w="15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17</w:t>
            </w:r>
          </w:p>
        </w:tc>
        <w:tc>
          <w:tcPr>
            <w:tcW w:w="36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支座保养维修</w:t>
            </w:r>
          </w:p>
        </w:tc>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只</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260</w:t>
            </w:r>
          </w:p>
        </w:tc>
        <w:tc>
          <w:tcPr>
            <w:tcW w:w="15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18</w:t>
            </w:r>
          </w:p>
        </w:tc>
        <w:tc>
          <w:tcPr>
            <w:tcW w:w="36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桥梁沉降观测检测</w:t>
            </w:r>
          </w:p>
        </w:tc>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项</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w:t>
            </w:r>
          </w:p>
        </w:tc>
        <w:tc>
          <w:tcPr>
            <w:tcW w:w="15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19</w:t>
            </w:r>
          </w:p>
        </w:tc>
        <w:tc>
          <w:tcPr>
            <w:tcW w:w="36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人行道路护栏修复</w:t>
            </w:r>
          </w:p>
        </w:tc>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m</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0</w:t>
            </w:r>
          </w:p>
        </w:tc>
        <w:tc>
          <w:tcPr>
            <w:tcW w:w="15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20</w:t>
            </w:r>
          </w:p>
        </w:tc>
        <w:tc>
          <w:tcPr>
            <w:tcW w:w="36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人行道路护栏清洁</w:t>
            </w:r>
          </w:p>
        </w:tc>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m</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0</w:t>
            </w:r>
          </w:p>
        </w:tc>
        <w:tc>
          <w:tcPr>
            <w:tcW w:w="15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21</w:t>
            </w:r>
          </w:p>
        </w:tc>
        <w:tc>
          <w:tcPr>
            <w:tcW w:w="36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道路常规检测及评价</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次</w:t>
            </w:r>
            <w:r>
              <w:rPr>
                <w:rStyle w:val="122"/>
                <w:rFonts w:hint="eastAsia" w:ascii="宋体" w:hAnsi="宋体" w:eastAsia="宋体" w:cs="宋体"/>
                <w:color w:val="000000" w:themeColor="text1"/>
                <w:sz w:val="21"/>
                <w:szCs w:val="21"/>
                <w:highlight w:val="none"/>
                <w:lang w:val="en-US" w:eastAsia="zh-CN" w:bidi="ar"/>
                <w14:textFill>
                  <w14:solidFill>
                    <w14:schemeClr w14:val="tx1"/>
                  </w14:solidFill>
                </w14:textFill>
              </w:rPr>
              <w:t>/</w:t>
            </w:r>
            <w:r>
              <w:rPr>
                <w:rStyle w:val="146"/>
                <w:rFonts w:hint="eastAsia" w:ascii="宋体" w:hAnsi="宋体" w:eastAsia="宋体" w:cs="宋体"/>
                <w:color w:val="000000" w:themeColor="text1"/>
                <w:sz w:val="21"/>
                <w:szCs w:val="21"/>
                <w:highlight w:val="none"/>
                <w:lang w:val="en-US" w:eastAsia="zh-CN" w:bidi="ar"/>
                <w14:textFill>
                  <w14:solidFill>
                    <w14:schemeClr w14:val="tx1"/>
                  </w14:solidFill>
                </w14:textFill>
              </w:rPr>
              <w:t>年</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w:t>
            </w:r>
          </w:p>
        </w:tc>
        <w:tc>
          <w:tcPr>
            <w:tcW w:w="15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bl>
    <w:p>
      <w:pPr>
        <w:pStyle w:val="8"/>
        <w:spacing w:line="360" w:lineRule="auto"/>
        <w:ind w:firstLine="480" w:firstLineChars="200"/>
        <w:rPr>
          <w:rFonts w:hint="eastAsia" w:ascii="宋体" w:hAnsi="宋体" w:eastAsia="宋体" w:cs="宋体"/>
          <w:b w:val="0"/>
          <w:bCs w:val="0"/>
          <w:strike/>
          <w:dstrike w:val="0"/>
          <w:color w:val="000000" w:themeColor="text1"/>
          <w:sz w:val="24"/>
          <w:szCs w:val="24"/>
          <w:highlight w:val="none"/>
          <w:shd w:val="clear" w:color="FFFFFF" w:fill="D9D9D9"/>
          <w14:textFill>
            <w14:solidFill>
              <w14:schemeClr w14:val="tx1"/>
            </w14:solidFill>
          </w14:textFill>
        </w:rPr>
        <w:sectPr>
          <w:headerReference r:id="rId8" w:type="default"/>
          <w:footerReference r:id="rId9" w:type="default"/>
          <w:pgSz w:w="11906" w:h="16838"/>
          <w:pgMar w:top="1474" w:right="1587" w:bottom="1474" w:left="1587" w:header="851" w:footer="992" w:gutter="0"/>
          <w:cols w:space="720" w:num="1"/>
          <w:titlePg/>
          <w:docGrid w:linePitch="312" w:charSpace="0"/>
        </w:sectPr>
      </w:pPr>
    </w:p>
    <w:p>
      <w:pPr>
        <w:rPr>
          <w:rFonts w:hint="eastAsia" w:ascii="宋体" w:hAnsi="宋体" w:eastAsia="宋体" w:cs="宋体"/>
          <w:b/>
          <w:bCs/>
          <w:color w:val="000000" w:themeColor="text1"/>
          <w:sz w:val="24"/>
          <w:szCs w:val="24"/>
          <w:highlight w:val="none"/>
          <w:lang w:eastAsia="zh-CN"/>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t>附</w:t>
      </w: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1</w:t>
      </w:r>
      <w:r>
        <w:rPr>
          <w:rFonts w:hint="eastAsia" w:ascii="宋体" w:hAnsi="宋体" w:eastAsia="宋体" w:cs="宋体"/>
          <w:b/>
          <w:bCs/>
          <w:color w:val="000000" w:themeColor="text1"/>
          <w:sz w:val="24"/>
          <w:szCs w:val="24"/>
          <w:highlight w:val="none"/>
          <w:lang w:eastAsia="zh-CN"/>
          <w14:textFill>
            <w14:solidFill>
              <w14:schemeClr w14:val="tx1"/>
            </w14:solidFill>
          </w14:textFill>
        </w:rPr>
        <w:t>：临丁路道路市政养护设施量明细清单：</w:t>
      </w:r>
    </w:p>
    <w:tbl>
      <w:tblPr>
        <w:tblStyle w:val="62"/>
        <w:tblW w:w="15666" w:type="dxa"/>
        <w:tblInd w:w="-73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16"/>
        <w:gridCol w:w="650"/>
        <w:gridCol w:w="1134"/>
        <w:gridCol w:w="766"/>
        <w:gridCol w:w="700"/>
        <w:gridCol w:w="584"/>
        <w:gridCol w:w="683"/>
        <w:gridCol w:w="833"/>
        <w:gridCol w:w="2000"/>
        <w:gridCol w:w="784"/>
        <w:gridCol w:w="916"/>
        <w:gridCol w:w="934"/>
        <w:gridCol w:w="1516"/>
        <w:gridCol w:w="1367"/>
        <w:gridCol w:w="1217"/>
        <w:gridCol w:w="9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16"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序号</w:t>
            </w:r>
          </w:p>
        </w:tc>
        <w:tc>
          <w:tcPr>
            <w:tcW w:w="650"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道路名称</w:t>
            </w:r>
          </w:p>
        </w:tc>
        <w:tc>
          <w:tcPr>
            <w:tcW w:w="1134"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起止点</w:t>
            </w:r>
          </w:p>
        </w:tc>
        <w:tc>
          <w:tcPr>
            <w:tcW w:w="76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道路</w:t>
            </w:r>
          </w:p>
        </w:tc>
        <w:tc>
          <w:tcPr>
            <w:tcW w:w="70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建成</w:t>
            </w:r>
          </w:p>
        </w:tc>
        <w:tc>
          <w:tcPr>
            <w:tcW w:w="584"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路长</w:t>
            </w:r>
          </w:p>
        </w:tc>
        <w:tc>
          <w:tcPr>
            <w:tcW w:w="68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平石</w:t>
            </w:r>
          </w:p>
        </w:tc>
        <w:tc>
          <w:tcPr>
            <w:tcW w:w="83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侧石</w:t>
            </w:r>
          </w:p>
        </w:tc>
        <w:tc>
          <w:tcPr>
            <w:tcW w:w="200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断面</w:t>
            </w:r>
          </w:p>
        </w:tc>
        <w:tc>
          <w:tcPr>
            <w:tcW w:w="784"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道路面积</w:t>
            </w:r>
          </w:p>
        </w:tc>
        <w:tc>
          <w:tcPr>
            <w:tcW w:w="1850" w:type="dxa"/>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其中</w:t>
            </w:r>
          </w:p>
        </w:tc>
        <w:tc>
          <w:tcPr>
            <w:tcW w:w="4100" w:type="dxa"/>
            <w:gridSpan w:val="3"/>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道路结构</w:t>
            </w:r>
          </w:p>
        </w:tc>
        <w:tc>
          <w:tcPr>
            <w:tcW w:w="966"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随路桥梁数量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16"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c>
          <w:tcPr>
            <w:tcW w:w="650"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c>
          <w:tcPr>
            <w:tcW w:w="1134"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c>
          <w:tcPr>
            <w:tcW w:w="766"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c>
          <w:tcPr>
            <w:tcW w:w="700"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c>
          <w:tcPr>
            <w:tcW w:w="584"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c>
          <w:tcPr>
            <w:tcW w:w="68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长度</w:t>
            </w:r>
          </w:p>
        </w:tc>
        <w:tc>
          <w:tcPr>
            <w:tcW w:w="83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长度</w:t>
            </w:r>
          </w:p>
        </w:tc>
        <w:tc>
          <w:tcPr>
            <w:tcW w:w="200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形式</w:t>
            </w:r>
          </w:p>
        </w:tc>
        <w:tc>
          <w:tcPr>
            <w:tcW w:w="784"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c>
          <w:tcPr>
            <w:tcW w:w="91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车行道</w:t>
            </w:r>
          </w:p>
        </w:tc>
        <w:tc>
          <w:tcPr>
            <w:tcW w:w="934"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人行道</w:t>
            </w:r>
          </w:p>
        </w:tc>
        <w:tc>
          <w:tcPr>
            <w:tcW w:w="1516"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快车道</w:t>
            </w:r>
          </w:p>
        </w:tc>
        <w:tc>
          <w:tcPr>
            <w:tcW w:w="1367"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慢车道</w:t>
            </w:r>
          </w:p>
        </w:tc>
        <w:tc>
          <w:tcPr>
            <w:tcW w:w="1217"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人行道</w:t>
            </w:r>
          </w:p>
        </w:tc>
        <w:tc>
          <w:tcPr>
            <w:tcW w:w="966"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16"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c>
          <w:tcPr>
            <w:tcW w:w="650"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c>
          <w:tcPr>
            <w:tcW w:w="1134"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c>
          <w:tcPr>
            <w:tcW w:w="76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等级</w:t>
            </w:r>
          </w:p>
        </w:tc>
        <w:tc>
          <w:tcPr>
            <w:tcW w:w="70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年月</w:t>
            </w:r>
          </w:p>
        </w:tc>
        <w:tc>
          <w:tcPr>
            <w:tcW w:w="584"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(M)</w:t>
            </w:r>
          </w:p>
        </w:tc>
        <w:tc>
          <w:tcPr>
            <w:tcW w:w="68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(M)</w:t>
            </w:r>
          </w:p>
        </w:tc>
        <w:tc>
          <w:tcPr>
            <w:tcW w:w="83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(M)</w:t>
            </w:r>
          </w:p>
        </w:tc>
        <w:tc>
          <w:tcPr>
            <w:tcW w:w="200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(M)</w:t>
            </w:r>
          </w:p>
        </w:tc>
        <w:tc>
          <w:tcPr>
            <w:tcW w:w="784"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(M</w:t>
            </w:r>
            <w:r>
              <w:rPr>
                <w:rFonts w:hint="eastAsia" w:ascii="宋体" w:hAnsi="宋体" w:eastAsia="宋体" w:cs="宋体"/>
                <w:i w:val="0"/>
                <w:iCs w:val="0"/>
                <w:color w:val="000000" w:themeColor="text1"/>
                <w:kern w:val="0"/>
                <w:sz w:val="20"/>
                <w:szCs w:val="20"/>
                <w:highlight w:val="none"/>
                <w:u w:val="none"/>
                <w:vertAlign w:val="superscript"/>
                <w:lang w:val="en-US" w:eastAsia="zh-CN" w:bidi="ar"/>
                <w14:textFill>
                  <w14:solidFill>
                    <w14:schemeClr w14:val="tx1"/>
                  </w14:solidFill>
                </w14:textFill>
              </w:rPr>
              <w:t>2</w:t>
            </w: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w:t>
            </w:r>
          </w:p>
        </w:tc>
        <w:tc>
          <w:tcPr>
            <w:tcW w:w="91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(M</w:t>
            </w:r>
            <w:r>
              <w:rPr>
                <w:rFonts w:hint="eastAsia" w:ascii="宋体" w:hAnsi="宋体" w:eastAsia="宋体" w:cs="宋体"/>
                <w:i w:val="0"/>
                <w:iCs w:val="0"/>
                <w:color w:val="000000" w:themeColor="text1"/>
                <w:kern w:val="0"/>
                <w:sz w:val="20"/>
                <w:szCs w:val="20"/>
                <w:highlight w:val="none"/>
                <w:u w:val="none"/>
                <w:vertAlign w:val="superscript"/>
                <w:lang w:val="en-US" w:eastAsia="zh-CN" w:bidi="ar"/>
                <w14:textFill>
                  <w14:solidFill>
                    <w14:schemeClr w14:val="tx1"/>
                  </w14:solidFill>
                </w14:textFill>
              </w:rPr>
              <w:t>2</w:t>
            </w: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w:t>
            </w:r>
          </w:p>
        </w:tc>
        <w:tc>
          <w:tcPr>
            <w:tcW w:w="934"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(M</w:t>
            </w:r>
            <w:r>
              <w:rPr>
                <w:rFonts w:hint="eastAsia" w:ascii="宋体" w:hAnsi="宋体" w:eastAsia="宋体" w:cs="宋体"/>
                <w:i w:val="0"/>
                <w:iCs w:val="0"/>
                <w:color w:val="000000" w:themeColor="text1"/>
                <w:kern w:val="0"/>
                <w:sz w:val="20"/>
                <w:szCs w:val="20"/>
                <w:highlight w:val="none"/>
                <w:u w:val="none"/>
                <w:vertAlign w:val="superscript"/>
                <w:lang w:val="en-US" w:eastAsia="zh-CN" w:bidi="ar"/>
                <w14:textFill>
                  <w14:solidFill>
                    <w14:schemeClr w14:val="tx1"/>
                  </w14:solidFill>
                </w14:textFill>
              </w:rPr>
              <w:t>2</w:t>
            </w: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w:t>
            </w:r>
          </w:p>
        </w:tc>
        <w:tc>
          <w:tcPr>
            <w:tcW w:w="1516"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c>
          <w:tcPr>
            <w:tcW w:w="136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c>
          <w:tcPr>
            <w:tcW w:w="121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c>
          <w:tcPr>
            <w:tcW w:w="966"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60" w:hRule="atLeast"/>
        </w:trPr>
        <w:tc>
          <w:tcPr>
            <w:tcW w:w="616"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w:t>
            </w:r>
          </w:p>
        </w:tc>
        <w:tc>
          <w:tcPr>
            <w:tcW w:w="650"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石桥路</w:t>
            </w:r>
          </w:p>
        </w:tc>
        <w:tc>
          <w:tcPr>
            <w:tcW w:w="1134"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钱家河桥-石祥路</w:t>
            </w:r>
          </w:p>
        </w:tc>
        <w:tc>
          <w:tcPr>
            <w:tcW w:w="76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主干路</w:t>
            </w:r>
          </w:p>
        </w:tc>
        <w:tc>
          <w:tcPr>
            <w:tcW w:w="70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2004</w:t>
            </w:r>
          </w:p>
        </w:tc>
        <w:tc>
          <w:tcPr>
            <w:tcW w:w="584"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2059</w:t>
            </w:r>
          </w:p>
        </w:tc>
        <w:tc>
          <w:tcPr>
            <w:tcW w:w="68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15441</w:t>
            </w:r>
          </w:p>
        </w:tc>
        <w:tc>
          <w:tcPr>
            <w:tcW w:w="83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15441</w:t>
            </w:r>
          </w:p>
        </w:tc>
        <w:tc>
          <w:tcPr>
            <w:tcW w:w="200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3.5(人)-7.5慢)-2(隔)-12.5(机)-5(隔)-12.5(机)-2(隔)-7.5(慢)-3.5(人)</w:t>
            </w:r>
          </w:p>
        </w:tc>
        <w:tc>
          <w:tcPr>
            <w:tcW w:w="784"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96764</w:t>
            </w:r>
          </w:p>
        </w:tc>
        <w:tc>
          <w:tcPr>
            <w:tcW w:w="91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82352</w:t>
            </w:r>
          </w:p>
        </w:tc>
        <w:tc>
          <w:tcPr>
            <w:tcW w:w="934"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14412</w:t>
            </w:r>
          </w:p>
        </w:tc>
        <w:tc>
          <w:tcPr>
            <w:tcW w:w="151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30cm塘渣＋35cm三渣＋(7＋5＋3)cm沥青</w:t>
            </w:r>
          </w:p>
        </w:tc>
        <w:tc>
          <w:tcPr>
            <w:tcW w:w="136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30cm塘渣+25cm三渣+9cm粗沥青砼+3cm细沥青砼</w:t>
            </w:r>
          </w:p>
        </w:tc>
        <w:tc>
          <w:tcPr>
            <w:tcW w:w="121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15cm三渣＋2cm砂浆+5cm普通人行道板</w:t>
            </w:r>
          </w:p>
        </w:tc>
        <w:tc>
          <w:tcPr>
            <w:tcW w:w="96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钱江河桥、  将军河桥、蔡家河桥  新石桥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60" w:hRule="atLeast"/>
        </w:trPr>
        <w:tc>
          <w:tcPr>
            <w:tcW w:w="616"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c>
          <w:tcPr>
            <w:tcW w:w="650"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c>
          <w:tcPr>
            <w:tcW w:w="1134"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石祥路-临丁路</w:t>
            </w:r>
          </w:p>
        </w:tc>
        <w:tc>
          <w:tcPr>
            <w:tcW w:w="76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主干路</w:t>
            </w:r>
          </w:p>
        </w:tc>
        <w:tc>
          <w:tcPr>
            <w:tcW w:w="70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2003</w:t>
            </w:r>
          </w:p>
        </w:tc>
        <w:tc>
          <w:tcPr>
            <w:tcW w:w="584"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1940</w:t>
            </w:r>
          </w:p>
        </w:tc>
        <w:tc>
          <w:tcPr>
            <w:tcW w:w="68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14551</w:t>
            </w:r>
          </w:p>
        </w:tc>
        <w:tc>
          <w:tcPr>
            <w:tcW w:w="83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14551</w:t>
            </w:r>
          </w:p>
        </w:tc>
        <w:tc>
          <w:tcPr>
            <w:tcW w:w="200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3.25(人)-7(慢)-5(隔)-10.5(机)-4.5(隔)-10.5(机)-5(隔)-7(慢)-3.25(人)</w:t>
            </w:r>
          </w:p>
        </w:tc>
        <w:tc>
          <w:tcPr>
            <w:tcW w:w="784"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80518</w:t>
            </w:r>
          </w:p>
        </w:tc>
        <w:tc>
          <w:tcPr>
            <w:tcW w:w="91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67907</w:t>
            </w:r>
          </w:p>
        </w:tc>
        <w:tc>
          <w:tcPr>
            <w:tcW w:w="934"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12611</w:t>
            </w:r>
          </w:p>
        </w:tc>
        <w:tc>
          <w:tcPr>
            <w:tcW w:w="151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50cm塘渣＋35cm三渣＋(7＋5＋3)cm沥青</w:t>
            </w:r>
          </w:p>
        </w:tc>
        <w:tc>
          <w:tcPr>
            <w:tcW w:w="136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50cm塘渣＋25cm三渣＋9cm粗粒式沥青＋3cm细粒式沥青</w:t>
            </w:r>
          </w:p>
        </w:tc>
        <w:tc>
          <w:tcPr>
            <w:tcW w:w="121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15cm三渣+2cmM10砂浆+5cm砼道板</w:t>
            </w:r>
          </w:p>
        </w:tc>
        <w:tc>
          <w:tcPr>
            <w:tcW w:w="966"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60" w:hRule="atLeast"/>
        </w:trPr>
        <w:tc>
          <w:tcPr>
            <w:tcW w:w="61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w:t>
            </w:r>
          </w:p>
        </w:tc>
        <w:tc>
          <w:tcPr>
            <w:tcW w:w="65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石祥路</w:t>
            </w:r>
          </w:p>
        </w:tc>
        <w:tc>
          <w:tcPr>
            <w:tcW w:w="1134"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上塘河桥-石桥路</w:t>
            </w:r>
          </w:p>
        </w:tc>
        <w:tc>
          <w:tcPr>
            <w:tcW w:w="76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主干路</w:t>
            </w:r>
          </w:p>
        </w:tc>
        <w:tc>
          <w:tcPr>
            <w:tcW w:w="70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2000</w:t>
            </w:r>
          </w:p>
        </w:tc>
        <w:tc>
          <w:tcPr>
            <w:tcW w:w="584"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2222</w:t>
            </w:r>
          </w:p>
        </w:tc>
        <w:tc>
          <w:tcPr>
            <w:tcW w:w="68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17776</w:t>
            </w:r>
          </w:p>
        </w:tc>
        <w:tc>
          <w:tcPr>
            <w:tcW w:w="83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17776</w:t>
            </w:r>
          </w:p>
        </w:tc>
        <w:tc>
          <w:tcPr>
            <w:tcW w:w="200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8(人)-4.5(慢)-2(隔)-8(非机)-5(隔)-8(非机)-2(隔)-4.5(慢)-8(人)</w:t>
            </w:r>
          </w:p>
        </w:tc>
        <w:tc>
          <w:tcPr>
            <w:tcW w:w="784"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91102</w:t>
            </w:r>
          </w:p>
        </w:tc>
        <w:tc>
          <w:tcPr>
            <w:tcW w:w="91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55550</w:t>
            </w:r>
          </w:p>
        </w:tc>
        <w:tc>
          <w:tcPr>
            <w:tcW w:w="934"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35552</w:t>
            </w:r>
          </w:p>
        </w:tc>
        <w:tc>
          <w:tcPr>
            <w:tcW w:w="151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15cm塘渣＋40cm碎石基层＋7cm粗粒式沥青＋3cm细粒式沥青</w:t>
            </w:r>
          </w:p>
        </w:tc>
        <w:tc>
          <w:tcPr>
            <w:tcW w:w="136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15cm塘渣＋40cm碎石基层＋7cm粗粒式沥青＋3cm细粒式沥青</w:t>
            </w:r>
          </w:p>
        </w:tc>
        <w:tc>
          <w:tcPr>
            <w:tcW w:w="121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15cm三渣+2cm砂浆卧底+5cm预制人行道板</w:t>
            </w:r>
          </w:p>
        </w:tc>
        <w:tc>
          <w:tcPr>
            <w:tcW w:w="96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康家河桥、安桥港桥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60" w:hRule="atLeast"/>
        </w:trPr>
        <w:tc>
          <w:tcPr>
            <w:tcW w:w="616" w:type="dxa"/>
            <w:tcBorders>
              <w:top w:val="single" w:color="000000" w:sz="8" w:space="0"/>
              <w:left w:val="single" w:color="000000" w:sz="8" w:space="0"/>
              <w:bottom w:val="single" w:color="000000" w:sz="8" w:space="0"/>
              <w:right w:val="single" w:color="000000" w:sz="8"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w:t>
            </w:r>
          </w:p>
        </w:tc>
        <w:tc>
          <w:tcPr>
            <w:tcW w:w="650" w:type="dxa"/>
            <w:tcBorders>
              <w:top w:val="single" w:color="000000" w:sz="8" w:space="0"/>
              <w:left w:val="single" w:color="000000" w:sz="8" w:space="0"/>
              <w:bottom w:val="single" w:color="000000" w:sz="8" w:space="0"/>
              <w:right w:val="single" w:color="000000" w:sz="8"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华丰路</w:t>
            </w:r>
          </w:p>
        </w:tc>
        <w:tc>
          <w:tcPr>
            <w:tcW w:w="1134" w:type="dxa"/>
            <w:tcBorders>
              <w:top w:val="single" w:color="000000" w:sz="8" w:space="0"/>
              <w:left w:val="single" w:color="000000" w:sz="8" w:space="0"/>
              <w:bottom w:val="single" w:color="000000" w:sz="8" w:space="0"/>
              <w:right w:val="single" w:color="000000" w:sz="8"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石桥路—同协路</w:t>
            </w:r>
          </w:p>
        </w:tc>
        <w:tc>
          <w:tcPr>
            <w:tcW w:w="766" w:type="dxa"/>
            <w:tcBorders>
              <w:top w:val="single" w:color="000000" w:sz="8" w:space="0"/>
              <w:left w:val="single" w:color="000000" w:sz="8" w:space="0"/>
              <w:bottom w:val="single" w:color="000000" w:sz="8" w:space="0"/>
              <w:right w:val="single" w:color="000000" w:sz="8"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主干路</w:t>
            </w:r>
          </w:p>
        </w:tc>
        <w:tc>
          <w:tcPr>
            <w:tcW w:w="700" w:type="dxa"/>
            <w:tcBorders>
              <w:top w:val="single" w:color="000000" w:sz="8" w:space="0"/>
              <w:left w:val="single" w:color="000000" w:sz="8" w:space="0"/>
              <w:bottom w:val="single" w:color="000000" w:sz="8" w:space="0"/>
              <w:right w:val="single" w:color="000000" w:sz="8"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2005</w:t>
            </w:r>
          </w:p>
        </w:tc>
        <w:tc>
          <w:tcPr>
            <w:tcW w:w="584" w:type="dxa"/>
            <w:tcBorders>
              <w:top w:val="single" w:color="000000" w:sz="8" w:space="0"/>
              <w:left w:val="single" w:color="000000" w:sz="8" w:space="0"/>
              <w:bottom w:val="single" w:color="000000" w:sz="8" w:space="0"/>
              <w:right w:val="single" w:color="000000" w:sz="8"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1884</w:t>
            </w:r>
          </w:p>
        </w:tc>
        <w:tc>
          <w:tcPr>
            <w:tcW w:w="683" w:type="dxa"/>
            <w:tcBorders>
              <w:top w:val="single" w:color="000000" w:sz="8" w:space="0"/>
              <w:left w:val="single" w:color="000000" w:sz="8" w:space="0"/>
              <w:bottom w:val="single" w:color="000000" w:sz="8" w:space="0"/>
              <w:right w:val="single" w:color="000000" w:sz="8"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10699</w:t>
            </w:r>
          </w:p>
        </w:tc>
        <w:tc>
          <w:tcPr>
            <w:tcW w:w="833" w:type="dxa"/>
            <w:tcBorders>
              <w:top w:val="single" w:color="000000" w:sz="8" w:space="0"/>
              <w:left w:val="single" w:color="000000" w:sz="8" w:space="0"/>
              <w:bottom w:val="single" w:color="000000" w:sz="8" w:space="0"/>
              <w:right w:val="single" w:color="000000" w:sz="8"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14476</w:t>
            </w:r>
          </w:p>
        </w:tc>
        <w:tc>
          <w:tcPr>
            <w:tcW w:w="200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2.7人+2.75非+1.3隔+10.25机+2隔+10.25机+1.3隔+2.75非+2.7人</w:t>
            </w:r>
          </w:p>
        </w:tc>
        <w:tc>
          <w:tcPr>
            <w:tcW w:w="784" w:type="dxa"/>
            <w:tcBorders>
              <w:top w:val="single" w:color="000000" w:sz="8" w:space="0"/>
              <w:left w:val="single" w:color="000000" w:sz="8" w:space="0"/>
              <w:bottom w:val="single" w:color="000000" w:sz="8" w:space="0"/>
              <w:right w:val="single" w:color="000000" w:sz="8"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66867</w:t>
            </w:r>
          </w:p>
        </w:tc>
        <w:tc>
          <w:tcPr>
            <w:tcW w:w="916" w:type="dxa"/>
            <w:tcBorders>
              <w:top w:val="single" w:color="000000" w:sz="8" w:space="0"/>
              <w:left w:val="single" w:color="000000" w:sz="8" w:space="0"/>
              <w:bottom w:val="single" w:color="000000" w:sz="8" w:space="0"/>
              <w:right w:val="single" w:color="000000" w:sz="8"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55965</w:t>
            </w:r>
          </w:p>
        </w:tc>
        <w:tc>
          <w:tcPr>
            <w:tcW w:w="934" w:type="dxa"/>
            <w:tcBorders>
              <w:top w:val="single" w:color="000000" w:sz="8" w:space="0"/>
              <w:left w:val="single" w:color="000000" w:sz="8" w:space="0"/>
              <w:bottom w:val="single" w:color="000000" w:sz="8" w:space="0"/>
              <w:right w:val="single" w:color="000000" w:sz="8"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10902</w:t>
            </w:r>
          </w:p>
        </w:tc>
        <w:tc>
          <w:tcPr>
            <w:tcW w:w="151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4cmSMA-13C沥青玛蹄脂碎石混合料+5cmAC-20C中粒式沥青混凝土+7cmAC-25C粗粒式沥青混凝土+22cm水泥稳定碎石基层（6%）+23cm水泥稳定碎石基层（4%）+15cm级配碎石+20cmC30混凝土</w:t>
            </w:r>
          </w:p>
        </w:tc>
        <w:tc>
          <w:tcPr>
            <w:tcW w:w="136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4cmAC-13C细粒式沥青混凝土+8cmAC-25C粗粒式沥青混凝土+15cm水泥稳定碎石基层（6%）+15cm水泥稳定碎石基层（4%）+30cm级配碎石</w:t>
            </w:r>
          </w:p>
        </w:tc>
        <w:tc>
          <w:tcPr>
            <w:tcW w:w="121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6cm透水砖+3cmM10水泥砂浆+15cmC20砼基层+15cm级配碎石+30cm宕渣</w:t>
            </w:r>
          </w:p>
        </w:tc>
        <w:tc>
          <w:tcPr>
            <w:tcW w:w="96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跃进桥、群英桥、旦万桥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60" w:hRule="atLeast"/>
        </w:trPr>
        <w:tc>
          <w:tcPr>
            <w:tcW w:w="616"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4</w:t>
            </w:r>
          </w:p>
        </w:tc>
        <w:tc>
          <w:tcPr>
            <w:tcW w:w="650"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临丁路</w:t>
            </w:r>
          </w:p>
        </w:tc>
        <w:tc>
          <w:tcPr>
            <w:tcW w:w="1134"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上塘河—石桥路</w:t>
            </w:r>
          </w:p>
        </w:tc>
        <w:tc>
          <w:tcPr>
            <w:tcW w:w="76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主干路</w:t>
            </w:r>
          </w:p>
        </w:tc>
        <w:tc>
          <w:tcPr>
            <w:tcW w:w="70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2004</w:t>
            </w:r>
          </w:p>
        </w:tc>
        <w:tc>
          <w:tcPr>
            <w:tcW w:w="584"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496</w:t>
            </w:r>
          </w:p>
        </w:tc>
        <w:tc>
          <w:tcPr>
            <w:tcW w:w="68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3968</w:t>
            </w:r>
          </w:p>
        </w:tc>
        <w:tc>
          <w:tcPr>
            <w:tcW w:w="83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3968</w:t>
            </w:r>
          </w:p>
        </w:tc>
        <w:tc>
          <w:tcPr>
            <w:tcW w:w="200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3-5.5-1.5-12.5-5-12.5-1.5-5.5-3</w:t>
            </w:r>
          </w:p>
        </w:tc>
        <w:tc>
          <w:tcPr>
            <w:tcW w:w="784"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20832</w:t>
            </w:r>
          </w:p>
        </w:tc>
        <w:tc>
          <w:tcPr>
            <w:tcW w:w="91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17856</w:t>
            </w:r>
          </w:p>
        </w:tc>
        <w:tc>
          <w:tcPr>
            <w:tcW w:w="934"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2976</w:t>
            </w:r>
          </w:p>
        </w:tc>
        <w:tc>
          <w:tcPr>
            <w:tcW w:w="151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30cm塘渣＋40cm三渣＋7cm粗粒式＋5cm中粒式＋3cm细粒式沥青</w:t>
            </w:r>
          </w:p>
        </w:tc>
        <w:tc>
          <w:tcPr>
            <w:tcW w:w="136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20cm塘渣＋30cm三渣＋7cm粗粒式＋5cm中粒式＋3cm细粒式沥青</w:t>
            </w:r>
          </w:p>
        </w:tc>
        <w:tc>
          <w:tcPr>
            <w:tcW w:w="121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15cm三渣＋2cm水泥砂浆＋5cm彩色道板</w:t>
            </w:r>
          </w:p>
        </w:tc>
        <w:tc>
          <w:tcPr>
            <w:tcW w:w="966"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7" w:hRule="atLeast"/>
        </w:trPr>
        <w:tc>
          <w:tcPr>
            <w:tcW w:w="616"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c>
          <w:tcPr>
            <w:tcW w:w="650"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c>
          <w:tcPr>
            <w:tcW w:w="1134"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石桥路-洋家港</w:t>
            </w:r>
          </w:p>
        </w:tc>
        <w:tc>
          <w:tcPr>
            <w:tcW w:w="76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主干路</w:t>
            </w:r>
          </w:p>
        </w:tc>
        <w:tc>
          <w:tcPr>
            <w:tcW w:w="70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2004</w:t>
            </w:r>
          </w:p>
        </w:tc>
        <w:tc>
          <w:tcPr>
            <w:tcW w:w="584"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859</w:t>
            </w:r>
          </w:p>
        </w:tc>
        <w:tc>
          <w:tcPr>
            <w:tcW w:w="68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6908</w:t>
            </w:r>
          </w:p>
        </w:tc>
        <w:tc>
          <w:tcPr>
            <w:tcW w:w="83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8764</w:t>
            </w:r>
          </w:p>
        </w:tc>
        <w:tc>
          <w:tcPr>
            <w:tcW w:w="200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6.5绿+2人+3.5非+4绿+11.5机+5绿+11.5机+4绿+3.5非+2人+6.5绿</w:t>
            </w:r>
          </w:p>
        </w:tc>
        <w:tc>
          <w:tcPr>
            <w:tcW w:w="784"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33241</w:t>
            </w:r>
          </w:p>
        </w:tc>
        <w:tc>
          <w:tcPr>
            <w:tcW w:w="91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30330</w:t>
            </w:r>
          </w:p>
        </w:tc>
        <w:tc>
          <w:tcPr>
            <w:tcW w:w="934"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2911</w:t>
            </w:r>
          </w:p>
        </w:tc>
        <w:tc>
          <w:tcPr>
            <w:tcW w:w="151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北半幅：5cm细粒式改性沥青（SMA-13）+6cm中粒式SBS改性沥青砼（AC-20C）+7cm粗粒式沥青砼（AC-25C）+52cm水泥稳定碎石+15cm就级配碎石层+100cm塘渣填层</w:t>
            </w:r>
          </w:p>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南半幅：4cm细粒式改性沥青（SMA-13）+6cm中粒式沥青砼（AC-20C）+7cm粗粒式沥青砼（AC-25C）+40cm水泥稳定碎石+15cm就级配碎石层+80cm塘渣填层</w:t>
            </w:r>
          </w:p>
        </w:tc>
        <w:tc>
          <w:tcPr>
            <w:tcW w:w="136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4cm细粒式SBS改性沥青砼（AC-13C）+6cm中粒式沥青砼（AC-20C）+30cm水泥稳定碎石+15cm就级配碎石层+50cm塘渣填层</w:t>
            </w:r>
          </w:p>
        </w:tc>
        <w:tc>
          <w:tcPr>
            <w:tcW w:w="121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6cm陶瓷透水砖+3cm干硬性水泥砂浆+15cm C20透水砼基层+15cm级配碎石垫层+宕渣填层30cm</w:t>
            </w:r>
          </w:p>
        </w:tc>
        <w:tc>
          <w:tcPr>
            <w:tcW w:w="96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华中河桥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60" w:hRule="atLeast"/>
        </w:trPr>
        <w:tc>
          <w:tcPr>
            <w:tcW w:w="61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5</w:t>
            </w:r>
          </w:p>
        </w:tc>
        <w:tc>
          <w:tcPr>
            <w:tcW w:w="65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同协路</w:t>
            </w:r>
          </w:p>
        </w:tc>
        <w:tc>
          <w:tcPr>
            <w:tcW w:w="1134"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石祥东路-五会港（南岸线）</w:t>
            </w:r>
          </w:p>
        </w:tc>
        <w:tc>
          <w:tcPr>
            <w:tcW w:w="76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主干路</w:t>
            </w:r>
          </w:p>
        </w:tc>
        <w:tc>
          <w:tcPr>
            <w:tcW w:w="70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2007</w:t>
            </w:r>
          </w:p>
        </w:tc>
        <w:tc>
          <w:tcPr>
            <w:tcW w:w="584"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1265</w:t>
            </w:r>
          </w:p>
        </w:tc>
        <w:tc>
          <w:tcPr>
            <w:tcW w:w="68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6586</w:t>
            </w:r>
          </w:p>
        </w:tc>
        <w:tc>
          <w:tcPr>
            <w:tcW w:w="83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11646</w:t>
            </w:r>
          </w:p>
        </w:tc>
        <w:tc>
          <w:tcPr>
            <w:tcW w:w="200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1.5-3-2-11.5-3-11.5-2-3-1.5</w:t>
            </w:r>
          </w:p>
        </w:tc>
        <w:tc>
          <w:tcPr>
            <w:tcW w:w="784"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42764</w:t>
            </w:r>
          </w:p>
        </w:tc>
        <w:tc>
          <w:tcPr>
            <w:tcW w:w="91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39206</w:t>
            </w:r>
          </w:p>
        </w:tc>
        <w:tc>
          <w:tcPr>
            <w:tcW w:w="934"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3558</w:t>
            </w:r>
          </w:p>
        </w:tc>
        <w:tc>
          <w:tcPr>
            <w:tcW w:w="151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20cm级配碎石+35cm5%水泥稳定层+1cm稀浆封层+（7+5+3）cm沥青砼</w:t>
            </w:r>
          </w:p>
        </w:tc>
        <w:tc>
          <w:tcPr>
            <w:tcW w:w="136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15cm级配碎石+20cm5%砼稳定层+（5+3）cm沥青砼</w:t>
            </w:r>
          </w:p>
        </w:tc>
        <w:tc>
          <w:tcPr>
            <w:tcW w:w="121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15cm级配碎石+20cm5%砼稳定层+2cmM10砂浆+6cm路面砖</w:t>
            </w:r>
          </w:p>
        </w:tc>
        <w:tc>
          <w:tcPr>
            <w:tcW w:w="966"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60" w:hRule="atLeast"/>
        </w:trPr>
        <w:tc>
          <w:tcPr>
            <w:tcW w:w="61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6</w:t>
            </w:r>
          </w:p>
        </w:tc>
        <w:tc>
          <w:tcPr>
            <w:tcW w:w="65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石祥东路</w:t>
            </w:r>
          </w:p>
        </w:tc>
        <w:tc>
          <w:tcPr>
            <w:tcW w:w="1134"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石桥路-同协路西侧</w:t>
            </w:r>
          </w:p>
        </w:tc>
        <w:tc>
          <w:tcPr>
            <w:tcW w:w="76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主干路</w:t>
            </w:r>
          </w:p>
        </w:tc>
        <w:tc>
          <w:tcPr>
            <w:tcW w:w="70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2008</w:t>
            </w:r>
          </w:p>
        </w:tc>
        <w:tc>
          <w:tcPr>
            <w:tcW w:w="584"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1811</w:t>
            </w:r>
          </w:p>
        </w:tc>
        <w:tc>
          <w:tcPr>
            <w:tcW w:w="68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14488</w:t>
            </w:r>
          </w:p>
        </w:tc>
        <w:tc>
          <w:tcPr>
            <w:tcW w:w="83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14488</w:t>
            </w:r>
          </w:p>
        </w:tc>
        <w:tc>
          <w:tcPr>
            <w:tcW w:w="200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4-4.5-2+8.5+7+8.5+2+4.5+4（45m）；3+4.5+9+8.5+7+9.5+8+4.5+3（57m）</w:t>
            </w:r>
          </w:p>
        </w:tc>
        <w:tc>
          <w:tcPr>
            <w:tcW w:w="784"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62219</w:t>
            </w:r>
          </w:p>
        </w:tc>
        <w:tc>
          <w:tcPr>
            <w:tcW w:w="91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48278</w:t>
            </w:r>
          </w:p>
        </w:tc>
        <w:tc>
          <w:tcPr>
            <w:tcW w:w="934"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13940.8</w:t>
            </w:r>
          </w:p>
        </w:tc>
        <w:tc>
          <w:tcPr>
            <w:tcW w:w="151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4cmSBS改性沥青砼+5cmAC-20中粒式沥青砼+6cmAC-25细粒式+35cm5%水泥稳定碎石+30cm塘渣；地面辅导：4cmSBS改性沥青砼+8cmAC-30粗粒式+30cm5%水泥稳定碎石+30cm塘渣</w:t>
            </w:r>
          </w:p>
        </w:tc>
        <w:tc>
          <w:tcPr>
            <w:tcW w:w="136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30cmSBS改性沥青砼+7cm粗粒式+25cm5%水泥稳定碎石+30cm塘渣</w:t>
            </w:r>
          </w:p>
        </w:tc>
        <w:tc>
          <w:tcPr>
            <w:tcW w:w="121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（50cm*25cm*5cm）仿石条纹砖+2cmM10水泥砂浆+15cm5%水泥稳定碎石</w:t>
            </w:r>
          </w:p>
        </w:tc>
        <w:tc>
          <w:tcPr>
            <w:tcW w:w="96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水车港桥、褚家河桥、长河港桥1号桥、长河港桥2号桥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60" w:hRule="atLeast"/>
        </w:trPr>
        <w:tc>
          <w:tcPr>
            <w:tcW w:w="61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7</w:t>
            </w:r>
          </w:p>
        </w:tc>
        <w:tc>
          <w:tcPr>
            <w:tcW w:w="65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永祥街</w:t>
            </w:r>
          </w:p>
        </w:tc>
        <w:tc>
          <w:tcPr>
            <w:tcW w:w="1134"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石桥路-上塘河东岸</w:t>
            </w:r>
          </w:p>
        </w:tc>
        <w:tc>
          <w:tcPr>
            <w:tcW w:w="76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次干路</w:t>
            </w:r>
          </w:p>
        </w:tc>
        <w:tc>
          <w:tcPr>
            <w:tcW w:w="70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2008</w:t>
            </w:r>
          </w:p>
        </w:tc>
        <w:tc>
          <w:tcPr>
            <w:tcW w:w="584"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694</w:t>
            </w:r>
          </w:p>
        </w:tc>
        <w:tc>
          <w:tcPr>
            <w:tcW w:w="68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0</w:t>
            </w:r>
          </w:p>
        </w:tc>
        <w:tc>
          <w:tcPr>
            <w:tcW w:w="83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6280</w:t>
            </w:r>
          </w:p>
        </w:tc>
        <w:tc>
          <w:tcPr>
            <w:tcW w:w="200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3.5人-4.5非-2隔-（8.5-12）机-3隔-（8.5-12）机-2隔-4.5非-3.5人</w:t>
            </w:r>
          </w:p>
        </w:tc>
        <w:tc>
          <w:tcPr>
            <w:tcW w:w="784"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26183</w:t>
            </w:r>
          </w:p>
        </w:tc>
        <w:tc>
          <w:tcPr>
            <w:tcW w:w="91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21482</w:t>
            </w:r>
          </w:p>
        </w:tc>
        <w:tc>
          <w:tcPr>
            <w:tcW w:w="934"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4701</w:t>
            </w:r>
          </w:p>
        </w:tc>
        <w:tc>
          <w:tcPr>
            <w:tcW w:w="151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30cm塘渣+20cm4%砼稳定层+15cm5%砼稳定层+（7+5+3）cm沥青砼</w:t>
            </w:r>
          </w:p>
        </w:tc>
        <w:tc>
          <w:tcPr>
            <w:tcW w:w="136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30cm塘渣+20cm5%砼稳定层+7cm粗沥砼+3cm细沥砼</w:t>
            </w:r>
          </w:p>
        </w:tc>
        <w:tc>
          <w:tcPr>
            <w:tcW w:w="121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20cm级配碎石+3cmM10砂浆+6cm透水砖</w:t>
            </w:r>
          </w:p>
        </w:tc>
        <w:tc>
          <w:tcPr>
            <w:tcW w:w="96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杭玻桥</w:t>
            </w:r>
          </w:p>
        </w:tc>
      </w:tr>
    </w:tbl>
    <w:p>
      <w:pPr>
        <w:pStyle w:val="8"/>
        <w:spacing w:line="360" w:lineRule="auto"/>
        <w:ind w:left="0" w:leftChars="0" w:firstLine="0" w:firstLineChars="0"/>
        <w:rPr>
          <w:rFonts w:hint="eastAsia" w:ascii="宋体" w:hAnsi="宋体" w:eastAsia="宋体" w:cs="宋体"/>
          <w:b/>
          <w:bCs/>
          <w:color w:val="000000" w:themeColor="text1"/>
          <w:sz w:val="24"/>
          <w:highlight w:val="none"/>
          <w14:textFill>
            <w14:solidFill>
              <w14:schemeClr w14:val="tx1"/>
            </w14:solidFill>
          </w14:textFill>
        </w:rPr>
      </w:pPr>
      <w:r>
        <w:rPr>
          <w:rFonts w:hint="eastAsia" w:ascii="宋体" w:hAnsi="宋体" w:eastAsia="宋体" w:cs="宋体"/>
          <w:b/>
          <w:bCs/>
          <w:color w:val="000000" w:themeColor="text1"/>
          <w:sz w:val="24"/>
          <w:highlight w:val="none"/>
          <w14:textFill>
            <w14:solidFill>
              <w14:schemeClr w14:val="tx1"/>
            </w14:solidFill>
          </w14:textFill>
        </w:rPr>
        <w:br w:type="page"/>
      </w:r>
      <w:r>
        <w:rPr>
          <w:rFonts w:hint="eastAsia" w:ascii="宋体" w:hAnsi="宋体" w:eastAsia="宋体" w:cs="宋体"/>
          <w:b/>
          <w:bCs/>
          <w:color w:val="000000" w:themeColor="text1"/>
          <w:sz w:val="24"/>
          <w:highlight w:val="none"/>
          <w14:textFill>
            <w14:solidFill>
              <w14:schemeClr w14:val="tx1"/>
            </w14:solidFill>
          </w14:textFill>
        </w:rPr>
        <w:t>附</w:t>
      </w:r>
      <w:r>
        <w:rPr>
          <w:rFonts w:hint="eastAsia" w:ascii="宋体" w:hAnsi="宋体" w:eastAsia="宋体" w:cs="宋体"/>
          <w:b/>
          <w:bCs/>
          <w:color w:val="000000" w:themeColor="text1"/>
          <w:sz w:val="24"/>
          <w:highlight w:val="none"/>
          <w:lang w:val="en-US" w:eastAsia="zh-CN"/>
          <w14:textFill>
            <w14:solidFill>
              <w14:schemeClr w14:val="tx1"/>
            </w14:solidFill>
          </w14:textFill>
        </w:rPr>
        <w:t>2</w:t>
      </w:r>
      <w:r>
        <w:rPr>
          <w:rFonts w:hint="eastAsia" w:ascii="宋体" w:hAnsi="宋体" w:eastAsia="宋体" w:cs="宋体"/>
          <w:b/>
          <w:bCs/>
          <w:color w:val="000000" w:themeColor="text1"/>
          <w:sz w:val="24"/>
          <w:highlight w:val="none"/>
          <w:lang w:eastAsia="zh-CN"/>
          <w14:textFill>
            <w14:solidFill>
              <w14:schemeClr w14:val="tx1"/>
            </w14:solidFill>
          </w14:textFill>
        </w:rPr>
        <w:t>：临丁路</w:t>
      </w:r>
      <w:r>
        <w:rPr>
          <w:rFonts w:hint="eastAsia" w:ascii="宋体" w:hAnsi="宋体" w:eastAsia="宋体" w:cs="宋体"/>
          <w:b/>
          <w:bCs/>
          <w:color w:val="000000" w:themeColor="text1"/>
          <w:sz w:val="24"/>
          <w:highlight w:val="none"/>
          <w14:textFill>
            <w14:solidFill>
              <w14:schemeClr w14:val="tx1"/>
            </w14:solidFill>
          </w14:textFill>
        </w:rPr>
        <w:t>随路桥梁设施量明细清单</w:t>
      </w:r>
    </w:p>
    <w:tbl>
      <w:tblPr>
        <w:tblStyle w:val="62"/>
        <w:tblW w:w="15567" w:type="dxa"/>
        <w:tblInd w:w="-52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6"/>
        <w:gridCol w:w="733"/>
        <w:gridCol w:w="635"/>
        <w:gridCol w:w="707"/>
        <w:gridCol w:w="693"/>
        <w:gridCol w:w="716"/>
        <w:gridCol w:w="981"/>
        <w:gridCol w:w="627"/>
        <w:gridCol w:w="1192"/>
        <w:gridCol w:w="1638"/>
        <w:gridCol w:w="646"/>
        <w:gridCol w:w="750"/>
        <w:gridCol w:w="366"/>
        <w:gridCol w:w="500"/>
        <w:gridCol w:w="600"/>
        <w:gridCol w:w="784"/>
        <w:gridCol w:w="716"/>
        <w:gridCol w:w="717"/>
        <w:gridCol w:w="833"/>
        <w:gridCol w:w="9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766"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0"/>
                <w:szCs w:val="20"/>
                <w:highlight w:val="none"/>
                <w:u w:val="none"/>
                <w14:textFill>
                  <w14:solidFill>
                    <w14:schemeClr w14:val="tx1"/>
                  </w14:solidFill>
                </w14:textFill>
              </w:rPr>
            </w:pPr>
            <w:r>
              <w:rPr>
                <w:rFonts w:hint="eastAsia" w:ascii="宋体" w:hAnsi="宋体" w:eastAsia="宋体" w:cs="宋体"/>
                <w:b/>
                <w:bCs/>
                <w:i w:val="0"/>
                <w:iCs w:val="0"/>
                <w:color w:val="000000" w:themeColor="text1"/>
                <w:kern w:val="0"/>
                <w:sz w:val="20"/>
                <w:szCs w:val="20"/>
                <w:highlight w:val="none"/>
                <w:u w:val="none"/>
                <w:lang w:val="en-US" w:eastAsia="zh-CN" w:bidi="ar"/>
                <w14:textFill>
                  <w14:solidFill>
                    <w14:schemeClr w14:val="tx1"/>
                  </w14:solidFill>
                </w14:textFill>
              </w:rPr>
              <w:t>序号</w:t>
            </w:r>
          </w:p>
        </w:tc>
        <w:tc>
          <w:tcPr>
            <w:tcW w:w="733"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0"/>
                <w:szCs w:val="20"/>
                <w:highlight w:val="none"/>
                <w:u w:val="none"/>
                <w14:textFill>
                  <w14:solidFill>
                    <w14:schemeClr w14:val="tx1"/>
                  </w14:solidFill>
                </w14:textFill>
              </w:rPr>
            </w:pPr>
            <w:r>
              <w:rPr>
                <w:rFonts w:hint="eastAsia" w:ascii="宋体" w:hAnsi="宋体" w:eastAsia="宋体" w:cs="宋体"/>
                <w:b/>
                <w:bCs/>
                <w:i w:val="0"/>
                <w:iCs w:val="0"/>
                <w:color w:val="000000" w:themeColor="text1"/>
                <w:kern w:val="0"/>
                <w:sz w:val="20"/>
                <w:szCs w:val="20"/>
                <w:highlight w:val="none"/>
                <w:u w:val="none"/>
                <w:lang w:val="en-US" w:eastAsia="zh-CN" w:bidi="ar"/>
                <w14:textFill>
                  <w14:solidFill>
                    <w14:schemeClr w14:val="tx1"/>
                  </w14:solidFill>
                </w14:textFill>
              </w:rPr>
              <w:t>桥梁名称</w:t>
            </w:r>
          </w:p>
        </w:tc>
        <w:tc>
          <w:tcPr>
            <w:tcW w:w="63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0"/>
                <w:szCs w:val="20"/>
                <w:highlight w:val="none"/>
                <w:u w:val="none"/>
                <w14:textFill>
                  <w14:solidFill>
                    <w14:schemeClr w14:val="tx1"/>
                  </w14:solidFill>
                </w14:textFill>
              </w:rPr>
            </w:pPr>
            <w:r>
              <w:rPr>
                <w:rFonts w:hint="eastAsia" w:ascii="宋体" w:hAnsi="宋体" w:eastAsia="宋体" w:cs="宋体"/>
                <w:b/>
                <w:bCs/>
                <w:i w:val="0"/>
                <w:iCs w:val="0"/>
                <w:color w:val="000000" w:themeColor="text1"/>
                <w:kern w:val="0"/>
                <w:sz w:val="20"/>
                <w:szCs w:val="20"/>
                <w:highlight w:val="none"/>
                <w:u w:val="none"/>
                <w:lang w:val="en-US" w:eastAsia="zh-CN" w:bidi="ar"/>
                <w14:textFill>
                  <w14:solidFill>
                    <w14:schemeClr w14:val="tx1"/>
                  </w14:solidFill>
                </w14:textFill>
              </w:rPr>
              <w:t>建成日期</w:t>
            </w:r>
          </w:p>
        </w:tc>
        <w:tc>
          <w:tcPr>
            <w:tcW w:w="707"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0"/>
                <w:szCs w:val="20"/>
                <w:highlight w:val="none"/>
                <w:u w:val="none"/>
                <w14:textFill>
                  <w14:solidFill>
                    <w14:schemeClr w14:val="tx1"/>
                  </w14:solidFill>
                </w14:textFill>
              </w:rPr>
            </w:pPr>
            <w:r>
              <w:rPr>
                <w:rFonts w:hint="eastAsia" w:ascii="宋体" w:hAnsi="宋体" w:eastAsia="宋体" w:cs="宋体"/>
                <w:b/>
                <w:bCs/>
                <w:i w:val="0"/>
                <w:iCs w:val="0"/>
                <w:color w:val="000000" w:themeColor="text1"/>
                <w:kern w:val="0"/>
                <w:sz w:val="20"/>
                <w:szCs w:val="20"/>
                <w:highlight w:val="none"/>
                <w:u w:val="none"/>
                <w:lang w:val="en-US" w:eastAsia="zh-CN" w:bidi="ar"/>
                <w14:textFill>
                  <w14:solidFill>
                    <w14:schemeClr w14:val="tx1"/>
                  </w14:solidFill>
                </w14:textFill>
              </w:rPr>
              <w:t>跨越河流/道路</w:t>
            </w:r>
          </w:p>
        </w:tc>
        <w:tc>
          <w:tcPr>
            <w:tcW w:w="693"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0"/>
                <w:szCs w:val="20"/>
                <w:highlight w:val="none"/>
                <w:u w:val="none"/>
                <w14:textFill>
                  <w14:solidFill>
                    <w14:schemeClr w14:val="tx1"/>
                  </w14:solidFill>
                </w14:textFill>
              </w:rPr>
            </w:pPr>
            <w:r>
              <w:rPr>
                <w:rFonts w:hint="eastAsia" w:ascii="宋体" w:hAnsi="宋体" w:eastAsia="宋体" w:cs="宋体"/>
                <w:b/>
                <w:bCs/>
                <w:i w:val="0"/>
                <w:iCs w:val="0"/>
                <w:color w:val="000000" w:themeColor="text1"/>
                <w:kern w:val="0"/>
                <w:sz w:val="20"/>
                <w:szCs w:val="20"/>
                <w:highlight w:val="none"/>
                <w:u w:val="none"/>
                <w:lang w:val="en-US" w:eastAsia="zh-CN" w:bidi="ar"/>
                <w14:textFill>
                  <w14:solidFill>
                    <w14:schemeClr w14:val="tx1"/>
                  </w14:solidFill>
                </w14:textFill>
              </w:rPr>
              <w:t>所在道路</w:t>
            </w:r>
          </w:p>
        </w:tc>
        <w:tc>
          <w:tcPr>
            <w:tcW w:w="3516" w:type="dxa"/>
            <w:gridSpan w:val="4"/>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0"/>
                <w:szCs w:val="20"/>
                <w:highlight w:val="none"/>
                <w:u w:val="none"/>
                <w14:textFill>
                  <w14:solidFill>
                    <w14:schemeClr w14:val="tx1"/>
                  </w14:solidFill>
                </w14:textFill>
              </w:rPr>
            </w:pPr>
            <w:r>
              <w:rPr>
                <w:rFonts w:hint="eastAsia" w:ascii="宋体" w:hAnsi="宋体" w:eastAsia="宋体" w:cs="宋体"/>
                <w:b/>
                <w:bCs/>
                <w:i w:val="0"/>
                <w:iCs w:val="0"/>
                <w:color w:val="000000" w:themeColor="text1"/>
                <w:kern w:val="0"/>
                <w:sz w:val="20"/>
                <w:szCs w:val="20"/>
                <w:highlight w:val="none"/>
                <w:u w:val="none"/>
                <w:lang w:val="en-US" w:eastAsia="zh-CN" w:bidi="ar"/>
                <w14:textFill>
                  <w14:solidFill>
                    <w14:schemeClr w14:val="tx1"/>
                  </w14:solidFill>
                </w14:textFill>
              </w:rPr>
              <w:t>桥梁</w:t>
            </w:r>
          </w:p>
        </w:tc>
        <w:tc>
          <w:tcPr>
            <w:tcW w:w="1638"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0"/>
                <w:szCs w:val="20"/>
                <w:highlight w:val="none"/>
                <w:u w:val="none"/>
                <w14:textFill>
                  <w14:solidFill>
                    <w14:schemeClr w14:val="tx1"/>
                  </w14:solidFill>
                </w14:textFill>
              </w:rPr>
            </w:pPr>
            <w:r>
              <w:rPr>
                <w:rFonts w:hint="eastAsia" w:ascii="宋体" w:hAnsi="宋体" w:eastAsia="宋体" w:cs="宋体"/>
                <w:b/>
                <w:bCs/>
                <w:i w:val="0"/>
                <w:iCs w:val="0"/>
                <w:color w:val="000000" w:themeColor="text1"/>
                <w:kern w:val="0"/>
                <w:sz w:val="20"/>
                <w:szCs w:val="20"/>
                <w:highlight w:val="none"/>
                <w:u w:val="none"/>
                <w:lang w:val="en-US" w:eastAsia="zh-CN" w:bidi="ar"/>
                <w14:textFill>
                  <w14:solidFill>
                    <w14:schemeClr w14:val="tx1"/>
                  </w14:solidFill>
                </w14:textFill>
              </w:rPr>
              <w:t>断面形式</w:t>
            </w:r>
          </w:p>
        </w:tc>
        <w:tc>
          <w:tcPr>
            <w:tcW w:w="646"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0"/>
                <w:szCs w:val="20"/>
                <w:highlight w:val="none"/>
                <w:u w:val="none"/>
                <w14:textFill>
                  <w14:solidFill>
                    <w14:schemeClr w14:val="tx1"/>
                  </w14:solidFill>
                </w14:textFill>
              </w:rPr>
            </w:pPr>
            <w:r>
              <w:rPr>
                <w:rFonts w:hint="eastAsia" w:ascii="宋体" w:hAnsi="宋体" w:eastAsia="宋体" w:cs="宋体"/>
                <w:b/>
                <w:bCs/>
                <w:i w:val="0"/>
                <w:iCs w:val="0"/>
                <w:color w:val="000000" w:themeColor="text1"/>
                <w:kern w:val="0"/>
                <w:sz w:val="20"/>
                <w:szCs w:val="20"/>
                <w:highlight w:val="none"/>
                <w:u w:val="none"/>
                <w:lang w:val="en-US" w:eastAsia="zh-CN" w:bidi="ar"/>
                <w14:textFill>
                  <w14:solidFill>
                    <w14:schemeClr w14:val="tx1"/>
                  </w14:solidFill>
                </w14:textFill>
              </w:rPr>
              <w:t>设计荷载</w:t>
            </w:r>
          </w:p>
        </w:tc>
        <w:tc>
          <w:tcPr>
            <w:tcW w:w="750"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0"/>
                <w:szCs w:val="20"/>
                <w:highlight w:val="none"/>
                <w:u w:val="none"/>
                <w14:textFill>
                  <w14:solidFill>
                    <w14:schemeClr w14:val="tx1"/>
                  </w14:solidFill>
                </w14:textFill>
              </w:rPr>
            </w:pPr>
            <w:r>
              <w:rPr>
                <w:rFonts w:hint="eastAsia" w:ascii="宋体" w:hAnsi="宋体" w:eastAsia="宋体" w:cs="宋体"/>
                <w:b/>
                <w:bCs/>
                <w:i w:val="0"/>
                <w:iCs w:val="0"/>
                <w:color w:val="000000" w:themeColor="text1"/>
                <w:kern w:val="0"/>
                <w:sz w:val="20"/>
                <w:szCs w:val="20"/>
                <w:highlight w:val="none"/>
                <w:u w:val="none"/>
                <w:lang w:val="en-US" w:eastAsia="zh-CN" w:bidi="ar"/>
                <w14:textFill>
                  <w14:solidFill>
                    <w14:schemeClr w14:val="tx1"/>
                  </w14:solidFill>
                </w14:textFill>
              </w:rPr>
              <w:t>结构用材</w:t>
            </w:r>
          </w:p>
        </w:tc>
        <w:tc>
          <w:tcPr>
            <w:tcW w:w="2250" w:type="dxa"/>
            <w:gridSpan w:val="4"/>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0"/>
                <w:szCs w:val="20"/>
                <w:highlight w:val="none"/>
                <w:u w:val="none"/>
                <w14:textFill>
                  <w14:solidFill>
                    <w14:schemeClr w14:val="tx1"/>
                  </w14:solidFill>
                </w14:textFill>
              </w:rPr>
            </w:pPr>
            <w:r>
              <w:rPr>
                <w:rFonts w:hint="eastAsia" w:ascii="宋体" w:hAnsi="宋体" w:eastAsia="宋体" w:cs="宋体"/>
                <w:b/>
                <w:bCs/>
                <w:i w:val="0"/>
                <w:iCs w:val="0"/>
                <w:color w:val="000000" w:themeColor="text1"/>
                <w:kern w:val="0"/>
                <w:sz w:val="20"/>
                <w:szCs w:val="20"/>
                <w:highlight w:val="none"/>
                <w:u w:val="none"/>
                <w:lang w:val="en-US" w:eastAsia="zh-CN" w:bidi="ar"/>
                <w14:textFill>
                  <w14:solidFill>
                    <w14:schemeClr w14:val="tx1"/>
                  </w14:solidFill>
                </w14:textFill>
              </w:rPr>
              <w:t>结构形式</w:t>
            </w:r>
          </w:p>
        </w:tc>
        <w:tc>
          <w:tcPr>
            <w:tcW w:w="3233" w:type="dxa"/>
            <w:gridSpan w:val="4"/>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0"/>
                <w:szCs w:val="20"/>
                <w:highlight w:val="none"/>
                <w:u w:val="none"/>
                <w14:textFill>
                  <w14:solidFill>
                    <w14:schemeClr w14:val="tx1"/>
                  </w14:solidFill>
                </w14:textFill>
              </w:rPr>
            </w:pPr>
            <w:r>
              <w:rPr>
                <w:rFonts w:hint="eastAsia" w:ascii="宋体" w:hAnsi="宋体" w:eastAsia="宋体" w:cs="宋体"/>
                <w:b/>
                <w:bCs/>
                <w:i w:val="0"/>
                <w:iCs w:val="0"/>
                <w:color w:val="000000" w:themeColor="text1"/>
                <w:kern w:val="0"/>
                <w:sz w:val="20"/>
                <w:szCs w:val="20"/>
                <w:highlight w:val="none"/>
                <w:u w:val="none"/>
                <w:lang w:val="en-US" w:eastAsia="zh-CN" w:bidi="ar"/>
                <w14:textFill>
                  <w14:solidFill>
                    <w14:schemeClr w14:val="tx1"/>
                  </w14:solidFill>
                </w14:textFill>
              </w:rPr>
              <w:t>附属设施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766"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themeColor="text1"/>
                <w:sz w:val="20"/>
                <w:szCs w:val="20"/>
                <w:highlight w:val="none"/>
                <w:u w:val="none"/>
                <w14:textFill>
                  <w14:solidFill>
                    <w14:schemeClr w14:val="tx1"/>
                  </w14:solidFill>
                </w14:textFill>
              </w:rPr>
            </w:pPr>
          </w:p>
        </w:tc>
        <w:tc>
          <w:tcPr>
            <w:tcW w:w="73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themeColor="text1"/>
                <w:sz w:val="20"/>
                <w:szCs w:val="20"/>
                <w:highlight w:val="none"/>
                <w:u w:val="none"/>
                <w14:textFill>
                  <w14:solidFill>
                    <w14:schemeClr w14:val="tx1"/>
                  </w14:solidFill>
                </w14:textFill>
              </w:rPr>
            </w:pPr>
          </w:p>
        </w:tc>
        <w:tc>
          <w:tcPr>
            <w:tcW w:w="635"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themeColor="text1"/>
                <w:sz w:val="20"/>
                <w:szCs w:val="20"/>
                <w:highlight w:val="none"/>
                <w:u w:val="none"/>
                <w14:textFill>
                  <w14:solidFill>
                    <w14:schemeClr w14:val="tx1"/>
                  </w14:solidFill>
                </w14:textFill>
              </w:rPr>
            </w:pPr>
          </w:p>
        </w:tc>
        <w:tc>
          <w:tcPr>
            <w:tcW w:w="70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themeColor="text1"/>
                <w:sz w:val="20"/>
                <w:szCs w:val="20"/>
                <w:highlight w:val="none"/>
                <w:u w:val="none"/>
                <w14:textFill>
                  <w14:solidFill>
                    <w14:schemeClr w14:val="tx1"/>
                  </w14:solidFill>
                </w14:textFill>
              </w:rPr>
            </w:pPr>
          </w:p>
        </w:tc>
        <w:tc>
          <w:tcPr>
            <w:tcW w:w="69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themeColor="text1"/>
                <w:sz w:val="20"/>
                <w:szCs w:val="20"/>
                <w:highlight w:val="none"/>
                <w:u w:val="none"/>
                <w14:textFill>
                  <w14:solidFill>
                    <w14:schemeClr w14:val="tx1"/>
                  </w14:solidFill>
                </w14:textFill>
              </w:rPr>
            </w:pPr>
          </w:p>
        </w:tc>
        <w:tc>
          <w:tcPr>
            <w:tcW w:w="3516" w:type="dxa"/>
            <w:gridSpan w:val="4"/>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themeColor="text1"/>
                <w:sz w:val="20"/>
                <w:szCs w:val="20"/>
                <w:highlight w:val="none"/>
                <w:u w:val="none"/>
                <w14:textFill>
                  <w14:solidFill>
                    <w14:schemeClr w14:val="tx1"/>
                  </w14:solidFill>
                </w14:textFill>
              </w:rPr>
            </w:pPr>
          </w:p>
        </w:tc>
        <w:tc>
          <w:tcPr>
            <w:tcW w:w="1638"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themeColor="text1"/>
                <w:sz w:val="20"/>
                <w:szCs w:val="20"/>
                <w:highlight w:val="none"/>
                <w:u w:val="none"/>
                <w14:textFill>
                  <w14:solidFill>
                    <w14:schemeClr w14:val="tx1"/>
                  </w14:solidFill>
                </w14:textFill>
              </w:rPr>
            </w:pPr>
          </w:p>
        </w:tc>
        <w:tc>
          <w:tcPr>
            <w:tcW w:w="646"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themeColor="text1"/>
                <w:sz w:val="20"/>
                <w:szCs w:val="20"/>
                <w:highlight w:val="none"/>
                <w:u w:val="none"/>
                <w14:textFill>
                  <w14:solidFill>
                    <w14:schemeClr w14:val="tx1"/>
                  </w14:solidFill>
                </w14:textFill>
              </w:rPr>
            </w:pPr>
          </w:p>
        </w:tc>
        <w:tc>
          <w:tcPr>
            <w:tcW w:w="750"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themeColor="text1"/>
                <w:sz w:val="20"/>
                <w:szCs w:val="20"/>
                <w:highlight w:val="none"/>
                <w:u w:val="none"/>
                <w14:textFill>
                  <w14:solidFill>
                    <w14:schemeClr w14:val="tx1"/>
                  </w14:solidFill>
                </w14:textFill>
              </w:rPr>
            </w:pPr>
          </w:p>
        </w:tc>
        <w:tc>
          <w:tcPr>
            <w:tcW w:w="2250" w:type="dxa"/>
            <w:gridSpan w:val="4"/>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themeColor="text1"/>
                <w:sz w:val="20"/>
                <w:szCs w:val="20"/>
                <w:highlight w:val="none"/>
                <w:u w:val="none"/>
                <w14:textFill>
                  <w14:solidFill>
                    <w14:schemeClr w14:val="tx1"/>
                  </w14:solidFill>
                </w14:textFill>
              </w:rPr>
            </w:pPr>
          </w:p>
        </w:tc>
        <w:tc>
          <w:tcPr>
            <w:tcW w:w="3233" w:type="dxa"/>
            <w:gridSpan w:val="4"/>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themeColor="text1"/>
                <w:sz w:val="20"/>
                <w:szCs w:val="20"/>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766"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themeColor="text1"/>
                <w:sz w:val="20"/>
                <w:szCs w:val="20"/>
                <w:highlight w:val="none"/>
                <w:u w:val="none"/>
                <w14:textFill>
                  <w14:solidFill>
                    <w14:schemeClr w14:val="tx1"/>
                  </w14:solidFill>
                </w14:textFill>
              </w:rPr>
            </w:pPr>
          </w:p>
        </w:tc>
        <w:tc>
          <w:tcPr>
            <w:tcW w:w="73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themeColor="text1"/>
                <w:sz w:val="20"/>
                <w:szCs w:val="20"/>
                <w:highlight w:val="none"/>
                <w:u w:val="none"/>
                <w14:textFill>
                  <w14:solidFill>
                    <w14:schemeClr w14:val="tx1"/>
                  </w14:solidFill>
                </w14:textFill>
              </w:rPr>
            </w:pPr>
          </w:p>
        </w:tc>
        <w:tc>
          <w:tcPr>
            <w:tcW w:w="635"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themeColor="text1"/>
                <w:sz w:val="20"/>
                <w:szCs w:val="20"/>
                <w:highlight w:val="none"/>
                <w:u w:val="none"/>
                <w14:textFill>
                  <w14:solidFill>
                    <w14:schemeClr w14:val="tx1"/>
                  </w14:solidFill>
                </w14:textFill>
              </w:rPr>
            </w:pPr>
          </w:p>
        </w:tc>
        <w:tc>
          <w:tcPr>
            <w:tcW w:w="70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themeColor="text1"/>
                <w:sz w:val="20"/>
                <w:szCs w:val="20"/>
                <w:highlight w:val="none"/>
                <w:u w:val="none"/>
                <w14:textFill>
                  <w14:solidFill>
                    <w14:schemeClr w14:val="tx1"/>
                  </w14:solidFill>
                </w14:textFill>
              </w:rPr>
            </w:pPr>
          </w:p>
        </w:tc>
        <w:tc>
          <w:tcPr>
            <w:tcW w:w="69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themeColor="text1"/>
                <w:sz w:val="20"/>
                <w:szCs w:val="20"/>
                <w:highlight w:val="none"/>
                <w:u w:val="none"/>
                <w14:textFill>
                  <w14:solidFill>
                    <w14:schemeClr w14:val="tx1"/>
                  </w14:solidFill>
                </w14:textFill>
              </w:rPr>
            </w:pPr>
          </w:p>
        </w:tc>
        <w:tc>
          <w:tcPr>
            <w:tcW w:w="71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0"/>
                <w:szCs w:val="20"/>
                <w:highlight w:val="none"/>
                <w:u w:val="none"/>
                <w14:textFill>
                  <w14:solidFill>
                    <w14:schemeClr w14:val="tx1"/>
                  </w14:solidFill>
                </w14:textFill>
              </w:rPr>
            </w:pPr>
            <w:r>
              <w:rPr>
                <w:rFonts w:hint="eastAsia" w:ascii="宋体" w:hAnsi="宋体" w:eastAsia="宋体" w:cs="宋体"/>
                <w:b/>
                <w:bCs/>
                <w:i w:val="0"/>
                <w:iCs w:val="0"/>
                <w:color w:val="000000" w:themeColor="text1"/>
                <w:kern w:val="0"/>
                <w:sz w:val="20"/>
                <w:szCs w:val="20"/>
                <w:highlight w:val="none"/>
                <w:u w:val="none"/>
                <w:lang w:val="en-US" w:eastAsia="zh-CN" w:bidi="ar"/>
                <w14:textFill>
                  <w14:solidFill>
                    <w14:schemeClr w14:val="tx1"/>
                  </w14:solidFill>
                </w14:textFill>
              </w:rPr>
              <w:t>总长</w:t>
            </w:r>
          </w:p>
        </w:tc>
        <w:tc>
          <w:tcPr>
            <w:tcW w:w="981"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0"/>
                <w:szCs w:val="20"/>
                <w:highlight w:val="none"/>
                <w:u w:val="none"/>
                <w14:textFill>
                  <w14:solidFill>
                    <w14:schemeClr w14:val="tx1"/>
                  </w14:solidFill>
                </w14:textFill>
              </w:rPr>
            </w:pPr>
            <w:r>
              <w:rPr>
                <w:rFonts w:hint="eastAsia" w:ascii="宋体" w:hAnsi="宋体" w:eastAsia="宋体" w:cs="宋体"/>
                <w:b/>
                <w:bCs/>
                <w:i w:val="0"/>
                <w:iCs w:val="0"/>
                <w:color w:val="000000" w:themeColor="text1"/>
                <w:kern w:val="0"/>
                <w:sz w:val="20"/>
                <w:szCs w:val="20"/>
                <w:highlight w:val="none"/>
                <w:u w:val="none"/>
                <w:lang w:val="en-US" w:eastAsia="zh-CN" w:bidi="ar"/>
                <w14:textFill>
                  <w14:solidFill>
                    <w14:schemeClr w14:val="tx1"/>
                  </w14:solidFill>
                </w14:textFill>
              </w:rPr>
              <w:t>跨数和跨径(M)</w:t>
            </w:r>
          </w:p>
        </w:tc>
        <w:tc>
          <w:tcPr>
            <w:tcW w:w="627"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0"/>
                <w:szCs w:val="20"/>
                <w:highlight w:val="none"/>
                <w:u w:val="none"/>
                <w14:textFill>
                  <w14:solidFill>
                    <w14:schemeClr w14:val="tx1"/>
                  </w14:solidFill>
                </w14:textFill>
              </w:rPr>
            </w:pPr>
            <w:r>
              <w:rPr>
                <w:rFonts w:hint="eastAsia" w:ascii="宋体" w:hAnsi="宋体" w:eastAsia="宋体" w:cs="宋体"/>
                <w:b/>
                <w:bCs/>
                <w:i w:val="0"/>
                <w:iCs w:val="0"/>
                <w:color w:val="000000" w:themeColor="text1"/>
                <w:kern w:val="0"/>
                <w:sz w:val="20"/>
                <w:szCs w:val="20"/>
                <w:highlight w:val="none"/>
                <w:u w:val="none"/>
                <w:lang w:val="en-US" w:eastAsia="zh-CN" w:bidi="ar"/>
                <w14:textFill>
                  <w14:solidFill>
                    <w14:schemeClr w14:val="tx1"/>
                  </w14:solidFill>
                </w14:textFill>
              </w:rPr>
              <w:t>宽度(M)</w:t>
            </w:r>
          </w:p>
        </w:tc>
        <w:tc>
          <w:tcPr>
            <w:tcW w:w="1192"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0"/>
                <w:szCs w:val="20"/>
                <w:highlight w:val="none"/>
                <w:u w:val="none"/>
                <w14:textFill>
                  <w14:solidFill>
                    <w14:schemeClr w14:val="tx1"/>
                  </w14:solidFill>
                </w14:textFill>
              </w:rPr>
            </w:pPr>
            <w:r>
              <w:rPr>
                <w:rFonts w:hint="eastAsia" w:ascii="宋体" w:hAnsi="宋体" w:eastAsia="宋体" w:cs="宋体"/>
                <w:b/>
                <w:bCs/>
                <w:i w:val="0"/>
                <w:iCs w:val="0"/>
                <w:color w:val="000000" w:themeColor="text1"/>
                <w:kern w:val="0"/>
                <w:sz w:val="20"/>
                <w:szCs w:val="20"/>
                <w:highlight w:val="none"/>
                <w:u w:val="none"/>
                <w:lang w:val="en-US" w:eastAsia="zh-CN" w:bidi="ar"/>
                <w14:textFill>
                  <w14:solidFill>
                    <w14:schemeClr w14:val="tx1"/>
                  </w14:solidFill>
                </w14:textFill>
              </w:rPr>
              <w:t>面积(M2)</w:t>
            </w:r>
          </w:p>
        </w:tc>
        <w:tc>
          <w:tcPr>
            <w:tcW w:w="1638"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themeColor="text1"/>
                <w:sz w:val="20"/>
                <w:szCs w:val="20"/>
                <w:highlight w:val="none"/>
                <w:u w:val="none"/>
                <w14:textFill>
                  <w14:solidFill>
                    <w14:schemeClr w14:val="tx1"/>
                  </w14:solidFill>
                </w14:textFill>
              </w:rPr>
            </w:pPr>
          </w:p>
        </w:tc>
        <w:tc>
          <w:tcPr>
            <w:tcW w:w="646"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themeColor="text1"/>
                <w:sz w:val="20"/>
                <w:szCs w:val="20"/>
                <w:highlight w:val="none"/>
                <w:u w:val="none"/>
                <w14:textFill>
                  <w14:solidFill>
                    <w14:schemeClr w14:val="tx1"/>
                  </w14:solidFill>
                </w14:textFill>
              </w:rPr>
            </w:pPr>
          </w:p>
        </w:tc>
        <w:tc>
          <w:tcPr>
            <w:tcW w:w="750"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themeColor="text1"/>
                <w:sz w:val="20"/>
                <w:szCs w:val="20"/>
                <w:highlight w:val="none"/>
                <w:u w:val="none"/>
                <w14:textFill>
                  <w14:solidFill>
                    <w14:schemeClr w14:val="tx1"/>
                  </w14:solidFill>
                </w14:textFill>
              </w:rPr>
            </w:pPr>
          </w:p>
        </w:tc>
        <w:tc>
          <w:tcPr>
            <w:tcW w:w="366"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0"/>
                <w:szCs w:val="20"/>
                <w:highlight w:val="none"/>
                <w:u w:val="none"/>
                <w14:textFill>
                  <w14:solidFill>
                    <w14:schemeClr w14:val="tx1"/>
                  </w14:solidFill>
                </w14:textFill>
              </w:rPr>
            </w:pPr>
            <w:r>
              <w:rPr>
                <w:rFonts w:hint="eastAsia" w:ascii="宋体" w:hAnsi="宋体" w:eastAsia="宋体" w:cs="宋体"/>
                <w:b/>
                <w:bCs/>
                <w:i w:val="0"/>
                <w:iCs w:val="0"/>
                <w:color w:val="000000" w:themeColor="text1"/>
                <w:kern w:val="0"/>
                <w:sz w:val="20"/>
                <w:szCs w:val="20"/>
                <w:highlight w:val="none"/>
                <w:u w:val="none"/>
                <w:lang w:val="en-US" w:eastAsia="zh-CN" w:bidi="ar"/>
                <w14:textFill>
                  <w14:solidFill>
                    <w14:schemeClr w14:val="tx1"/>
                  </w14:solidFill>
                </w14:textFill>
              </w:rPr>
              <w:t>基础</w:t>
            </w:r>
          </w:p>
        </w:tc>
        <w:tc>
          <w:tcPr>
            <w:tcW w:w="500"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0"/>
                <w:szCs w:val="20"/>
                <w:highlight w:val="none"/>
                <w:u w:val="none"/>
                <w14:textFill>
                  <w14:solidFill>
                    <w14:schemeClr w14:val="tx1"/>
                  </w14:solidFill>
                </w14:textFill>
              </w:rPr>
            </w:pPr>
            <w:r>
              <w:rPr>
                <w:rFonts w:hint="eastAsia" w:ascii="宋体" w:hAnsi="宋体" w:eastAsia="宋体" w:cs="宋体"/>
                <w:b/>
                <w:bCs/>
                <w:i w:val="0"/>
                <w:iCs w:val="0"/>
                <w:color w:val="000000" w:themeColor="text1"/>
                <w:kern w:val="0"/>
                <w:sz w:val="20"/>
                <w:szCs w:val="20"/>
                <w:highlight w:val="none"/>
                <w:u w:val="none"/>
                <w:lang w:val="en-US" w:eastAsia="zh-CN" w:bidi="ar"/>
                <w14:textFill>
                  <w14:solidFill>
                    <w14:schemeClr w14:val="tx1"/>
                  </w14:solidFill>
                </w14:textFill>
              </w:rPr>
              <w:t>上部</w:t>
            </w:r>
          </w:p>
        </w:tc>
        <w:tc>
          <w:tcPr>
            <w:tcW w:w="600"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0"/>
                <w:szCs w:val="20"/>
                <w:highlight w:val="none"/>
                <w:u w:val="none"/>
                <w14:textFill>
                  <w14:solidFill>
                    <w14:schemeClr w14:val="tx1"/>
                  </w14:solidFill>
                </w14:textFill>
              </w:rPr>
            </w:pPr>
            <w:r>
              <w:rPr>
                <w:rFonts w:hint="eastAsia" w:ascii="宋体" w:hAnsi="宋体" w:eastAsia="宋体" w:cs="宋体"/>
                <w:b/>
                <w:bCs/>
                <w:i w:val="0"/>
                <w:iCs w:val="0"/>
                <w:color w:val="000000" w:themeColor="text1"/>
                <w:kern w:val="0"/>
                <w:sz w:val="20"/>
                <w:szCs w:val="20"/>
                <w:highlight w:val="none"/>
                <w:u w:val="none"/>
                <w:lang w:val="en-US" w:eastAsia="zh-CN" w:bidi="ar"/>
                <w14:textFill>
                  <w14:solidFill>
                    <w14:schemeClr w14:val="tx1"/>
                  </w14:solidFill>
                </w14:textFill>
              </w:rPr>
              <w:t>下部</w:t>
            </w:r>
          </w:p>
        </w:tc>
        <w:tc>
          <w:tcPr>
            <w:tcW w:w="784"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0"/>
                <w:szCs w:val="20"/>
                <w:highlight w:val="none"/>
                <w:u w:val="none"/>
                <w14:textFill>
                  <w14:solidFill>
                    <w14:schemeClr w14:val="tx1"/>
                  </w14:solidFill>
                </w14:textFill>
              </w:rPr>
            </w:pPr>
            <w:r>
              <w:rPr>
                <w:rFonts w:hint="eastAsia" w:ascii="宋体" w:hAnsi="宋体" w:eastAsia="宋体" w:cs="宋体"/>
                <w:b/>
                <w:bCs/>
                <w:i w:val="0"/>
                <w:iCs w:val="0"/>
                <w:color w:val="000000" w:themeColor="text1"/>
                <w:kern w:val="0"/>
                <w:sz w:val="20"/>
                <w:szCs w:val="20"/>
                <w:highlight w:val="none"/>
                <w:u w:val="none"/>
                <w:lang w:val="en-US" w:eastAsia="zh-CN" w:bidi="ar"/>
                <w14:textFill>
                  <w14:solidFill>
                    <w14:schemeClr w14:val="tx1"/>
                  </w14:solidFill>
                </w14:textFill>
              </w:rPr>
              <w:t>桥面铺装</w:t>
            </w:r>
          </w:p>
        </w:tc>
        <w:tc>
          <w:tcPr>
            <w:tcW w:w="716"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0"/>
                <w:szCs w:val="20"/>
                <w:highlight w:val="none"/>
                <w:u w:val="none"/>
                <w14:textFill>
                  <w14:solidFill>
                    <w14:schemeClr w14:val="tx1"/>
                  </w14:solidFill>
                </w14:textFill>
              </w:rPr>
            </w:pPr>
            <w:r>
              <w:rPr>
                <w:rFonts w:hint="eastAsia" w:ascii="宋体" w:hAnsi="宋体" w:eastAsia="宋体" w:cs="宋体"/>
                <w:b/>
                <w:bCs/>
                <w:i w:val="0"/>
                <w:iCs w:val="0"/>
                <w:color w:val="000000" w:themeColor="text1"/>
                <w:kern w:val="0"/>
                <w:sz w:val="20"/>
                <w:szCs w:val="20"/>
                <w:highlight w:val="none"/>
                <w:u w:val="none"/>
                <w:lang w:val="en-US" w:eastAsia="zh-CN" w:bidi="ar"/>
                <w14:textFill>
                  <w14:solidFill>
                    <w14:schemeClr w14:val="tx1"/>
                  </w14:solidFill>
                </w14:textFill>
              </w:rPr>
              <w:t>栏杆形式(M)</w:t>
            </w:r>
          </w:p>
        </w:tc>
        <w:tc>
          <w:tcPr>
            <w:tcW w:w="717"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0"/>
                <w:szCs w:val="20"/>
                <w:highlight w:val="none"/>
                <w:u w:val="none"/>
                <w14:textFill>
                  <w14:solidFill>
                    <w14:schemeClr w14:val="tx1"/>
                  </w14:solidFill>
                </w14:textFill>
              </w:rPr>
            </w:pPr>
            <w:r>
              <w:rPr>
                <w:rFonts w:hint="eastAsia" w:ascii="宋体" w:hAnsi="宋体" w:eastAsia="宋体" w:cs="宋体"/>
                <w:b/>
                <w:bCs/>
                <w:i w:val="0"/>
                <w:iCs w:val="0"/>
                <w:color w:val="000000" w:themeColor="text1"/>
                <w:kern w:val="0"/>
                <w:sz w:val="20"/>
                <w:szCs w:val="20"/>
                <w:highlight w:val="none"/>
                <w:u w:val="none"/>
                <w:lang w:val="en-US" w:eastAsia="zh-CN" w:bidi="ar"/>
                <w14:textFill>
                  <w14:solidFill>
                    <w14:schemeClr w14:val="tx1"/>
                  </w14:solidFill>
                </w14:textFill>
              </w:rPr>
              <w:t>栏杆长度(M)</w:t>
            </w:r>
          </w:p>
        </w:tc>
        <w:tc>
          <w:tcPr>
            <w:tcW w:w="833"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0"/>
                <w:szCs w:val="20"/>
                <w:highlight w:val="none"/>
                <w:u w:val="none"/>
                <w14:textFill>
                  <w14:solidFill>
                    <w14:schemeClr w14:val="tx1"/>
                  </w14:solidFill>
                </w14:textFill>
              </w:rPr>
            </w:pPr>
            <w:r>
              <w:rPr>
                <w:rFonts w:hint="eastAsia" w:ascii="宋体" w:hAnsi="宋体" w:eastAsia="宋体" w:cs="宋体"/>
                <w:b/>
                <w:bCs/>
                <w:i w:val="0"/>
                <w:iCs w:val="0"/>
                <w:color w:val="000000" w:themeColor="text1"/>
                <w:kern w:val="0"/>
                <w:sz w:val="20"/>
                <w:szCs w:val="20"/>
                <w:highlight w:val="none"/>
                <w:u w:val="none"/>
                <w:lang w:val="en-US" w:eastAsia="zh-CN" w:bidi="ar"/>
                <w14:textFill>
                  <w14:solidFill>
                    <w14:schemeClr w14:val="tx1"/>
                  </w14:solidFill>
                </w14:textFill>
              </w:rPr>
              <w:t>伸缩缝形式</w:t>
            </w:r>
          </w:p>
        </w:tc>
        <w:tc>
          <w:tcPr>
            <w:tcW w:w="967"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0"/>
                <w:szCs w:val="20"/>
                <w:highlight w:val="none"/>
                <w:u w:val="none"/>
                <w14:textFill>
                  <w14:solidFill>
                    <w14:schemeClr w14:val="tx1"/>
                  </w14:solidFill>
                </w14:textFill>
              </w:rPr>
            </w:pPr>
            <w:r>
              <w:rPr>
                <w:rFonts w:hint="eastAsia" w:ascii="宋体" w:hAnsi="宋体" w:eastAsia="宋体" w:cs="宋体"/>
                <w:b/>
                <w:bCs/>
                <w:i w:val="0"/>
                <w:iCs w:val="0"/>
                <w:color w:val="000000" w:themeColor="text1"/>
                <w:kern w:val="0"/>
                <w:sz w:val="20"/>
                <w:szCs w:val="20"/>
                <w:highlight w:val="none"/>
                <w:u w:val="none"/>
                <w:lang w:val="en-US" w:eastAsia="zh-CN" w:bidi="ar"/>
                <w14:textFill>
                  <w14:solidFill>
                    <w14:schemeClr w14:val="tx1"/>
                  </w14:solidFill>
                </w14:textFill>
              </w:rPr>
              <w:t>伸缩缝长度(M)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766"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themeColor="text1"/>
                <w:sz w:val="20"/>
                <w:szCs w:val="20"/>
                <w:highlight w:val="none"/>
                <w:u w:val="none"/>
                <w14:textFill>
                  <w14:solidFill>
                    <w14:schemeClr w14:val="tx1"/>
                  </w14:solidFill>
                </w14:textFill>
              </w:rPr>
            </w:pPr>
          </w:p>
        </w:tc>
        <w:tc>
          <w:tcPr>
            <w:tcW w:w="73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themeColor="text1"/>
                <w:sz w:val="20"/>
                <w:szCs w:val="20"/>
                <w:highlight w:val="none"/>
                <w:u w:val="none"/>
                <w14:textFill>
                  <w14:solidFill>
                    <w14:schemeClr w14:val="tx1"/>
                  </w14:solidFill>
                </w14:textFill>
              </w:rPr>
            </w:pPr>
          </w:p>
        </w:tc>
        <w:tc>
          <w:tcPr>
            <w:tcW w:w="635"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themeColor="text1"/>
                <w:sz w:val="20"/>
                <w:szCs w:val="20"/>
                <w:highlight w:val="none"/>
                <w:u w:val="none"/>
                <w14:textFill>
                  <w14:solidFill>
                    <w14:schemeClr w14:val="tx1"/>
                  </w14:solidFill>
                </w14:textFill>
              </w:rPr>
            </w:pPr>
          </w:p>
        </w:tc>
        <w:tc>
          <w:tcPr>
            <w:tcW w:w="70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themeColor="text1"/>
                <w:sz w:val="20"/>
                <w:szCs w:val="20"/>
                <w:highlight w:val="none"/>
                <w:u w:val="none"/>
                <w14:textFill>
                  <w14:solidFill>
                    <w14:schemeClr w14:val="tx1"/>
                  </w14:solidFill>
                </w14:textFill>
              </w:rPr>
            </w:pPr>
          </w:p>
        </w:tc>
        <w:tc>
          <w:tcPr>
            <w:tcW w:w="69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themeColor="text1"/>
                <w:sz w:val="20"/>
                <w:szCs w:val="20"/>
                <w:highlight w:val="none"/>
                <w:u w:val="none"/>
                <w14:textFill>
                  <w14:solidFill>
                    <w14:schemeClr w14:val="tx1"/>
                  </w14:solidFill>
                </w14:textFill>
              </w:rPr>
            </w:pPr>
          </w:p>
        </w:tc>
        <w:tc>
          <w:tcPr>
            <w:tcW w:w="71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0"/>
                <w:szCs w:val="20"/>
                <w:highlight w:val="none"/>
                <w:u w:val="none"/>
                <w14:textFill>
                  <w14:solidFill>
                    <w14:schemeClr w14:val="tx1"/>
                  </w14:solidFill>
                </w14:textFill>
              </w:rPr>
            </w:pPr>
            <w:r>
              <w:rPr>
                <w:rFonts w:hint="eastAsia" w:ascii="宋体" w:hAnsi="宋体" w:eastAsia="宋体" w:cs="宋体"/>
                <w:b/>
                <w:bCs/>
                <w:i w:val="0"/>
                <w:iCs w:val="0"/>
                <w:color w:val="000000" w:themeColor="text1"/>
                <w:kern w:val="0"/>
                <w:sz w:val="20"/>
                <w:szCs w:val="20"/>
                <w:highlight w:val="none"/>
                <w:u w:val="none"/>
                <w:lang w:val="en-US" w:eastAsia="zh-CN" w:bidi="ar"/>
                <w14:textFill>
                  <w14:solidFill>
                    <w14:schemeClr w14:val="tx1"/>
                  </w14:solidFill>
                </w14:textFill>
              </w:rPr>
              <w:t>(M)</w:t>
            </w:r>
          </w:p>
        </w:tc>
        <w:tc>
          <w:tcPr>
            <w:tcW w:w="98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themeColor="text1"/>
                <w:sz w:val="20"/>
                <w:szCs w:val="20"/>
                <w:highlight w:val="none"/>
                <w:u w:val="none"/>
                <w14:textFill>
                  <w14:solidFill>
                    <w14:schemeClr w14:val="tx1"/>
                  </w14:solidFill>
                </w14:textFill>
              </w:rPr>
            </w:pPr>
          </w:p>
        </w:tc>
        <w:tc>
          <w:tcPr>
            <w:tcW w:w="62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themeColor="text1"/>
                <w:sz w:val="20"/>
                <w:szCs w:val="20"/>
                <w:highlight w:val="none"/>
                <w:u w:val="none"/>
                <w14:textFill>
                  <w14:solidFill>
                    <w14:schemeClr w14:val="tx1"/>
                  </w14:solidFill>
                </w14:textFill>
              </w:rPr>
            </w:pPr>
          </w:p>
        </w:tc>
        <w:tc>
          <w:tcPr>
            <w:tcW w:w="1192"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themeColor="text1"/>
                <w:sz w:val="20"/>
                <w:szCs w:val="20"/>
                <w:highlight w:val="none"/>
                <w:u w:val="none"/>
                <w14:textFill>
                  <w14:solidFill>
                    <w14:schemeClr w14:val="tx1"/>
                  </w14:solidFill>
                </w14:textFill>
              </w:rPr>
            </w:pPr>
          </w:p>
        </w:tc>
        <w:tc>
          <w:tcPr>
            <w:tcW w:w="1638"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themeColor="text1"/>
                <w:sz w:val="20"/>
                <w:szCs w:val="20"/>
                <w:highlight w:val="none"/>
                <w:u w:val="none"/>
                <w14:textFill>
                  <w14:solidFill>
                    <w14:schemeClr w14:val="tx1"/>
                  </w14:solidFill>
                </w14:textFill>
              </w:rPr>
            </w:pPr>
          </w:p>
        </w:tc>
        <w:tc>
          <w:tcPr>
            <w:tcW w:w="646"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themeColor="text1"/>
                <w:sz w:val="20"/>
                <w:szCs w:val="20"/>
                <w:highlight w:val="none"/>
                <w:u w:val="none"/>
                <w14:textFill>
                  <w14:solidFill>
                    <w14:schemeClr w14:val="tx1"/>
                  </w14:solidFill>
                </w14:textFill>
              </w:rPr>
            </w:pPr>
          </w:p>
        </w:tc>
        <w:tc>
          <w:tcPr>
            <w:tcW w:w="750"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themeColor="text1"/>
                <w:sz w:val="20"/>
                <w:szCs w:val="20"/>
                <w:highlight w:val="none"/>
                <w:u w:val="none"/>
                <w14:textFill>
                  <w14:solidFill>
                    <w14:schemeClr w14:val="tx1"/>
                  </w14:solidFill>
                </w14:textFill>
              </w:rPr>
            </w:pPr>
          </w:p>
        </w:tc>
        <w:tc>
          <w:tcPr>
            <w:tcW w:w="366"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themeColor="text1"/>
                <w:sz w:val="20"/>
                <w:szCs w:val="20"/>
                <w:highlight w:val="none"/>
                <w:u w:val="none"/>
                <w14:textFill>
                  <w14:solidFill>
                    <w14:schemeClr w14:val="tx1"/>
                  </w14:solidFill>
                </w14:textFill>
              </w:rPr>
            </w:pPr>
          </w:p>
        </w:tc>
        <w:tc>
          <w:tcPr>
            <w:tcW w:w="500"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themeColor="text1"/>
                <w:sz w:val="20"/>
                <w:szCs w:val="20"/>
                <w:highlight w:val="none"/>
                <w:u w:val="none"/>
                <w14:textFill>
                  <w14:solidFill>
                    <w14:schemeClr w14:val="tx1"/>
                  </w14:solidFill>
                </w14:textFill>
              </w:rPr>
            </w:pPr>
          </w:p>
        </w:tc>
        <w:tc>
          <w:tcPr>
            <w:tcW w:w="600"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themeColor="text1"/>
                <w:sz w:val="20"/>
                <w:szCs w:val="20"/>
                <w:highlight w:val="none"/>
                <w:u w:val="none"/>
                <w14:textFill>
                  <w14:solidFill>
                    <w14:schemeClr w14:val="tx1"/>
                  </w14:solidFill>
                </w14:textFill>
              </w:rPr>
            </w:pPr>
          </w:p>
        </w:tc>
        <w:tc>
          <w:tcPr>
            <w:tcW w:w="784"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themeColor="text1"/>
                <w:sz w:val="20"/>
                <w:szCs w:val="20"/>
                <w:highlight w:val="none"/>
                <w:u w:val="none"/>
                <w14:textFill>
                  <w14:solidFill>
                    <w14:schemeClr w14:val="tx1"/>
                  </w14:solidFill>
                </w14:textFill>
              </w:rPr>
            </w:pPr>
          </w:p>
        </w:tc>
        <w:tc>
          <w:tcPr>
            <w:tcW w:w="716"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themeColor="text1"/>
                <w:sz w:val="20"/>
                <w:szCs w:val="20"/>
                <w:highlight w:val="none"/>
                <w:u w:val="none"/>
                <w14:textFill>
                  <w14:solidFill>
                    <w14:schemeClr w14:val="tx1"/>
                  </w14:solidFill>
                </w14:textFill>
              </w:rPr>
            </w:pPr>
          </w:p>
        </w:tc>
        <w:tc>
          <w:tcPr>
            <w:tcW w:w="71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themeColor="text1"/>
                <w:sz w:val="20"/>
                <w:szCs w:val="20"/>
                <w:highlight w:val="none"/>
                <w:u w:val="none"/>
                <w14:textFill>
                  <w14:solidFill>
                    <w14:schemeClr w14:val="tx1"/>
                  </w14:solidFill>
                </w14:textFill>
              </w:rPr>
            </w:pPr>
          </w:p>
        </w:tc>
        <w:tc>
          <w:tcPr>
            <w:tcW w:w="833"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themeColor="text1"/>
                <w:sz w:val="20"/>
                <w:szCs w:val="20"/>
                <w:highlight w:val="none"/>
                <w:u w:val="none"/>
                <w14:textFill>
                  <w14:solidFill>
                    <w14:schemeClr w14:val="tx1"/>
                  </w14:solidFill>
                </w14:textFill>
              </w:rPr>
            </w:pPr>
          </w:p>
        </w:tc>
        <w:tc>
          <w:tcPr>
            <w:tcW w:w="96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themeColor="text1"/>
                <w:sz w:val="20"/>
                <w:szCs w:val="20"/>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80" w:hRule="atLeast"/>
        </w:trPr>
        <w:tc>
          <w:tcPr>
            <w:tcW w:w="766"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w:t>
            </w:r>
          </w:p>
        </w:tc>
        <w:tc>
          <w:tcPr>
            <w:tcW w:w="733"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钱江河桥</w:t>
            </w:r>
          </w:p>
        </w:tc>
        <w:tc>
          <w:tcPr>
            <w:tcW w:w="635"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2001</w:t>
            </w:r>
          </w:p>
        </w:tc>
        <w:tc>
          <w:tcPr>
            <w:tcW w:w="707"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钱家河</w:t>
            </w:r>
          </w:p>
        </w:tc>
        <w:tc>
          <w:tcPr>
            <w:tcW w:w="693"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石桥路</w:t>
            </w:r>
          </w:p>
        </w:tc>
        <w:tc>
          <w:tcPr>
            <w:tcW w:w="716"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19.8</w:t>
            </w:r>
          </w:p>
        </w:tc>
        <w:tc>
          <w:tcPr>
            <w:tcW w:w="981"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1/19.8</w:t>
            </w:r>
          </w:p>
        </w:tc>
        <w:tc>
          <w:tcPr>
            <w:tcW w:w="627"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56</w:t>
            </w:r>
          </w:p>
        </w:tc>
        <w:tc>
          <w:tcPr>
            <w:tcW w:w="1192"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1108.8</w:t>
            </w:r>
          </w:p>
        </w:tc>
        <w:tc>
          <w:tcPr>
            <w:tcW w:w="1638"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3.5m（人）+7.5m（非）+2m（绿）+12.5m（机）+5m（绿）+12.5m（机）+2m（绿）+7.5m（非）+3.5m（人）</w:t>
            </w:r>
          </w:p>
        </w:tc>
        <w:tc>
          <w:tcPr>
            <w:tcW w:w="646"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汽-20 挂-100</w:t>
            </w:r>
          </w:p>
        </w:tc>
        <w:tc>
          <w:tcPr>
            <w:tcW w:w="75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钢筋混凝土</w:t>
            </w:r>
          </w:p>
        </w:tc>
        <w:tc>
          <w:tcPr>
            <w:tcW w:w="366" w:type="dxa"/>
            <w:tcBorders>
              <w:top w:val="nil"/>
              <w:left w:val="nil"/>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c>
          <w:tcPr>
            <w:tcW w:w="50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梁式桥</w:t>
            </w:r>
          </w:p>
        </w:tc>
        <w:tc>
          <w:tcPr>
            <w:tcW w:w="60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重力式桥台</w:t>
            </w:r>
          </w:p>
        </w:tc>
        <w:tc>
          <w:tcPr>
            <w:tcW w:w="784"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沥青混凝土</w:t>
            </w:r>
          </w:p>
        </w:tc>
        <w:tc>
          <w:tcPr>
            <w:tcW w:w="716"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石材+混凝土</w:t>
            </w:r>
          </w:p>
        </w:tc>
        <w:tc>
          <w:tcPr>
            <w:tcW w:w="717"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45.36</w:t>
            </w:r>
          </w:p>
        </w:tc>
        <w:tc>
          <w:tcPr>
            <w:tcW w:w="833"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型钢</w:t>
            </w:r>
          </w:p>
        </w:tc>
        <w:tc>
          <w:tcPr>
            <w:tcW w:w="967"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79.2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80" w:hRule="atLeast"/>
        </w:trPr>
        <w:tc>
          <w:tcPr>
            <w:tcW w:w="76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w:t>
            </w:r>
          </w:p>
        </w:tc>
        <w:tc>
          <w:tcPr>
            <w:tcW w:w="733"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将军河桥</w:t>
            </w:r>
          </w:p>
        </w:tc>
        <w:tc>
          <w:tcPr>
            <w:tcW w:w="635"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2001</w:t>
            </w:r>
          </w:p>
        </w:tc>
        <w:tc>
          <w:tcPr>
            <w:tcW w:w="707"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将军河</w:t>
            </w:r>
          </w:p>
        </w:tc>
        <w:tc>
          <w:tcPr>
            <w:tcW w:w="693"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石桥路</w:t>
            </w:r>
          </w:p>
        </w:tc>
        <w:tc>
          <w:tcPr>
            <w:tcW w:w="716"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16</w:t>
            </w:r>
          </w:p>
        </w:tc>
        <w:tc>
          <w:tcPr>
            <w:tcW w:w="981"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1/16</w:t>
            </w:r>
          </w:p>
        </w:tc>
        <w:tc>
          <w:tcPr>
            <w:tcW w:w="627"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56</w:t>
            </w:r>
          </w:p>
        </w:tc>
        <w:tc>
          <w:tcPr>
            <w:tcW w:w="1192"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896</w:t>
            </w:r>
          </w:p>
        </w:tc>
        <w:tc>
          <w:tcPr>
            <w:tcW w:w="1638"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3.5m（人）+7.5m（非）+2m（绿）+12.5m（机）+5m（绿）+12.5m（机）+2m（绿）+7.5m（非）+3.5m（人）</w:t>
            </w:r>
          </w:p>
        </w:tc>
        <w:tc>
          <w:tcPr>
            <w:tcW w:w="646"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城-A级</w:t>
            </w:r>
          </w:p>
        </w:tc>
        <w:tc>
          <w:tcPr>
            <w:tcW w:w="750"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钢筋混凝土</w:t>
            </w:r>
          </w:p>
        </w:tc>
        <w:tc>
          <w:tcPr>
            <w:tcW w:w="366" w:type="dxa"/>
            <w:tcBorders>
              <w:top w:val="single" w:color="000000" w:sz="8" w:space="0"/>
              <w:left w:val="nil"/>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c>
          <w:tcPr>
            <w:tcW w:w="500"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预应力力空心板</w:t>
            </w:r>
          </w:p>
        </w:tc>
        <w:tc>
          <w:tcPr>
            <w:tcW w:w="600"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重力式桥台</w:t>
            </w:r>
          </w:p>
        </w:tc>
        <w:tc>
          <w:tcPr>
            <w:tcW w:w="784"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沥青混凝土</w:t>
            </w:r>
          </w:p>
        </w:tc>
        <w:tc>
          <w:tcPr>
            <w:tcW w:w="716"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石材+混凝土</w:t>
            </w:r>
          </w:p>
        </w:tc>
        <w:tc>
          <w:tcPr>
            <w:tcW w:w="717"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25.92</w:t>
            </w:r>
          </w:p>
        </w:tc>
        <w:tc>
          <w:tcPr>
            <w:tcW w:w="833"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型钢</w:t>
            </w:r>
          </w:p>
        </w:tc>
        <w:tc>
          <w:tcPr>
            <w:tcW w:w="967"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61.2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80" w:hRule="atLeast"/>
        </w:trPr>
        <w:tc>
          <w:tcPr>
            <w:tcW w:w="76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w:t>
            </w:r>
          </w:p>
        </w:tc>
        <w:tc>
          <w:tcPr>
            <w:tcW w:w="733"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新石桥</w:t>
            </w:r>
          </w:p>
        </w:tc>
        <w:tc>
          <w:tcPr>
            <w:tcW w:w="635"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2008</w:t>
            </w:r>
          </w:p>
        </w:tc>
        <w:tc>
          <w:tcPr>
            <w:tcW w:w="707"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南黄港</w:t>
            </w:r>
          </w:p>
        </w:tc>
        <w:tc>
          <w:tcPr>
            <w:tcW w:w="693"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石桥路</w:t>
            </w:r>
          </w:p>
        </w:tc>
        <w:tc>
          <w:tcPr>
            <w:tcW w:w="716"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16</w:t>
            </w:r>
          </w:p>
        </w:tc>
        <w:tc>
          <w:tcPr>
            <w:tcW w:w="981"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1/16</w:t>
            </w:r>
          </w:p>
        </w:tc>
        <w:tc>
          <w:tcPr>
            <w:tcW w:w="627"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51</w:t>
            </w:r>
          </w:p>
        </w:tc>
        <w:tc>
          <w:tcPr>
            <w:tcW w:w="1192"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816</w:t>
            </w:r>
          </w:p>
        </w:tc>
        <w:tc>
          <w:tcPr>
            <w:tcW w:w="1638"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3m（人）+4m（非）+9m（绿）+11m（机）+5.5m（绿）+11m（机）+5.5m（绿）+4m（非）+3m（人）</w:t>
            </w:r>
          </w:p>
        </w:tc>
        <w:tc>
          <w:tcPr>
            <w:tcW w:w="646"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城-A级</w:t>
            </w:r>
          </w:p>
        </w:tc>
        <w:tc>
          <w:tcPr>
            <w:tcW w:w="750"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钢筋混凝土</w:t>
            </w:r>
          </w:p>
        </w:tc>
        <w:tc>
          <w:tcPr>
            <w:tcW w:w="366"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钻孔灌注桩</w:t>
            </w:r>
          </w:p>
        </w:tc>
        <w:tc>
          <w:tcPr>
            <w:tcW w:w="500"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梁式桥</w:t>
            </w:r>
          </w:p>
        </w:tc>
        <w:tc>
          <w:tcPr>
            <w:tcW w:w="600"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重力式桥台</w:t>
            </w:r>
          </w:p>
        </w:tc>
        <w:tc>
          <w:tcPr>
            <w:tcW w:w="784"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沥青混凝土</w:t>
            </w:r>
          </w:p>
        </w:tc>
        <w:tc>
          <w:tcPr>
            <w:tcW w:w="716"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石材</w:t>
            </w:r>
          </w:p>
        </w:tc>
        <w:tc>
          <w:tcPr>
            <w:tcW w:w="717"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24</w:t>
            </w:r>
          </w:p>
        </w:tc>
        <w:tc>
          <w:tcPr>
            <w:tcW w:w="833"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型钢</w:t>
            </w:r>
          </w:p>
        </w:tc>
        <w:tc>
          <w:tcPr>
            <w:tcW w:w="967"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5" w:hRule="atLeast"/>
        </w:trPr>
        <w:tc>
          <w:tcPr>
            <w:tcW w:w="76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4</w:t>
            </w:r>
          </w:p>
        </w:tc>
        <w:tc>
          <w:tcPr>
            <w:tcW w:w="733"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蔡家河桥（设计院桥）</w:t>
            </w:r>
          </w:p>
        </w:tc>
        <w:tc>
          <w:tcPr>
            <w:tcW w:w="635"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2001</w:t>
            </w:r>
          </w:p>
        </w:tc>
        <w:tc>
          <w:tcPr>
            <w:tcW w:w="707"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蔡家河</w:t>
            </w:r>
          </w:p>
        </w:tc>
        <w:tc>
          <w:tcPr>
            <w:tcW w:w="693"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石桥路</w:t>
            </w:r>
          </w:p>
        </w:tc>
        <w:tc>
          <w:tcPr>
            <w:tcW w:w="716"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19.7</w:t>
            </w:r>
          </w:p>
        </w:tc>
        <w:tc>
          <w:tcPr>
            <w:tcW w:w="981"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1/16</w:t>
            </w:r>
          </w:p>
        </w:tc>
        <w:tc>
          <w:tcPr>
            <w:tcW w:w="627"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56</w:t>
            </w:r>
          </w:p>
        </w:tc>
        <w:tc>
          <w:tcPr>
            <w:tcW w:w="1192"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1103.2</w:t>
            </w:r>
          </w:p>
        </w:tc>
        <w:tc>
          <w:tcPr>
            <w:tcW w:w="1638"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3.5m（人）+7.5m（非）+2m（绿）+12.5m（机）+5m（绿）+12.5m（机）+2m（绿）+7.5m（非）+3.5m（人）</w:t>
            </w:r>
          </w:p>
        </w:tc>
        <w:tc>
          <w:tcPr>
            <w:tcW w:w="646"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汽-20 挂-100</w:t>
            </w:r>
          </w:p>
        </w:tc>
        <w:tc>
          <w:tcPr>
            <w:tcW w:w="750"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钢筋混凝土</w:t>
            </w:r>
          </w:p>
        </w:tc>
        <w:tc>
          <w:tcPr>
            <w:tcW w:w="366"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钻孔灌注桩</w:t>
            </w:r>
          </w:p>
        </w:tc>
        <w:tc>
          <w:tcPr>
            <w:tcW w:w="500"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预应力空心梁板</w:t>
            </w:r>
          </w:p>
        </w:tc>
        <w:tc>
          <w:tcPr>
            <w:tcW w:w="600"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重力式桥台</w:t>
            </w:r>
          </w:p>
        </w:tc>
        <w:tc>
          <w:tcPr>
            <w:tcW w:w="784"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沥青混凝土</w:t>
            </w:r>
          </w:p>
        </w:tc>
        <w:tc>
          <w:tcPr>
            <w:tcW w:w="716"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石材</w:t>
            </w:r>
          </w:p>
        </w:tc>
        <w:tc>
          <w:tcPr>
            <w:tcW w:w="717"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43.84</w:t>
            </w:r>
          </w:p>
        </w:tc>
        <w:tc>
          <w:tcPr>
            <w:tcW w:w="833"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型钢</w:t>
            </w:r>
          </w:p>
        </w:tc>
        <w:tc>
          <w:tcPr>
            <w:tcW w:w="967"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80" w:hRule="atLeast"/>
        </w:trPr>
        <w:tc>
          <w:tcPr>
            <w:tcW w:w="76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5</w:t>
            </w:r>
          </w:p>
        </w:tc>
        <w:tc>
          <w:tcPr>
            <w:tcW w:w="733"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康家河桥</w:t>
            </w:r>
          </w:p>
        </w:tc>
        <w:tc>
          <w:tcPr>
            <w:tcW w:w="635"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2001</w:t>
            </w:r>
          </w:p>
        </w:tc>
        <w:tc>
          <w:tcPr>
            <w:tcW w:w="707"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康家河</w:t>
            </w:r>
          </w:p>
        </w:tc>
        <w:tc>
          <w:tcPr>
            <w:tcW w:w="693"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石祥路</w:t>
            </w:r>
          </w:p>
        </w:tc>
        <w:tc>
          <w:tcPr>
            <w:tcW w:w="716"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16</w:t>
            </w:r>
          </w:p>
        </w:tc>
        <w:tc>
          <w:tcPr>
            <w:tcW w:w="981"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1/16</w:t>
            </w:r>
          </w:p>
        </w:tc>
        <w:tc>
          <w:tcPr>
            <w:tcW w:w="627"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42.8</w:t>
            </w:r>
          </w:p>
        </w:tc>
        <w:tc>
          <w:tcPr>
            <w:tcW w:w="1192"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684.8</w:t>
            </w:r>
          </w:p>
        </w:tc>
        <w:tc>
          <w:tcPr>
            <w:tcW w:w="1638"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0.4m（栏）+3.9m（人）+4m（非）+2.5m（绿）+8.2m（机）+4.8m（绿）+8.2m（机）+2.5m（绿）+4m（非）+3.9m（人）+0.4m（栏）</w:t>
            </w:r>
          </w:p>
        </w:tc>
        <w:tc>
          <w:tcPr>
            <w:tcW w:w="646"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汽-20 挂-100</w:t>
            </w:r>
          </w:p>
        </w:tc>
        <w:tc>
          <w:tcPr>
            <w:tcW w:w="750"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钢筋混凝土</w:t>
            </w:r>
          </w:p>
        </w:tc>
        <w:tc>
          <w:tcPr>
            <w:tcW w:w="366" w:type="dxa"/>
            <w:tcBorders>
              <w:top w:val="single" w:color="000000" w:sz="8" w:space="0"/>
              <w:left w:val="nil"/>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c>
          <w:tcPr>
            <w:tcW w:w="500"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钢筋混凝土空心板</w:t>
            </w:r>
          </w:p>
        </w:tc>
        <w:tc>
          <w:tcPr>
            <w:tcW w:w="600"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U型桥台</w:t>
            </w:r>
          </w:p>
        </w:tc>
        <w:tc>
          <w:tcPr>
            <w:tcW w:w="784"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沥青混凝土</w:t>
            </w:r>
          </w:p>
        </w:tc>
        <w:tc>
          <w:tcPr>
            <w:tcW w:w="716"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石材</w:t>
            </w:r>
          </w:p>
        </w:tc>
        <w:tc>
          <w:tcPr>
            <w:tcW w:w="717"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39.4</w:t>
            </w:r>
          </w:p>
        </w:tc>
        <w:tc>
          <w:tcPr>
            <w:tcW w:w="833"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型钢</w:t>
            </w:r>
          </w:p>
        </w:tc>
        <w:tc>
          <w:tcPr>
            <w:tcW w:w="967"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48.8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80" w:hRule="atLeast"/>
        </w:trPr>
        <w:tc>
          <w:tcPr>
            <w:tcW w:w="76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6</w:t>
            </w:r>
          </w:p>
        </w:tc>
        <w:tc>
          <w:tcPr>
            <w:tcW w:w="733"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安桥港桥</w:t>
            </w:r>
          </w:p>
        </w:tc>
        <w:tc>
          <w:tcPr>
            <w:tcW w:w="635"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2001</w:t>
            </w:r>
          </w:p>
        </w:tc>
        <w:tc>
          <w:tcPr>
            <w:tcW w:w="707"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石桥河</w:t>
            </w:r>
          </w:p>
        </w:tc>
        <w:tc>
          <w:tcPr>
            <w:tcW w:w="693"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石祥路</w:t>
            </w:r>
          </w:p>
        </w:tc>
        <w:tc>
          <w:tcPr>
            <w:tcW w:w="716"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16</w:t>
            </w:r>
          </w:p>
        </w:tc>
        <w:tc>
          <w:tcPr>
            <w:tcW w:w="981"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1/16</w:t>
            </w:r>
          </w:p>
        </w:tc>
        <w:tc>
          <w:tcPr>
            <w:tcW w:w="627"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42.4</w:t>
            </w:r>
          </w:p>
        </w:tc>
        <w:tc>
          <w:tcPr>
            <w:tcW w:w="1192"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678.4</w:t>
            </w:r>
          </w:p>
        </w:tc>
        <w:tc>
          <w:tcPr>
            <w:tcW w:w="1638"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4.2m(人)+4.5m（非）+2m（隔）+8m（机）+5m（绿）+8m（机）+2m（隔）+4.5m（非）+4.2m(人)</w:t>
            </w:r>
          </w:p>
        </w:tc>
        <w:tc>
          <w:tcPr>
            <w:tcW w:w="646"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汽-20 挂-100</w:t>
            </w:r>
          </w:p>
        </w:tc>
        <w:tc>
          <w:tcPr>
            <w:tcW w:w="750"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钢筋混凝土</w:t>
            </w:r>
          </w:p>
        </w:tc>
        <w:tc>
          <w:tcPr>
            <w:tcW w:w="366" w:type="dxa"/>
            <w:tcBorders>
              <w:top w:val="single" w:color="000000" w:sz="8" w:space="0"/>
              <w:left w:val="nil"/>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c>
          <w:tcPr>
            <w:tcW w:w="500"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预应力空心板</w:t>
            </w:r>
          </w:p>
        </w:tc>
        <w:tc>
          <w:tcPr>
            <w:tcW w:w="600"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U型桥台</w:t>
            </w:r>
          </w:p>
        </w:tc>
        <w:tc>
          <w:tcPr>
            <w:tcW w:w="784"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沥青混凝土</w:t>
            </w:r>
          </w:p>
        </w:tc>
        <w:tc>
          <w:tcPr>
            <w:tcW w:w="716"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石材+混凝土</w:t>
            </w:r>
          </w:p>
        </w:tc>
        <w:tc>
          <w:tcPr>
            <w:tcW w:w="717"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25.92</w:t>
            </w:r>
          </w:p>
        </w:tc>
        <w:tc>
          <w:tcPr>
            <w:tcW w:w="833"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型钢</w:t>
            </w:r>
          </w:p>
        </w:tc>
        <w:tc>
          <w:tcPr>
            <w:tcW w:w="967"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80" w:hRule="atLeast"/>
        </w:trPr>
        <w:tc>
          <w:tcPr>
            <w:tcW w:w="76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7</w:t>
            </w:r>
          </w:p>
        </w:tc>
        <w:tc>
          <w:tcPr>
            <w:tcW w:w="733"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旦万桥</w:t>
            </w:r>
          </w:p>
        </w:tc>
        <w:tc>
          <w:tcPr>
            <w:tcW w:w="635"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2005</w:t>
            </w:r>
          </w:p>
        </w:tc>
        <w:tc>
          <w:tcPr>
            <w:tcW w:w="707"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褚家河</w:t>
            </w:r>
          </w:p>
        </w:tc>
        <w:tc>
          <w:tcPr>
            <w:tcW w:w="693"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华丰路</w:t>
            </w:r>
          </w:p>
        </w:tc>
        <w:tc>
          <w:tcPr>
            <w:tcW w:w="716"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19.9</w:t>
            </w:r>
          </w:p>
        </w:tc>
        <w:tc>
          <w:tcPr>
            <w:tcW w:w="981"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1/19.9</w:t>
            </w:r>
          </w:p>
        </w:tc>
        <w:tc>
          <w:tcPr>
            <w:tcW w:w="627"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36</w:t>
            </w:r>
          </w:p>
        </w:tc>
        <w:tc>
          <w:tcPr>
            <w:tcW w:w="1192"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716.4</w:t>
            </w:r>
          </w:p>
        </w:tc>
        <w:tc>
          <w:tcPr>
            <w:tcW w:w="1638"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3-12-2-12-3</w:t>
            </w:r>
          </w:p>
        </w:tc>
        <w:tc>
          <w:tcPr>
            <w:tcW w:w="646"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汽-20 挂-100</w:t>
            </w:r>
          </w:p>
        </w:tc>
        <w:tc>
          <w:tcPr>
            <w:tcW w:w="750"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钢筋混凝土</w:t>
            </w:r>
          </w:p>
        </w:tc>
        <w:tc>
          <w:tcPr>
            <w:tcW w:w="366"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钻孔灌注桩</w:t>
            </w:r>
          </w:p>
        </w:tc>
        <w:tc>
          <w:tcPr>
            <w:tcW w:w="500"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单跨简支粱</w:t>
            </w:r>
          </w:p>
        </w:tc>
        <w:tc>
          <w:tcPr>
            <w:tcW w:w="600"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U型桥台</w:t>
            </w:r>
          </w:p>
        </w:tc>
        <w:tc>
          <w:tcPr>
            <w:tcW w:w="784"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沥青混凝土</w:t>
            </w:r>
          </w:p>
        </w:tc>
        <w:tc>
          <w:tcPr>
            <w:tcW w:w="716"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石 质</w:t>
            </w:r>
          </w:p>
        </w:tc>
        <w:tc>
          <w:tcPr>
            <w:tcW w:w="717"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44.36</w:t>
            </w:r>
          </w:p>
        </w:tc>
        <w:tc>
          <w:tcPr>
            <w:tcW w:w="833"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型钢</w:t>
            </w:r>
          </w:p>
        </w:tc>
        <w:tc>
          <w:tcPr>
            <w:tcW w:w="967"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80" w:hRule="atLeast"/>
        </w:trPr>
        <w:tc>
          <w:tcPr>
            <w:tcW w:w="76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8</w:t>
            </w:r>
          </w:p>
        </w:tc>
        <w:tc>
          <w:tcPr>
            <w:tcW w:w="733"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群英桥</w:t>
            </w:r>
          </w:p>
        </w:tc>
        <w:tc>
          <w:tcPr>
            <w:tcW w:w="635"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2005</w:t>
            </w:r>
          </w:p>
        </w:tc>
        <w:tc>
          <w:tcPr>
            <w:tcW w:w="707"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水车港</w:t>
            </w:r>
          </w:p>
        </w:tc>
        <w:tc>
          <w:tcPr>
            <w:tcW w:w="693"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华丰路</w:t>
            </w:r>
          </w:p>
        </w:tc>
        <w:tc>
          <w:tcPr>
            <w:tcW w:w="716"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19.8</w:t>
            </w:r>
          </w:p>
        </w:tc>
        <w:tc>
          <w:tcPr>
            <w:tcW w:w="981"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1/19.8</w:t>
            </w:r>
          </w:p>
        </w:tc>
        <w:tc>
          <w:tcPr>
            <w:tcW w:w="627"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36</w:t>
            </w:r>
          </w:p>
        </w:tc>
        <w:tc>
          <w:tcPr>
            <w:tcW w:w="1192"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712.8</w:t>
            </w:r>
          </w:p>
        </w:tc>
        <w:tc>
          <w:tcPr>
            <w:tcW w:w="1638"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3-12-2-12-3</w:t>
            </w:r>
          </w:p>
        </w:tc>
        <w:tc>
          <w:tcPr>
            <w:tcW w:w="646"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汽-20 挂-100</w:t>
            </w:r>
          </w:p>
        </w:tc>
        <w:tc>
          <w:tcPr>
            <w:tcW w:w="750"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钢筋混凝土</w:t>
            </w:r>
          </w:p>
        </w:tc>
        <w:tc>
          <w:tcPr>
            <w:tcW w:w="366"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钻孔灌注桩</w:t>
            </w:r>
          </w:p>
        </w:tc>
        <w:tc>
          <w:tcPr>
            <w:tcW w:w="500"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单跨简支粱</w:t>
            </w:r>
          </w:p>
        </w:tc>
        <w:tc>
          <w:tcPr>
            <w:tcW w:w="600"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U型桥台</w:t>
            </w:r>
          </w:p>
        </w:tc>
        <w:tc>
          <w:tcPr>
            <w:tcW w:w="784"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沥青混凝土</w:t>
            </w:r>
          </w:p>
        </w:tc>
        <w:tc>
          <w:tcPr>
            <w:tcW w:w="716"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石 质</w:t>
            </w:r>
          </w:p>
        </w:tc>
        <w:tc>
          <w:tcPr>
            <w:tcW w:w="717"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45.36</w:t>
            </w:r>
          </w:p>
        </w:tc>
        <w:tc>
          <w:tcPr>
            <w:tcW w:w="833"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型钢</w:t>
            </w:r>
          </w:p>
        </w:tc>
        <w:tc>
          <w:tcPr>
            <w:tcW w:w="967"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80" w:hRule="atLeast"/>
        </w:trPr>
        <w:tc>
          <w:tcPr>
            <w:tcW w:w="76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9</w:t>
            </w:r>
          </w:p>
        </w:tc>
        <w:tc>
          <w:tcPr>
            <w:tcW w:w="733"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跃进桥</w:t>
            </w:r>
          </w:p>
        </w:tc>
        <w:tc>
          <w:tcPr>
            <w:tcW w:w="635"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2005</w:t>
            </w:r>
          </w:p>
        </w:tc>
        <w:tc>
          <w:tcPr>
            <w:tcW w:w="707"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油车港</w:t>
            </w:r>
          </w:p>
        </w:tc>
        <w:tc>
          <w:tcPr>
            <w:tcW w:w="693"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华丰路</w:t>
            </w:r>
          </w:p>
        </w:tc>
        <w:tc>
          <w:tcPr>
            <w:tcW w:w="716"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19.58</w:t>
            </w:r>
          </w:p>
        </w:tc>
        <w:tc>
          <w:tcPr>
            <w:tcW w:w="981"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1/19.58</w:t>
            </w:r>
          </w:p>
        </w:tc>
        <w:tc>
          <w:tcPr>
            <w:tcW w:w="627"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36</w:t>
            </w:r>
          </w:p>
        </w:tc>
        <w:tc>
          <w:tcPr>
            <w:tcW w:w="1192"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704.88</w:t>
            </w:r>
          </w:p>
        </w:tc>
        <w:tc>
          <w:tcPr>
            <w:tcW w:w="1638"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3-12-2-12-3</w:t>
            </w:r>
          </w:p>
        </w:tc>
        <w:tc>
          <w:tcPr>
            <w:tcW w:w="646"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汽-20 挂-100</w:t>
            </w:r>
          </w:p>
        </w:tc>
        <w:tc>
          <w:tcPr>
            <w:tcW w:w="750"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钢筋混凝土</w:t>
            </w:r>
          </w:p>
        </w:tc>
        <w:tc>
          <w:tcPr>
            <w:tcW w:w="366"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钻孔灌注桩</w:t>
            </w:r>
          </w:p>
        </w:tc>
        <w:tc>
          <w:tcPr>
            <w:tcW w:w="500"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单跨简支粱</w:t>
            </w:r>
          </w:p>
        </w:tc>
        <w:tc>
          <w:tcPr>
            <w:tcW w:w="600"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U型桥台</w:t>
            </w:r>
          </w:p>
        </w:tc>
        <w:tc>
          <w:tcPr>
            <w:tcW w:w="784"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沥青混凝土</w:t>
            </w:r>
          </w:p>
        </w:tc>
        <w:tc>
          <w:tcPr>
            <w:tcW w:w="716"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石 质</w:t>
            </w:r>
          </w:p>
        </w:tc>
        <w:tc>
          <w:tcPr>
            <w:tcW w:w="717"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45.36</w:t>
            </w:r>
          </w:p>
        </w:tc>
        <w:tc>
          <w:tcPr>
            <w:tcW w:w="833"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型钢</w:t>
            </w:r>
          </w:p>
        </w:tc>
        <w:tc>
          <w:tcPr>
            <w:tcW w:w="967"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80" w:hRule="atLeast"/>
        </w:trPr>
        <w:tc>
          <w:tcPr>
            <w:tcW w:w="76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10</w:t>
            </w:r>
          </w:p>
        </w:tc>
        <w:tc>
          <w:tcPr>
            <w:tcW w:w="733"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华中河桥</w:t>
            </w:r>
          </w:p>
        </w:tc>
        <w:tc>
          <w:tcPr>
            <w:tcW w:w="635"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2004</w:t>
            </w:r>
          </w:p>
        </w:tc>
        <w:tc>
          <w:tcPr>
            <w:tcW w:w="707"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油车港</w:t>
            </w:r>
          </w:p>
        </w:tc>
        <w:tc>
          <w:tcPr>
            <w:tcW w:w="693"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临丁路</w:t>
            </w:r>
          </w:p>
        </w:tc>
        <w:tc>
          <w:tcPr>
            <w:tcW w:w="716"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22.25</w:t>
            </w:r>
          </w:p>
        </w:tc>
        <w:tc>
          <w:tcPr>
            <w:tcW w:w="981"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1/16</w:t>
            </w:r>
          </w:p>
        </w:tc>
        <w:tc>
          <w:tcPr>
            <w:tcW w:w="627"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60</w:t>
            </w:r>
          </w:p>
        </w:tc>
        <w:tc>
          <w:tcPr>
            <w:tcW w:w="1192"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1335</w:t>
            </w:r>
          </w:p>
        </w:tc>
        <w:tc>
          <w:tcPr>
            <w:tcW w:w="1638"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10.5m（绿）+4.5m（人）+3.5m（非）+9m（机）+5m（绿）+9m（机）+3.5m（非）+4.5m（人）+10.5m（绿）</w:t>
            </w:r>
          </w:p>
        </w:tc>
        <w:tc>
          <w:tcPr>
            <w:tcW w:w="646"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城-A级</w:t>
            </w:r>
          </w:p>
        </w:tc>
        <w:tc>
          <w:tcPr>
            <w:tcW w:w="750"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钢筋混凝土</w:t>
            </w:r>
          </w:p>
        </w:tc>
        <w:tc>
          <w:tcPr>
            <w:tcW w:w="366" w:type="dxa"/>
            <w:tcBorders>
              <w:top w:val="single" w:color="000000" w:sz="8" w:space="0"/>
              <w:left w:val="nil"/>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c>
          <w:tcPr>
            <w:tcW w:w="500"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预应力力空心板</w:t>
            </w:r>
          </w:p>
        </w:tc>
        <w:tc>
          <w:tcPr>
            <w:tcW w:w="600"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重力式桥台</w:t>
            </w:r>
          </w:p>
        </w:tc>
        <w:tc>
          <w:tcPr>
            <w:tcW w:w="784"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沥青混凝土</w:t>
            </w:r>
          </w:p>
        </w:tc>
        <w:tc>
          <w:tcPr>
            <w:tcW w:w="716"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石材+混凝土</w:t>
            </w:r>
          </w:p>
        </w:tc>
        <w:tc>
          <w:tcPr>
            <w:tcW w:w="717"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32</w:t>
            </w:r>
          </w:p>
        </w:tc>
        <w:tc>
          <w:tcPr>
            <w:tcW w:w="833"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型钢</w:t>
            </w:r>
          </w:p>
        </w:tc>
        <w:tc>
          <w:tcPr>
            <w:tcW w:w="967"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80" w:hRule="atLeast"/>
        </w:trPr>
        <w:tc>
          <w:tcPr>
            <w:tcW w:w="76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11</w:t>
            </w:r>
          </w:p>
        </w:tc>
        <w:tc>
          <w:tcPr>
            <w:tcW w:w="733"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水车港桥</w:t>
            </w:r>
          </w:p>
        </w:tc>
        <w:tc>
          <w:tcPr>
            <w:tcW w:w="635"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2008</w:t>
            </w:r>
          </w:p>
        </w:tc>
        <w:tc>
          <w:tcPr>
            <w:tcW w:w="707"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水车港</w:t>
            </w:r>
          </w:p>
        </w:tc>
        <w:tc>
          <w:tcPr>
            <w:tcW w:w="693"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石祥东路</w:t>
            </w:r>
          </w:p>
        </w:tc>
        <w:tc>
          <w:tcPr>
            <w:tcW w:w="716"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16</w:t>
            </w:r>
          </w:p>
        </w:tc>
        <w:tc>
          <w:tcPr>
            <w:tcW w:w="981"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1/16</w:t>
            </w:r>
          </w:p>
        </w:tc>
        <w:tc>
          <w:tcPr>
            <w:tcW w:w="627"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45</w:t>
            </w:r>
          </w:p>
        </w:tc>
        <w:tc>
          <w:tcPr>
            <w:tcW w:w="1192"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720</w:t>
            </w:r>
          </w:p>
        </w:tc>
        <w:tc>
          <w:tcPr>
            <w:tcW w:w="1638"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0.4（栏）+3.6m（人）+4.4m（非）+2m（绿）+11m（机）+4.7m（绿）+8.5m（机）+1.9m（绿）+4.5m（非）+3.6m（人）+0.4m（栏）</w:t>
            </w:r>
          </w:p>
        </w:tc>
        <w:tc>
          <w:tcPr>
            <w:tcW w:w="646"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城-A级</w:t>
            </w:r>
          </w:p>
        </w:tc>
        <w:tc>
          <w:tcPr>
            <w:tcW w:w="750"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钢筋混凝土</w:t>
            </w:r>
          </w:p>
        </w:tc>
        <w:tc>
          <w:tcPr>
            <w:tcW w:w="366"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灌注桩</w:t>
            </w:r>
          </w:p>
        </w:tc>
        <w:tc>
          <w:tcPr>
            <w:tcW w:w="500"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预应力混凝土空心板梁</w:t>
            </w:r>
          </w:p>
        </w:tc>
        <w:tc>
          <w:tcPr>
            <w:tcW w:w="600"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桩接盖梁式桥台</w:t>
            </w:r>
          </w:p>
        </w:tc>
        <w:tc>
          <w:tcPr>
            <w:tcW w:w="784"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沥青混凝土</w:t>
            </w:r>
          </w:p>
        </w:tc>
        <w:tc>
          <w:tcPr>
            <w:tcW w:w="716"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石材</w:t>
            </w:r>
          </w:p>
        </w:tc>
        <w:tc>
          <w:tcPr>
            <w:tcW w:w="717"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37</w:t>
            </w:r>
          </w:p>
        </w:tc>
        <w:tc>
          <w:tcPr>
            <w:tcW w:w="833"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RG-60</w:t>
            </w:r>
          </w:p>
        </w:tc>
        <w:tc>
          <w:tcPr>
            <w:tcW w:w="967"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71.2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80" w:hRule="atLeast"/>
        </w:trPr>
        <w:tc>
          <w:tcPr>
            <w:tcW w:w="76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12</w:t>
            </w:r>
          </w:p>
        </w:tc>
        <w:tc>
          <w:tcPr>
            <w:tcW w:w="733"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褚家河桥</w:t>
            </w:r>
          </w:p>
        </w:tc>
        <w:tc>
          <w:tcPr>
            <w:tcW w:w="635"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2008</w:t>
            </w:r>
          </w:p>
        </w:tc>
        <w:tc>
          <w:tcPr>
            <w:tcW w:w="707"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褚家河</w:t>
            </w:r>
          </w:p>
        </w:tc>
        <w:tc>
          <w:tcPr>
            <w:tcW w:w="693"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石祥东路</w:t>
            </w:r>
          </w:p>
        </w:tc>
        <w:tc>
          <w:tcPr>
            <w:tcW w:w="716"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20.04</w:t>
            </w:r>
          </w:p>
        </w:tc>
        <w:tc>
          <w:tcPr>
            <w:tcW w:w="981"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1/20</w:t>
            </w:r>
          </w:p>
        </w:tc>
        <w:tc>
          <w:tcPr>
            <w:tcW w:w="627"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52</w:t>
            </w:r>
          </w:p>
        </w:tc>
        <w:tc>
          <w:tcPr>
            <w:tcW w:w="1192"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1042.08</w:t>
            </w:r>
          </w:p>
        </w:tc>
        <w:tc>
          <w:tcPr>
            <w:tcW w:w="1638"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0.4m（栏）+3.6m（人）+4.5m（非）+3m（绿）+8.5m（机）+7m（绿）+8.5m（机）+9m（绿）+4.5m（非）+2.6m（人）+0.4m（栏）</w:t>
            </w:r>
          </w:p>
        </w:tc>
        <w:tc>
          <w:tcPr>
            <w:tcW w:w="646"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城-A级</w:t>
            </w:r>
          </w:p>
        </w:tc>
        <w:tc>
          <w:tcPr>
            <w:tcW w:w="750"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钢筋混凝土</w:t>
            </w:r>
          </w:p>
        </w:tc>
        <w:tc>
          <w:tcPr>
            <w:tcW w:w="366"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灌注桩</w:t>
            </w:r>
          </w:p>
        </w:tc>
        <w:tc>
          <w:tcPr>
            <w:tcW w:w="500"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预应力混凝土空心板梁</w:t>
            </w:r>
          </w:p>
        </w:tc>
        <w:tc>
          <w:tcPr>
            <w:tcW w:w="600"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桩柱式桥台</w:t>
            </w:r>
          </w:p>
        </w:tc>
        <w:tc>
          <w:tcPr>
            <w:tcW w:w="784"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沥青混凝土</w:t>
            </w:r>
          </w:p>
        </w:tc>
        <w:tc>
          <w:tcPr>
            <w:tcW w:w="716"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石材</w:t>
            </w:r>
          </w:p>
        </w:tc>
        <w:tc>
          <w:tcPr>
            <w:tcW w:w="717"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37</w:t>
            </w:r>
          </w:p>
        </w:tc>
        <w:tc>
          <w:tcPr>
            <w:tcW w:w="833"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型钢</w:t>
            </w:r>
          </w:p>
        </w:tc>
        <w:tc>
          <w:tcPr>
            <w:tcW w:w="967"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64.4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80" w:hRule="atLeast"/>
        </w:trPr>
        <w:tc>
          <w:tcPr>
            <w:tcW w:w="76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13</w:t>
            </w:r>
          </w:p>
        </w:tc>
        <w:tc>
          <w:tcPr>
            <w:tcW w:w="733"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长河港桥1号桥</w:t>
            </w:r>
          </w:p>
        </w:tc>
        <w:tc>
          <w:tcPr>
            <w:tcW w:w="635"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2008</w:t>
            </w:r>
          </w:p>
        </w:tc>
        <w:tc>
          <w:tcPr>
            <w:tcW w:w="707"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油车港</w:t>
            </w:r>
          </w:p>
        </w:tc>
        <w:tc>
          <w:tcPr>
            <w:tcW w:w="693"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石祥东路</w:t>
            </w:r>
          </w:p>
        </w:tc>
        <w:tc>
          <w:tcPr>
            <w:tcW w:w="716"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16</w:t>
            </w:r>
          </w:p>
        </w:tc>
        <w:tc>
          <w:tcPr>
            <w:tcW w:w="981"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1/16</w:t>
            </w:r>
          </w:p>
        </w:tc>
        <w:tc>
          <w:tcPr>
            <w:tcW w:w="627"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19.5</w:t>
            </w:r>
          </w:p>
        </w:tc>
        <w:tc>
          <w:tcPr>
            <w:tcW w:w="1192"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312</w:t>
            </w:r>
          </w:p>
        </w:tc>
        <w:tc>
          <w:tcPr>
            <w:tcW w:w="1638"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0.5m（栏）+4m（人）+4.5m（辅）+2m（隔）+8.5m（机）</w:t>
            </w:r>
          </w:p>
        </w:tc>
        <w:tc>
          <w:tcPr>
            <w:tcW w:w="646"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城-A级</w:t>
            </w:r>
          </w:p>
        </w:tc>
        <w:tc>
          <w:tcPr>
            <w:tcW w:w="750"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钢筋混凝土</w:t>
            </w:r>
          </w:p>
        </w:tc>
        <w:tc>
          <w:tcPr>
            <w:tcW w:w="366" w:type="dxa"/>
            <w:tcBorders>
              <w:top w:val="single" w:color="000000" w:sz="8" w:space="0"/>
              <w:left w:val="nil"/>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c>
          <w:tcPr>
            <w:tcW w:w="500"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简支粱</w:t>
            </w:r>
          </w:p>
        </w:tc>
        <w:tc>
          <w:tcPr>
            <w:tcW w:w="600"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钢筋混凝土轻型</w:t>
            </w:r>
          </w:p>
        </w:tc>
        <w:tc>
          <w:tcPr>
            <w:tcW w:w="784"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沥青混凝土</w:t>
            </w:r>
          </w:p>
        </w:tc>
        <w:tc>
          <w:tcPr>
            <w:tcW w:w="716"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石材+混凝土</w:t>
            </w:r>
          </w:p>
        </w:tc>
        <w:tc>
          <w:tcPr>
            <w:tcW w:w="717"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32</w:t>
            </w:r>
          </w:p>
        </w:tc>
        <w:tc>
          <w:tcPr>
            <w:tcW w:w="833"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型钢</w:t>
            </w:r>
          </w:p>
        </w:tc>
        <w:tc>
          <w:tcPr>
            <w:tcW w:w="967"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80" w:hRule="atLeast"/>
        </w:trPr>
        <w:tc>
          <w:tcPr>
            <w:tcW w:w="76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14</w:t>
            </w:r>
          </w:p>
        </w:tc>
        <w:tc>
          <w:tcPr>
            <w:tcW w:w="733"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长河港桥2号桥</w:t>
            </w:r>
          </w:p>
        </w:tc>
        <w:tc>
          <w:tcPr>
            <w:tcW w:w="635"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2008</w:t>
            </w:r>
          </w:p>
        </w:tc>
        <w:tc>
          <w:tcPr>
            <w:tcW w:w="707"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油车港</w:t>
            </w:r>
          </w:p>
        </w:tc>
        <w:tc>
          <w:tcPr>
            <w:tcW w:w="693"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石祥东路</w:t>
            </w:r>
          </w:p>
        </w:tc>
        <w:tc>
          <w:tcPr>
            <w:tcW w:w="716"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16</w:t>
            </w:r>
          </w:p>
        </w:tc>
        <w:tc>
          <w:tcPr>
            <w:tcW w:w="981"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1/16</w:t>
            </w:r>
          </w:p>
        </w:tc>
        <w:tc>
          <w:tcPr>
            <w:tcW w:w="627"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19.5</w:t>
            </w:r>
          </w:p>
        </w:tc>
        <w:tc>
          <w:tcPr>
            <w:tcW w:w="1192"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312</w:t>
            </w:r>
          </w:p>
        </w:tc>
        <w:tc>
          <w:tcPr>
            <w:tcW w:w="1638"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0.5m（栏）+4m（人）+4.5m（辅）+2m（隔）+8.5m（机）</w:t>
            </w:r>
          </w:p>
        </w:tc>
        <w:tc>
          <w:tcPr>
            <w:tcW w:w="646"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城-A级</w:t>
            </w:r>
          </w:p>
        </w:tc>
        <w:tc>
          <w:tcPr>
            <w:tcW w:w="750"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钢筋混凝土</w:t>
            </w:r>
          </w:p>
        </w:tc>
        <w:tc>
          <w:tcPr>
            <w:tcW w:w="366" w:type="dxa"/>
            <w:tcBorders>
              <w:top w:val="single" w:color="000000" w:sz="8" w:space="0"/>
              <w:left w:val="nil"/>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c>
          <w:tcPr>
            <w:tcW w:w="500"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简支粱</w:t>
            </w:r>
          </w:p>
        </w:tc>
        <w:tc>
          <w:tcPr>
            <w:tcW w:w="600"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桩式重力式</w:t>
            </w:r>
          </w:p>
        </w:tc>
        <w:tc>
          <w:tcPr>
            <w:tcW w:w="784"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沥青混凝土</w:t>
            </w:r>
          </w:p>
        </w:tc>
        <w:tc>
          <w:tcPr>
            <w:tcW w:w="716"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石材+混凝土</w:t>
            </w:r>
          </w:p>
        </w:tc>
        <w:tc>
          <w:tcPr>
            <w:tcW w:w="717"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32</w:t>
            </w:r>
          </w:p>
        </w:tc>
        <w:tc>
          <w:tcPr>
            <w:tcW w:w="833"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型钢</w:t>
            </w:r>
          </w:p>
        </w:tc>
        <w:tc>
          <w:tcPr>
            <w:tcW w:w="967"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80" w:hRule="atLeast"/>
        </w:trPr>
        <w:tc>
          <w:tcPr>
            <w:tcW w:w="76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15</w:t>
            </w:r>
          </w:p>
        </w:tc>
        <w:tc>
          <w:tcPr>
            <w:tcW w:w="733"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杭玻桥</w:t>
            </w:r>
          </w:p>
        </w:tc>
        <w:tc>
          <w:tcPr>
            <w:tcW w:w="635"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2009</w:t>
            </w:r>
          </w:p>
        </w:tc>
        <w:tc>
          <w:tcPr>
            <w:tcW w:w="707"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上塘河</w:t>
            </w:r>
          </w:p>
        </w:tc>
        <w:tc>
          <w:tcPr>
            <w:tcW w:w="693"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永祥街</w:t>
            </w:r>
          </w:p>
        </w:tc>
        <w:tc>
          <w:tcPr>
            <w:tcW w:w="716"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69.4</w:t>
            </w:r>
          </w:p>
        </w:tc>
        <w:tc>
          <w:tcPr>
            <w:tcW w:w="981"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3/20+25+20</w:t>
            </w:r>
          </w:p>
        </w:tc>
        <w:tc>
          <w:tcPr>
            <w:tcW w:w="627"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43</w:t>
            </w:r>
          </w:p>
        </w:tc>
        <w:tc>
          <w:tcPr>
            <w:tcW w:w="1192"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2984.2</w:t>
            </w:r>
          </w:p>
        </w:tc>
        <w:tc>
          <w:tcPr>
            <w:tcW w:w="1638"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3.25m（人）+4.5m（非）+2m（绿）+8.5m（机）+3m（绿）+12m（机）+2m（绿）+4.5m（非）+3.25m（人）</w:t>
            </w:r>
          </w:p>
        </w:tc>
        <w:tc>
          <w:tcPr>
            <w:tcW w:w="646"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城-A级</w:t>
            </w:r>
          </w:p>
        </w:tc>
        <w:tc>
          <w:tcPr>
            <w:tcW w:w="750"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钢筋混凝土</w:t>
            </w:r>
          </w:p>
        </w:tc>
        <w:tc>
          <w:tcPr>
            <w:tcW w:w="366"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钻孔灌注桩</w:t>
            </w:r>
          </w:p>
        </w:tc>
        <w:tc>
          <w:tcPr>
            <w:tcW w:w="500"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预应力钢筋砼空心板</w:t>
            </w:r>
          </w:p>
        </w:tc>
        <w:tc>
          <w:tcPr>
            <w:tcW w:w="600"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重力式桥台</w:t>
            </w:r>
          </w:p>
        </w:tc>
        <w:tc>
          <w:tcPr>
            <w:tcW w:w="784"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沥青混凝土</w:t>
            </w:r>
          </w:p>
        </w:tc>
        <w:tc>
          <w:tcPr>
            <w:tcW w:w="716"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铸造石</w:t>
            </w:r>
          </w:p>
        </w:tc>
        <w:tc>
          <w:tcPr>
            <w:tcW w:w="717"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138.8</w:t>
            </w:r>
          </w:p>
        </w:tc>
        <w:tc>
          <w:tcPr>
            <w:tcW w:w="833"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RG-40型钢</w:t>
            </w:r>
          </w:p>
        </w:tc>
        <w:tc>
          <w:tcPr>
            <w:tcW w:w="967"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73.04</w:t>
            </w:r>
          </w:p>
        </w:tc>
      </w:tr>
    </w:tbl>
    <w:p>
      <w:pPr>
        <w:pStyle w:val="8"/>
        <w:spacing w:line="360" w:lineRule="auto"/>
        <w:ind w:left="0" w:leftChars="0" w:firstLine="0" w:firstLineChars="0"/>
        <w:rPr>
          <w:rFonts w:hint="eastAsia" w:ascii="宋体" w:hAnsi="宋体" w:eastAsia="宋体" w:cs="宋体"/>
          <w:b/>
          <w:bCs/>
          <w:color w:val="000000" w:themeColor="text1"/>
          <w:sz w:val="24"/>
          <w:highlight w:val="none"/>
          <w14:textFill>
            <w14:solidFill>
              <w14:schemeClr w14:val="tx1"/>
            </w14:solidFill>
          </w14:textFill>
        </w:rPr>
      </w:pPr>
    </w:p>
    <w:p>
      <w:pPr>
        <w:pStyle w:val="8"/>
        <w:spacing w:line="360" w:lineRule="auto"/>
        <w:ind w:left="0" w:leftChars="0" w:firstLine="0" w:firstLineChars="0"/>
        <w:rPr>
          <w:rFonts w:hint="eastAsia" w:ascii="宋体" w:hAnsi="宋体" w:eastAsia="宋体" w:cs="宋体"/>
          <w:b/>
          <w:bCs/>
          <w:color w:val="000000" w:themeColor="text1"/>
          <w:sz w:val="24"/>
          <w:highlight w:val="none"/>
          <w14:textFill>
            <w14:solidFill>
              <w14:schemeClr w14:val="tx1"/>
            </w14:solidFill>
          </w14:textFill>
        </w:rPr>
      </w:pPr>
    </w:p>
    <w:p>
      <w:pPr>
        <w:pStyle w:val="8"/>
        <w:spacing w:line="360" w:lineRule="auto"/>
        <w:ind w:left="0" w:leftChars="0" w:firstLine="0" w:firstLineChars="0"/>
        <w:rPr>
          <w:rFonts w:hint="eastAsia" w:ascii="宋体" w:hAnsi="宋体" w:eastAsia="宋体" w:cs="宋体"/>
          <w:b/>
          <w:bCs/>
          <w:color w:val="000000" w:themeColor="text1"/>
          <w:sz w:val="24"/>
          <w:highlight w:val="none"/>
          <w14:textFill>
            <w14:solidFill>
              <w14:schemeClr w14:val="tx1"/>
            </w14:solidFill>
          </w14:textFill>
        </w:rPr>
      </w:pPr>
      <w:r>
        <w:rPr>
          <w:rFonts w:hint="eastAsia" w:ascii="宋体" w:hAnsi="宋体" w:eastAsia="宋体" w:cs="宋体"/>
          <w:b/>
          <w:bCs/>
          <w:color w:val="000000" w:themeColor="text1"/>
          <w:sz w:val="24"/>
          <w:highlight w:val="none"/>
          <w:lang w:val="en-US" w:eastAsia="zh-CN"/>
          <w14:textFill>
            <w14:solidFill>
              <w14:schemeClr w14:val="tx1"/>
            </w14:solidFill>
          </w14:textFill>
        </w:rPr>
        <w:br w:type="page"/>
      </w:r>
      <w:r>
        <w:rPr>
          <w:rFonts w:hint="eastAsia" w:ascii="宋体" w:hAnsi="宋体" w:eastAsia="宋体" w:cs="宋体"/>
          <w:b/>
          <w:bCs/>
          <w:color w:val="000000" w:themeColor="text1"/>
          <w:sz w:val="24"/>
          <w:highlight w:val="none"/>
          <w:lang w:val="en-US" w:eastAsia="zh-CN"/>
          <w14:textFill>
            <w14:solidFill>
              <w14:schemeClr w14:val="tx1"/>
            </w14:solidFill>
          </w14:textFill>
        </w:rPr>
        <w:t>②</w:t>
      </w:r>
      <w:r>
        <w:rPr>
          <w:rFonts w:hint="eastAsia" w:ascii="宋体" w:hAnsi="宋体" w:eastAsia="宋体" w:cs="宋体"/>
          <w:b/>
          <w:bCs/>
          <w:color w:val="000000" w:themeColor="text1"/>
          <w:sz w:val="24"/>
          <w:highlight w:val="none"/>
          <w14:textFill>
            <w14:solidFill>
              <w14:schemeClr w14:val="tx1"/>
            </w14:solidFill>
          </w14:textFill>
        </w:rPr>
        <w:t>临丁路环卫</w:t>
      </w:r>
      <w:r>
        <w:rPr>
          <w:rFonts w:hint="eastAsia" w:ascii="宋体" w:hAnsi="宋体" w:eastAsia="宋体" w:cs="宋体"/>
          <w:b/>
          <w:bCs/>
          <w:color w:val="000000" w:themeColor="text1"/>
          <w:sz w:val="24"/>
          <w:highlight w:val="none"/>
          <w:lang w:eastAsia="zh-CN"/>
          <w14:textFill>
            <w14:solidFill>
              <w14:schemeClr w14:val="tx1"/>
            </w14:solidFill>
          </w14:textFill>
        </w:rPr>
        <w:t>（道路保洁）</w:t>
      </w:r>
      <w:r>
        <w:rPr>
          <w:rFonts w:hint="eastAsia" w:ascii="宋体" w:hAnsi="宋体" w:eastAsia="宋体" w:cs="宋体"/>
          <w:b/>
          <w:bCs/>
          <w:color w:val="000000" w:themeColor="text1"/>
          <w:sz w:val="24"/>
          <w:highlight w:val="none"/>
          <w14:textFill>
            <w14:solidFill>
              <w14:schemeClr w14:val="tx1"/>
            </w14:solidFill>
          </w14:textFill>
        </w:rPr>
        <w:t>设施量明细表</w:t>
      </w:r>
    </w:p>
    <w:tbl>
      <w:tblPr>
        <w:tblStyle w:val="62"/>
        <w:tblW w:w="15633" w:type="dxa"/>
        <w:tblInd w:w="-78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33"/>
        <w:gridCol w:w="1533"/>
        <w:gridCol w:w="1351"/>
        <w:gridCol w:w="1710"/>
        <w:gridCol w:w="1220"/>
        <w:gridCol w:w="916"/>
        <w:gridCol w:w="1137"/>
        <w:gridCol w:w="1333"/>
        <w:gridCol w:w="1200"/>
        <w:gridCol w:w="1083"/>
        <w:gridCol w:w="1384"/>
        <w:gridCol w:w="18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933" w:type="dxa"/>
            <w:tcBorders>
              <w:top w:val="single" w:color="000000" w:sz="8" w:space="0"/>
              <w:left w:val="single" w:color="000000" w:sz="8" w:space="0"/>
              <w:bottom w:val="single" w:color="000000" w:sz="8" w:space="0"/>
              <w:right w:val="single" w:color="000000" w:sz="8"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0"/>
                <w:szCs w:val="20"/>
                <w:highlight w:val="none"/>
                <w:u w:val="none"/>
                <w14:textFill>
                  <w14:solidFill>
                    <w14:schemeClr w14:val="tx1"/>
                  </w14:solidFill>
                </w14:textFill>
              </w:rPr>
            </w:pPr>
            <w:r>
              <w:rPr>
                <w:rFonts w:hint="eastAsia" w:ascii="宋体" w:hAnsi="宋体" w:eastAsia="宋体" w:cs="宋体"/>
                <w:b/>
                <w:bCs/>
                <w:i w:val="0"/>
                <w:iCs w:val="0"/>
                <w:color w:val="000000" w:themeColor="text1"/>
                <w:kern w:val="0"/>
                <w:sz w:val="20"/>
                <w:szCs w:val="20"/>
                <w:highlight w:val="none"/>
                <w:u w:val="none"/>
                <w:lang w:val="en-US" w:eastAsia="zh-CN" w:bidi="ar"/>
                <w14:textFill>
                  <w14:solidFill>
                    <w14:schemeClr w14:val="tx1"/>
                  </w14:solidFill>
                </w14:textFill>
              </w:rPr>
              <w:t>序号</w:t>
            </w:r>
          </w:p>
        </w:tc>
        <w:tc>
          <w:tcPr>
            <w:tcW w:w="1533" w:type="dxa"/>
            <w:tcBorders>
              <w:top w:val="single" w:color="000000" w:sz="8" w:space="0"/>
              <w:left w:val="single" w:color="000000" w:sz="8" w:space="0"/>
              <w:bottom w:val="single" w:color="000000" w:sz="8" w:space="0"/>
              <w:right w:val="single" w:color="000000" w:sz="8"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0"/>
                <w:szCs w:val="20"/>
                <w:highlight w:val="none"/>
                <w:u w:val="none"/>
                <w14:textFill>
                  <w14:solidFill>
                    <w14:schemeClr w14:val="tx1"/>
                  </w14:solidFill>
                </w14:textFill>
              </w:rPr>
            </w:pPr>
            <w:r>
              <w:rPr>
                <w:rFonts w:hint="eastAsia" w:ascii="宋体" w:hAnsi="宋体" w:eastAsia="宋体" w:cs="宋体"/>
                <w:b/>
                <w:bCs/>
                <w:i w:val="0"/>
                <w:iCs w:val="0"/>
                <w:color w:val="000000" w:themeColor="text1"/>
                <w:kern w:val="0"/>
                <w:sz w:val="20"/>
                <w:szCs w:val="20"/>
                <w:highlight w:val="none"/>
                <w:u w:val="none"/>
                <w:lang w:val="en-US" w:eastAsia="zh-CN" w:bidi="ar"/>
                <w14:textFill>
                  <w14:solidFill>
                    <w14:schemeClr w14:val="tx1"/>
                  </w14:solidFill>
                </w14:textFill>
              </w:rPr>
              <w:t>道路名称</w:t>
            </w:r>
          </w:p>
        </w:tc>
        <w:tc>
          <w:tcPr>
            <w:tcW w:w="1351" w:type="dxa"/>
            <w:tcBorders>
              <w:top w:val="single" w:color="000000" w:sz="8" w:space="0"/>
              <w:left w:val="single" w:color="000000" w:sz="8" w:space="0"/>
              <w:bottom w:val="single" w:color="000000" w:sz="8" w:space="0"/>
              <w:right w:val="single" w:color="000000" w:sz="8"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0"/>
                <w:szCs w:val="20"/>
                <w:highlight w:val="none"/>
                <w:u w:val="none"/>
                <w14:textFill>
                  <w14:solidFill>
                    <w14:schemeClr w14:val="tx1"/>
                  </w14:solidFill>
                </w14:textFill>
              </w:rPr>
            </w:pPr>
            <w:r>
              <w:rPr>
                <w:rFonts w:hint="eastAsia" w:ascii="宋体" w:hAnsi="宋体" w:eastAsia="宋体" w:cs="宋体"/>
                <w:b/>
                <w:bCs/>
                <w:i w:val="0"/>
                <w:iCs w:val="0"/>
                <w:color w:val="000000" w:themeColor="text1"/>
                <w:kern w:val="0"/>
                <w:sz w:val="20"/>
                <w:szCs w:val="20"/>
                <w:highlight w:val="none"/>
                <w:u w:val="none"/>
                <w:lang w:val="en-US" w:eastAsia="zh-CN" w:bidi="ar"/>
                <w14:textFill>
                  <w14:solidFill>
                    <w14:schemeClr w14:val="tx1"/>
                  </w14:solidFill>
                </w14:textFill>
              </w:rPr>
              <w:t>道路等级</w:t>
            </w:r>
          </w:p>
        </w:tc>
        <w:tc>
          <w:tcPr>
            <w:tcW w:w="1710" w:type="dxa"/>
            <w:tcBorders>
              <w:top w:val="single" w:color="000000" w:sz="8" w:space="0"/>
              <w:left w:val="single" w:color="000000" w:sz="8" w:space="0"/>
              <w:bottom w:val="single" w:color="000000" w:sz="8" w:space="0"/>
              <w:right w:val="single" w:color="000000" w:sz="8"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0"/>
                <w:szCs w:val="20"/>
                <w:highlight w:val="none"/>
                <w:u w:val="none"/>
                <w14:textFill>
                  <w14:solidFill>
                    <w14:schemeClr w14:val="tx1"/>
                  </w14:solidFill>
                </w14:textFill>
              </w:rPr>
            </w:pPr>
            <w:r>
              <w:rPr>
                <w:rFonts w:hint="eastAsia" w:ascii="宋体" w:hAnsi="宋体" w:eastAsia="宋体" w:cs="宋体"/>
                <w:b/>
                <w:bCs/>
                <w:i w:val="0"/>
                <w:iCs w:val="0"/>
                <w:color w:val="000000" w:themeColor="text1"/>
                <w:kern w:val="0"/>
                <w:sz w:val="20"/>
                <w:szCs w:val="20"/>
                <w:highlight w:val="none"/>
                <w:u w:val="none"/>
                <w:lang w:val="en-US" w:eastAsia="zh-CN" w:bidi="ar"/>
                <w14:textFill>
                  <w14:solidFill>
                    <w14:schemeClr w14:val="tx1"/>
                  </w14:solidFill>
                </w14:textFill>
              </w:rPr>
              <w:t>起止点</w:t>
            </w:r>
          </w:p>
        </w:tc>
        <w:tc>
          <w:tcPr>
            <w:tcW w:w="1220" w:type="dxa"/>
            <w:tcBorders>
              <w:top w:val="single" w:color="000000" w:sz="8" w:space="0"/>
              <w:left w:val="single" w:color="000000" w:sz="8" w:space="0"/>
              <w:bottom w:val="single" w:color="000000" w:sz="8" w:space="0"/>
              <w:right w:val="single" w:color="000000" w:sz="8"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0"/>
                <w:szCs w:val="20"/>
                <w:highlight w:val="none"/>
                <w:u w:val="none"/>
                <w14:textFill>
                  <w14:solidFill>
                    <w14:schemeClr w14:val="tx1"/>
                  </w14:solidFill>
                </w14:textFill>
              </w:rPr>
            </w:pPr>
            <w:r>
              <w:rPr>
                <w:rFonts w:hint="eastAsia" w:ascii="宋体" w:hAnsi="宋体" w:eastAsia="宋体" w:cs="宋体"/>
                <w:b/>
                <w:bCs/>
                <w:i w:val="0"/>
                <w:iCs w:val="0"/>
                <w:color w:val="000000" w:themeColor="text1"/>
                <w:kern w:val="0"/>
                <w:sz w:val="20"/>
                <w:szCs w:val="20"/>
                <w:highlight w:val="none"/>
                <w:u w:val="none"/>
                <w:lang w:val="en-US" w:eastAsia="zh-CN" w:bidi="ar"/>
                <w14:textFill>
                  <w14:solidFill>
                    <w14:schemeClr w14:val="tx1"/>
                  </w14:solidFill>
                </w14:textFill>
              </w:rPr>
              <w:t>面积（㎡）</w:t>
            </w:r>
          </w:p>
        </w:tc>
        <w:tc>
          <w:tcPr>
            <w:tcW w:w="91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0"/>
                <w:szCs w:val="20"/>
                <w:highlight w:val="none"/>
                <w:u w:val="none"/>
                <w14:textFill>
                  <w14:solidFill>
                    <w14:schemeClr w14:val="tx1"/>
                  </w14:solidFill>
                </w14:textFill>
              </w:rPr>
            </w:pPr>
            <w:r>
              <w:rPr>
                <w:rFonts w:hint="eastAsia" w:ascii="宋体" w:hAnsi="宋体" w:eastAsia="宋体" w:cs="宋体"/>
                <w:b/>
                <w:bCs/>
                <w:i w:val="0"/>
                <w:iCs w:val="0"/>
                <w:color w:val="000000" w:themeColor="text1"/>
                <w:kern w:val="0"/>
                <w:sz w:val="20"/>
                <w:szCs w:val="20"/>
                <w:highlight w:val="none"/>
                <w:u w:val="none"/>
                <w:lang w:val="en-US" w:eastAsia="zh-CN" w:bidi="ar"/>
                <w14:textFill>
                  <w14:solidFill>
                    <w14:schemeClr w14:val="tx1"/>
                  </w14:solidFill>
                </w14:textFill>
              </w:rPr>
              <w:t>道路长度（m）</w:t>
            </w:r>
          </w:p>
        </w:tc>
        <w:tc>
          <w:tcPr>
            <w:tcW w:w="113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0"/>
                <w:szCs w:val="20"/>
                <w:highlight w:val="none"/>
                <w:u w:val="none"/>
                <w14:textFill>
                  <w14:solidFill>
                    <w14:schemeClr w14:val="tx1"/>
                  </w14:solidFill>
                </w14:textFill>
              </w:rPr>
            </w:pPr>
            <w:r>
              <w:rPr>
                <w:rFonts w:hint="eastAsia" w:ascii="宋体" w:hAnsi="宋体" w:eastAsia="宋体" w:cs="宋体"/>
                <w:b/>
                <w:bCs/>
                <w:i w:val="0"/>
                <w:iCs w:val="0"/>
                <w:color w:val="000000" w:themeColor="text1"/>
                <w:kern w:val="0"/>
                <w:sz w:val="20"/>
                <w:szCs w:val="20"/>
                <w:highlight w:val="none"/>
                <w:u w:val="none"/>
                <w:lang w:val="en-US" w:eastAsia="zh-CN" w:bidi="ar"/>
                <w14:textFill>
                  <w14:solidFill>
                    <w14:schemeClr w14:val="tx1"/>
                  </w14:solidFill>
                </w14:textFill>
              </w:rPr>
              <w:t>道路宽度（m）</w:t>
            </w:r>
          </w:p>
        </w:tc>
        <w:tc>
          <w:tcPr>
            <w:tcW w:w="1333"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0"/>
                <w:szCs w:val="20"/>
                <w:highlight w:val="none"/>
                <w:u w:val="none"/>
                <w14:textFill>
                  <w14:solidFill>
                    <w14:schemeClr w14:val="tx1"/>
                  </w14:solidFill>
                </w14:textFill>
              </w:rPr>
            </w:pPr>
            <w:r>
              <w:rPr>
                <w:rFonts w:hint="eastAsia" w:ascii="宋体" w:hAnsi="宋体" w:eastAsia="宋体" w:cs="宋体"/>
                <w:b/>
                <w:bCs/>
                <w:i w:val="0"/>
                <w:iCs w:val="0"/>
                <w:color w:val="000000" w:themeColor="text1"/>
                <w:kern w:val="0"/>
                <w:sz w:val="20"/>
                <w:szCs w:val="20"/>
                <w:highlight w:val="none"/>
                <w:u w:val="none"/>
                <w:lang w:val="en-US" w:eastAsia="zh-CN" w:bidi="ar"/>
                <w14:textFill>
                  <w14:solidFill>
                    <w14:schemeClr w14:val="tx1"/>
                  </w14:solidFill>
                </w14:textFill>
              </w:rPr>
              <w:t>车行道面积（㎡）</w:t>
            </w:r>
          </w:p>
        </w:tc>
        <w:tc>
          <w:tcPr>
            <w:tcW w:w="120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0"/>
                <w:szCs w:val="20"/>
                <w:highlight w:val="none"/>
                <w:u w:val="none"/>
                <w14:textFill>
                  <w14:solidFill>
                    <w14:schemeClr w14:val="tx1"/>
                  </w14:solidFill>
                </w14:textFill>
              </w:rPr>
            </w:pPr>
            <w:r>
              <w:rPr>
                <w:rFonts w:hint="eastAsia" w:ascii="宋体" w:hAnsi="宋体" w:eastAsia="宋体" w:cs="宋体"/>
                <w:b/>
                <w:bCs/>
                <w:i w:val="0"/>
                <w:iCs w:val="0"/>
                <w:color w:val="000000" w:themeColor="text1"/>
                <w:kern w:val="0"/>
                <w:sz w:val="20"/>
                <w:szCs w:val="20"/>
                <w:highlight w:val="none"/>
                <w:u w:val="none"/>
                <w:lang w:val="en-US" w:eastAsia="zh-CN" w:bidi="ar"/>
                <w14:textFill>
                  <w14:solidFill>
                    <w14:schemeClr w14:val="tx1"/>
                  </w14:solidFill>
                </w14:textFill>
              </w:rPr>
              <w:t>人行道面积（㎡）</w:t>
            </w:r>
          </w:p>
        </w:tc>
        <w:tc>
          <w:tcPr>
            <w:tcW w:w="1083"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0"/>
                <w:szCs w:val="20"/>
                <w:highlight w:val="none"/>
                <w:u w:val="none"/>
                <w14:textFill>
                  <w14:solidFill>
                    <w14:schemeClr w14:val="tx1"/>
                  </w14:solidFill>
                </w14:textFill>
              </w:rPr>
            </w:pPr>
            <w:r>
              <w:rPr>
                <w:rFonts w:hint="eastAsia" w:ascii="宋体" w:hAnsi="宋体" w:eastAsia="宋体" w:cs="宋体"/>
                <w:b/>
                <w:bCs/>
                <w:i w:val="0"/>
                <w:iCs w:val="0"/>
                <w:color w:val="000000" w:themeColor="text1"/>
                <w:kern w:val="0"/>
                <w:sz w:val="20"/>
                <w:szCs w:val="20"/>
                <w:highlight w:val="none"/>
                <w:u w:val="none"/>
                <w:lang w:val="en-US" w:eastAsia="zh-CN" w:bidi="ar"/>
                <w14:textFill>
                  <w14:solidFill>
                    <w14:schemeClr w14:val="tx1"/>
                  </w14:solidFill>
                </w14:textFill>
              </w:rPr>
              <w:t>红线外面积(㎡)</w:t>
            </w:r>
          </w:p>
        </w:tc>
        <w:tc>
          <w:tcPr>
            <w:tcW w:w="1384"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b/>
                <w:bCs/>
                <w:i w:val="0"/>
                <w:iCs w:val="0"/>
                <w:color w:val="000000" w:themeColor="text1"/>
                <w:kern w:val="0"/>
                <w:sz w:val="20"/>
                <w:szCs w:val="20"/>
                <w:highlight w:val="none"/>
                <w:u w:val="none"/>
                <w:lang w:val="en-US" w:eastAsia="zh-CN" w:bidi="ar"/>
                <w14:textFill>
                  <w14:solidFill>
                    <w14:schemeClr w14:val="tx1"/>
                  </w14:solidFill>
                </w14:textFill>
              </w:rPr>
              <w:t>核定的</w:t>
            </w:r>
          </w:p>
          <w:p>
            <w:pPr>
              <w:keepNext w:val="0"/>
              <w:keepLines w:val="0"/>
              <w:widowControl/>
              <w:suppressLineNumbers w:val="0"/>
              <w:jc w:val="center"/>
              <w:textAlignment w:val="center"/>
              <w:rPr>
                <w:rFonts w:hint="eastAsia" w:ascii="宋体" w:hAnsi="宋体" w:eastAsia="宋体" w:cs="宋体"/>
                <w:b/>
                <w:bCs/>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b/>
                <w:bCs/>
                <w:i w:val="0"/>
                <w:iCs w:val="0"/>
                <w:color w:val="000000" w:themeColor="text1"/>
                <w:kern w:val="0"/>
                <w:sz w:val="20"/>
                <w:szCs w:val="20"/>
                <w:highlight w:val="none"/>
                <w:u w:val="none"/>
                <w:lang w:val="en-US" w:eastAsia="zh-CN" w:bidi="ar"/>
                <w14:textFill>
                  <w14:solidFill>
                    <w14:schemeClr w14:val="tx1"/>
                  </w14:solidFill>
                </w14:textFill>
              </w:rPr>
              <w:t>1米绿地</w:t>
            </w:r>
          </w:p>
          <w:p>
            <w:pPr>
              <w:keepNext w:val="0"/>
              <w:keepLines w:val="0"/>
              <w:widowControl/>
              <w:suppressLineNumbers w:val="0"/>
              <w:jc w:val="center"/>
              <w:textAlignment w:val="center"/>
              <w:rPr>
                <w:rFonts w:hint="eastAsia" w:ascii="宋体" w:hAnsi="宋体" w:eastAsia="宋体" w:cs="宋体"/>
                <w:b/>
                <w:bCs/>
                <w:i w:val="0"/>
                <w:iCs w:val="0"/>
                <w:color w:val="000000" w:themeColor="text1"/>
                <w:sz w:val="20"/>
                <w:szCs w:val="20"/>
                <w:highlight w:val="none"/>
                <w:u w:val="none"/>
                <w14:textFill>
                  <w14:solidFill>
                    <w14:schemeClr w14:val="tx1"/>
                  </w14:solidFill>
                </w14:textFill>
              </w:rPr>
            </w:pPr>
            <w:r>
              <w:rPr>
                <w:rFonts w:hint="eastAsia" w:ascii="宋体" w:hAnsi="宋体" w:eastAsia="宋体" w:cs="宋体"/>
                <w:b/>
                <w:bCs/>
                <w:i w:val="0"/>
                <w:iCs w:val="0"/>
                <w:color w:val="000000" w:themeColor="text1"/>
                <w:kern w:val="0"/>
                <w:sz w:val="20"/>
                <w:szCs w:val="20"/>
                <w:highlight w:val="none"/>
                <w:u w:val="none"/>
                <w:lang w:val="en-US" w:eastAsia="zh-CN" w:bidi="ar"/>
                <w14:textFill>
                  <w14:solidFill>
                    <w14:schemeClr w14:val="tx1"/>
                  </w14:solidFill>
                </w14:textFill>
              </w:rPr>
              <w:t>面积（㎡）</w:t>
            </w:r>
          </w:p>
        </w:tc>
        <w:tc>
          <w:tcPr>
            <w:tcW w:w="1833"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0"/>
                <w:szCs w:val="20"/>
                <w:highlight w:val="none"/>
                <w:u w:val="none"/>
                <w14:textFill>
                  <w14:solidFill>
                    <w14:schemeClr w14:val="tx1"/>
                  </w14:solidFill>
                </w14:textFill>
              </w:rPr>
            </w:pPr>
            <w:r>
              <w:rPr>
                <w:rFonts w:hint="eastAsia" w:ascii="宋体" w:hAnsi="宋体" w:eastAsia="宋体" w:cs="宋体"/>
                <w:b/>
                <w:bCs/>
                <w:i w:val="0"/>
                <w:iCs w:val="0"/>
                <w:color w:val="000000" w:themeColor="text1"/>
                <w:kern w:val="0"/>
                <w:sz w:val="20"/>
                <w:szCs w:val="20"/>
                <w:highlight w:val="none"/>
                <w:u w:val="none"/>
                <w:lang w:val="en-US" w:eastAsia="zh-CN" w:bidi="ar"/>
                <w14:textFill>
                  <w14:solidFill>
                    <w14:schemeClr w14:val="tx1"/>
                  </w14:solidFill>
                </w14:textFill>
              </w:rPr>
              <w:t>核定的道路保洁面积（含1米绿地）(㎡)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93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w:t>
            </w:r>
          </w:p>
        </w:tc>
        <w:tc>
          <w:tcPr>
            <w:tcW w:w="1533" w:type="dxa"/>
            <w:tcBorders>
              <w:top w:val="single" w:color="000000" w:sz="8" w:space="0"/>
              <w:left w:val="single" w:color="000000" w:sz="8" w:space="0"/>
              <w:bottom w:val="single" w:color="000000" w:sz="8" w:space="0"/>
              <w:right w:val="single" w:color="000000" w:sz="8"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石祥路一段</w:t>
            </w:r>
          </w:p>
        </w:tc>
        <w:tc>
          <w:tcPr>
            <w:tcW w:w="1351"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二级道路</w:t>
            </w:r>
          </w:p>
        </w:tc>
        <w:tc>
          <w:tcPr>
            <w:tcW w:w="1710" w:type="dxa"/>
            <w:tcBorders>
              <w:top w:val="single" w:color="000000" w:sz="8" w:space="0"/>
              <w:left w:val="single" w:color="000000" w:sz="8" w:space="0"/>
              <w:bottom w:val="single" w:color="000000" w:sz="8" w:space="0"/>
              <w:right w:val="single" w:color="000000" w:sz="8"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皋亭坝中间－甘长村</w:t>
            </w:r>
          </w:p>
        </w:tc>
        <w:tc>
          <w:tcPr>
            <w:tcW w:w="122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 xml:space="preserve">53953.27 </w:t>
            </w:r>
          </w:p>
        </w:tc>
        <w:tc>
          <w:tcPr>
            <w:tcW w:w="916"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1098</w:t>
            </w:r>
          </w:p>
        </w:tc>
        <w:tc>
          <w:tcPr>
            <w:tcW w:w="1137"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50.5</w:t>
            </w:r>
          </w:p>
        </w:tc>
        <w:tc>
          <w:tcPr>
            <w:tcW w:w="1333"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41356.86</w:t>
            </w:r>
          </w:p>
        </w:tc>
        <w:tc>
          <w:tcPr>
            <w:tcW w:w="1200"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7259.98</w:t>
            </w:r>
          </w:p>
        </w:tc>
        <w:tc>
          <w:tcPr>
            <w:tcW w:w="1083"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0</w:t>
            </w:r>
          </w:p>
        </w:tc>
        <w:tc>
          <w:tcPr>
            <w:tcW w:w="1384"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5336.44</w:t>
            </w:r>
          </w:p>
        </w:tc>
        <w:tc>
          <w:tcPr>
            <w:tcW w:w="1833"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 xml:space="preserve">53953.27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93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w:t>
            </w:r>
          </w:p>
        </w:tc>
        <w:tc>
          <w:tcPr>
            <w:tcW w:w="1533" w:type="dxa"/>
            <w:tcBorders>
              <w:top w:val="single" w:color="000000" w:sz="8" w:space="0"/>
              <w:left w:val="single" w:color="000000" w:sz="8" w:space="0"/>
              <w:bottom w:val="single" w:color="000000" w:sz="8" w:space="0"/>
              <w:right w:val="single" w:color="000000" w:sz="8"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石祥路二段</w:t>
            </w:r>
          </w:p>
        </w:tc>
        <w:tc>
          <w:tcPr>
            <w:tcW w:w="1351"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二级道路</w:t>
            </w:r>
          </w:p>
        </w:tc>
        <w:tc>
          <w:tcPr>
            <w:tcW w:w="1710" w:type="dxa"/>
            <w:tcBorders>
              <w:top w:val="single" w:color="000000" w:sz="8" w:space="0"/>
              <w:left w:val="single" w:color="000000" w:sz="8" w:space="0"/>
              <w:bottom w:val="single" w:color="000000" w:sz="8" w:space="0"/>
              <w:right w:val="single" w:color="000000" w:sz="8"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甘长村-石桥路</w:t>
            </w:r>
          </w:p>
        </w:tc>
        <w:tc>
          <w:tcPr>
            <w:tcW w:w="122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 xml:space="preserve">53009.75 </w:t>
            </w:r>
          </w:p>
        </w:tc>
        <w:tc>
          <w:tcPr>
            <w:tcW w:w="916"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1231</w:t>
            </w:r>
          </w:p>
        </w:tc>
        <w:tc>
          <w:tcPr>
            <w:tcW w:w="1137"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38</w:t>
            </w:r>
          </w:p>
        </w:tc>
        <w:tc>
          <w:tcPr>
            <w:tcW w:w="1333"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35078.28</w:t>
            </w:r>
          </w:p>
        </w:tc>
        <w:tc>
          <w:tcPr>
            <w:tcW w:w="1200"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9981.21</w:t>
            </w:r>
          </w:p>
        </w:tc>
        <w:tc>
          <w:tcPr>
            <w:tcW w:w="1083"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0</w:t>
            </w:r>
          </w:p>
        </w:tc>
        <w:tc>
          <w:tcPr>
            <w:tcW w:w="1384"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7950.26</w:t>
            </w:r>
          </w:p>
        </w:tc>
        <w:tc>
          <w:tcPr>
            <w:tcW w:w="1833"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 xml:space="preserve">53009.75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93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w:t>
            </w:r>
          </w:p>
        </w:tc>
        <w:tc>
          <w:tcPr>
            <w:tcW w:w="1533" w:type="dxa"/>
            <w:tcBorders>
              <w:top w:val="single" w:color="000000" w:sz="8" w:space="0"/>
              <w:left w:val="single" w:color="000000" w:sz="8" w:space="0"/>
              <w:bottom w:val="single" w:color="000000" w:sz="8" w:space="0"/>
              <w:right w:val="single" w:color="000000" w:sz="8"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石桥路一段</w:t>
            </w:r>
          </w:p>
        </w:tc>
        <w:tc>
          <w:tcPr>
            <w:tcW w:w="1351"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二级道路</w:t>
            </w:r>
          </w:p>
        </w:tc>
        <w:tc>
          <w:tcPr>
            <w:tcW w:w="1710" w:type="dxa"/>
            <w:tcBorders>
              <w:top w:val="single" w:color="000000" w:sz="8" w:space="0"/>
              <w:left w:val="single" w:color="000000" w:sz="8" w:space="0"/>
              <w:bottom w:val="single" w:color="000000" w:sz="8" w:space="0"/>
              <w:right w:val="single" w:color="000000" w:sz="8"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钱江河-杨家路</w:t>
            </w:r>
          </w:p>
        </w:tc>
        <w:tc>
          <w:tcPr>
            <w:tcW w:w="122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 xml:space="preserve">67227.01 </w:t>
            </w:r>
          </w:p>
        </w:tc>
        <w:tc>
          <w:tcPr>
            <w:tcW w:w="916"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1244</w:t>
            </w:r>
          </w:p>
        </w:tc>
        <w:tc>
          <w:tcPr>
            <w:tcW w:w="1137"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62.5</w:t>
            </w:r>
          </w:p>
        </w:tc>
        <w:tc>
          <w:tcPr>
            <w:tcW w:w="1333"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52027.29</w:t>
            </w:r>
          </w:p>
        </w:tc>
        <w:tc>
          <w:tcPr>
            <w:tcW w:w="1200"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7594.15</w:t>
            </w:r>
          </w:p>
        </w:tc>
        <w:tc>
          <w:tcPr>
            <w:tcW w:w="1083"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0</w:t>
            </w:r>
          </w:p>
        </w:tc>
        <w:tc>
          <w:tcPr>
            <w:tcW w:w="1384"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7605.57</w:t>
            </w:r>
          </w:p>
        </w:tc>
        <w:tc>
          <w:tcPr>
            <w:tcW w:w="1833"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 xml:space="preserve">67227.01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93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4</w:t>
            </w:r>
          </w:p>
        </w:tc>
        <w:tc>
          <w:tcPr>
            <w:tcW w:w="1533" w:type="dxa"/>
            <w:tcBorders>
              <w:top w:val="single" w:color="000000" w:sz="8" w:space="0"/>
              <w:left w:val="single" w:color="000000" w:sz="8" w:space="0"/>
              <w:bottom w:val="single" w:color="000000" w:sz="8" w:space="0"/>
              <w:right w:val="single" w:color="000000" w:sz="8"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石桥路二段</w:t>
            </w:r>
          </w:p>
        </w:tc>
        <w:tc>
          <w:tcPr>
            <w:tcW w:w="1351"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二级道路</w:t>
            </w:r>
          </w:p>
        </w:tc>
        <w:tc>
          <w:tcPr>
            <w:tcW w:w="1710" w:type="dxa"/>
            <w:tcBorders>
              <w:top w:val="single" w:color="000000" w:sz="8" w:space="0"/>
              <w:left w:val="single" w:color="000000" w:sz="8" w:space="0"/>
              <w:bottom w:val="single" w:color="000000" w:sz="8" w:space="0"/>
              <w:right w:val="single" w:color="000000" w:sz="8"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杨家路-石祥路</w:t>
            </w:r>
          </w:p>
        </w:tc>
        <w:tc>
          <w:tcPr>
            <w:tcW w:w="122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 xml:space="preserve">40818.51 </w:t>
            </w:r>
          </w:p>
        </w:tc>
        <w:tc>
          <w:tcPr>
            <w:tcW w:w="916"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773</w:t>
            </w:r>
          </w:p>
        </w:tc>
        <w:tc>
          <w:tcPr>
            <w:tcW w:w="1137"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56</w:t>
            </w:r>
          </w:p>
        </w:tc>
        <w:tc>
          <w:tcPr>
            <w:tcW w:w="1333"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28893.14</w:t>
            </w:r>
          </w:p>
        </w:tc>
        <w:tc>
          <w:tcPr>
            <w:tcW w:w="1200"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6059.53</w:t>
            </w:r>
          </w:p>
        </w:tc>
        <w:tc>
          <w:tcPr>
            <w:tcW w:w="1083"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0</w:t>
            </w:r>
          </w:p>
        </w:tc>
        <w:tc>
          <w:tcPr>
            <w:tcW w:w="1384"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5865.84</w:t>
            </w:r>
          </w:p>
        </w:tc>
        <w:tc>
          <w:tcPr>
            <w:tcW w:w="1833"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 xml:space="preserve">40818.51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93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5</w:t>
            </w:r>
          </w:p>
        </w:tc>
        <w:tc>
          <w:tcPr>
            <w:tcW w:w="1533" w:type="dxa"/>
            <w:tcBorders>
              <w:top w:val="single" w:color="000000" w:sz="8" w:space="0"/>
              <w:left w:val="single" w:color="000000" w:sz="8" w:space="0"/>
              <w:bottom w:val="single" w:color="000000" w:sz="8" w:space="0"/>
              <w:right w:val="single" w:color="000000" w:sz="8"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石桥路三段</w:t>
            </w:r>
          </w:p>
        </w:tc>
        <w:tc>
          <w:tcPr>
            <w:tcW w:w="1351"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二级道路</w:t>
            </w:r>
          </w:p>
        </w:tc>
        <w:tc>
          <w:tcPr>
            <w:tcW w:w="1710" w:type="dxa"/>
            <w:tcBorders>
              <w:top w:val="single" w:color="000000" w:sz="8" w:space="0"/>
              <w:left w:val="single" w:color="000000" w:sz="8" w:space="0"/>
              <w:bottom w:val="single" w:color="000000" w:sz="8" w:space="0"/>
              <w:right w:val="single" w:color="000000" w:sz="8"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石祥路-华丰路</w:t>
            </w:r>
          </w:p>
        </w:tc>
        <w:tc>
          <w:tcPr>
            <w:tcW w:w="122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 xml:space="preserve">49912.74 </w:t>
            </w:r>
          </w:p>
        </w:tc>
        <w:tc>
          <w:tcPr>
            <w:tcW w:w="916"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951</w:t>
            </w:r>
          </w:p>
        </w:tc>
        <w:tc>
          <w:tcPr>
            <w:tcW w:w="1137"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55</w:t>
            </w:r>
          </w:p>
        </w:tc>
        <w:tc>
          <w:tcPr>
            <w:tcW w:w="1333"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36773.05</w:t>
            </w:r>
          </w:p>
        </w:tc>
        <w:tc>
          <w:tcPr>
            <w:tcW w:w="1200"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6355.15</w:t>
            </w:r>
          </w:p>
        </w:tc>
        <w:tc>
          <w:tcPr>
            <w:tcW w:w="1083"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0</w:t>
            </w:r>
          </w:p>
        </w:tc>
        <w:tc>
          <w:tcPr>
            <w:tcW w:w="1384"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6784.53</w:t>
            </w:r>
          </w:p>
        </w:tc>
        <w:tc>
          <w:tcPr>
            <w:tcW w:w="1833"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 xml:space="preserve">49912.74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933" w:type="dxa"/>
            <w:vMerge w:val="restar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6</w:t>
            </w:r>
          </w:p>
        </w:tc>
        <w:tc>
          <w:tcPr>
            <w:tcW w:w="1533" w:type="dxa"/>
            <w:vMerge w:val="restart"/>
            <w:tcBorders>
              <w:top w:val="single" w:color="000000" w:sz="8" w:space="0"/>
              <w:left w:val="single" w:color="000000" w:sz="8" w:space="0"/>
              <w:bottom w:val="single" w:color="000000" w:sz="8" w:space="0"/>
              <w:right w:val="single" w:color="000000" w:sz="8"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石桥路四段</w:t>
            </w:r>
          </w:p>
        </w:tc>
        <w:tc>
          <w:tcPr>
            <w:tcW w:w="1351" w:type="dxa"/>
            <w:vMerge w:val="restar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二级道路</w:t>
            </w:r>
          </w:p>
        </w:tc>
        <w:tc>
          <w:tcPr>
            <w:tcW w:w="1710" w:type="dxa"/>
            <w:tcBorders>
              <w:top w:val="single" w:color="000000" w:sz="8" w:space="0"/>
              <w:left w:val="single" w:color="000000" w:sz="8" w:space="0"/>
              <w:bottom w:val="single" w:color="000000" w:sz="8" w:space="0"/>
              <w:right w:val="single" w:color="000000" w:sz="8"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华丰路-半山</w:t>
            </w:r>
          </w:p>
        </w:tc>
        <w:tc>
          <w:tcPr>
            <w:tcW w:w="122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 xml:space="preserve">51838 </w:t>
            </w:r>
          </w:p>
        </w:tc>
        <w:tc>
          <w:tcPr>
            <w:tcW w:w="916"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1018</w:t>
            </w:r>
          </w:p>
        </w:tc>
        <w:tc>
          <w:tcPr>
            <w:tcW w:w="1137"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55.5</w:t>
            </w:r>
          </w:p>
        </w:tc>
        <w:tc>
          <w:tcPr>
            <w:tcW w:w="1333"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39192.39</w:t>
            </w:r>
          </w:p>
        </w:tc>
        <w:tc>
          <w:tcPr>
            <w:tcW w:w="1200"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6157.19</w:t>
            </w:r>
          </w:p>
        </w:tc>
        <w:tc>
          <w:tcPr>
            <w:tcW w:w="1083"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0</w:t>
            </w:r>
          </w:p>
        </w:tc>
        <w:tc>
          <w:tcPr>
            <w:tcW w:w="1384"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5090.85</w:t>
            </w:r>
          </w:p>
        </w:tc>
        <w:tc>
          <w:tcPr>
            <w:tcW w:w="1833" w:type="dxa"/>
            <w:vMerge w:val="restart"/>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 xml:space="preserve">51838.00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933"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c>
          <w:tcPr>
            <w:tcW w:w="1533" w:type="dxa"/>
            <w:vMerge w:val="continue"/>
            <w:tcBorders>
              <w:top w:val="single" w:color="000000" w:sz="8" w:space="0"/>
              <w:left w:val="single" w:color="000000" w:sz="8" w:space="0"/>
              <w:bottom w:val="single" w:color="000000" w:sz="8" w:space="0"/>
              <w:right w:val="single" w:color="000000" w:sz="8" w:space="0"/>
            </w:tcBorders>
            <w:shd w:val="clear" w:color="auto" w:fill="auto"/>
            <w:noWrap w:val="0"/>
            <w:vAlign w:val="center"/>
          </w:tcPr>
          <w:p>
            <w:pPr>
              <w:jc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c>
          <w:tcPr>
            <w:tcW w:w="1351"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c>
          <w:tcPr>
            <w:tcW w:w="1710" w:type="dxa"/>
            <w:tcBorders>
              <w:top w:val="single" w:color="000000" w:sz="8" w:space="0"/>
              <w:left w:val="single" w:color="000000" w:sz="8" w:space="0"/>
              <w:bottom w:val="single" w:color="000000" w:sz="8" w:space="0"/>
              <w:right w:val="single" w:color="000000" w:sz="8"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344号/天堂园社区门口</w:t>
            </w:r>
          </w:p>
        </w:tc>
        <w:tc>
          <w:tcPr>
            <w:tcW w:w="122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c>
          <w:tcPr>
            <w:tcW w:w="916"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208</w:t>
            </w:r>
          </w:p>
        </w:tc>
        <w:tc>
          <w:tcPr>
            <w:tcW w:w="1137"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3.8</w:t>
            </w:r>
          </w:p>
        </w:tc>
        <w:tc>
          <w:tcPr>
            <w:tcW w:w="1333"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0</w:t>
            </w:r>
          </w:p>
        </w:tc>
        <w:tc>
          <w:tcPr>
            <w:tcW w:w="1200"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1235.3</w:t>
            </w:r>
          </w:p>
        </w:tc>
        <w:tc>
          <w:tcPr>
            <w:tcW w:w="1083"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0</w:t>
            </w:r>
          </w:p>
        </w:tc>
        <w:tc>
          <w:tcPr>
            <w:tcW w:w="1384"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162.27</w:t>
            </w:r>
          </w:p>
        </w:tc>
        <w:tc>
          <w:tcPr>
            <w:tcW w:w="1833" w:type="dxa"/>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93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8</w:t>
            </w:r>
          </w:p>
        </w:tc>
        <w:tc>
          <w:tcPr>
            <w:tcW w:w="1533" w:type="dxa"/>
            <w:tcBorders>
              <w:top w:val="single" w:color="000000" w:sz="8" w:space="0"/>
              <w:left w:val="single" w:color="000000" w:sz="8" w:space="0"/>
              <w:bottom w:val="single" w:color="000000" w:sz="8" w:space="0"/>
              <w:right w:val="single" w:color="000000" w:sz="8"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石大快速路地面道路</w:t>
            </w:r>
          </w:p>
        </w:tc>
        <w:tc>
          <w:tcPr>
            <w:tcW w:w="1351"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二级道路</w:t>
            </w:r>
          </w:p>
        </w:tc>
        <w:tc>
          <w:tcPr>
            <w:tcW w:w="1710" w:type="dxa"/>
            <w:tcBorders>
              <w:top w:val="single" w:color="000000" w:sz="8" w:space="0"/>
              <w:left w:val="single" w:color="000000" w:sz="8" w:space="0"/>
              <w:bottom w:val="single" w:color="000000" w:sz="8" w:space="0"/>
              <w:right w:val="single" w:color="000000" w:sz="8"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石桥路-同协路</w:t>
            </w:r>
          </w:p>
        </w:tc>
        <w:tc>
          <w:tcPr>
            <w:tcW w:w="122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 xml:space="preserve">80764.62 </w:t>
            </w:r>
          </w:p>
        </w:tc>
        <w:tc>
          <w:tcPr>
            <w:tcW w:w="916"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1810</w:t>
            </w:r>
          </w:p>
        </w:tc>
        <w:tc>
          <w:tcPr>
            <w:tcW w:w="1137"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58.5</w:t>
            </w:r>
          </w:p>
        </w:tc>
        <w:tc>
          <w:tcPr>
            <w:tcW w:w="1333"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56546.2</w:t>
            </w:r>
          </w:p>
        </w:tc>
        <w:tc>
          <w:tcPr>
            <w:tcW w:w="1200"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12747.78</w:t>
            </w:r>
          </w:p>
        </w:tc>
        <w:tc>
          <w:tcPr>
            <w:tcW w:w="1083"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0</w:t>
            </w:r>
          </w:p>
        </w:tc>
        <w:tc>
          <w:tcPr>
            <w:tcW w:w="1384"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11470.64</w:t>
            </w:r>
          </w:p>
        </w:tc>
        <w:tc>
          <w:tcPr>
            <w:tcW w:w="1833"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 xml:space="preserve">80764.62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93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9</w:t>
            </w:r>
          </w:p>
        </w:tc>
        <w:tc>
          <w:tcPr>
            <w:tcW w:w="1533" w:type="dxa"/>
            <w:tcBorders>
              <w:top w:val="single" w:color="000000" w:sz="8" w:space="0"/>
              <w:left w:val="single" w:color="000000" w:sz="8" w:space="0"/>
              <w:bottom w:val="single" w:color="000000" w:sz="8" w:space="0"/>
              <w:right w:val="single" w:color="000000" w:sz="8"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杭玻路</w:t>
            </w:r>
          </w:p>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（现名：永祥街）</w:t>
            </w:r>
          </w:p>
        </w:tc>
        <w:tc>
          <w:tcPr>
            <w:tcW w:w="1351"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二级道路</w:t>
            </w:r>
          </w:p>
        </w:tc>
        <w:tc>
          <w:tcPr>
            <w:tcW w:w="1710" w:type="dxa"/>
            <w:tcBorders>
              <w:top w:val="single" w:color="000000" w:sz="8" w:space="0"/>
              <w:left w:val="single" w:color="000000" w:sz="8" w:space="0"/>
              <w:bottom w:val="single" w:color="000000" w:sz="8" w:space="0"/>
              <w:right w:val="single" w:color="000000" w:sz="8"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杭玻桥-石桥路</w:t>
            </w:r>
          </w:p>
        </w:tc>
        <w:tc>
          <w:tcPr>
            <w:tcW w:w="122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 xml:space="preserve">32945.30 </w:t>
            </w:r>
          </w:p>
        </w:tc>
        <w:tc>
          <w:tcPr>
            <w:tcW w:w="916"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743</w:t>
            </w:r>
          </w:p>
        </w:tc>
        <w:tc>
          <w:tcPr>
            <w:tcW w:w="1137"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44</w:t>
            </w:r>
          </w:p>
        </w:tc>
        <w:tc>
          <w:tcPr>
            <w:tcW w:w="1333"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21989.81</w:t>
            </w:r>
          </w:p>
        </w:tc>
        <w:tc>
          <w:tcPr>
            <w:tcW w:w="1200"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7722.01</w:t>
            </w:r>
          </w:p>
        </w:tc>
        <w:tc>
          <w:tcPr>
            <w:tcW w:w="1083"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0</w:t>
            </w:r>
          </w:p>
        </w:tc>
        <w:tc>
          <w:tcPr>
            <w:tcW w:w="1384"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3233.48</w:t>
            </w:r>
          </w:p>
        </w:tc>
        <w:tc>
          <w:tcPr>
            <w:tcW w:w="1833"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 xml:space="preserve">32945.30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93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10</w:t>
            </w:r>
          </w:p>
        </w:tc>
        <w:tc>
          <w:tcPr>
            <w:tcW w:w="1533" w:type="dxa"/>
            <w:tcBorders>
              <w:top w:val="single" w:color="000000" w:sz="8" w:space="0"/>
              <w:left w:val="single" w:color="000000" w:sz="8" w:space="0"/>
              <w:bottom w:val="single" w:color="000000" w:sz="8" w:space="0"/>
              <w:right w:val="single" w:color="000000" w:sz="8"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临丁路</w:t>
            </w:r>
          </w:p>
        </w:tc>
        <w:tc>
          <w:tcPr>
            <w:tcW w:w="1351"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三级道路</w:t>
            </w:r>
          </w:p>
        </w:tc>
        <w:tc>
          <w:tcPr>
            <w:tcW w:w="1710" w:type="dxa"/>
            <w:tcBorders>
              <w:top w:val="single" w:color="000000" w:sz="8" w:space="0"/>
              <w:left w:val="single" w:color="000000" w:sz="8" w:space="0"/>
              <w:bottom w:val="single" w:color="000000" w:sz="8" w:space="0"/>
              <w:right w:val="single" w:color="000000" w:sz="8"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上塘河桥－塘字河桥</w:t>
            </w:r>
          </w:p>
        </w:tc>
        <w:tc>
          <w:tcPr>
            <w:tcW w:w="122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 xml:space="preserve">62855.02 </w:t>
            </w:r>
          </w:p>
        </w:tc>
        <w:tc>
          <w:tcPr>
            <w:tcW w:w="916"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1345</w:t>
            </w:r>
          </w:p>
        </w:tc>
        <w:tc>
          <w:tcPr>
            <w:tcW w:w="1137"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39</w:t>
            </w:r>
          </w:p>
        </w:tc>
        <w:tc>
          <w:tcPr>
            <w:tcW w:w="1333"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44496.39</w:t>
            </w:r>
          </w:p>
        </w:tc>
        <w:tc>
          <w:tcPr>
            <w:tcW w:w="1200"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11681.12</w:t>
            </w:r>
          </w:p>
        </w:tc>
        <w:tc>
          <w:tcPr>
            <w:tcW w:w="1083"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0</w:t>
            </w:r>
          </w:p>
        </w:tc>
        <w:tc>
          <w:tcPr>
            <w:tcW w:w="1384"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6677.51</w:t>
            </w:r>
          </w:p>
        </w:tc>
        <w:tc>
          <w:tcPr>
            <w:tcW w:w="1833"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62855.02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93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11</w:t>
            </w:r>
          </w:p>
        </w:tc>
        <w:tc>
          <w:tcPr>
            <w:tcW w:w="1533" w:type="dxa"/>
            <w:tcBorders>
              <w:top w:val="single" w:color="000000" w:sz="8" w:space="0"/>
              <w:left w:val="single" w:color="000000" w:sz="8" w:space="0"/>
              <w:bottom w:val="single" w:color="000000" w:sz="8" w:space="0"/>
              <w:right w:val="single" w:color="000000" w:sz="8"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同协路</w:t>
            </w:r>
          </w:p>
        </w:tc>
        <w:tc>
          <w:tcPr>
            <w:tcW w:w="1351"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三级道路</w:t>
            </w:r>
          </w:p>
        </w:tc>
        <w:tc>
          <w:tcPr>
            <w:tcW w:w="1710" w:type="dxa"/>
            <w:tcBorders>
              <w:top w:val="single" w:color="000000" w:sz="8" w:space="0"/>
              <w:left w:val="single" w:color="000000" w:sz="8" w:space="0"/>
              <w:bottom w:val="single" w:color="000000" w:sz="8" w:space="0"/>
              <w:right w:val="single" w:color="000000" w:sz="8"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五会港桥-石大路</w:t>
            </w:r>
          </w:p>
        </w:tc>
        <w:tc>
          <w:tcPr>
            <w:tcW w:w="122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 xml:space="preserve">54474.99 </w:t>
            </w:r>
          </w:p>
        </w:tc>
        <w:tc>
          <w:tcPr>
            <w:tcW w:w="916"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1291</w:t>
            </w:r>
          </w:p>
        </w:tc>
        <w:tc>
          <w:tcPr>
            <w:tcW w:w="1137"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39</w:t>
            </w:r>
          </w:p>
        </w:tc>
        <w:tc>
          <w:tcPr>
            <w:tcW w:w="1333"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41771.92</w:t>
            </w:r>
          </w:p>
        </w:tc>
        <w:tc>
          <w:tcPr>
            <w:tcW w:w="1200"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4631.71</w:t>
            </w:r>
          </w:p>
        </w:tc>
        <w:tc>
          <w:tcPr>
            <w:tcW w:w="1083"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0</w:t>
            </w:r>
          </w:p>
        </w:tc>
        <w:tc>
          <w:tcPr>
            <w:tcW w:w="1384"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8071.36</w:t>
            </w:r>
          </w:p>
        </w:tc>
        <w:tc>
          <w:tcPr>
            <w:tcW w:w="1833"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54474.99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93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12</w:t>
            </w:r>
          </w:p>
        </w:tc>
        <w:tc>
          <w:tcPr>
            <w:tcW w:w="1533" w:type="dxa"/>
            <w:tcBorders>
              <w:top w:val="single" w:color="000000" w:sz="8" w:space="0"/>
              <w:left w:val="single" w:color="000000" w:sz="8" w:space="0"/>
              <w:bottom w:val="single" w:color="000000" w:sz="8" w:space="0"/>
              <w:right w:val="single" w:color="000000" w:sz="8"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华丰路</w:t>
            </w:r>
          </w:p>
        </w:tc>
        <w:tc>
          <w:tcPr>
            <w:tcW w:w="1351"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三级道路</w:t>
            </w:r>
          </w:p>
        </w:tc>
        <w:tc>
          <w:tcPr>
            <w:tcW w:w="1710" w:type="dxa"/>
            <w:tcBorders>
              <w:top w:val="single" w:color="000000" w:sz="8" w:space="0"/>
              <w:left w:val="single" w:color="000000" w:sz="8" w:space="0"/>
              <w:bottom w:val="single" w:color="000000" w:sz="8" w:space="0"/>
              <w:right w:val="single" w:color="000000" w:sz="8"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石桥路－同协路</w:t>
            </w:r>
          </w:p>
        </w:tc>
        <w:tc>
          <w:tcPr>
            <w:tcW w:w="122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 xml:space="preserve">75383.01 </w:t>
            </w:r>
          </w:p>
        </w:tc>
        <w:tc>
          <w:tcPr>
            <w:tcW w:w="916"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1935</w:t>
            </w:r>
          </w:p>
        </w:tc>
        <w:tc>
          <w:tcPr>
            <w:tcW w:w="1137"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35.5</w:t>
            </w:r>
          </w:p>
        </w:tc>
        <w:tc>
          <w:tcPr>
            <w:tcW w:w="1333"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50159.05</w:t>
            </w:r>
          </w:p>
        </w:tc>
        <w:tc>
          <w:tcPr>
            <w:tcW w:w="1200"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22085.44</w:t>
            </w:r>
          </w:p>
        </w:tc>
        <w:tc>
          <w:tcPr>
            <w:tcW w:w="1083"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0</w:t>
            </w:r>
          </w:p>
        </w:tc>
        <w:tc>
          <w:tcPr>
            <w:tcW w:w="1384"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3138.52</w:t>
            </w:r>
          </w:p>
        </w:tc>
        <w:tc>
          <w:tcPr>
            <w:tcW w:w="1833"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75383.01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747" w:type="dxa"/>
            <w:gridSpan w:val="5"/>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0"/>
                <w:szCs w:val="20"/>
                <w:highlight w:val="none"/>
                <w:u w:val="none"/>
                <w14:textFill>
                  <w14:solidFill>
                    <w14:schemeClr w14:val="tx1"/>
                  </w14:solidFill>
                </w14:textFill>
              </w:rPr>
            </w:pPr>
            <w:r>
              <w:rPr>
                <w:rFonts w:hint="eastAsia" w:ascii="宋体" w:hAnsi="宋体" w:eastAsia="宋体" w:cs="宋体"/>
                <w:b/>
                <w:bCs/>
                <w:i w:val="0"/>
                <w:iCs w:val="0"/>
                <w:color w:val="000000" w:themeColor="text1"/>
                <w:kern w:val="0"/>
                <w:sz w:val="20"/>
                <w:szCs w:val="20"/>
                <w:highlight w:val="none"/>
                <w:u w:val="none"/>
                <w:lang w:val="en-US" w:eastAsia="zh-CN" w:bidi="ar"/>
                <w14:textFill>
                  <w14:solidFill>
                    <w14:schemeClr w14:val="tx1"/>
                  </w14:solidFill>
                </w14:textFill>
              </w:rPr>
              <w:t>合计</w:t>
            </w:r>
          </w:p>
        </w:tc>
        <w:tc>
          <w:tcPr>
            <w:tcW w:w="916"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0"/>
                <w:szCs w:val="20"/>
                <w:highlight w:val="none"/>
                <w:u w:val="none"/>
                <w14:textFill>
                  <w14:solidFill>
                    <w14:schemeClr w14:val="tx1"/>
                  </w14:solidFill>
                </w14:textFill>
              </w:rPr>
            </w:pPr>
            <w:r>
              <w:rPr>
                <w:rFonts w:hint="eastAsia" w:ascii="宋体" w:hAnsi="宋体" w:eastAsia="宋体" w:cs="宋体"/>
                <w:b/>
                <w:bCs/>
                <w:i w:val="0"/>
                <w:iCs w:val="0"/>
                <w:color w:val="000000" w:themeColor="text1"/>
                <w:kern w:val="0"/>
                <w:sz w:val="20"/>
                <w:szCs w:val="20"/>
                <w:highlight w:val="none"/>
                <w:u w:val="none"/>
                <w:lang w:val="en-US" w:eastAsia="zh-CN" w:bidi="ar"/>
                <w14:textFill>
                  <w14:solidFill>
                    <w14:schemeClr w14:val="tx1"/>
                  </w14:solidFill>
                </w14:textFill>
              </w:rPr>
              <w:t>13647</w:t>
            </w:r>
          </w:p>
        </w:tc>
        <w:tc>
          <w:tcPr>
            <w:tcW w:w="1137"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0"/>
                <w:szCs w:val="20"/>
                <w:highlight w:val="none"/>
                <w:u w:val="none"/>
                <w14:textFill>
                  <w14:solidFill>
                    <w14:schemeClr w14:val="tx1"/>
                  </w14:solidFill>
                </w14:textFill>
              </w:rPr>
            </w:pPr>
            <w:r>
              <w:rPr>
                <w:rFonts w:hint="eastAsia" w:ascii="宋体" w:hAnsi="宋体" w:eastAsia="宋体" w:cs="宋体"/>
                <w:b/>
                <w:bCs/>
                <w:i w:val="0"/>
                <w:iCs w:val="0"/>
                <w:color w:val="000000" w:themeColor="text1"/>
                <w:kern w:val="0"/>
                <w:sz w:val="20"/>
                <w:szCs w:val="20"/>
                <w:highlight w:val="none"/>
                <w:u w:val="none"/>
                <w:lang w:val="en-US" w:eastAsia="zh-CN" w:bidi="ar"/>
                <w14:textFill>
                  <w14:solidFill>
                    <w14:schemeClr w14:val="tx1"/>
                  </w14:solidFill>
                </w14:textFill>
              </w:rPr>
              <w:t>537.3</w:t>
            </w:r>
          </w:p>
        </w:tc>
        <w:tc>
          <w:tcPr>
            <w:tcW w:w="1333"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0"/>
                <w:szCs w:val="20"/>
                <w:highlight w:val="none"/>
                <w:u w:val="none"/>
                <w14:textFill>
                  <w14:solidFill>
                    <w14:schemeClr w14:val="tx1"/>
                  </w14:solidFill>
                </w14:textFill>
              </w:rPr>
            </w:pPr>
            <w:r>
              <w:rPr>
                <w:rFonts w:hint="eastAsia" w:ascii="宋体" w:hAnsi="宋体" w:eastAsia="宋体" w:cs="宋体"/>
                <w:b/>
                <w:bCs/>
                <w:i w:val="0"/>
                <w:iCs w:val="0"/>
                <w:color w:val="000000" w:themeColor="text1"/>
                <w:kern w:val="0"/>
                <w:sz w:val="20"/>
                <w:szCs w:val="20"/>
                <w:highlight w:val="none"/>
                <w:u w:val="none"/>
                <w:lang w:val="en-US" w:eastAsia="zh-CN" w:bidi="ar"/>
                <w14:textFill>
                  <w14:solidFill>
                    <w14:schemeClr w14:val="tx1"/>
                  </w14:solidFill>
                </w14:textFill>
              </w:rPr>
              <w:t>448284.38</w:t>
            </w:r>
          </w:p>
        </w:tc>
        <w:tc>
          <w:tcPr>
            <w:tcW w:w="1200"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0"/>
                <w:szCs w:val="20"/>
                <w:highlight w:val="none"/>
                <w:u w:val="none"/>
                <w14:textFill>
                  <w14:solidFill>
                    <w14:schemeClr w14:val="tx1"/>
                  </w14:solidFill>
                </w14:textFill>
              </w:rPr>
            </w:pPr>
            <w:r>
              <w:rPr>
                <w:rFonts w:hint="eastAsia" w:ascii="宋体" w:hAnsi="宋体" w:eastAsia="宋体" w:cs="宋体"/>
                <w:b/>
                <w:bCs/>
                <w:i w:val="0"/>
                <w:iCs w:val="0"/>
                <w:color w:val="000000" w:themeColor="text1"/>
                <w:kern w:val="0"/>
                <w:sz w:val="20"/>
                <w:szCs w:val="20"/>
                <w:highlight w:val="none"/>
                <w:u w:val="none"/>
                <w:lang w:val="en-US" w:eastAsia="zh-CN" w:bidi="ar"/>
                <w14:textFill>
                  <w14:solidFill>
                    <w14:schemeClr w14:val="tx1"/>
                  </w14:solidFill>
                </w14:textFill>
              </w:rPr>
              <w:t>103510.57</w:t>
            </w:r>
          </w:p>
        </w:tc>
        <w:tc>
          <w:tcPr>
            <w:tcW w:w="1083"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0"/>
                <w:szCs w:val="20"/>
                <w:highlight w:val="none"/>
                <w:u w:val="none"/>
                <w14:textFill>
                  <w14:solidFill>
                    <w14:schemeClr w14:val="tx1"/>
                  </w14:solidFill>
                </w14:textFill>
              </w:rPr>
            </w:pPr>
            <w:r>
              <w:rPr>
                <w:rFonts w:hint="eastAsia" w:ascii="宋体" w:hAnsi="宋体" w:eastAsia="宋体" w:cs="宋体"/>
                <w:b/>
                <w:bCs/>
                <w:i w:val="0"/>
                <w:iCs w:val="0"/>
                <w:color w:val="000000" w:themeColor="text1"/>
                <w:kern w:val="0"/>
                <w:sz w:val="20"/>
                <w:szCs w:val="20"/>
                <w:highlight w:val="none"/>
                <w:u w:val="none"/>
                <w:lang w:val="en-US" w:eastAsia="zh-CN" w:bidi="ar"/>
                <w14:textFill>
                  <w14:solidFill>
                    <w14:schemeClr w14:val="tx1"/>
                  </w14:solidFill>
                </w14:textFill>
              </w:rPr>
              <w:t>0</w:t>
            </w:r>
          </w:p>
        </w:tc>
        <w:tc>
          <w:tcPr>
            <w:tcW w:w="1384"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0"/>
                <w:szCs w:val="20"/>
                <w:highlight w:val="none"/>
                <w:u w:val="none"/>
                <w14:textFill>
                  <w14:solidFill>
                    <w14:schemeClr w14:val="tx1"/>
                  </w14:solidFill>
                </w14:textFill>
              </w:rPr>
            </w:pPr>
            <w:r>
              <w:rPr>
                <w:rFonts w:hint="eastAsia" w:ascii="宋体" w:hAnsi="宋体" w:eastAsia="宋体" w:cs="宋体"/>
                <w:b/>
                <w:bCs/>
                <w:i w:val="0"/>
                <w:iCs w:val="0"/>
                <w:color w:val="000000" w:themeColor="text1"/>
                <w:kern w:val="0"/>
                <w:sz w:val="20"/>
                <w:szCs w:val="20"/>
                <w:highlight w:val="none"/>
                <w:u w:val="none"/>
                <w:lang w:val="en-US" w:eastAsia="zh-CN" w:bidi="ar"/>
                <w14:textFill>
                  <w14:solidFill>
                    <w14:schemeClr w14:val="tx1"/>
                  </w14:solidFill>
                </w14:textFill>
              </w:rPr>
              <w:t>71387.27</w:t>
            </w:r>
          </w:p>
        </w:tc>
        <w:tc>
          <w:tcPr>
            <w:tcW w:w="1833"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0"/>
                <w:szCs w:val="20"/>
                <w:highlight w:val="none"/>
                <w:u w:val="none"/>
                <w14:textFill>
                  <w14:solidFill>
                    <w14:schemeClr w14:val="tx1"/>
                  </w14:solidFill>
                </w14:textFill>
              </w:rPr>
            </w:pPr>
            <w:r>
              <w:rPr>
                <w:rFonts w:hint="eastAsia" w:ascii="宋体" w:hAnsi="宋体" w:eastAsia="宋体" w:cs="宋体"/>
                <w:b/>
                <w:bCs/>
                <w:i w:val="0"/>
                <w:iCs w:val="0"/>
                <w:color w:val="000000" w:themeColor="text1"/>
                <w:kern w:val="0"/>
                <w:sz w:val="20"/>
                <w:szCs w:val="20"/>
                <w:highlight w:val="none"/>
                <w:u w:val="none"/>
                <w:lang w:val="en-US" w:eastAsia="zh-CN" w:bidi="ar"/>
                <w14:textFill>
                  <w14:solidFill>
                    <w14:schemeClr w14:val="tx1"/>
                  </w14:solidFill>
                </w14:textFill>
              </w:rPr>
              <w:t>623182.22</w:t>
            </w:r>
          </w:p>
        </w:tc>
      </w:tr>
    </w:tbl>
    <w:p>
      <w:pPr>
        <w:pStyle w:val="8"/>
        <w:spacing w:line="360" w:lineRule="auto"/>
        <w:ind w:left="0" w:leftChars="0" w:firstLine="0" w:firstLineChars="0"/>
        <w:rPr>
          <w:rFonts w:hint="eastAsia" w:ascii="宋体" w:hAnsi="宋体" w:eastAsia="宋体" w:cs="宋体"/>
          <w:b/>
          <w:bCs/>
          <w:color w:val="000000" w:themeColor="text1"/>
          <w:sz w:val="24"/>
          <w:highlight w:val="none"/>
          <w14:textFill>
            <w14:solidFill>
              <w14:schemeClr w14:val="tx1"/>
            </w14:solidFill>
          </w14:textFill>
        </w:rPr>
        <w:sectPr>
          <w:pgSz w:w="16838" w:h="11906" w:orient="landscape"/>
          <w:pgMar w:top="1474" w:right="1474" w:bottom="1474" w:left="1474" w:header="851" w:footer="992" w:gutter="0"/>
          <w:cols w:space="720" w:num="1"/>
          <w:titlePg/>
          <w:docGrid w:linePitch="312" w:charSpace="0"/>
        </w:sectPr>
      </w:pPr>
    </w:p>
    <w:p>
      <w:pPr>
        <w:pStyle w:val="8"/>
        <w:spacing w:line="360" w:lineRule="auto"/>
        <w:ind w:left="0" w:leftChars="0" w:firstLine="0" w:firstLineChars="0"/>
        <w:rPr>
          <w:rFonts w:hint="eastAsia" w:ascii="宋体" w:hAnsi="宋体" w:eastAsia="宋体" w:cs="宋体"/>
          <w:b/>
          <w:bCs/>
          <w:color w:val="000000" w:themeColor="text1"/>
          <w:kern w:val="0"/>
          <w:sz w:val="24"/>
          <w:szCs w:val="24"/>
          <w:highlight w:val="none"/>
          <w:shd w:val="clear" w:color="FFFFFF" w:fill="D9D9D9"/>
          <w14:textFill>
            <w14:solidFill>
              <w14:schemeClr w14:val="tx1"/>
            </w14:solidFill>
          </w14:textFill>
        </w:rPr>
      </w:pPr>
      <w:r>
        <w:rPr>
          <w:rFonts w:hint="eastAsia" w:ascii="宋体" w:hAnsi="宋体" w:eastAsia="宋体" w:cs="宋体"/>
          <w:b/>
          <w:bCs/>
          <w:color w:val="000000" w:themeColor="text1"/>
          <w:sz w:val="24"/>
          <w:highlight w:val="none"/>
          <w:shd w:val="clear" w:color="FFFFFF" w:fill="D9D9D9"/>
          <w14:textFill>
            <w14:solidFill>
              <w14:schemeClr w14:val="tx1"/>
            </w14:solidFill>
          </w14:textFill>
        </w:rPr>
        <w:t>▲</w:t>
      </w:r>
      <w:r>
        <w:rPr>
          <w:rFonts w:hint="eastAsia" w:ascii="宋体" w:hAnsi="宋体" w:eastAsia="宋体" w:cs="宋体"/>
          <w:b/>
          <w:bCs/>
          <w:snapToGrid/>
          <w:color w:val="000000" w:themeColor="text1"/>
          <w:kern w:val="2"/>
          <w:sz w:val="24"/>
          <w:szCs w:val="24"/>
          <w:highlight w:val="none"/>
          <w:shd w:val="clear" w:color="FFFFFF" w:fill="D9D9D9"/>
          <w:lang w:val="en-US" w:eastAsia="zh-CN" w:bidi="ar-SA"/>
          <w14:textFill>
            <w14:solidFill>
              <w14:schemeClr w14:val="tx1"/>
            </w14:solidFill>
          </w14:textFill>
        </w:rPr>
        <w:t>标项二：</w:t>
      </w:r>
      <w:r>
        <w:rPr>
          <w:rFonts w:hint="eastAsia" w:hAnsi="宋体" w:cs="宋体"/>
          <w:b/>
          <w:bCs/>
          <w:snapToGrid/>
          <w:color w:val="000000" w:themeColor="text1"/>
          <w:kern w:val="2"/>
          <w:sz w:val="24"/>
          <w:szCs w:val="24"/>
          <w:highlight w:val="none"/>
          <w:shd w:val="clear" w:color="FFFFFF" w:fill="D9D9D9"/>
          <w:lang w:val="en-US" w:eastAsia="zh-CN" w:bidi="ar-SA"/>
          <w14:textFill>
            <w14:solidFill>
              <w14:schemeClr w14:val="tx1"/>
            </w14:solidFill>
          </w14:textFill>
        </w:rPr>
        <w:t>东新路等8条市属区管道路市政环卫一体化综合养护服务项目</w:t>
      </w:r>
    </w:p>
    <w:p>
      <w:pPr>
        <w:pStyle w:val="8"/>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（1）道路面积合计601028平方米，预计3年养护经费测算6420万元，养护期2023年7月1日至2026年6月30日。</w:t>
      </w:r>
    </w:p>
    <w:p>
      <w:pPr>
        <w:pStyle w:val="8"/>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2</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设施量清单</w:t>
      </w:r>
    </w:p>
    <w:p>
      <w:pPr>
        <w:pStyle w:val="8"/>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napToGrid w:val="0"/>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①东新路</w:t>
      </w:r>
      <w:r>
        <w:rPr>
          <w:rFonts w:hint="eastAsia" w:ascii="宋体" w:hAnsi="宋体" w:eastAsia="宋体" w:cs="宋体"/>
          <w:color w:val="000000" w:themeColor="text1"/>
          <w:sz w:val="24"/>
          <w:szCs w:val="24"/>
          <w:highlight w:val="none"/>
          <w14:textFill>
            <w14:solidFill>
              <w14:schemeClr w14:val="tx1"/>
            </w14:solidFill>
          </w14:textFill>
        </w:rPr>
        <w:t>等</w:t>
      </w:r>
      <w:r>
        <w:rPr>
          <w:rFonts w:hint="eastAsia" w:ascii="宋体" w:hAnsi="宋体" w:eastAsia="宋体" w:cs="宋体"/>
          <w:color w:val="000000" w:themeColor="text1"/>
          <w:sz w:val="24"/>
          <w:szCs w:val="24"/>
          <w:highlight w:val="none"/>
          <w:lang w:val="en-US" w:eastAsia="zh-CN"/>
          <w14:textFill>
            <w14:solidFill>
              <w14:schemeClr w14:val="tx1"/>
            </w14:solidFill>
          </w14:textFill>
        </w:rPr>
        <w:t>8</w:t>
      </w:r>
      <w:r>
        <w:rPr>
          <w:rFonts w:hint="eastAsia" w:ascii="宋体" w:hAnsi="宋体" w:eastAsia="宋体" w:cs="宋体"/>
          <w:color w:val="000000" w:themeColor="text1"/>
          <w:sz w:val="24"/>
          <w:szCs w:val="24"/>
          <w:highlight w:val="none"/>
          <w14:textFill>
            <w14:solidFill>
              <w14:schemeClr w14:val="tx1"/>
            </w14:solidFill>
          </w14:textFill>
        </w:rPr>
        <w:t>条</w:t>
      </w:r>
      <w:r>
        <w:rPr>
          <w:rFonts w:hint="eastAsia" w:ascii="宋体" w:hAnsi="宋体" w:eastAsia="宋体" w:cs="宋体"/>
          <w:snapToGrid w:val="0"/>
          <w:color w:val="000000" w:themeColor="text1"/>
          <w:kern w:val="0"/>
          <w:sz w:val="24"/>
          <w:szCs w:val="24"/>
          <w:highlight w:val="none"/>
          <w14:textFill>
            <w14:solidFill>
              <w14:schemeClr w14:val="tx1"/>
            </w14:solidFill>
          </w14:textFill>
        </w:rPr>
        <w:t>市政设施量清单</w:t>
      </w:r>
    </w:p>
    <w:tbl>
      <w:tblPr>
        <w:tblStyle w:val="62"/>
        <w:tblW w:w="10020" w:type="dxa"/>
        <w:tblInd w:w="-27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88"/>
        <w:gridCol w:w="4521"/>
        <w:gridCol w:w="1739"/>
        <w:gridCol w:w="1290"/>
        <w:gridCol w:w="15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序号</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项目名称</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单位</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设施量</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维护内容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8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c>
          <w:tcPr>
            <w:tcW w:w="452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1、长浜南路（长岳街-茂德巷）</w:t>
            </w:r>
          </w:p>
        </w:tc>
        <w:tc>
          <w:tcPr>
            <w:tcW w:w="302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使用年限：4-10</w:t>
            </w:r>
            <w:r>
              <w:rPr>
                <w:rStyle w:val="313"/>
                <w:rFonts w:hint="eastAsia" w:ascii="宋体" w:hAnsi="宋体" w:eastAsia="宋体" w:cs="宋体"/>
                <w:color w:val="000000" w:themeColor="text1"/>
                <w:sz w:val="21"/>
                <w:szCs w:val="21"/>
                <w:highlight w:val="none"/>
                <w:lang w:val="en-US" w:eastAsia="zh-CN" w:bidi="ar"/>
                <w14:textFill>
                  <w14:solidFill>
                    <w14:schemeClr w14:val="tx1"/>
                  </w14:solidFill>
                </w14:textFill>
              </w:rPr>
              <w:t>年</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w:t>
            </w:r>
            <w:r>
              <w:rPr>
                <w:rStyle w:val="313"/>
                <w:rFonts w:hint="eastAsia" w:ascii="宋体" w:hAnsi="宋体" w:eastAsia="宋体" w:cs="宋体"/>
                <w:color w:val="000000" w:themeColor="text1"/>
                <w:sz w:val="21"/>
                <w:szCs w:val="21"/>
                <w:highlight w:val="none"/>
                <w:lang w:val="en-US" w:eastAsia="zh-CN" w:bidi="ar"/>
                <w14:textFill>
                  <w14:solidFill>
                    <w14:schemeClr w14:val="tx1"/>
                  </w14:solidFill>
                </w14:textFill>
              </w:rPr>
              <w:t>竣工</w:t>
            </w: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:2015</w:t>
            </w:r>
            <w:r>
              <w:rPr>
                <w:rStyle w:val="313"/>
                <w:rFonts w:hint="eastAsia" w:ascii="宋体" w:hAnsi="宋体" w:eastAsia="宋体" w:cs="宋体"/>
                <w:color w:val="000000" w:themeColor="text1"/>
                <w:sz w:val="21"/>
                <w:szCs w:val="21"/>
                <w:highlight w:val="none"/>
                <w:lang w:val="en-US" w:eastAsia="zh-CN" w:bidi="ar"/>
                <w14:textFill>
                  <w14:solidFill>
                    <w14:schemeClr w14:val="tx1"/>
                  </w14:solidFill>
                </w14:textFill>
              </w:rPr>
              <w:t>年</w:t>
            </w: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道路巡视</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w:t>
            </w:r>
            <w:r>
              <w:rPr>
                <w:rStyle w:val="313"/>
                <w:rFonts w:hint="eastAsia" w:ascii="宋体" w:hAnsi="宋体" w:eastAsia="宋体" w:cs="宋体"/>
                <w:color w:val="000000" w:themeColor="text1"/>
                <w:sz w:val="21"/>
                <w:szCs w:val="21"/>
                <w:highlight w:val="none"/>
                <w:lang w:val="en-US" w:eastAsia="zh-CN" w:bidi="ar"/>
                <w14:textFill>
                  <w14:solidFill>
                    <w14:schemeClr w14:val="tx1"/>
                  </w14:solidFill>
                </w14:textFill>
              </w:rPr>
              <w:t>次</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1.17</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2</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沥青混凝土路面</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29492</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3</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人行道板</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6020</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4</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平石</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m</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8400</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5</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侧石</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m</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8400</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6</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升检查井及井筒 φ700</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座</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47</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7</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调换检查井φ700井座</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座</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47</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8</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调换检查井φ700井盖</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座</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47</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9</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升雨水口510*390</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座</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114</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10</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调换雨水口510*390井座</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座</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114</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11</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调换雨水口510*390井盖</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座</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114</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12</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调换路名牌直杆</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根</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6</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13</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调换路名牌面</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块</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6</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14</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桥梁栏杆</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m</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15</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调换伸缩缝及清理</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m</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16</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调换橡胶止水带及清理</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m</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17</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支座保养维修</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只</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18</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桥梁沉降观测检测</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项</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19</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人行道路护栏修复</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m</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20</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人行道路护栏清洁</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m</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21</w:t>
            </w:r>
          </w:p>
        </w:tc>
        <w:tc>
          <w:tcPr>
            <w:tcW w:w="452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道路常规检测及评价</w:t>
            </w:r>
          </w:p>
        </w:tc>
        <w:tc>
          <w:tcPr>
            <w:tcW w:w="17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次/</w:t>
            </w:r>
            <w:r>
              <w:rPr>
                <w:rStyle w:val="313"/>
                <w:rFonts w:hint="eastAsia" w:ascii="宋体" w:hAnsi="宋体" w:eastAsia="宋体" w:cs="宋体"/>
                <w:color w:val="000000" w:themeColor="text1"/>
                <w:sz w:val="21"/>
                <w:szCs w:val="21"/>
                <w:highlight w:val="none"/>
                <w:lang w:val="en-US" w:eastAsia="zh-CN" w:bidi="ar"/>
                <w14:textFill>
                  <w14:solidFill>
                    <w14:schemeClr w14:val="tx1"/>
                  </w14:solidFill>
                </w14:textFill>
              </w:rPr>
              <w:t>年</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8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2.1、长浜路（新天地街—沈家路）</w:t>
            </w:r>
          </w:p>
        </w:tc>
        <w:tc>
          <w:tcPr>
            <w:tcW w:w="302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使用年限：4-10</w:t>
            </w:r>
            <w:r>
              <w:rPr>
                <w:rStyle w:val="313"/>
                <w:rFonts w:hint="eastAsia" w:ascii="宋体" w:hAnsi="宋体" w:eastAsia="宋体" w:cs="宋体"/>
                <w:color w:val="000000" w:themeColor="text1"/>
                <w:sz w:val="21"/>
                <w:szCs w:val="21"/>
                <w:highlight w:val="none"/>
                <w:lang w:val="en-US" w:eastAsia="zh-CN" w:bidi="ar"/>
                <w14:textFill>
                  <w14:solidFill>
                    <w14:schemeClr w14:val="tx1"/>
                  </w14:solidFill>
                </w14:textFill>
              </w:rPr>
              <w:t>年</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w:t>
            </w:r>
            <w:r>
              <w:rPr>
                <w:rStyle w:val="313"/>
                <w:rFonts w:hint="eastAsia" w:ascii="宋体" w:hAnsi="宋体" w:eastAsia="宋体" w:cs="宋体"/>
                <w:color w:val="000000" w:themeColor="text1"/>
                <w:sz w:val="21"/>
                <w:szCs w:val="21"/>
                <w:highlight w:val="none"/>
                <w:lang w:val="en-US" w:eastAsia="zh-CN" w:bidi="ar"/>
                <w14:textFill>
                  <w14:solidFill>
                    <w14:schemeClr w14:val="tx1"/>
                  </w14:solidFill>
                </w14:textFill>
              </w:rPr>
              <w:t>竣工</w:t>
            </w: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:2014</w:t>
            </w:r>
            <w:r>
              <w:rPr>
                <w:rStyle w:val="313"/>
                <w:rFonts w:hint="eastAsia" w:ascii="宋体" w:hAnsi="宋体" w:eastAsia="宋体" w:cs="宋体"/>
                <w:color w:val="000000" w:themeColor="text1"/>
                <w:sz w:val="21"/>
                <w:szCs w:val="21"/>
                <w:highlight w:val="none"/>
                <w:lang w:val="en-US" w:eastAsia="zh-CN" w:bidi="ar"/>
                <w14:textFill>
                  <w14:solidFill>
                    <w14:schemeClr w14:val="tx1"/>
                  </w14:solidFill>
                </w14:textFill>
              </w:rPr>
              <w:t>年</w:t>
            </w: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道路巡视</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w:t>
            </w:r>
            <w:r>
              <w:rPr>
                <w:rStyle w:val="313"/>
                <w:rFonts w:hint="eastAsia" w:ascii="宋体" w:hAnsi="宋体" w:eastAsia="宋体" w:cs="宋体"/>
                <w:color w:val="000000" w:themeColor="text1"/>
                <w:sz w:val="21"/>
                <w:szCs w:val="21"/>
                <w:highlight w:val="none"/>
                <w:lang w:val="en-US" w:eastAsia="zh-CN" w:bidi="ar"/>
                <w14:textFill>
                  <w14:solidFill>
                    <w14:schemeClr w14:val="tx1"/>
                  </w14:solidFill>
                </w14:textFill>
              </w:rPr>
              <w:t>次</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0.64</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2</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沥青混凝土路面</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16510.8</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3</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人行道板</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3723.1</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4</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平石</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m</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4491.6</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5</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侧石</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m</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6029.7</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6</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升检查井及井筒 φ700</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座</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35</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7</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调换检查井φ700井座</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座</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35</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8</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调换检查井φ700井盖</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座</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35</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9</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升雨水口510*390</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座</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78</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10</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调换雨水口510*390井座</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座</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78</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11</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调换雨水口510*390井盖</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座</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78</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12</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调换路名牌直杆</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根</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4</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13</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调换路名牌面</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块</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4</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14</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桥梁栏杆</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m</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50.28</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15</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调换伸缩缝及清理</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m</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150.8</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16</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调换橡胶止水带及清理</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m</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150.8</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17</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支座保养维修</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只</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112</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18</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桥梁沉降观测检测</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项</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19</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人行道路护栏修复</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m</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0</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20</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人行道路护栏清洁</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m</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0</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21</w:t>
            </w:r>
          </w:p>
        </w:tc>
        <w:tc>
          <w:tcPr>
            <w:tcW w:w="452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道路常规检测及评价</w:t>
            </w:r>
          </w:p>
        </w:tc>
        <w:tc>
          <w:tcPr>
            <w:tcW w:w="17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次/</w:t>
            </w:r>
            <w:r>
              <w:rPr>
                <w:rStyle w:val="313"/>
                <w:rFonts w:hint="eastAsia" w:ascii="宋体" w:hAnsi="宋体" w:eastAsia="宋体" w:cs="宋体"/>
                <w:color w:val="000000" w:themeColor="text1"/>
                <w:sz w:val="21"/>
                <w:szCs w:val="21"/>
                <w:highlight w:val="none"/>
                <w:lang w:val="en-US" w:eastAsia="zh-CN" w:bidi="ar"/>
                <w14:textFill>
                  <w14:solidFill>
                    <w14:schemeClr w14:val="tx1"/>
                  </w14:solidFill>
                </w14:textFill>
              </w:rPr>
              <w:t>年</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0" w:hRule="atLeast"/>
        </w:trPr>
        <w:tc>
          <w:tcPr>
            <w:tcW w:w="88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c>
          <w:tcPr>
            <w:tcW w:w="452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2.2、长浜路（石祥路—新天地街）</w:t>
            </w:r>
          </w:p>
        </w:tc>
        <w:tc>
          <w:tcPr>
            <w:tcW w:w="302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使用年限：11-15</w:t>
            </w:r>
            <w:r>
              <w:rPr>
                <w:rStyle w:val="313"/>
                <w:rFonts w:hint="eastAsia" w:ascii="宋体" w:hAnsi="宋体" w:eastAsia="宋体" w:cs="宋体"/>
                <w:color w:val="000000" w:themeColor="text1"/>
                <w:sz w:val="21"/>
                <w:szCs w:val="21"/>
                <w:highlight w:val="none"/>
                <w:lang w:val="en-US" w:eastAsia="zh-CN" w:bidi="ar"/>
                <w14:textFill>
                  <w14:solidFill>
                    <w14:schemeClr w14:val="tx1"/>
                  </w14:solidFill>
                </w14:textFill>
              </w:rPr>
              <w:t>年</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w:t>
            </w:r>
            <w:r>
              <w:rPr>
                <w:rStyle w:val="313"/>
                <w:rFonts w:hint="eastAsia" w:ascii="宋体" w:hAnsi="宋体" w:eastAsia="宋体" w:cs="宋体"/>
                <w:color w:val="000000" w:themeColor="text1"/>
                <w:sz w:val="21"/>
                <w:szCs w:val="21"/>
                <w:highlight w:val="none"/>
                <w:lang w:val="en-US" w:eastAsia="zh-CN" w:bidi="ar"/>
                <w14:textFill>
                  <w14:solidFill>
                    <w14:schemeClr w14:val="tx1"/>
                  </w14:solidFill>
                </w14:textFill>
              </w:rPr>
              <w:t>竣工</w:t>
            </w: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:2010</w:t>
            </w:r>
            <w:r>
              <w:rPr>
                <w:rStyle w:val="313"/>
                <w:rFonts w:hint="eastAsia" w:ascii="宋体" w:hAnsi="宋体" w:eastAsia="宋体" w:cs="宋体"/>
                <w:color w:val="000000" w:themeColor="text1"/>
                <w:sz w:val="21"/>
                <w:szCs w:val="21"/>
                <w:highlight w:val="none"/>
                <w:lang w:val="en-US" w:eastAsia="zh-CN" w:bidi="ar"/>
                <w14:textFill>
                  <w14:solidFill>
                    <w14:schemeClr w14:val="tx1"/>
                  </w14:solidFill>
                </w14:textFill>
              </w:rPr>
              <w:t>年</w:t>
            </w: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道路巡视</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w:t>
            </w:r>
            <w:r>
              <w:rPr>
                <w:rStyle w:val="313"/>
                <w:rFonts w:hint="eastAsia" w:ascii="宋体" w:hAnsi="宋体" w:eastAsia="宋体" w:cs="宋体"/>
                <w:color w:val="000000" w:themeColor="text1"/>
                <w:sz w:val="21"/>
                <w:szCs w:val="21"/>
                <w:highlight w:val="none"/>
                <w:lang w:val="en-US" w:eastAsia="zh-CN" w:bidi="ar"/>
                <w14:textFill>
                  <w14:solidFill>
                    <w14:schemeClr w14:val="tx1"/>
                  </w14:solidFill>
                </w14:textFill>
              </w:rPr>
              <w:t>次</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0.67</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2</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沥青混凝土路面</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19760</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3</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人行道板</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4075</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4</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平石</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m</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4582.7</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5</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侧石</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m</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5781.2</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6</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升检查井及井筒 φ700</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座</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38</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7</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调换检查井φ700井座</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座</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38</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8</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调换检查井φ700井盖</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座</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38</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9</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升雨水口510*390</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座</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130</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10</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调换雨水口510*390井座</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座</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130</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11</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调换雨水口510*390井盖</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座</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130</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12</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调换路名牌直杆</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根</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0</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13</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调换路名牌面</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块</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0</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14</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桥梁栏杆</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m</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0</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15</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调换伸缩缝及清理</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m</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0</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16</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调换橡胶止水带及清理</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m</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0</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17</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支座保养维修</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只</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0</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18</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桥梁沉降观测检测</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项</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0</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19</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人行道路护栏修复</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m</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0</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20</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人行道路护栏清洁</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m</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0</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21</w:t>
            </w:r>
          </w:p>
        </w:tc>
        <w:tc>
          <w:tcPr>
            <w:tcW w:w="452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道路常规检测及评价</w:t>
            </w:r>
          </w:p>
        </w:tc>
        <w:tc>
          <w:tcPr>
            <w:tcW w:w="17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次/</w:t>
            </w:r>
            <w:r>
              <w:rPr>
                <w:rStyle w:val="313"/>
                <w:rFonts w:hint="eastAsia" w:ascii="宋体" w:hAnsi="宋体" w:eastAsia="宋体" w:cs="宋体"/>
                <w:color w:val="000000" w:themeColor="text1"/>
                <w:sz w:val="21"/>
                <w:szCs w:val="21"/>
                <w:highlight w:val="none"/>
                <w:lang w:val="en-US" w:eastAsia="zh-CN" w:bidi="ar"/>
                <w14:textFill>
                  <w14:solidFill>
                    <w14:schemeClr w14:val="tx1"/>
                  </w14:solidFill>
                </w14:textFill>
              </w:rPr>
              <w:t>年</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8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c>
          <w:tcPr>
            <w:tcW w:w="452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2.3、长浜路（瑞银街—石祥路）</w:t>
            </w:r>
          </w:p>
        </w:tc>
        <w:tc>
          <w:tcPr>
            <w:tcW w:w="302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使用年限：4-10</w:t>
            </w:r>
            <w:r>
              <w:rPr>
                <w:rStyle w:val="313"/>
                <w:rFonts w:hint="eastAsia" w:ascii="宋体" w:hAnsi="宋体" w:eastAsia="宋体" w:cs="宋体"/>
                <w:color w:val="000000" w:themeColor="text1"/>
                <w:sz w:val="21"/>
                <w:szCs w:val="21"/>
                <w:highlight w:val="none"/>
                <w:lang w:val="en-US" w:eastAsia="zh-CN" w:bidi="ar"/>
                <w14:textFill>
                  <w14:solidFill>
                    <w14:schemeClr w14:val="tx1"/>
                  </w14:solidFill>
                </w14:textFill>
              </w:rPr>
              <w:t>年</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w:t>
            </w:r>
            <w:r>
              <w:rPr>
                <w:rStyle w:val="313"/>
                <w:rFonts w:hint="eastAsia" w:ascii="宋体" w:hAnsi="宋体" w:eastAsia="宋体" w:cs="宋体"/>
                <w:color w:val="000000" w:themeColor="text1"/>
                <w:sz w:val="21"/>
                <w:szCs w:val="21"/>
                <w:highlight w:val="none"/>
                <w:lang w:val="en-US" w:eastAsia="zh-CN" w:bidi="ar"/>
                <w14:textFill>
                  <w14:solidFill>
                    <w14:schemeClr w14:val="tx1"/>
                  </w14:solidFill>
                </w14:textFill>
              </w:rPr>
              <w:t>竣工</w:t>
            </w: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:2016</w:t>
            </w:r>
            <w:r>
              <w:rPr>
                <w:rStyle w:val="313"/>
                <w:rFonts w:hint="eastAsia" w:ascii="宋体" w:hAnsi="宋体" w:eastAsia="宋体" w:cs="宋体"/>
                <w:color w:val="000000" w:themeColor="text1"/>
                <w:sz w:val="21"/>
                <w:szCs w:val="21"/>
                <w:highlight w:val="none"/>
                <w:lang w:val="en-US" w:eastAsia="zh-CN" w:bidi="ar"/>
                <w14:textFill>
                  <w14:solidFill>
                    <w14:schemeClr w14:val="tx1"/>
                  </w14:solidFill>
                </w14:textFill>
              </w:rPr>
              <w:t>年</w:t>
            </w: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道路巡视</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w:t>
            </w:r>
            <w:r>
              <w:rPr>
                <w:rStyle w:val="313"/>
                <w:rFonts w:hint="eastAsia" w:ascii="宋体" w:hAnsi="宋体" w:eastAsia="宋体" w:cs="宋体"/>
                <w:color w:val="000000" w:themeColor="text1"/>
                <w:sz w:val="21"/>
                <w:szCs w:val="21"/>
                <w:highlight w:val="none"/>
                <w:lang w:val="en-US" w:eastAsia="zh-CN" w:bidi="ar"/>
                <w14:textFill>
                  <w14:solidFill>
                    <w14:schemeClr w14:val="tx1"/>
                  </w14:solidFill>
                </w14:textFill>
              </w:rPr>
              <w:t>次</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0.22668</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2</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沥青混凝土路面</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7230</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3</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人行道板</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1695</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4</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平石</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m</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1385</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5</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侧石</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m</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1846</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6</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升检查井及井筒 φ700</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座</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7</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7</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调换检查井φ700井座</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座</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7</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8</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调换检查井φ700井盖</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座</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7</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9</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升雨水口510*390</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座</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10</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调换雨水口510*390井座</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座</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11</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调换雨水口510*390井盖</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座</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12</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调换路名牌直杆</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根</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2</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13</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调换路名牌面</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块</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2</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14</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桥梁栏杆</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m</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0</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15</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调换伸缩缝及清理</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m</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0</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16</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调换橡胶止水带及清理</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m</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0</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17</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支座保养维修</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只</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0</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18</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桥梁沉降观测检测</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项</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0</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19</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人行道路护栏修复</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m</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0</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20</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人行道路护栏清洁</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m</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0</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21</w:t>
            </w:r>
          </w:p>
        </w:tc>
        <w:tc>
          <w:tcPr>
            <w:tcW w:w="452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道路常规检测及评价</w:t>
            </w:r>
          </w:p>
        </w:tc>
        <w:tc>
          <w:tcPr>
            <w:tcW w:w="17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次/</w:t>
            </w:r>
            <w:r>
              <w:rPr>
                <w:rStyle w:val="313"/>
                <w:rFonts w:hint="eastAsia" w:ascii="宋体" w:hAnsi="宋体" w:eastAsia="宋体" w:cs="宋体"/>
                <w:color w:val="000000" w:themeColor="text1"/>
                <w:sz w:val="21"/>
                <w:szCs w:val="21"/>
                <w:highlight w:val="none"/>
                <w:lang w:val="en-US" w:eastAsia="zh-CN" w:bidi="ar"/>
                <w14:textFill>
                  <w14:solidFill>
                    <w14:schemeClr w14:val="tx1"/>
                  </w14:solidFill>
                </w14:textFill>
              </w:rPr>
              <w:t>年</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8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c>
          <w:tcPr>
            <w:tcW w:w="452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2.4、长浜路（德胜路-沈家路）</w:t>
            </w:r>
          </w:p>
        </w:tc>
        <w:tc>
          <w:tcPr>
            <w:tcW w:w="302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使用年限：4-10</w:t>
            </w:r>
            <w:r>
              <w:rPr>
                <w:rStyle w:val="313"/>
                <w:rFonts w:hint="eastAsia" w:ascii="宋体" w:hAnsi="宋体" w:eastAsia="宋体" w:cs="宋体"/>
                <w:color w:val="000000" w:themeColor="text1"/>
                <w:sz w:val="21"/>
                <w:szCs w:val="21"/>
                <w:highlight w:val="none"/>
                <w:lang w:val="en-US" w:eastAsia="zh-CN" w:bidi="ar"/>
                <w14:textFill>
                  <w14:solidFill>
                    <w14:schemeClr w14:val="tx1"/>
                  </w14:solidFill>
                </w14:textFill>
              </w:rPr>
              <w:t>年</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w:t>
            </w:r>
            <w:r>
              <w:rPr>
                <w:rStyle w:val="313"/>
                <w:rFonts w:hint="eastAsia" w:ascii="宋体" w:hAnsi="宋体" w:eastAsia="宋体" w:cs="宋体"/>
                <w:color w:val="000000" w:themeColor="text1"/>
                <w:sz w:val="21"/>
                <w:szCs w:val="21"/>
                <w:highlight w:val="none"/>
                <w:lang w:val="en-US" w:eastAsia="zh-CN" w:bidi="ar"/>
                <w14:textFill>
                  <w14:solidFill>
                    <w14:schemeClr w14:val="tx1"/>
                  </w14:solidFill>
                </w14:textFill>
              </w:rPr>
              <w:t>竣工</w:t>
            </w: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:2019</w:t>
            </w:r>
            <w:r>
              <w:rPr>
                <w:rStyle w:val="313"/>
                <w:rFonts w:hint="eastAsia" w:ascii="宋体" w:hAnsi="宋体" w:eastAsia="宋体" w:cs="宋体"/>
                <w:color w:val="000000" w:themeColor="text1"/>
                <w:sz w:val="21"/>
                <w:szCs w:val="21"/>
                <w:highlight w:val="none"/>
                <w:lang w:val="en-US" w:eastAsia="zh-CN" w:bidi="ar"/>
                <w14:textFill>
                  <w14:solidFill>
                    <w14:schemeClr w14:val="tx1"/>
                  </w14:solidFill>
                </w14:textFill>
              </w:rPr>
              <w:t>年</w:t>
            </w: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道路巡视</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w:t>
            </w:r>
            <w:r>
              <w:rPr>
                <w:rStyle w:val="313"/>
                <w:rFonts w:hint="eastAsia" w:ascii="宋体" w:hAnsi="宋体" w:eastAsia="宋体" w:cs="宋体"/>
                <w:color w:val="000000" w:themeColor="text1"/>
                <w:sz w:val="21"/>
                <w:szCs w:val="21"/>
                <w:highlight w:val="none"/>
                <w:lang w:val="en-US" w:eastAsia="zh-CN" w:bidi="ar"/>
                <w14:textFill>
                  <w14:solidFill>
                    <w14:schemeClr w14:val="tx1"/>
                  </w14:solidFill>
                </w14:textFill>
              </w:rPr>
              <w:t>次</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1.332</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2</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沥青混凝土路面</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34086</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3</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人行道板</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7192</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4</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平石</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m</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9019</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5</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侧石</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m</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10139</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6</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升检查井及井筒 φ700</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座</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65</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7</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调换检查井φ700井座</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座</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65</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8</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调换检查井φ700井盖</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座</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65</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9</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升雨水口510*390</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座</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193</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10</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调换雨水口510*390井座</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座</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193</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11</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调换雨水口510*390井盖</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座</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193</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12</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调换路名牌直杆</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根</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5</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13</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调换路名牌面</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块</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5</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14</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桥梁栏杆</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m</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98.2</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15</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调换伸缩缝及清理</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m</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110</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16</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调换橡胶止水带及清理</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m</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110</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17</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支座保养维修</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只</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528</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18</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桥梁沉降观测检测</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项</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2</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19</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人行道路护栏修复</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m</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152</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20</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人行道路护栏清洁</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m</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152</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21</w:t>
            </w:r>
          </w:p>
        </w:tc>
        <w:tc>
          <w:tcPr>
            <w:tcW w:w="452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道路常规检测及评价</w:t>
            </w:r>
          </w:p>
        </w:tc>
        <w:tc>
          <w:tcPr>
            <w:tcW w:w="17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次/</w:t>
            </w:r>
            <w:r>
              <w:rPr>
                <w:rStyle w:val="313"/>
                <w:rFonts w:hint="eastAsia" w:ascii="宋体" w:hAnsi="宋体" w:eastAsia="宋体" w:cs="宋体"/>
                <w:color w:val="000000" w:themeColor="text1"/>
                <w:sz w:val="21"/>
                <w:szCs w:val="21"/>
                <w:highlight w:val="none"/>
                <w:lang w:val="en-US" w:eastAsia="zh-CN" w:bidi="ar"/>
                <w14:textFill>
                  <w14:solidFill>
                    <w14:schemeClr w14:val="tx1"/>
                  </w14:solidFill>
                </w14:textFill>
              </w:rPr>
              <w:t>年</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88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c>
          <w:tcPr>
            <w:tcW w:w="452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2.5、长浜路（东新路-瑞银街）</w:t>
            </w:r>
          </w:p>
        </w:tc>
        <w:tc>
          <w:tcPr>
            <w:tcW w:w="302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使用年限：1-3</w:t>
            </w:r>
            <w:r>
              <w:rPr>
                <w:rStyle w:val="313"/>
                <w:rFonts w:hint="eastAsia" w:ascii="宋体" w:hAnsi="宋体" w:eastAsia="宋体" w:cs="宋体"/>
                <w:color w:val="000000" w:themeColor="text1"/>
                <w:sz w:val="21"/>
                <w:szCs w:val="21"/>
                <w:highlight w:val="none"/>
                <w:lang w:val="en-US" w:eastAsia="zh-CN" w:bidi="ar"/>
                <w14:textFill>
                  <w14:solidFill>
                    <w14:schemeClr w14:val="tx1"/>
                  </w14:solidFill>
                </w14:textFill>
              </w:rPr>
              <w:t>年</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w:t>
            </w:r>
            <w:r>
              <w:rPr>
                <w:rStyle w:val="313"/>
                <w:rFonts w:hint="eastAsia" w:ascii="宋体" w:hAnsi="宋体" w:eastAsia="宋体" w:cs="宋体"/>
                <w:color w:val="000000" w:themeColor="text1"/>
                <w:sz w:val="21"/>
                <w:szCs w:val="21"/>
                <w:highlight w:val="none"/>
                <w:lang w:val="en-US" w:eastAsia="zh-CN" w:bidi="ar"/>
                <w14:textFill>
                  <w14:solidFill>
                    <w14:schemeClr w14:val="tx1"/>
                  </w14:solidFill>
                </w14:textFill>
              </w:rPr>
              <w:t>竣工</w:t>
            </w: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:2022</w:t>
            </w:r>
            <w:r>
              <w:rPr>
                <w:rStyle w:val="313"/>
                <w:rFonts w:hint="eastAsia" w:ascii="宋体" w:hAnsi="宋体" w:eastAsia="宋体" w:cs="宋体"/>
                <w:color w:val="000000" w:themeColor="text1"/>
                <w:sz w:val="21"/>
                <w:szCs w:val="21"/>
                <w:highlight w:val="none"/>
                <w:lang w:val="en-US" w:eastAsia="zh-CN" w:bidi="ar"/>
                <w14:textFill>
                  <w14:solidFill>
                    <w14:schemeClr w14:val="tx1"/>
                  </w14:solidFill>
                </w14:textFill>
              </w:rPr>
              <w:t>年</w:t>
            </w: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道路巡视</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w:t>
            </w:r>
            <w:r>
              <w:rPr>
                <w:rStyle w:val="313"/>
                <w:rFonts w:hint="eastAsia" w:ascii="宋体" w:hAnsi="宋体" w:eastAsia="宋体" w:cs="宋体"/>
                <w:color w:val="000000" w:themeColor="text1"/>
                <w:sz w:val="21"/>
                <w:szCs w:val="21"/>
                <w:highlight w:val="none"/>
                <w:lang w:val="en-US" w:eastAsia="zh-CN" w:bidi="ar"/>
                <w14:textFill>
                  <w14:solidFill>
                    <w14:schemeClr w14:val="tx1"/>
                  </w14:solidFill>
                </w14:textFill>
              </w:rPr>
              <w:t>次</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0.327</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2</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沥青混凝土路面</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8197</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3</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人行道板</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2254</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4</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平石</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m</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2616</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5</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侧石</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m</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2616</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6</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升检查井及井筒 φ700</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座</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15</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7</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调换检查井φ700井座</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座</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15</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8</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调换检查井φ700井盖</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座</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15</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9</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升雨水口510*390</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座</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33</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10</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调换雨水口510*390井座</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座</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33</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11</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调换雨水口510*390井盖</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座</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33</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12</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调换路名牌直杆</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根</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6</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13</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调换路名牌面</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块</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6</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14</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桥梁栏杆</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m</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80</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15</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调换伸缩缝及清理</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m</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77</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16</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调换橡胶止水带及清理</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m</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77</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17</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支座保养维修</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只</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18</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桥梁沉降观测检测</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项</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19</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人行道路护栏修复</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m</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20</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人行道路护栏清洁</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m</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21</w:t>
            </w:r>
          </w:p>
        </w:tc>
        <w:tc>
          <w:tcPr>
            <w:tcW w:w="452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道路常规检测及评价</w:t>
            </w:r>
          </w:p>
        </w:tc>
        <w:tc>
          <w:tcPr>
            <w:tcW w:w="17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次/</w:t>
            </w:r>
            <w:r>
              <w:rPr>
                <w:rStyle w:val="313"/>
                <w:rFonts w:hint="eastAsia" w:ascii="宋体" w:hAnsi="宋体" w:eastAsia="宋体" w:cs="宋体"/>
                <w:color w:val="000000" w:themeColor="text1"/>
                <w:sz w:val="21"/>
                <w:szCs w:val="21"/>
                <w:highlight w:val="none"/>
                <w:lang w:val="en-US" w:eastAsia="zh-CN" w:bidi="ar"/>
                <w14:textFill>
                  <w14:solidFill>
                    <w14:schemeClr w14:val="tx1"/>
                  </w14:solidFill>
                </w14:textFill>
              </w:rPr>
              <w:t>年</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8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c>
          <w:tcPr>
            <w:tcW w:w="452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3、香积寺东路（东新路—长浜河）</w:t>
            </w:r>
          </w:p>
        </w:tc>
        <w:tc>
          <w:tcPr>
            <w:tcW w:w="302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使用年限：4</w:t>
            </w:r>
            <w:r>
              <w:rPr>
                <w:rStyle w:val="313"/>
                <w:rFonts w:hint="eastAsia" w:ascii="宋体" w:hAnsi="宋体" w:eastAsia="宋体" w:cs="宋体"/>
                <w:color w:val="000000" w:themeColor="text1"/>
                <w:sz w:val="21"/>
                <w:szCs w:val="21"/>
                <w:highlight w:val="none"/>
                <w:lang w:val="en-US" w:eastAsia="zh-CN" w:bidi="ar"/>
                <w14:textFill>
                  <w14:solidFill>
                    <w14:schemeClr w14:val="tx1"/>
                  </w14:solidFill>
                </w14:textFill>
              </w:rPr>
              <w:t>年</w:t>
            </w: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-10</w:t>
            </w:r>
            <w:r>
              <w:rPr>
                <w:rStyle w:val="313"/>
                <w:rFonts w:hint="eastAsia" w:ascii="宋体" w:hAnsi="宋体" w:eastAsia="宋体" w:cs="宋体"/>
                <w:color w:val="000000" w:themeColor="text1"/>
                <w:sz w:val="21"/>
                <w:szCs w:val="21"/>
                <w:highlight w:val="none"/>
                <w:lang w:val="en-US" w:eastAsia="zh-CN" w:bidi="ar"/>
                <w14:textFill>
                  <w14:solidFill>
                    <w14:schemeClr w14:val="tx1"/>
                  </w14:solidFill>
                </w14:textFill>
              </w:rPr>
              <w:t>年以上</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w:t>
            </w:r>
            <w:r>
              <w:rPr>
                <w:rStyle w:val="313"/>
                <w:rFonts w:hint="eastAsia" w:ascii="宋体" w:hAnsi="宋体" w:eastAsia="宋体" w:cs="宋体"/>
                <w:color w:val="000000" w:themeColor="text1"/>
                <w:sz w:val="21"/>
                <w:szCs w:val="21"/>
                <w:highlight w:val="none"/>
                <w:lang w:val="en-US" w:eastAsia="zh-CN" w:bidi="ar"/>
                <w14:textFill>
                  <w14:solidFill>
                    <w14:schemeClr w14:val="tx1"/>
                  </w14:solidFill>
                </w14:textFill>
              </w:rPr>
              <w:t>竣工</w:t>
            </w: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:2020</w:t>
            </w:r>
            <w:r>
              <w:rPr>
                <w:rStyle w:val="313"/>
                <w:rFonts w:hint="eastAsia" w:ascii="宋体" w:hAnsi="宋体" w:eastAsia="宋体" w:cs="宋体"/>
                <w:color w:val="000000" w:themeColor="text1"/>
                <w:sz w:val="21"/>
                <w:szCs w:val="21"/>
                <w:highlight w:val="none"/>
                <w:lang w:val="en-US" w:eastAsia="zh-CN" w:bidi="ar"/>
                <w14:textFill>
                  <w14:solidFill>
                    <w14:schemeClr w14:val="tx1"/>
                  </w14:solidFill>
                </w14:textFill>
              </w:rPr>
              <w:t>年</w:t>
            </w: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道路巡视</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w:t>
            </w:r>
            <w:r>
              <w:rPr>
                <w:rStyle w:val="313"/>
                <w:rFonts w:hint="eastAsia" w:ascii="宋体" w:hAnsi="宋体" w:eastAsia="宋体" w:cs="宋体"/>
                <w:color w:val="000000" w:themeColor="text1"/>
                <w:sz w:val="21"/>
                <w:szCs w:val="21"/>
                <w:highlight w:val="none"/>
                <w:lang w:val="en-US" w:eastAsia="zh-CN" w:bidi="ar"/>
                <w14:textFill>
                  <w14:solidFill>
                    <w14:schemeClr w14:val="tx1"/>
                  </w14:solidFill>
                </w14:textFill>
              </w:rPr>
              <w:t>次</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0.92</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2</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沥青混凝土路面</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14720</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3</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人行道板</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7360</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4</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平石</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m</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1840</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5</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侧石</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m</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1840</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6</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升检查井及井筒 φ700</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座</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43</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7</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调换检查井φ700井座</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座</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43</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8</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调换检查井φ700井盖</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座</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43</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9</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升雨水口510*390</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座</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48</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10</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调换雨水口510*390井座</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座</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48</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11</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调换雨水口510*390井盖</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座</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48</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12</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调换路名牌直杆</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根</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3</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13</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调换路名牌面</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块</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3</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14</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桥梁栏杆</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m</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35.4</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15</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调换伸缩缝及清理</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m</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33</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16</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调换橡胶止水带及清理</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m</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33</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17</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支座保养维修</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只</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128</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18</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桥梁沉降观测检测</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项</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19</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人行道路护栏修复</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m</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0</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20</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人行道路护栏清洁</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m</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0</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21</w:t>
            </w:r>
          </w:p>
        </w:tc>
        <w:tc>
          <w:tcPr>
            <w:tcW w:w="452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道路常规检测及评价</w:t>
            </w:r>
          </w:p>
        </w:tc>
        <w:tc>
          <w:tcPr>
            <w:tcW w:w="17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次/</w:t>
            </w:r>
            <w:r>
              <w:rPr>
                <w:rStyle w:val="313"/>
                <w:rFonts w:hint="eastAsia" w:ascii="宋体" w:hAnsi="宋体" w:eastAsia="宋体" w:cs="宋体"/>
                <w:color w:val="000000" w:themeColor="text1"/>
                <w:sz w:val="21"/>
                <w:szCs w:val="21"/>
                <w:highlight w:val="none"/>
                <w:lang w:val="en-US" w:eastAsia="zh-CN" w:bidi="ar"/>
                <w14:textFill>
                  <w14:solidFill>
                    <w14:schemeClr w14:val="tx1"/>
                  </w14:solidFill>
                </w14:textFill>
              </w:rPr>
              <w:t>年</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0" w:hRule="atLeast"/>
        </w:trPr>
        <w:tc>
          <w:tcPr>
            <w:tcW w:w="88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c>
          <w:tcPr>
            <w:tcW w:w="452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4、香积寺路（东新路—上塘河）</w:t>
            </w:r>
          </w:p>
        </w:tc>
        <w:tc>
          <w:tcPr>
            <w:tcW w:w="302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使用年限：15</w:t>
            </w:r>
            <w:r>
              <w:rPr>
                <w:rStyle w:val="313"/>
                <w:rFonts w:hint="eastAsia" w:ascii="宋体" w:hAnsi="宋体" w:eastAsia="宋体" w:cs="宋体"/>
                <w:color w:val="000000" w:themeColor="text1"/>
                <w:sz w:val="21"/>
                <w:szCs w:val="21"/>
                <w:highlight w:val="none"/>
                <w:lang w:val="en-US" w:eastAsia="zh-CN" w:bidi="ar"/>
                <w14:textFill>
                  <w14:solidFill>
                    <w14:schemeClr w14:val="tx1"/>
                  </w14:solidFill>
                </w14:textFill>
              </w:rPr>
              <w:t>年以上</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w:t>
            </w:r>
            <w:r>
              <w:rPr>
                <w:rStyle w:val="313"/>
                <w:rFonts w:hint="eastAsia" w:ascii="宋体" w:hAnsi="宋体" w:eastAsia="宋体" w:cs="宋体"/>
                <w:color w:val="000000" w:themeColor="text1"/>
                <w:sz w:val="21"/>
                <w:szCs w:val="21"/>
                <w:highlight w:val="none"/>
                <w:lang w:val="en-US" w:eastAsia="zh-CN" w:bidi="ar"/>
                <w14:textFill>
                  <w14:solidFill>
                    <w14:schemeClr w14:val="tx1"/>
                  </w14:solidFill>
                </w14:textFill>
              </w:rPr>
              <w:t>竣工</w:t>
            </w: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:1997</w:t>
            </w:r>
            <w:r>
              <w:rPr>
                <w:rStyle w:val="313"/>
                <w:rFonts w:hint="eastAsia" w:ascii="宋体" w:hAnsi="宋体" w:eastAsia="宋体" w:cs="宋体"/>
                <w:color w:val="000000" w:themeColor="text1"/>
                <w:sz w:val="21"/>
                <w:szCs w:val="21"/>
                <w:highlight w:val="none"/>
                <w:lang w:val="en-US" w:eastAsia="zh-CN" w:bidi="ar"/>
                <w14:textFill>
                  <w14:solidFill>
                    <w14:schemeClr w14:val="tx1"/>
                  </w14:solidFill>
                </w14:textFill>
              </w:rPr>
              <w:t>年</w:t>
            </w: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道路巡视</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w:t>
            </w:r>
            <w:r>
              <w:rPr>
                <w:rStyle w:val="313"/>
                <w:rFonts w:hint="eastAsia" w:ascii="宋体" w:hAnsi="宋体" w:eastAsia="宋体" w:cs="宋体"/>
                <w:color w:val="000000" w:themeColor="text1"/>
                <w:sz w:val="21"/>
                <w:szCs w:val="21"/>
                <w:highlight w:val="none"/>
                <w:lang w:val="en-US" w:eastAsia="zh-CN" w:bidi="ar"/>
                <w14:textFill>
                  <w14:solidFill>
                    <w14:schemeClr w14:val="tx1"/>
                  </w14:solidFill>
                </w14:textFill>
              </w:rPr>
              <w:t>次</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1.503</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2</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沥青混凝土路面</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28454</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3</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人行道板</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16636</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4</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平石</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m</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3006</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5</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侧石</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m</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3006</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6</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升检查井及井筒 φ700</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座</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59</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7</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调换检查井φ700井座</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座</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59</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8</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调换检查井φ700井盖</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座</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59</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9</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升雨水口510*390</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座</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85</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0"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10</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调换雨水口510*390井座</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座</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85</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11</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调换雨水口510*390井盖</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座</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85</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12</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调换路名牌直杆</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根</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8</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13</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调换路名牌面</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块</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8</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14</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桥梁栏杆</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m</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32</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15</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调换伸缩缝及清理</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m</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36</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16</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调换橡胶止水带及清理</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m</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36</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17</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支座保养维修</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只</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128</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18</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桥梁沉降观测检测</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项</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19</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人行道路护栏修复</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m</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0</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20</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人行道路护栏清洁</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m</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0</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21</w:t>
            </w:r>
          </w:p>
        </w:tc>
        <w:tc>
          <w:tcPr>
            <w:tcW w:w="452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道路常规检测及评价</w:t>
            </w:r>
          </w:p>
        </w:tc>
        <w:tc>
          <w:tcPr>
            <w:tcW w:w="17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次/</w:t>
            </w:r>
            <w:r>
              <w:rPr>
                <w:rStyle w:val="313"/>
                <w:rFonts w:hint="eastAsia" w:ascii="宋体" w:hAnsi="宋体" w:eastAsia="宋体" w:cs="宋体"/>
                <w:color w:val="000000" w:themeColor="text1"/>
                <w:sz w:val="21"/>
                <w:szCs w:val="21"/>
                <w:highlight w:val="none"/>
                <w:lang w:val="en-US" w:eastAsia="zh-CN" w:bidi="ar"/>
                <w14:textFill>
                  <w14:solidFill>
                    <w14:schemeClr w14:val="tx1"/>
                  </w14:solidFill>
                </w14:textFill>
              </w:rPr>
              <w:t>年</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8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c>
          <w:tcPr>
            <w:tcW w:w="452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5.1、白石巷（香积寺路向北折东至杭钢市场）</w:t>
            </w:r>
          </w:p>
        </w:tc>
        <w:tc>
          <w:tcPr>
            <w:tcW w:w="302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使用年限：15</w:t>
            </w:r>
            <w:r>
              <w:rPr>
                <w:rStyle w:val="313"/>
                <w:rFonts w:hint="eastAsia" w:ascii="宋体" w:hAnsi="宋体" w:eastAsia="宋体" w:cs="宋体"/>
                <w:color w:val="000000" w:themeColor="text1"/>
                <w:sz w:val="21"/>
                <w:szCs w:val="21"/>
                <w:highlight w:val="none"/>
                <w:lang w:val="en-US" w:eastAsia="zh-CN" w:bidi="ar"/>
                <w14:textFill>
                  <w14:solidFill>
                    <w14:schemeClr w14:val="tx1"/>
                  </w14:solidFill>
                </w14:textFill>
              </w:rPr>
              <w:t>年以上</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w:t>
            </w:r>
            <w:r>
              <w:rPr>
                <w:rStyle w:val="313"/>
                <w:rFonts w:hint="eastAsia" w:ascii="宋体" w:hAnsi="宋体" w:eastAsia="宋体" w:cs="宋体"/>
                <w:color w:val="000000" w:themeColor="text1"/>
                <w:sz w:val="21"/>
                <w:szCs w:val="21"/>
                <w:highlight w:val="none"/>
                <w:lang w:val="en-US" w:eastAsia="zh-CN" w:bidi="ar"/>
                <w14:textFill>
                  <w14:solidFill>
                    <w14:schemeClr w14:val="tx1"/>
                  </w14:solidFill>
                </w14:textFill>
              </w:rPr>
              <w:t>竣工</w:t>
            </w: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:2006</w:t>
            </w:r>
            <w:r>
              <w:rPr>
                <w:rStyle w:val="313"/>
                <w:rFonts w:hint="eastAsia" w:ascii="宋体" w:hAnsi="宋体" w:eastAsia="宋体" w:cs="宋体"/>
                <w:color w:val="000000" w:themeColor="text1"/>
                <w:sz w:val="21"/>
                <w:szCs w:val="21"/>
                <w:highlight w:val="none"/>
                <w:lang w:val="en-US" w:eastAsia="zh-CN" w:bidi="ar"/>
                <w14:textFill>
                  <w14:solidFill>
                    <w14:schemeClr w14:val="tx1"/>
                  </w14:solidFill>
                </w14:textFill>
              </w:rPr>
              <w:t>年</w:t>
            </w: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道路巡视</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w:t>
            </w:r>
            <w:r>
              <w:rPr>
                <w:rStyle w:val="313"/>
                <w:rFonts w:hint="eastAsia" w:ascii="宋体" w:hAnsi="宋体" w:eastAsia="宋体" w:cs="宋体"/>
                <w:color w:val="000000" w:themeColor="text1"/>
                <w:sz w:val="21"/>
                <w:szCs w:val="21"/>
                <w:highlight w:val="none"/>
                <w:lang w:val="en-US" w:eastAsia="zh-CN" w:bidi="ar"/>
                <w14:textFill>
                  <w14:solidFill>
                    <w14:schemeClr w14:val="tx1"/>
                  </w14:solidFill>
                </w14:textFill>
              </w:rPr>
              <w:t>次</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1.651</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2</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沥青混凝土路面</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39800</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3</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人行道板</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11522</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4</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平石</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m</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5804</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5</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侧石</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m</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5804</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6</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升检查井及井筒 φ700</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座</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59</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7</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调换检查井φ700井座</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座</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59</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8</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调换检查井φ700井盖</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座</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59</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9</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升雨水口510*390</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座</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76</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10</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调换雨水口510*390井座</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座</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76</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11</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调换雨水口510*390井盖</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座</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76</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12</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调换路名牌直杆</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根</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0</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13</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调换路名牌面</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块</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0</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14</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桥梁栏杆</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m</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82</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15</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调换伸缩缝及清理</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m</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170</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16</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调换橡胶止水带及清理</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m</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170</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17</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支座保养维修</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只</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185</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18</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桥梁沉降观测检测</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项</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2</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19</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人行道路护栏修复</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m</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0</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20</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人行道路护栏清洁</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m</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0</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21</w:t>
            </w:r>
          </w:p>
        </w:tc>
        <w:tc>
          <w:tcPr>
            <w:tcW w:w="452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道路常规检测及评价</w:t>
            </w:r>
          </w:p>
        </w:tc>
        <w:tc>
          <w:tcPr>
            <w:tcW w:w="17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次/</w:t>
            </w:r>
            <w:r>
              <w:rPr>
                <w:rStyle w:val="313"/>
                <w:rFonts w:hint="eastAsia" w:ascii="宋体" w:hAnsi="宋体" w:eastAsia="宋体" w:cs="宋体"/>
                <w:color w:val="000000" w:themeColor="text1"/>
                <w:sz w:val="21"/>
                <w:szCs w:val="21"/>
                <w:highlight w:val="none"/>
                <w:lang w:val="en-US" w:eastAsia="zh-CN" w:bidi="ar"/>
                <w14:textFill>
                  <w14:solidFill>
                    <w14:schemeClr w14:val="tx1"/>
                  </w14:solidFill>
                </w14:textFill>
              </w:rPr>
              <w:t>年</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88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c>
          <w:tcPr>
            <w:tcW w:w="452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5.2、白石巷（杭钢市场-东新路）</w:t>
            </w:r>
          </w:p>
        </w:tc>
        <w:tc>
          <w:tcPr>
            <w:tcW w:w="302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使用年限：4-10</w:t>
            </w:r>
            <w:r>
              <w:rPr>
                <w:rStyle w:val="313"/>
                <w:rFonts w:hint="eastAsia" w:ascii="宋体" w:hAnsi="宋体" w:eastAsia="宋体" w:cs="宋体"/>
                <w:color w:val="000000" w:themeColor="text1"/>
                <w:sz w:val="21"/>
                <w:szCs w:val="21"/>
                <w:highlight w:val="none"/>
                <w:lang w:val="en-US" w:eastAsia="zh-CN" w:bidi="ar"/>
                <w14:textFill>
                  <w14:solidFill>
                    <w14:schemeClr w14:val="tx1"/>
                  </w14:solidFill>
                </w14:textFill>
              </w:rPr>
              <w:t>年</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w:t>
            </w:r>
            <w:r>
              <w:rPr>
                <w:rStyle w:val="313"/>
                <w:rFonts w:hint="eastAsia" w:ascii="宋体" w:hAnsi="宋体" w:eastAsia="宋体" w:cs="宋体"/>
                <w:color w:val="000000" w:themeColor="text1"/>
                <w:sz w:val="21"/>
                <w:szCs w:val="21"/>
                <w:highlight w:val="none"/>
                <w:lang w:val="en-US" w:eastAsia="zh-CN" w:bidi="ar"/>
                <w14:textFill>
                  <w14:solidFill>
                    <w14:schemeClr w14:val="tx1"/>
                  </w14:solidFill>
                </w14:textFill>
              </w:rPr>
              <w:t>竣工</w:t>
            </w: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:2018</w:t>
            </w:r>
            <w:r>
              <w:rPr>
                <w:rStyle w:val="313"/>
                <w:rFonts w:hint="eastAsia" w:ascii="宋体" w:hAnsi="宋体" w:eastAsia="宋体" w:cs="宋体"/>
                <w:color w:val="000000" w:themeColor="text1"/>
                <w:sz w:val="21"/>
                <w:szCs w:val="21"/>
                <w:highlight w:val="none"/>
                <w:lang w:val="en-US" w:eastAsia="zh-CN" w:bidi="ar"/>
                <w14:textFill>
                  <w14:solidFill>
                    <w14:schemeClr w14:val="tx1"/>
                  </w14:solidFill>
                </w14:textFill>
              </w:rPr>
              <w:t>年</w:t>
            </w: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道路巡视</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w:t>
            </w:r>
            <w:r>
              <w:rPr>
                <w:rStyle w:val="313"/>
                <w:rFonts w:hint="eastAsia" w:ascii="宋体" w:hAnsi="宋体" w:eastAsia="宋体" w:cs="宋体"/>
                <w:color w:val="000000" w:themeColor="text1"/>
                <w:sz w:val="21"/>
                <w:szCs w:val="21"/>
                <w:highlight w:val="none"/>
                <w:lang w:val="en-US" w:eastAsia="zh-CN" w:bidi="ar"/>
                <w14:textFill>
                  <w14:solidFill>
                    <w14:schemeClr w14:val="tx1"/>
                  </w14:solidFill>
                </w14:textFill>
              </w:rPr>
              <w:t>次</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0.44318</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2</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沥青混凝土路面</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9306.78</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3</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人行道板</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3545.44</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4</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平石</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m</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2963</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5</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侧石</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m</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2402</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6</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升检查井及井筒 φ700</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座</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16</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7</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调换检查井φ700井座</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座</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16</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8</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调换检查井φ700井盖</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座</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16</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9</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升雨水口510*390</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座</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30</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10</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调换雨水口510*390井座</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座</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30</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11</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调换雨水口510*390井盖</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座</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30</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12</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调换路名牌直杆</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根</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2</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13</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调换路名牌面</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块</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2</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14</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桥梁栏杆</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m</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0</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15</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调换伸缩缝及清理</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m</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0</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16</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调换橡胶止水带及清理</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m</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0</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17</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支座保养维修</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只</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0</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18</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桥梁沉降观测检测</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项</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0</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19</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人行道路护栏修复</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m</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0</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20</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人行道路护栏清洁</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m</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0</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21</w:t>
            </w:r>
          </w:p>
        </w:tc>
        <w:tc>
          <w:tcPr>
            <w:tcW w:w="452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道路常规检测及评价</w:t>
            </w:r>
          </w:p>
        </w:tc>
        <w:tc>
          <w:tcPr>
            <w:tcW w:w="17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次/</w:t>
            </w:r>
            <w:r>
              <w:rPr>
                <w:rStyle w:val="313"/>
                <w:rFonts w:hint="eastAsia" w:ascii="宋体" w:hAnsi="宋体" w:eastAsia="宋体" w:cs="宋体"/>
                <w:color w:val="000000" w:themeColor="text1"/>
                <w:sz w:val="21"/>
                <w:szCs w:val="21"/>
                <w:highlight w:val="none"/>
                <w:lang w:val="en-US" w:eastAsia="zh-CN" w:bidi="ar"/>
                <w14:textFill>
                  <w14:solidFill>
                    <w14:schemeClr w14:val="tx1"/>
                  </w14:solidFill>
                </w14:textFill>
              </w:rPr>
              <w:t>年</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88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c>
          <w:tcPr>
            <w:tcW w:w="452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6、东新路（文晖路—石祥路）</w:t>
            </w:r>
          </w:p>
        </w:tc>
        <w:tc>
          <w:tcPr>
            <w:tcW w:w="302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使用年限：1-3</w:t>
            </w:r>
            <w:r>
              <w:rPr>
                <w:rStyle w:val="313"/>
                <w:rFonts w:hint="eastAsia" w:ascii="宋体" w:hAnsi="宋体" w:eastAsia="宋体" w:cs="宋体"/>
                <w:color w:val="000000" w:themeColor="text1"/>
                <w:sz w:val="21"/>
                <w:szCs w:val="21"/>
                <w:highlight w:val="none"/>
                <w:lang w:val="en-US" w:eastAsia="zh-CN" w:bidi="ar"/>
                <w14:textFill>
                  <w14:solidFill>
                    <w14:schemeClr w14:val="tx1"/>
                  </w14:solidFill>
                </w14:textFill>
              </w:rPr>
              <w:t>年以上</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w:t>
            </w:r>
            <w:r>
              <w:rPr>
                <w:rStyle w:val="313"/>
                <w:rFonts w:hint="eastAsia" w:ascii="宋体" w:hAnsi="宋体" w:eastAsia="宋体" w:cs="宋体"/>
                <w:color w:val="000000" w:themeColor="text1"/>
                <w:sz w:val="21"/>
                <w:szCs w:val="21"/>
                <w:highlight w:val="none"/>
                <w:lang w:val="en-US" w:eastAsia="zh-CN" w:bidi="ar"/>
                <w14:textFill>
                  <w14:solidFill>
                    <w14:schemeClr w14:val="tx1"/>
                  </w14:solidFill>
                </w14:textFill>
              </w:rPr>
              <w:t>竣工</w:t>
            </w: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:2022</w:t>
            </w:r>
            <w:r>
              <w:rPr>
                <w:rStyle w:val="313"/>
                <w:rFonts w:hint="eastAsia" w:ascii="宋体" w:hAnsi="宋体" w:eastAsia="宋体" w:cs="宋体"/>
                <w:color w:val="000000" w:themeColor="text1"/>
                <w:sz w:val="21"/>
                <w:szCs w:val="21"/>
                <w:highlight w:val="none"/>
                <w:lang w:val="en-US" w:eastAsia="zh-CN" w:bidi="ar"/>
                <w14:textFill>
                  <w14:solidFill>
                    <w14:schemeClr w14:val="tx1"/>
                  </w14:solidFill>
                </w14:textFill>
              </w:rPr>
              <w:t>年</w:t>
            </w: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道路巡视</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w:t>
            </w:r>
            <w:r>
              <w:rPr>
                <w:rStyle w:val="313"/>
                <w:rFonts w:hint="eastAsia" w:ascii="宋体" w:hAnsi="宋体" w:eastAsia="宋体" w:cs="宋体"/>
                <w:color w:val="000000" w:themeColor="text1"/>
                <w:sz w:val="21"/>
                <w:szCs w:val="21"/>
                <w:highlight w:val="none"/>
                <w:lang w:val="en-US" w:eastAsia="zh-CN" w:bidi="ar"/>
                <w14:textFill>
                  <w14:solidFill>
                    <w14:schemeClr w14:val="tx1"/>
                  </w14:solidFill>
                </w14:textFill>
              </w:rPr>
              <w:t>次</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4.95</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2</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沥青混凝土路面</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174594</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3</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人行道板</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30348</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4</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平石</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m</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36326</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5</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侧石</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m</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46626</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6</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升检查井及井筒 φ700</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座</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266</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7</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调换检查井φ700井座</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座</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266</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8</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调换检查井φ700井盖</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座</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266</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9</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升雨水口510*390</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座</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476</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10</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调换雨水口510*390井座</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座</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476</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11</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调换雨水口510*390井盖</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座</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476</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12</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调换路名牌直杆</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根</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66</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13</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调换路名牌面</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块</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66</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14</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桥梁栏杆</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m</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259.2</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15</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调换伸缩缝及清理</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m</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335.24</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16</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调换橡胶止水带及清理</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m</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335.24</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17</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支座保养维修</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只</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960</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18</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桥梁沉降观测检测</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项</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5</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19</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人行道路护栏修复</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m</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20</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人行道路护栏清洁</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m</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21</w:t>
            </w:r>
          </w:p>
        </w:tc>
        <w:tc>
          <w:tcPr>
            <w:tcW w:w="452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道路常规检测及评价</w:t>
            </w:r>
          </w:p>
        </w:tc>
        <w:tc>
          <w:tcPr>
            <w:tcW w:w="17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次/</w:t>
            </w:r>
            <w:r>
              <w:rPr>
                <w:rStyle w:val="313"/>
                <w:rFonts w:hint="eastAsia" w:ascii="宋体" w:hAnsi="宋体" w:eastAsia="宋体" w:cs="宋体"/>
                <w:color w:val="000000" w:themeColor="text1"/>
                <w:sz w:val="21"/>
                <w:szCs w:val="21"/>
                <w:highlight w:val="none"/>
                <w:lang w:val="en-US" w:eastAsia="zh-CN" w:bidi="ar"/>
                <w14:textFill>
                  <w14:solidFill>
                    <w14:schemeClr w14:val="tx1"/>
                  </w14:solidFill>
                </w14:textFill>
              </w:rPr>
              <w:t>年</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88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c>
          <w:tcPr>
            <w:tcW w:w="452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7、东新路延伸段（石祥路—石桥路）</w:t>
            </w:r>
          </w:p>
        </w:tc>
        <w:tc>
          <w:tcPr>
            <w:tcW w:w="302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使用年限：1-3</w:t>
            </w:r>
            <w:r>
              <w:rPr>
                <w:rStyle w:val="313"/>
                <w:rFonts w:hint="eastAsia" w:ascii="宋体" w:hAnsi="宋体" w:eastAsia="宋体" w:cs="宋体"/>
                <w:color w:val="000000" w:themeColor="text1"/>
                <w:sz w:val="21"/>
                <w:szCs w:val="21"/>
                <w:highlight w:val="none"/>
                <w:lang w:val="en-US" w:eastAsia="zh-CN" w:bidi="ar"/>
                <w14:textFill>
                  <w14:solidFill>
                    <w14:schemeClr w14:val="tx1"/>
                  </w14:solidFill>
                </w14:textFill>
              </w:rPr>
              <w:t>年</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w:t>
            </w:r>
            <w:r>
              <w:rPr>
                <w:rStyle w:val="313"/>
                <w:rFonts w:hint="eastAsia" w:ascii="宋体" w:hAnsi="宋体" w:eastAsia="宋体" w:cs="宋体"/>
                <w:color w:val="000000" w:themeColor="text1"/>
                <w:sz w:val="21"/>
                <w:szCs w:val="21"/>
                <w:highlight w:val="none"/>
                <w:lang w:val="en-US" w:eastAsia="zh-CN" w:bidi="ar"/>
                <w14:textFill>
                  <w14:solidFill>
                    <w14:schemeClr w14:val="tx1"/>
                  </w14:solidFill>
                </w14:textFill>
              </w:rPr>
              <w:t>竣工</w:t>
            </w: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:2022</w:t>
            </w:r>
            <w:r>
              <w:rPr>
                <w:rStyle w:val="313"/>
                <w:rFonts w:hint="eastAsia" w:ascii="宋体" w:hAnsi="宋体" w:eastAsia="宋体" w:cs="宋体"/>
                <w:color w:val="000000" w:themeColor="text1"/>
                <w:sz w:val="21"/>
                <w:szCs w:val="21"/>
                <w:highlight w:val="none"/>
                <w:lang w:val="en-US" w:eastAsia="zh-CN" w:bidi="ar"/>
                <w14:textFill>
                  <w14:solidFill>
                    <w14:schemeClr w14:val="tx1"/>
                  </w14:solidFill>
                </w14:textFill>
              </w:rPr>
              <w:t>年</w:t>
            </w: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道路巡视</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w:t>
            </w:r>
            <w:r>
              <w:rPr>
                <w:rStyle w:val="313"/>
                <w:rFonts w:hint="eastAsia" w:ascii="宋体" w:hAnsi="宋体" w:eastAsia="宋体" w:cs="宋体"/>
                <w:color w:val="000000" w:themeColor="text1"/>
                <w:sz w:val="21"/>
                <w:szCs w:val="21"/>
                <w:highlight w:val="none"/>
                <w:lang w:val="en-US" w:eastAsia="zh-CN" w:bidi="ar"/>
                <w14:textFill>
                  <w14:solidFill>
                    <w14:schemeClr w14:val="tx1"/>
                  </w14:solidFill>
                </w14:textFill>
              </w:rPr>
              <w:t>次</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2.98</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2</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沥青混凝土路面</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78529</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3</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人行道板</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16768</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4</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平石</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m</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17416</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59"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5</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侧石</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m</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22645</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6</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升检查井及井筒 φ700</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座</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104</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7</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调换检查井φ700井座</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座</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104</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8</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调换检查井φ700井盖</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座</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104</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9</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升雨水口510*390</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座</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229</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10</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调换雨水口510*390井座</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座</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229</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11</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调换雨水口510*390井盖</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座</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229</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12</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调换路名牌直杆</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根</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38</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13</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调换路名牌面</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块</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38</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14</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桥梁栏杆</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m</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77</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15</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调换伸缩缝及清理</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m</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102</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16</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调换橡胶止水带及清理</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m</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102</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17</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支座保养维修</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只</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120</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18</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桥梁沉降观测检测</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项</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2</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19</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人行道路护栏修复</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m</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20</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人行道路护栏清洁</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m</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21</w:t>
            </w:r>
          </w:p>
        </w:tc>
        <w:tc>
          <w:tcPr>
            <w:tcW w:w="452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道路常规检测及评价</w:t>
            </w:r>
          </w:p>
        </w:tc>
        <w:tc>
          <w:tcPr>
            <w:tcW w:w="17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次/</w:t>
            </w:r>
            <w:r>
              <w:rPr>
                <w:rStyle w:val="313"/>
                <w:rFonts w:hint="eastAsia" w:ascii="宋体" w:hAnsi="宋体" w:eastAsia="宋体" w:cs="宋体"/>
                <w:color w:val="000000" w:themeColor="text1"/>
                <w:sz w:val="21"/>
                <w:szCs w:val="21"/>
                <w:highlight w:val="none"/>
                <w:lang w:val="en-US" w:eastAsia="zh-CN" w:bidi="ar"/>
                <w14:textFill>
                  <w14:solidFill>
                    <w14:schemeClr w14:val="tx1"/>
                  </w14:solidFill>
                </w14:textFill>
              </w:rPr>
              <w:t>年</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88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c>
          <w:tcPr>
            <w:tcW w:w="452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8、西文街（西联桥东侧-东新路）</w:t>
            </w:r>
          </w:p>
        </w:tc>
        <w:tc>
          <w:tcPr>
            <w:tcW w:w="302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使用年限：1-3</w:t>
            </w:r>
            <w:r>
              <w:rPr>
                <w:rStyle w:val="313"/>
                <w:rFonts w:hint="eastAsia" w:ascii="宋体" w:hAnsi="宋体" w:eastAsia="宋体" w:cs="宋体"/>
                <w:color w:val="000000" w:themeColor="text1"/>
                <w:sz w:val="21"/>
                <w:szCs w:val="21"/>
                <w:highlight w:val="none"/>
                <w:lang w:val="en-US" w:eastAsia="zh-CN" w:bidi="ar"/>
                <w14:textFill>
                  <w14:solidFill>
                    <w14:schemeClr w14:val="tx1"/>
                  </w14:solidFill>
                </w14:textFill>
              </w:rPr>
              <w:t>年以上</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w:t>
            </w:r>
            <w:r>
              <w:rPr>
                <w:rStyle w:val="313"/>
                <w:rFonts w:hint="eastAsia" w:ascii="宋体" w:hAnsi="宋体" w:eastAsia="宋体" w:cs="宋体"/>
                <w:color w:val="000000" w:themeColor="text1"/>
                <w:sz w:val="21"/>
                <w:szCs w:val="21"/>
                <w:highlight w:val="none"/>
                <w:lang w:val="en-US" w:eastAsia="zh-CN" w:bidi="ar"/>
                <w14:textFill>
                  <w14:solidFill>
                    <w14:schemeClr w14:val="tx1"/>
                  </w14:solidFill>
                </w14:textFill>
              </w:rPr>
              <w:t>竣工</w:t>
            </w: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:2021</w:t>
            </w:r>
            <w:r>
              <w:rPr>
                <w:rStyle w:val="313"/>
                <w:rFonts w:hint="eastAsia" w:ascii="宋体" w:hAnsi="宋体" w:eastAsia="宋体" w:cs="宋体"/>
                <w:color w:val="000000" w:themeColor="text1"/>
                <w:sz w:val="21"/>
                <w:szCs w:val="21"/>
                <w:highlight w:val="none"/>
                <w:lang w:val="en-US" w:eastAsia="zh-CN" w:bidi="ar"/>
                <w14:textFill>
                  <w14:solidFill>
                    <w14:schemeClr w14:val="tx1"/>
                  </w14:solidFill>
                </w14:textFill>
              </w:rPr>
              <w:t>年</w:t>
            </w: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道路巡视</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w:t>
            </w:r>
            <w:r>
              <w:rPr>
                <w:rStyle w:val="313"/>
                <w:rFonts w:hint="eastAsia" w:ascii="宋体" w:hAnsi="宋体" w:eastAsia="宋体" w:cs="宋体"/>
                <w:color w:val="000000" w:themeColor="text1"/>
                <w:sz w:val="21"/>
                <w:szCs w:val="21"/>
                <w:highlight w:val="none"/>
                <w:lang w:val="en-US" w:eastAsia="zh-CN" w:bidi="ar"/>
                <w14:textFill>
                  <w14:solidFill>
                    <w14:schemeClr w14:val="tx1"/>
                  </w14:solidFill>
                </w14:textFill>
              </w:rPr>
              <w:t>次</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0.924</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2</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沥青混凝土路面</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22646</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3</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人行道板</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6564</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4</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平石</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m</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5863</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5</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侧石</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m</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7116</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6</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升检查井及井筒 φ700</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座</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4</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7</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调换检查井φ700井座</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座</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4</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8</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调换检查井φ700井盖</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座</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4</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9</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升雨水口510*390</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座</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10</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10</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调换雨水口510*390井座</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座</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10</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11</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调换雨水口510*390井盖</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座</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10</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12</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调换路名牌直杆</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根</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4</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13</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调换路名牌面</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块</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4</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14</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桥梁栏杆</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m</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65.68</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15</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调换伸缩缝及清理</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m</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151.2</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16</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调换橡胶止水带及清理</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m</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151.2</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17</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支座保养维修</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只</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248</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18</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桥梁沉降观测检测</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项</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2</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19</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人行道路护栏修复</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m</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70</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20</w:t>
            </w:r>
          </w:p>
        </w:tc>
        <w:tc>
          <w:tcPr>
            <w:tcW w:w="4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人行道路护栏清洁</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m</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70</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21</w:t>
            </w:r>
          </w:p>
        </w:tc>
        <w:tc>
          <w:tcPr>
            <w:tcW w:w="452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道路常规检测及评价</w:t>
            </w:r>
          </w:p>
        </w:tc>
        <w:tc>
          <w:tcPr>
            <w:tcW w:w="17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次/</w:t>
            </w:r>
            <w:r>
              <w:rPr>
                <w:rStyle w:val="313"/>
                <w:rFonts w:hint="eastAsia" w:ascii="宋体" w:hAnsi="宋体" w:eastAsia="宋体" w:cs="宋体"/>
                <w:color w:val="000000" w:themeColor="text1"/>
                <w:sz w:val="21"/>
                <w:szCs w:val="21"/>
                <w:highlight w:val="none"/>
                <w:lang w:val="en-US" w:eastAsia="zh-CN" w:bidi="ar"/>
                <w14:textFill>
                  <w14:solidFill>
                    <w14:schemeClr w14:val="tx1"/>
                  </w14:solidFill>
                </w14:textFill>
              </w:rPr>
              <w:t>年</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r>
    </w:tbl>
    <w:p>
      <w:pPr>
        <w:pStyle w:val="8"/>
        <w:spacing w:line="360" w:lineRule="auto"/>
        <w:ind w:left="0" w:leftChars="0" w:firstLine="0" w:firstLineChars="0"/>
        <w:rPr>
          <w:rFonts w:hint="eastAsia" w:ascii="宋体" w:hAnsi="宋体" w:eastAsia="宋体" w:cs="宋体"/>
          <w:b/>
          <w:bCs/>
          <w:color w:val="000000" w:themeColor="text1"/>
          <w:sz w:val="24"/>
          <w:highlight w:val="none"/>
          <w14:textFill>
            <w14:solidFill>
              <w14:schemeClr w14:val="tx1"/>
            </w14:solidFill>
          </w14:textFill>
        </w:rPr>
      </w:pPr>
    </w:p>
    <w:p>
      <w:pPr>
        <w:rPr>
          <w:rFonts w:hint="eastAsia" w:ascii="宋体" w:hAnsi="宋体" w:eastAsia="宋体" w:cs="宋体"/>
          <w:b/>
          <w:bCs/>
          <w:color w:val="000000" w:themeColor="text1"/>
          <w:sz w:val="24"/>
          <w:highlight w:val="none"/>
          <w14:textFill>
            <w14:solidFill>
              <w14:schemeClr w14:val="tx1"/>
            </w14:solidFill>
          </w14:textFill>
        </w:rPr>
        <w:sectPr>
          <w:pgSz w:w="11906" w:h="16838"/>
          <w:pgMar w:top="1417" w:right="1474" w:bottom="1417" w:left="1474" w:header="851" w:footer="992" w:gutter="0"/>
          <w:cols w:space="720" w:num="1"/>
          <w:titlePg/>
          <w:docGrid w:linePitch="312" w:charSpace="0"/>
        </w:sectPr>
      </w:pPr>
    </w:p>
    <w:p>
      <w:pPr>
        <w:rPr>
          <w:rFonts w:hint="eastAsia" w:ascii="宋体" w:hAnsi="宋体" w:eastAsia="宋体" w:cs="宋体"/>
          <w:b/>
          <w:bCs/>
          <w:color w:val="000000" w:themeColor="text1"/>
          <w:sz w:val="24"/>
          <w:highlight w:val="none"/>
          <w14:textFill>
            <w14:solidFill>
              <w14:schemeClr w14:val="tx1"/>
            </w14:solidFill>
          </w14:textFill>
        </w:rPr>
      </w:pPr>
      <w:bookmarkStart w:id="423" w:name="_GoBack"/>
      <w:bookmarkEnd w:id="423"/>
      <w:r>
        <w:rPr>
          <w:rFonts w:hint="eastAsia" w:ascii="宋体" w:hAnsi="宋体" w:eastAsia="宋体" w:cs="宋体"/>
          <w:b/>
          <w:bCs/>
          <w:color w:val="000000" w:themeColor="text1"/>
          <w:sz w:val="24"/>
          <w:highlight w:val="none"/>
          <w14:textFill>
            <w14:solidFill>
              <w14:schemeClr w14:val="tx1"/>
            </w14:solidFill>
          </w14:textFill>
        </w:rPr>
        <w:t>附1：东新路</w:t>
      </w:r>
      <w:r>
        <w:rPr>
          <w:rFonts w:hint="eastAsia" w:ascii="宋体" w:hAnsi="宋体" w:eastAsia="宋体" w:cs="宋体"/>
          <w:b/>
          <w:bCs/>
          <w:color w:val="000000" w:themeColor="text1"/>
          <w:sz w:val="24"/>
          <w:highlight w:val="none"/>
          <w:lang w:eastAsia="zh-CN"/>
          <w14:textFill>
            <w14:solidFill>
              <w14:schemeClr w14:val="tx1"/>
            </w14:solidFill>
          </w14:textFill>
        </w:rPr>
        <w:t>道路市政养护设施量明细清单</w:t>
      </w:r>
      <w:r>
        <w:rPr>
          <w:rFonts w:hint="eastAsia" w:ascii="宋体" w:hAnsi="宋体" w:eastAsia="宋体" w:cs="宋体"/>
          <w:b/>
          <w:bCs/>
          <w:color w:val="000000" w:themeColor="text1"/>
          <w:sz w:val="24"/>
          <w:highlight w:val="none"/>
          <w14:textFill>
            <w14:solidFill>
              <w14:schemeClr w14:val="tx1"/>
            </w14:solidFill>
          </w14:textFill>
        </w:rPr>
        <w:t>：</w:t>
      </w:r>
    </w:p>
    <w:tbl>
      <w:tblPr>
        <w:tblStyle w:val="62"/>
        <w:tblW w:w="15850" w:type="dxa"/>
        <w:tblInd w:w="-77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75"/>
        <w:gridCol w:w="809"/>
        <w:gridCol w:w="600"/>
        <w:gridCol w:w="700"/>
        <w:gridCol w:w="550"/>
        <w:gridCol w:w="716"/>
        <w:gridCol w:w="784"/>
        <w:gridCol w:w="900"/>
        <w:gridCol w:w="2911"/>
        <w:gridCol w:w="754"/>
        <w:gridCol w:w="1001"/>
        <w:gridCol w:w="1050"/>
        <w:gridCol w:w="1500"/>
        <w:gridCol w:w="1300"/>
        <w:gridCol w:w="1067"/>
        <w:gridCol w:w="8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37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序号</w:t>
            </w:r>
          </w:p>
        </w:tc>
        <w:tc>
          <w:tcPr>
            <w:tcW w:w="809" w:type="dxa"/>
            <w:vMerge w:val="restart"/>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道路名称</w:t>
            </w:r>
          </w:p>
        </w:tc>
        <w:tc>
          <w:tcPr>
            <w:tcW w:w="600" w:type="dxa"/>
            <w:vMerge w:val="restart"/>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起止点</w:t>
            </w:r>
          </w:p>
        </w:tc>
        <w:tc>
          <w:tcPr>
            <w:tcW w:w="700" w:type="dxa"/>
            <w:tcBorders>
              <w:top w:val="single" w:color="000000" w:sz="8" w:space="0"/>
              <w:left w:val="nil"/>
              <w:bottom w:val="nil"/>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道路　</w:t>
            </w:r>
          </w:p>
        </w:tc>
        <w:tc>
          <w:tcPr>
            <w:tcW w:w="550" w:type="dxa"/>
            <w:tcBorders>
              <w:top w:val="single" w:color="000000" w:sz="8" w:space="0"/>
              <w:left w:val="nil"/>
              <w:bottom w:val="nil"/>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建成</w:t>
            </w:r>
          </w:p>
        </w:tc>
        <w:tc>
          <w:tcPr>
            <w:tcW w:w="716"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路长</w:t>
            </w:r>
          </w:p>
        </w:tc>
        <w:tc>
          <w:tcPr>
            <w:tcW w:w="784"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平石</w:t>
            </w:r>
          </w:p>
        </w:tc>
        <w:tc>
          <w:tcPr>
            <w:tcW w:w="900"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侧石</w:t>
            </w:r>
          </w:p>
        </w:tc>
        <w:tc>
          <w:tcPr>
            <w:tcW w:w="2911"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断面</w:t>
            </w:r>
          </w:p>
        </w:tc>
        <w:tc>
          <w:tcPr>
            <w:tcW w:w="754" w:type="dxa"/>
            <w:tcBorders>
              <w:top w:val="single" w:color="000000" w:sz="8" w:space="0"/>
              <w:left w:val="nil"/>
              <w:bottom w:val="nil"/>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道路面积</w:t>
            </w:r>
          </w:p>
        </w:tc>
        <w:tc>
          <w:tcPr>
            <w:tcW w:w="2051" w:type="dxa"/>
            <w:gridSpan w:val="2"/>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其中</w:t>
            </w:r>
          </w:p>
        </w:tc>
        <w:tc>
          <w:tcPr>
            <w:tcW w:w="3867" w:type="dxa"/>
            <w:gridSpan w:val="3"/>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道路结构</w:t>
            </w:r>
          </w:p>
        </w:tc>
        <w:tc>
          <w:tcPr>
            <w:tcW w:w="833" w:type="dxa"/>
            <w:vMerge w:val="restart"/>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随路桥梁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375"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c>
          <w:tcPr>
            <w:tcW w:w="809" w:type="dxa"/>
            <w:vMerge w:val="continue"/>
            <w:tcBorders>
              <w:top w:val="single" w:color="000000" w:sz="8" w:space="0"/>
              <w:left w:val="nil"/>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c>
          <w:tcPr>
            <w:tcW w:w="600" w:type="dxa"/>
            <w:vMerge w:val="continue"/>
            <w:tcBorders>
              <w:top w:val="single" w:color="000000" w:sz="8" w:space="0"/>
              <w:left w:val="nil"/>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c>
          <w:tcPr>
            <w:tcW w:w="700"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等级</w:t>
            </w:r>
          </w:p>
        </w:tc>
        <w:tc>
          <w:tcPr>
            <w:tcW w:w="550" w:type="dxa"/>
            <w:tcBorders>
              <w:top w:val="single" w:color="000000" w:sz="8" w:space="0"/>
              <w:left w:val="nil"/>
              <w:bottom w:val="nil"/>
              <w:right w:val="single" w:color="000000" w:sz="8" w:space="0"/>
            </w:tcBorders>
            <w:noWrap w:val="0"/>
            <w:vAlign w:val="center"/>
          </w:tcPr>
          <w:p>
            <w:pPr>
              <w:jc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c>
          <w:tcPr>
            <w:tcW w:w="716" w:type="dxa"/>
            <w:tcBorders>
              <w:top w:val="nil"/>
              <w:left w:val="nil"/>
              <w:bottom w:val="nil"/>
              <w:right w:val="single" w:color="000000" w:sz="8" w:space="0"/>
            </w:tcBorders>
            <w:noWrap w:val="0"/>
            <w:vAlign w:val="center"/>
          </w:tcPr>
          <w:p>
            <w:pPr>
              <w:jc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c>
          <w:tcPr>
            <w:tcW w:w="784" w:type="dxa"/>
            <w:tcBorders>
              <w:top w:val="nil"/>
              <w:left w:val="nil"/>
              <w:bottom w:val="nil"/>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长度</w:t>
            </w:r>
          </w:p>
        </w:tc>
        <w:tc>
          <w:tcPr>
            <w:tcW w:w="90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长度</w:t>
            </w:r>
          </w:p>
        </w:tc>
        <w:tc>
          <w:tcPr>
            <w:tcW w:w="2911"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形式</w:t>
            </w:r>
          </w:p>
        </w:tc>
        <w:tc>
          <w:tcPr>
            <w:tcW w:w="754" w:type="dxa"/>
            <w:tcBorders>
              <w:top w:val="single" w:color="000000" w:sz="8" w:space="0"/>
              <w:left w:val="nil"/>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c>
          <w:tcPr>
            <w:tcW w:w="1001"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车行道</w:t>
            </w:r>
          </w:p>
        </w:tc>
        <w:tc>
          <w:tcPr>
            <w:tcW w:w="1050" w:type="dxa"/>
            <w:tcBorders>
              <w:top w:val="nil"/>
              <w:left w:val="single" w:color="000000" w:sz="8" w:space="0"/>
              <w:bottom w:val="nil"/>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人行道</w:t>
            </w:r>
          </w:p>
        </w:tc>
        <w:tc>
          <w:tcPr>
            <w:tcW w:w="1500" w:type="dxa"/>
            <w:vMerge w:val="restart"/>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快车道</w:t>
            </w:r>
          </w:p>
        </w:tc>
        <w:tc>
          <w:tcPr>
            <w:tcW w:w="1300" w:type="dxa"/>
            <w:vMerge w:val="restart"/>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慢车道</w:t>
            </w:r>
          </w:p>
        </w:tc>
        <w:tc>
          <w:tcPr>
            <w:tcW w:w="1067" w:type="dxa"/>
            <w:vMerge w:val="restart"/>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人行道</w:t>
            </w:r>
          </w:p>
        </w:tc>
        <w:tc>
          <w:tcPr>
            <w:tcW w:w="833" w:type="dxa"/>
            <w:vMerge w:val="continue"/>
            <w:tcBorders>
              <w:top w:val="single" w:color="000000" w:sz="8" w:space="0"/>
              <w:left w:val="nil"/>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375"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c>
          <w:tcPr>
            <w:tcW w:w="809" w:type="dxa"/>
            <w:vMerge w:val="continue"/>
            <w:tcBorders>
              <w:top w:val="single" w:color="000000" w:sz="8" w:space="0"/>
              <w:left w:val="nil"/>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c>
          <w:tcPr>
            <w:tcW w:w="600" w:type="dxa"/>
            <w:vMerge w:val="continue"/>
            <w:tcBorders>
              <w:top w:val="single" w:color="000000" w:sz="8" w:space="0"/>
              <w:left w:val="nil"/>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c>
          <w:tcPr>
            <w:tcW w:w="700" w:type="dxa"/>
            <w:tcBorders>
              <w:top w:val="nil"/>
              <w:left w:val="nil"/>
              <w:bottom w:val="single" w:color="000000" w:sz="8" w:space="0"/>
              <w:right w:val="single" w:color="000000" w:sz="8" w:space="0"/>
            </w:tcBorders>
            <w:noWrap/>
            <w:vAlign w:val="center"/>
          </w:tcPr>
          <w:p>
            <w:pPr>
              <w:jc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c>
          <w:tcPr>
            <w:tcW w:w="550"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年月</w:t>
            </w:r>
          </w:p>
        </w:tc>
        <w:tc>
          <w:tcPr>
            <w:tcW w:w="716"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(M)</w:t>
            </w:r>
          </w:p>
        </w:tc>
        <w:tc>
          <w:tcPr>
            <w:tcW w:w="784"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(M)</w:t>
            </w:r>
          </w:p>
        </w:tc>
        <w:tc>
          <w:tcPr>
            <w:tcW w:w="90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(M)</w:t>
            </w:r>
          </w:p>
        </w:tc>
        <w:tc>
          <w:tcPr>
            <w:tcW w:w="2911"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(M)</w:t>
            </w:r>
          </w:p>
        </w:tc>
        <w:tc>
          <w:tcPr>
            <w:tcW w:w="754"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(M2)</w:t>
            </w:r>
          </w:p>
        </w:tc>
        <w:tc>
          <w:tcPr>
            <w:tcW w:w="1001"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(M</w:t>
            </w:r>
            <w:r>
              <w:rPr>
                <w:rFonts w:hint="eastAsia" w:ascii="宋体" w:hAnsi="宋体" w:eastAsia="宋体" w:cs="宋体"/>
                <w:i w:val="0"/>
                <w:iCs w:val="0"/>
                <w:color w:val="000000" w:themeColor="text1"/>
                <w:kern w:val="0"/>
                <w:sz w:val="20"/>
                <w:szCs w:val="20"/>
                <w:highlight w:val="none"/>
                <w:u w:val="none"/>
                <w:vertAlign w:val="superscript"/>
                <w:lang w:val="en-US" w:eastAsia="zh-CN" w:bidi="ar"/>
                <w14:textFill>
                  <w14:solidFill>
                    <w14:schemeClr w14:val="tx1"/>
                  </w14:solidFill>
                </w14:textFill>
              </w:rPr>
              <w:t>2</w:t>
            </w: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w:t>
            </w:r>
          </w:p>
        </w:tc>
        <w:tc>
          <w:tcPr>
            <w:tcW w:w="1050"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(M</w:t>
            </w:r>
            <w:r>
              <w:rPr>
                <w:rFonts w:hint="eastAsia" w:ascii="宋体" w:hAnsi="宋体" w:eastAsia="宋体" w:cs="宋体"/>
                <w:i w:val="0"/>
                <w:iCs w:val="0"/>
                <w:color w:val="000000" w:themeColor="text1"/>
                <w:kern w:val="0"/>
                <w:sz w:val="20"/>
                <w:szCs w:val="20"/>
                <w:highlight w:val="none"/>
                <w:u w:val="none"/>
                <w:vertAlign w:val="superscript"/>
                <w:lang w:val="en-US" w:eastAsia="zh-CN" w:bidi="ar"/>
                <w14:textFill>
                  <w14:solidFill>
                    <w14:schemeClr w14:val="tx1"/>
                  </w14:solidFill>
                </w14:textFill>
              </w:rPr>
              <w:t>2</w:t>
            </w: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w:t>
            </w:r>
          </w:p>
        </w:tc>
        <w:tc>
          <w:tcPr>
            <w:tcW w:w="1500" w:type="dxa"/>
            <w:vMerge w:val="continue"/>
            <w:tcBorders>
              <w:top w:val="nil"/>
              <w:left w:val="nil"/>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c>
          <w:tcPr>
            <w:tcW w:w="1300" w:type="dxa"/>
            <w:vMerge w:val="continue"/>
            <w:tcBorders>
              <w:top w:val="nil"/>
              <w:left w:val="nil"/>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c>
          <w:tcPr>
            <w:tcW w:w="1067" w:type="dxa"/>
            <w:vMerge w:val="continue"/>
            <w:tcBorders>
              <w:top w:val="nil"/>
              <w:left w:val="nil"/>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c>
          <w:tcPr>
            <w:tcW w:w="833" w:type="dxa"/>
            <w:vMerge w:val="continue"/>
            <w:tcBorders>
              <w:top w:val="single" w:color="000000" w:sz="8" w:space="0"/>
              <w:left w:val="nil"/>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375"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w:t>
            </w:r>
          </w:p>
        </w:tc>
        <w:tc>
          <w:tcPr>
            <w:tcW w:w="809"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长浜南路</w:t>
            </w:r>
          </w:p>
        </w:tc>
        <w:tc>
          <w:tcPr>
            <w:tcW w:w="60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长岳街-茂德巷</w:t>
            </w:r>
          </w:p>
        </w:tc>
        <w:tc>
          <w:tcPr>
            <w:tcW w:w="70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次干道</w:t>
            </w:r>
          </w:p>
        </w:tc>
        <w:tc>
          <w:tcPr>
            <w:tcW w:w="55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2015</w:t>
            </w:r>
          </w:p>
        </w:tc>
        <w:tc>
          <w:tcPr>
            <w:tcW w:w="716"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1170</w:t>
            </w:r>
          </w:p>
        </w:tc>
        <w:tc>
          <w:tcPr>
            <w:tcW w:w="784"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8400</w:t>
            </w:r>
          </w:p>
        </w:tc>
        <w:tc>
          <w:tcPr>
            <w:tcW w:w="90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8400</w:t>
            </w:r>
          </w:p>
        </w:tc>
        <w:tc>
          <w:tcPr>
            <w:tcW w:w="2911" w:type="dxa"/>
            <w:tcBorders>
              <w:top w:val="single" w:color="000000" w:sz="4" w:space="0"/>
              <w:left w:val="single" w:color="000000" w:sz="4" w:space="0"/>
              <w:bottom w:val="single" w:color="000000" w:sz="8"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3米（人行道）+3.5米（非机动车道）+1.5米（绿化带）+8.5米（机动车道）+3米（中央绿化带）+8.5米（机动车道）+1.5米（绿化带））+3.5米（非机动车道）+3米（人行道）</w:t>
            </w:r>
          </w:p>
        </w:tc>
        <w:tc>
          <w:tcPr>
            <w:tcW w:w="754"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35512</w:t>
            </w:r>
          </w:p>
        </w:tc>
        <w:tc>
          <w:tcPr>
            <w:tcW w:w="1001"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29492</w:t>
            </w:r>
          </w:p>
        </w:tc>
        <w:tc>
          <w:tcPr>
            <w:tcW w:w="105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6020</w:t>
            </w:r>
          </w:p>
        </w:tc>
        <w:tc>
          <w:tcPr>
            <w:tcW w:w="150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60cm塘渣+38cm5%水泥稳定碎石+玻纤土工格栅+7cmAC-25C型粗粒式沥青砼+5cmAC-20C型中粒式沥青砼+4cmAC-13C型SBS细粒式沥青砼</w:t>
            </w:r>
          </w:p>
        </w:tc>
        <w:tc>
          <w:tcPr>
            <w:tcW w:w="130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60cm塘渣+25cm5%水泥稳定碎石+玻纤土工格栅+6cmAC-20C型中粒式沥青砼+4cmAC-13C型SBS细粒式沥青砼</w:t>
            </w:r>
          </w:p>
        </w:tc>
        <w:tc>
          <w:tcPr>
            <w:tcW w:w="1067"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10cm碎石垫层+15cmC20水泥砼基层+2cmM10砂浆卧底+6cm仿石条纹步道石</w:t>
            </w:r>
          </w:p>
        </w:tc>
        <w:tc>
          <w:tcPr>
            <w:tcW w:w="833" w:type="dxa"/>
            <w:tcBorders>
              <w:top w:val="nil"/>
              <w:left w:val="nil"/>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375" w:type="dxa"/>
            <w:vMerge w:val="restart"/>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w:t>
            </w:r>
          </w:p>
        </w:tc>
        <w:tc>
          <w:tcPr>
            <w:tcW w:w="809" w:type="dxa"/>
            <w:vMerge w:val="restart"/>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长浜路</w:t>
            </w:r>
          </w:p>
        </w:tc>
        <w:tc>
          <w:tcPr>
            <w:tcW w:w="60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新天地街-沈家路</w:t>
            </w:r>
          </w:p>
        </w:tc>
        <w:tc>
          <w:tcPr>
            <w:tcW w:w="70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次干路</w:t>
            </w:r>
          </w:p>
        </w:tc>
        <w:tc>
          <w:tcPr>
            <w:tcW w:w="55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2014</w:t>
            </w:r>
          </w:p>
        </w:tc>
        <w:tc>
          <w:tcPr>
            <w:tcW w:w="716"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640</w:t>
            </w:r>
          </w:p>
        </w:tc>
        <w:tc>
          <w:tcPr>
            <w:tcW w:w="784"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4491.6</w:t>
            </w:r>
          </w:p>
        </w:tc>
        <w:tc>
          <w:tcPr>
            <w:tcW w:w="90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6029.7</w:t>
            </w:r>
          </w:p>
        </w:tc>
        <w:tc>
          <w:tcPr>
            <w:tcW w:w="2911" w:type="dxa"/>
            <w:tcBorders>
              <w:top w:val="nil"/>
              <w:left w:val="single" w:color="000000" w:sz="4" w:space="0"/>
              <w:bottom w:val="nil"/>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4m人行道+3.5m非机动车道+1.5m机非隔离带+7.5m机动车道+3m中央隔离)+7.5机动车道1.5m机非隔离带+3.5m非机动车道+4.5m人行道</w:t>
            </w:r>
          </w:p>
        </w:tc>
        <w:tc>
          <w:tcPr>
            <w:tcW w:w="754"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20234</w:t>
            </w:r>
          </w:p>
        </w:tc>
        <w:tc>
          <w:tcPr>
            <w:tcW w:w="1001"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16510.8</w:t>
            </w:r>
          </w:p>
        </w:tc>
        <w:tc>
          <w:tcPr>
            <w:tcW w:w="105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3723.1</w:t>
            </w:r>
          </w:p>
        </w:tc>
        <w:tc>
          <w:tcPr>
            <w:tcW w:w="150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4㎝AC-13CSBS改性沥青砼+乳化沥青粘层（pc-3）+5cmAC20C型中粒式沥青砼+玻纤土工格栅+乳化沥青粘层（PC-3）+7㎝AC25C型粗粒式沥青砼+乳化沥青透层（PC-2)+38cm粉煤灰三渣+30cm塘渣</w:t>
            </w:r>
          </w:p>
        </w:tc>
        <w:tc>
          <w:tcPr>
            <w:tcW w:w="130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4㎝AC-13CSBS改性沥青砼+乳化沥青粘层（pc-3）+5㎝AC20C型中粒式沥青砼+乳化沥青透层（PC-2)+30cm粉煤灰三渣+20cm塘渣</w:t>
            </w:r>
          </w:p>
        </w:tc>
        <w:tc>
          <w:tcPr>
            <w:tcW w:w="1067"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6cm仿石条纹砖+2cmM10砂浆卧底+15cmC20砼，总厚度23cm</w:t>
            </w:r>
          </w:p>
        </w:tc>
        <w:tc>
          <w:tcPr>
            <w:tcW w:w="833"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沈北桥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375" w:type="dxa"/>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c>
          <w:tcPr>
            <w:tcW w:w="809" w:type="dxa"/>
            <w:vMerge w:val="continue"/>
            <w:tcBorders>
              <w:top w:val="nil"/>
              <w:left w:val="nil"/>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c>
          <w:tcPr>
            <w:tcW w:w="60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石祥路-新天地街</w:t>
            </w:r>
          </w:p>
        </w:tc>
        <w:tc>
          <w:tcPr>
            <w:tcW w:w="70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次干路</w:t>
            </w:r>
          </w:p>
        </w:tc>
        <w:tc>
          <w:tcPr>
            <w:tcW w:w="55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2010</w:t>
            </w:r>
          </w:p>
        </w:tc>
        <w:tc>
          <w:tcPr>
            <w:tcW w:w="716"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670</w:t>
            </w:r>
          </w:p>
        </w:tc>
        <w:tc>
          <w:tcPr>
            <w:tcW w:w="784"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4582.7</w:t>
            </w:r>
          </w:p>
        </w:tc>
        <w:tc>
          <w:tcPr>
            <w:tcW w:w="90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5781.2</w:t>
            </w:r>
          </w:p>
        </w:tc>
        <w:tc>
          <w:tcPr>
            <w:tcW w:w="2911" w:type="dxa"/>
            <w:tcBorders>
              <w:top w:val="single" w:color="000000" w:sz="8" w:space="0"/>
              <w:left w:val="single" w:color="000000" w:sz="4" w:space="0"/>
              <w:bottom w:val="nil"/>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（4人-3.5非-1.5隔-7.5机-3m中央）*2</w:t>
            </w:r>
          </w:p>
        </w:tc>
        <w:tc>
          <w:tcPr>
            <w:tcW w:w="754"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23835</w:t>
            </w:r>
          </w:p>
        </w:tc>
        <w:tc>
          <w:tcPr>
            <w:tcW w:w="1001"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19760</w:t>
            </w:r>
          </w:p>
        </w:tc>
        <w:tc>
          <w:tcPr>
            <w:tcW w:w="105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4075</w:t>
            </w:r>
          </w:p>
        </w:tc>
        <w:tc>
          <w:tcPr>
            <w:tcW w:w="150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60cm塘渣+38cm三渣+7cm粗粒式+5cm中粒式沥青+3cm细粒式</w:t>
            </w:r>
          </w:p>
        </w:tc>
        <w:tc>
          <w:tcPr>
            <w:tcW w:w="1300" w:type="dxa"/>
            <w:tcBorders>
              <w:top w:val="nil"/>
              <w:left w:val="nil"/>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c>
          <w:tcPr>
            <w:tcW w:w="1067"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15cmC20砼+2cmM10水泥砂浆+6cmC25透水砖道板</w:t>
            </w:r>
          </w:p>
        </w:tc>
        <w:tc>
          <w:tcPr>
            <w:tcW w:w="833"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无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375" w:type="dxa"/>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c>
          <w:tcPr>
            <w:tcW w:w="809" w:type="dxa"/>
            <w:vMerge w:val="continue"/>
            <w:tcBorders>
              <w:top w:val="nil"/>
              <w:left w:val="nil"/>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c>
          <w:tcPr>
            <w:tcW w:w="60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瑞银街-石祥路</w:t>
            </w:r>
          </w:p>
        </w:tc>
        <w:tc>
          <w:tcPr>
            <w:tcW w:w="70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次干路</w:t>
            </w:r>
          </w:p>
        </w:tc>
        <w:tc>
          <w:tcPr>
            <w:tcW w:w="55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2016</w:t>
            </w:r>
          </w:p>
        </w:tc>
        <w:tc>
          <w:tcPr>
            <w:tcW w:w="716"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226.68</w:t>
            </w:r>
          </w:p>
        </w:tc>
        <w:tc>
          <w:tcPr>
            <w:tcW w:w="784"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1385</w:t>
            </w:r>
          </w:p>
        </w:tc>
        <w:tc>
          <w:tcPr>
            <w:tcW w:w="90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1846</w:t>
            </w:r>
          </w:p>
        </w:tc>
        <w:tc>
          <w:tcPr>
            <w:tcW w:w="2911" w:type="dxa"/>
            <w:tcBorders>
              <w:top w:val="single" w:color="000000" w:sz="8" w:space="0"/>
              <w:left w:val="single" w:color="000000" w:sz="4" w:space="0"/>
              <w:bottom w:val="single" w:color="000000" w:sz="8"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3.5m人行道+3.5m非机动车道+1m绿化带+10m机动车道+1.5m中央绿化带+10.5m机动车道+1.5m绿化带+3.5m非机动车道+4m人行道</w:t>
            </w:r>
          </w:p>
        </w:tc>
        <w:tc>
          <w:tcPr>
            <w:tcW w:w="754"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8925</w:t>
            </w:r>
          </w:p>
        </w:tc>
        <w:tc>
          <w:tcPr>
            <w:tcW w:w="1001"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7230</w:t>
            </w:r>
          </w:p>
        </w:tc>
        <w:tc>
          <w:tcPr>
            <w:tcW w:w="105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1695</w:t>
            </w:r>
          </w:p>
        </w:tc>
        <w:tc>
          <w:tcPr>
            <w:tcW w:w="150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18cm沥青+55cm水泥稳定层+80cm塘渣</w:t>
            </w:r>
          </w:p>
        </w:tc>
        <w:tc>
          <w:tcPr>
            <w:tcW w:w="130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10cm沥青+30cm水泥稳定层+50cm塘渣</w:t>
            </w:r>
          </w:p>
        </w:tc>
        <w:tc>
          <w:tcPr>
            <w:tcW w:w="1067"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6cm花岗岩+20cm混凝土</w:t>
            </w:r>
          </w:p>
        </w:tc>
        <w:tc>
          <w:tcPr>
            <w:tcW w:w="833"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375" w:type="dxa"/>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c>
          <w:tcPr>
            <w:tcW w:w="809" w:type="dxa"/>
            <w:vMerge w:val="continue"/>
            <w:tcBorders>
              <w:top w:val="nil"/>
              <w:left w:val="nil"/>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c>
          <w:tcPr>
            <w:tcW w:w="60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德胜路-沈家路</w:t>
            </w:r>
          </w:p>
        </w:tc>
        <w:tc>
          <w:tcPr>
            <w:tcW w:w="70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次干路</w:t>
            </w:r>
          </w:p>
        </w:tc>
        <w:tc>
          <w:tcPr>
            <w:tcW w:w="55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2019</w:t>
            </w:r>
          </w:p>
        </w:tc>
        <w:tc>
          <w:tcPr>
            <w:tcW w:w="716"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1332</w:t>
            </w:r>
          </w:p>
        </w:tc>
        <w:tc>
          <w:tcPr>
            <w:tcW w:w="784"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9019</w:t>
            </w:r>
          </w:p>
        </w:tc>
        <w:tc>
          <w:tcPr>
            <w:tcW w:w="90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10139</w:t>
            </w:r>
          </w:p>
        </w:tc>
        <w:tc>
          <w:tcPr>
            <w:tcW w:w="2911" w:type="dxa"/>
            <w:tcBorders>
              <w:top w:val="nil"/>
              <w:left w:val="single" w:color="000000" w:sz="4"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3m(人)+3.5m(非)+1.5m(隔)+8.5m(机)+3m(中央隔)+8.5(机)+1.5m(隔)+3.5m(非)+3m(人)=36m</w:t>
            </w:r>
          </w:p>
        </w:tc>
        <w:tc>
          <w:tcPr>
            <w:tcW w:w="754"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41278</w:t>
            </w:r>
          </w:p>
        </w:tc>
        <w:tc>
          <w:tcPr>
            <w:tcW w:w="1001"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34086</w:t>
            </w:r>
          </w:p>
        </w:tc>
        <w:tc>
          <w:tcPr>
            <w:tcW w:w="105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7192</w:t>
            </w:r>
          </w:p>
        </w:tc>
        <w:tc>
          <w:tcPr>
            <w:tcW w:w="150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4cm细粒式SBS改性沥青混凝土AC-13C+5cm中粒式沥青混凝土AC-20C+7cm粗粒式沥青混凝土AC-25C+18cm5%水泥稳定碎石+16cm5%水泥稳定碎石+16cm5%水泥稳定碎石+30cm塘渣=96cm</w:t>
            </w:r>
          </w:p>
        </w:tc>
        <w:tc>
          <w:tcPr>
            <w:tcW w:w="130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4cm细粒式SBS改性沥青混凝土AC-13C+6cm中粒式沥青混凝土AC-20C+20cm厚5%水泥稳定碎石+20cm塘渣=50cm</w:t>
            </w:r>
          </w:p>
        </w:tc>
        <w:tc>
          <w:tcPr>
            <w:tcW w:w="106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6cmC30仿石条文砖+3cmM30水泥砂浆卧底+15cmC35水泥混凝土+20cm塘渣垫层=48cm</w:t>
            </w:r>
          </w:p>
        </w:tc>
        <w:tc>
          <w:tcPr>
            <w:tcW w:w="833"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便桥、庙桥港桥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375" w:type="dxa"/>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c>
          <w:tcPr>
            <w:tcW w:w="809" w:type="dxa"/>
            <w:vMerge w:val="continue"/>
            <w:tcBorders>
              <w:top w:val="nil"/>
              <w:left w:val="nil"/>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c>
          <w:tcPr>
            <w:tcW w:w="60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东新路-瑞银街</w:t>
            </w:r>
          </w:p>
        </w:tc>
        <w:tc>
          <w:tcPr>
            <w:tcW w:w="70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次干路</w:t>
            </w:r>
          </w:p>
        </w:tc>
        <w:tc>
          <w:tcPr>
            <w:tcW w:w="55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2022</w:t>
            </w:r>
          </w:p>
        </w:tc>
        <w:tc>
          <w:tcPr>
            <w:tcW w:w="716"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327</w:t>
            </w:r>
          </w:p>
        </w:tc>
        <w:tc>
          <w:tcPr>
            <w:tcW w:w="784"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2616</w:t>
            </w:r>
          </w:p>
        </w:tc>
        <w:tc>
          <w:tcPr>
            <w:tcW w:w="90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2616</w:t>
            </w:r>
          </w:p>
        </w:tc>
        <w:tc>
          <w:tcPr>
            <w:tcW w:w="2911" w:type="dxa"/>
            <w:tcBorders>
              <w:top w:val="nil"/>
              <w:left w:val="single" w:color="000000" w:sz="4"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4人+3.5非+1.5绿+7.5机+3绿+7.5机+1.5绿+3.5非+4人</w:t>
            </w:r>
          </w:p>
        </w:tc>
        <w:tc>
          <w:tcPr>
            <w:tcW w:w="754"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10451</w:t>
            </w:r>
          </w:p>
        </w:tc>
        <w:tc>
          <w:tcPr>
            <w:tcW w:w="1001"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8197</w:t>
            </w:r>
          </w:p>
        </w:tc>
        <w:tc>
          <w:tcPr>
            <w:tcW w:w="105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2254</w:t>
            </w:r>
          </w:p>
        </w:tc>
        <w:tc>
          <w:tcPr>
            <w:tcW w:w="150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5cmSMA-13沥青马蹄脂碎石+6cmAC-20C中粒式沥青+7cmAC-25C型粗粒式沥青+40cm5%水泥稳定碎石层+15cm级配碎石+80cm塘渣路基</w:t>
            </w:r>
          </w:p>
        </w:tc>
        <w:tc>
          <w:tcPr>
            <w:tcW w:w="130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4cmSMA-13细粒式SBS改性沥青砼+6cmAC-20C中粒式沥青+30cm5%水泥稳定碎石层+15cm级配碎石+50cm塘渣路基</w:t>
            </w:r>
          </w:p>
        </w:tc>
        <w:tc>
          <w:tcPr>
            <w:tcW w:w="106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6cm仿石透水砖+2cmM10砂+20cmC20透水混凝土基层浆+15cm级配碎+30cm塘渣路基</w:t>
            </w:r>
          </w:p>
        </w:tc>
        <w:tc>
          <w:tcPr>
            <w:tcW w:w="83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甘石桥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37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w:t>
            </w:r>
          </w:p>
        </w:tc>
        <w:tc>
          <w:tcPr>
            <w:tcW w:w="809"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香积寺东路</w:t>
            </w:r>
          </w:p>
        </w:tc>
        <w:tc>
          <w:tcPr>
            <w:tcW w:w="60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东新路-长浜河</w:t>
            </w:r>
          </w:p>
        </w:tc>
        <w:tc>
          <w:tcPr>
            <w:tcW w:w="70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次干路</w:t>
            </w:r>
          </w:p>
        </w:tc>
        <w:tc>
          <w:tcPr>
            <w:tcW w:w="55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2003</w:t>
            </w:r>
          </w:p>
        </w:tc>
        <w:tc>
          <w:tcPr>
            <w:tcW w:w="716"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920</w:t>
            </w:r>
          </w:p>
        </w:tc>
        <w:tc>
          <w:tcPr>
            <w:tcW w:w="784"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1840</w:t>
            </w:r>
          </w:p>
        </w:tc>
        <w:tc>
          <w:tcPr>
            <w:tcW w:w="90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1840</w:t>
            </w:r>
          </w:p>
        </w:tc>
        <w:tc>
          <w:tcPr>
            <w:tcW w:w="2911" w:type="dxa"/>
            <w:tcBorders>
              <w:top w:val="nil"/>
              <w:left w:val="single" w:color="000000" w:sz="4" w:space="0"/>
              <w:bottom w:val="nil"/>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4(人)-16(车)-4(人)</w:t>
            </w:r>
          </w:p>
        </w:tc>
        <w:tc>
          <w:tcPr>
            <w:tcW w:w="754"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22080</w:t>
            </w:r>
          </w:p>
        </w:tc>
        <w:tc>
          <w:tcPr>
            <w:tcW w:w="1001"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14720</w:t>
            </w:r>
          </w:p>
        </w:tc>
        <w:tc>
          <w:tcPr>
            <w:tcW w:w="105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7360</w:t>
            </w:r>
          </w:p>
        </w:tc>
        <w:tc>
          <w:tcPr>
            <w:tcW w:w="150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30cm塘渣+30cm粉煤灰三渣+7cmAC-25I粗沥青砼+3cmAC-13I型细沥青砼</w:t>
            </w:r>
          </w:p>
        </w:tc>
        <w:tc>
          <w:tcPr>
            <w:tcW w:w="130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30cm塘渣+30cm粉煤灰三渣+7cmAC-25I粗沥青砼+3cmAC-13I型细沥青砼</w:t>
            </w:r>
          </w:p>
        </w:tc>
        <w:tc>
          <w:tcPr>
            <w:tcW w:w="1067"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15cm粉煤灰三渣+2cmM10砂浆卧底+6cm普通人行道板</w:t>
            </w:r>
          </w:p>
        </w:tc>
        <w:tc>
          <w:tcPr>
            <w:tcW w:w="833"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颜家港桥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375"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4</w:t>
            </w:r>
          </w:p>
        </w:tc>
        <w:tc>
          <w:tcPr>
            <w:tcW w:w="809"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香积寺路</w:t>
            </w:r>
          </w:p>
        </w:tc>
        <w:tc>
          <w:tcPr>
            <w:tcW w:w="60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东新路-上塘河桥</w:t>
            </w:r>
          </w:p>
        </w:tc>
        <w:tc>
          <w:tcPr>
            <w:tcW w:w="70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次干路</w:t>
            </w:r>
          </w:p>
        </w:tc>
        <w:tc>
          <w:tcPr>
            <w:tcW w:w="55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1997</w:t>
            </w:r>
          </w:p>
        </w:tc>
        <w:tc>
          <w:tcPr>
            <w:tcW w:w="716"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1503</w:t>
            </w:r>
          </w:p>
        </w:tc>
        <w:tc>
          <w:tcPr>
            <w:tcW w:w="784"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3006</w:t>
            </w:r>
          </w:p>
        </w:tc>
        <w:tc>
          <w:tcPr>
            <w:tcW w:w="90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3006</w:t>
            </w:r>
          </w:p>
        </w:tc>
        <w:tc>
          <w:tcPr>
            <w:tcW w:w="2911" w:type="dxa"/>
            <w:tcBorders>
              <w:top w:val="single" w:color="000000" w:sz="8" w:space="0"/>
              <w:left w:val="single" w:color="000000" w:sz="4"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4(人)-22(车)-4(人)/350M</w:t>
            </w:r>
          </w:p>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6(人)-18(车)-6(人)/1153M</w:t>
            </w:r>
          </w:p>
        </w:tc>
        <w:tc>
          <w:tcPr>
            <w:tcW w:w="754"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45090</w:t>
            </w:r>
          </w:p>
        </w:tc>
        <w:tc>
          <w:tcPr>
            <w:tcW w:w="1001"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28454</w:t>
            </w:r>
          </w:p>
        </w:tc>
        <w:tc>
          <w:tcPr>
            <w:tcW w:w="105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16636</w:t>
            </w:r>
          </w:p>
        </w:tc>
        <w:tc>
          <w:tcPr>
            <w:tcW w:w="150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15cm塘渣+30cm三渣基层+7cm粗沥青+5cm中沥青+3cm细沥青</w:t>
            </w:r>
          </w:p>
        </w:tc>
        <w:tc>
          <w:tcPr>
            <w:tcW w:w="1300" w:type="dxa"/>
            <w:tcBorders>
              <w:top w:val="nil"/>
              <w:left w:val="nil"/>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c>
          <w:tcPr>
            <w:tcW w:w="1067"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15cm三渣+2cmM10砂浆+5cm普通道板</w:t>
            </w:r>
          </w:p>
        </w:tc>
        <w:tc>
          <w:tcPr>
            <w:tcW w:w="833"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农灌渠桥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37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5</w:t>
            </w:r>
          </w:p>
        </w:tc>
        <w:tc>
          <w:tcPr>
            <w:tcW w:w="809"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白石巷</w:t>
            </w:r>
          </w:p>
        </w:tc>
        <w:tc>
          <w:tcPr>
            <w:tcW w:w="60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香积寺路向北折东至杭钢市场</w:t>
            </w:r>
          </w:p>
        </w:tc>
        <w:tc>
          <w:tcPr>
            <w:tcW w:w="70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次干路</w:t>
            </w:r>
          </w:p>
        </w:tc>
        <w:tc>
          <w:tcPr>
            <w:tcW w:w="55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2006</w:t>
            </w:r>
          </w:p>
        </w:tc>
        <w:tc>
          <w:tcPr>
            <w:tcW w:w="716"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1651</w:t>
            </w:r>
          </w:p>
        </w:tc>
        <w:tc>
          <w:tcPr>
            <w:tcW w:w="784"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5804</w:t>
            </w:r>
          </w:p>
        </w:tc>
        <w:tc>
          <w:tcPr>
            <w:tcW w:w="90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5804</w:t>
            </w:r>
          </w:p>
        </w:tc>
        <w:tc>
          <w:tcPr>
            <w:tcW w:w="2911" w:type="dxa"/>
            <w:tcBorders>
              <w:top w:val="nil"/>
              <w:left w:val="single" w:color="000000" w:sz="4" w:space="0"/>
              <w:bottom w:val="nil"/>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人4-车10.5-隔3-车10.5-人4</w:t>
            </w:r>
          </w:p>
        </w:tc>
        <w:tc>
          <w:tcPr>
            <w:tcW w:w="754"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51322</w:t>
            </w:r>
          </w:p>
        </w:tc>
        <w:tc>
          <w:tcPr>
            <w:tcW w:w="1001"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39800</w:t>
            </w:r>
          </w:p>
        </w:tc>
        <w:tc>
          <w:tcPr>
            <w:tcW w:w="105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11522</w:t>
            </w:r>
          </w:p>
        </w:tc>
        <w:tc>
          <w:tcPr>
            <w:tcW w:w="150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50cm塘渣+30cm三渣+（7+5+3）cm沥青砼</w:t>
            </w:r>
          </w:p>
        </w:tc>
        <w:tc>
          <w:tcPr>
            <w:tcW w:w="1300" w:type="dxa"/>
            <w:tcBorders>
              <w:top w:val="nil"/>
              <w:left w:val="nil"/>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c>
          <w:tcPr>
            <w:tcW w:w="1067"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20cm塘渣+15cm三渣+20cmM10砂浆+5cm粉色道板</w:t>
            </w:r>
          </w:p>
        </w:tc>
        <w:tc>
          <w:tcPr>
            <w:tcW w:w="833"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西湖漾河桥、杜家河桥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020" w:hRule="atLeast"/>
        </w:trPr>
        <w:tc>
          <w:tcPr>
            <w:tcW w:w="375"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c>
          <w:tcPr>
            <w:tcW w:w="809"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c>
          <w:tcPr>
            <w:tcW w:w="60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杭钢市场-东新路</w:t>
            </w:r>
          </w:p>
        </w:tc>
        <w:tc>
          <w:tcPr>
            <w:tcW w:w="70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次干路</w:t>
            </w:r>
          </w:p>
        </w:tc>
        <w:tc>
          <w:tcPr>
            <w:tcW w:w="55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2018</w:t>
            </w:r>
          </w:p>
        </w:tc>
        <w:tc>
          <w:tcPr>
            <w:tcW w:w="716"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443.18</w:t>
            </w:r>
          </w:p>
        </w:tc>
        <w:tc>
          <w:tcPr>
            <w:tcW w:w="784"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2963</w:t>
            </w:r>
          </w:p>
        </w:tc>
        <w:tc>
          <w:tcPr>
            <w:tcW w:w="90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2402</w:t>
            </w:r>
          </w:p>
        </w:tc>
        <w:tc>
          <w:tcPr>
            <w:tcW w:w="2911" w:type="dxa"/>
            <w:tcBorders>
              <w:top w:val="single" w:color="000000" w:sz="8" w:space="0"/>
              <w:left w:val="single" w:color="000000" w:sz="4" w:space="0"/>
              <w:bottom w:val="nil"/>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4m(人)+10.5m(机)+3m(隔)+10.5m(机)+4m(人)</w:t>
            </w:r>
          </w:p>
        </w:tc>
        <w:tc>
          <w:tcPr>
            <w:tcW w:w="754"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12852</w:t>
            </w:r>
          </w:p>
        </w:tc>
        <w:tc>
          <w:tcPr>
            <w:tcW w:w="1001"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9306.78</w:t>
            </w:r>
          </w:p>
        </w:tc>
        <w:tc>
          <w:tcPr>
            <w:tcW w:w="105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3545.44</w:t>
            </w:r>
          </w:p>
        </w:tc>
        <w:tc>
          <w:tcPr>
            <w:tcW w:w="150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4cmAC-13C细粒式SBS改性沥青混凝土+5cm厚AC-20C中粒式沥青混凝土+7cm厚AC-25C粗粒式沥青混凝土+0.6cm稀浆封层+20cm厚5%水泥稳定碎石+20cm4%水泥稳定碎石+50cm宕渣垫层=106.6cm</w:t>
            </w:r>
          </w:p>
        </w:tc>
        <w:tc>
          <w:tcPr>
            <w:tcW w:w="1300"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c>
          <w:tcPr>
            <w:tcW w:w="106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6cm透水砖（舒布洛克砖）+3cm粗砂干拌+20cmC20透水混凝土+15cm级配碎石+30cm宕渣垫层=74cm</w:t>
            </w:r>
          </w:p>
        </w:tc>
        <w:tc>
          <w:tcPr>
            <w:tcW w:w="833" w:type="dxa"/>
            <w:tcBorders>
              <w:top w:val="nil"/>
              <w:left w:val="nil"/>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375"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6</w:t>
            </w:r>
          </w:p>
        </w:tc>
        <w:tc>
          <w:tcPr>
            <w:tcW w:w="809"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东新路</w:t>
            </w:r>
          </w:p>
        </w:tc>
        <w:tc>
          <w:tcPr>
            <w:tcW w:w="60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文晖路-石祥路</w:t>
            </w:r>
          </w:p>
        </w:tc>
        <w:tc>
          <w:tcPr>
            <w:tcW w:w="70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主干路</w:t>
            </w:r>
          </w:p>
        </w:tc>
        <w:tc>
          <w:tcPr>
            <w:tcW w:w="55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2001</w:t>
            </w:r>
          </w:p>
        </w:tc>
        <w:tc>
          <w:tcPr>
            <w:tcW w:w="716"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4950</w:t>
            </w:r>
          </w:p>
        </w:tc>
        <w:tc>
          <w:tcPr>
            <w:tcW w:w="784"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36326</w:t>
            </w:r>
          </w:p>
        </w:tc>
        <w:tc>
          <w:tcPr>
            <w:tcW w:w="90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46626</w:t>
            </w:r>
          </w:p>
        </w:tc>
        <w:tc>
          <w:tcPr>
            <w:tcW w:w="2911" w:type="dxa"/>
            <w:tcBorders>
              <w:top w:val="single" w:color="000000" w:sz="8" w:space="0"/>
              <w:left w:val="single" w:color="000000" w:sz="4"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3人+3.5非+1.5隔+10.5机+3隔+10.5机+1.5隔+3.5非+3人</w:t>
            </w:r>
          </w:p>
        </w:tc>
        <w:tc>
          <w:tcPr>
            <w:tcW w:w="754"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204942</w:t>
            </w:r>
          </w:p>
        </w:tc>
        <w:tc>
          <w:tcPr>
            <w:tcW w:w="1001"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174594</w:t>
            </w:r>
          </w:p>
        </w:tc>
        <w:tc>
          <w:tcPr>
            <w:tcW w:w="105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30348</w:t>
            </w:r>
          </w:p>
        </w:tc>
        <w:tc>
          <w:tcPr>
            <w:tcW w:w="150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4cm细粒式SBS改性沥青玛蹄脂碎石（SMA-13）+5cm中粒式沥青砼（AC-20C）+7cm粗粒式沥青砼（AC-25C）+22cm6%水泥稳定碎石+23cm4%水泥稳定碎石+30cm级配碎石</w:t>
            </w:r>
          </w:p>
        </w:tc>
        <w:tc>
          <w:tcPr>
            <w:tcW w:w="130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4cm细粒式SBS改性沥青玛蹄脂碎石（SMA-13）+8cm粗粒式沥青砼（AC-25C）+15cm6%水泥稳定碎石+15cm4%水泥稳定碎石+30cm级配碎石</w:t>
            </w:r>
          </w:p>
        </w:tc>
        <w:tc>
          <w:tcPr>
            <w:tcW w:w="106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5.5cm陶瓷压密透水砖+3cm干硬性水泥砂浆+15cmC20无砂大孔混凝土+40cm级配碎石</w:t>
            </w:r>
          </w:p>
        </w:tc>
        <w:tc>
          <w:tcPr>
            <w:tcW w:w="833"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通胜桥、备塘河桥、六塘汶漾桥、杜家港桥、颜家漾桥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375"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7</w:t>
            </w:r>
          </w:p>
        </w:tc>
        <w:tc>
          <w:tcPr>
            <w:tcW w:w="809"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东新路延伸段</w:t>
            </w:r>
          </w:p>
        </w:tc>
        <w:tc>
          <w:tcPr>
            <w:tcW w:w="60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石祥路-石桥路</w:t>
            </w:r>
          </w:p>
        </w:tc>
        <w:tc>
          <w:tcPr>
            <w:tcW w:w="70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主干路</w:t>
            </w:r>
          </w:p>
        </w:tc>
        <w:tc>
          <w:tcPr>
            <w:tcW w:w="55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2007</w:t>
            </w:r>
          </w:p>
        </w:tc>
        <w:tc>
          <w:tcPr>
            <w:tcW w:w="716"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2980</w:t>
            </w:r>
          </w:p>
        </w:tc>
        <w:tc>
          <w:tcPr>
            <w:tcW w:w="784"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17416</w:t>
            </w:r>
          </w:p>
        </w:tc>
        <w:tc>
          <w:tcPr>
            <w:tcW w:w="90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22645</w:t>
            </w:r>
          </w:p>
        </w:tc>
        <w:tc>
          <w:tcPr>
            <w:tcW w:w="2911" w:type="dxa"/>
            <w:tcBorders>
              <w:top w:val="nil"/>
              <w:left w:val="single" w:color="000000" w:sz="4" w:space="0"/>
              <w:bottom w:val="nil"/>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2.7人+2.75非+1.3隔+10.25机+2隔+10.25机+1.3隔+2.75非+2.7人</w:t>
            </w:r>
          </w:p>
        </w:tc>
        <w:tc>
          <w:tcPr>
            <w:tcW w:w="754"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95297</w:t>
            </w:r>
          </w:p>
        </w:tc>
        <w:tc>
          <w:tcPr>
            <w:tcW w:w="1001"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78529</w:t>
            </w:r>
          </w:p>
        </w:tc>
        <w:tc>
          <w:tcPr>
            <w:tcW w:w="105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16768</w:t>
            </w:r>
          </w:p>
        </w:tc>
        <w:tc>
          <w:tcPr>
            <w:tcW w:w="1500" w:type="dxa"/>
            <w:tcBorders>
              <w:top w:val="single" w:color="000000" w:sz="8" w:space="0"/>
              <w:left w:val="single" w:color="000000" w:sz="8" w:space="0"/>
              <w:bottom w:val="single" w:color="000000" w:sz="8"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4cm细粒式SBS改性沥青玛蹄脂碎石（SMA-13）+5cm中粒式沥青砼（AC-20C）+7cm粗粒式沥青砼（AC-25C）+22cm6%水泥稳定碎石+23cm4%水泥稳定碎石+30cm级配碎石</w:t>
            </w:r>
          </w:p>
        </w:tc>
        <w:tc>
          <w:tcPr>
            <w:tcW w:w="130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4cm细粒式SBS改性沥青玛蹄脂碎石（SMA-13）+8cm粗粒式沥青砼（AC-25C）+15cm6%水泥稳定碎石+15cm4%水泥稳定碎石+30cm级配碎石</w:t>
            </w:r>
          </w:p>
        </w:tc>
        <w:tc>
          <w:tcPr>
            <w:tcW w:w="106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5.5cm陶瓷压密透水砖+3cm干硬性水泥砂浆+15cmC20无砂大孔混凝土+40cm级配碎石</w:t>
            </w:r>
          </w:p>
        </w:tc>
        <w:tc>
          <w:tcPr>
            <w:tcW w:w="833"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回龙港桥、安桥港桥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37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8</w:t>
            </w:r>
          </w:p>
        </w:tc>
        <w:tc>
          <w:tcPr>
            <w:tcW w:w="809"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西文街</w:t>
            </w:r>
          </w:p>
        </w:tc>
        <w:tc>
          <w:tcPr>
            <w:tcW w:w="60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西联桥东侧-东新路</w:t>
            </w:r>
          </w:p>
        </w:tc>
        <w:tc>
          <w:tcPr>
            <w:tcW w:w="70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次干路</w:t>
            </w:r>
          </w:p>
        </w:tc>
        <w:tc>
          <w:tcPr>
            <w:tcW w:w="55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2007</w:t>
            </w:r>
          </w:p>
        </w:tc>
        <w:tc>
          <w:tcPr>
            <w:tcW w:w="716"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924</w:t>
            </w:r>
          </w:p>
        </w:tc>
        <w:tc>
          <w:tcPr>
            <w:tcW w:w="784"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5863</w:t>
            </w:r>
          </w:p>
        </w:tc>
        <w:tc>
          <w:tcPr>
            <w:tcW w:w="90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7116</w:t>
            </w:r>
          </w:p>
        </w:tc>
        <w:tc>
          <w:tcPr>
            <w:tcW w:w="2911" w:type="dxa"/>
            <w:tcBorders>
              <w:top w:val="single" w:color="000000" w:sz="8" w:space="0"/>
              <w:left w:val="single" w:color="000000" w:sz="4"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5人+3非+1.5隔+7机+3隔+7机+1.5隔+3非+5人</w:t>
            </w:r>
          </w:p>
        </w:tc>
        <w:tc>
          <w:tcPr>
            <w:tcW w:w="754"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29210</w:t>
            </w:r>
          </w:p>
        </w:tc>
        <w:tc>
          <w:tcPr>
            <w:tcW w:w="1001"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22646</w:t>
            </w:r>
          </w:p>
        </w:tc>
        <w:tc>
          <w:tcPr>
            <w:tcW w:w="105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6564</w:t>
            </w:r>
          </w:p>
        </w:tc>
        <w:tc>
          <w:tcPr>
            <w:tcW w:w="150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5cm SMA-13型玄武岩改性沥青玛蹄脂混合料+6cm中粒式加筋纤维沥青混凝土（AC-20C）+8cm粗粒式沥青混凝土（AC-25C）+45cm水泥稳定碎石基层（掺水泥8%）+16cm级配碎石</w:t>
            </w:r>
          </w:p>
        </w:tc>
        <w:tc>
          <w:tcPr>
            <w:tcW w:w="130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4cm 细粒式沥青混凝土（AC-13C）+6cm中粒式沥青混凝土（AC-20C）+25cm水泥稳定碎石基层（掺水泥5%）+15cm级配碎石</w:t>
            </w:r>
          </w:p>
        </w:tc>
        <w:tc>
          <w:tcPr>
            <w:tcW w:w="106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6cm荷兰砖+3cmM10水泥砂浆+20cmC25水泥砼+15cm级配碎石</w:t>
            </w:r>
          </w:p>
        </w:tc>
        <w:tc>
          <w:tcPr>
            <w:tcW w:w="833"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红西河桥、西湖漾河桥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020" w:hRule="atLeast"/>
        </w:trPr>
        <w:tc>
          <w:tcPr>
            <w:tcW w:w="375" w:type="dxa"/>
            <w:tcBorders>
              <w:top w:val="nil"/>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809"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合计</w:t>
            </w:r>
          </w:p>
        </w:tc>
        <w:tc>
          <w:tcPr>
            <w:tcW w:w="600" w:type="dxa"/>
            <w:tcBorders>
              <w:top w:val="nil"/>
              <w:left w:val="nil"/>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themeColor="text1"/>
                <w:sz w:val="18"/>
                <w:szCs w:val="18"/>
                <w:highlight w:val="none"/>
                <w:u w:val="none"/>
                <w14:textFill>
                  <w14:solidFill>
                    <w14:schemeClr w14:val="tx1"/>
                  </w14:solidFill>
                </w14:textFill>
              </w:rPr>
            </w:pPr>
          </w:p>
        </w:tc>
        <w:tc>
          <w:tcPr>
            <w:tcW w:w="700" w:type="dxa"/>
            <w:tcBorders>
              <w:top w:val="nil"/>
              <w:left w:val="nil"/>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themeColor="text1"/>
                <w:sz w:val="18"/>
                <w:szCs w:val="18"/>
                <w:highlight w:val="none"/>
                <w:u w:val="none"/>
                <w14:textFill>
                  <w14:solidFill>
                    <w14:schemeClr w14:val="tx1"/>
                  </w14:solidFill>
                </w14:textFill>
              </w:rPr>
            </w:pPr>
          </w:p>
        </w:tc>
        <w:tc>
          <w:tcPr>
            <w:tcW w:w="550" w:type="dxa"/>
            <w:tcBorders>
              <w:top w:val="nil"/>
              <w:left w:val="nil"/>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themeColor="text1"/>
                <w:sz w:val="16"/>
                <w:szCs w:val="16"/>
                <w:highlight w:val="none"/>
                <w:u w:val="none"/>
                <w14:textFill>
                  <w14:solidFill>
                    <w14:schemeClr w14:val="tx1"/>
                  </w14:solidFill>
                </w14:textFill>
              </w:rPr>
            </w:pPr>
          </w:p>
        </w:tc>
        <w:tc>
          <w:tcPr>
            <w:tcW w:w="716"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16"/>
                <w:szCs w:val="16"/>
                <w:highlight w:val="none"/>
                <w:u w:val="none"/>
                <w14:textFill>
                  <w14:solidFill>
                    <w14:schemeClr w14:val="tx1"/>
                  </w14:solidFill>
                </w14:textFill>
              </w:rPr>
            </w:pPr>
            <w:r>
              <w:rPr>
                <w:rFonts w:hint="eastAsia" w:ascii="宋体" w:hAnsi="宋体" w:eastAsia="宋体" w:cs="宋体"/>
                <w:b/>
                <w:bCs/>
                <w:i w:val="0"/>
                <w:iCs w:val="0"/>
                <w:color w:val="000000" w:themeColor="text1"/>
                <w:kern w:val="0"/>
                <w:sz w:val="16"/>
                <w:szCs w:val="16"/>
                <w:highlight w:val="none"/>
                <w:u w:val="none"/>
                <w:lang w:val="en-US" w:eastAsia="zh-CN" w:bidi="ar"/>
                <w14:textFill>
                  <w14:solidFill>
                    <w14:schemeClr w14:val="tx1"/>
                  </w14:solidFill>
                </w14:textFill>
              </w:rPr>
              <w:t>17736.86</w:t>
            </w:r>
          </w:p>
        </w:tc>
        <w:tc>
          <w:tcPr>
            <w:tcW w:w="784"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16"/>
                <w:szCs w:val="16"/>
                <w:highlight w:val="none"/>
                <w:u w:val="none"/>
                <w14:textFill>
                  <w14:solidFill>
                    <w14:schemeClr w14:val="tx1"/>
                  </w14:solidFill>
                </w14:textFill>
              </w:rPr>
            </w:pPr>
            <w:r>
              <w:rPr>
                <w:rFonts w:hint="eastAsia" w:ascii="宋体" w:hAnsi="宋体" w:eastAsia="宋体" w:cs="宋体"/>
                <w:b/>
                <w:bCs/>
                <w:i w:val="0"/>
                <w:iCs w:val="0"/>
                <w:color w:val="000000" w:themeColor="text1"/>
                <w:kern w:val="0"/>
                <w:sz w:val="16"/>
                <w:szCs w:val="16"/>
                <w:highlight w:val="none"/>
                <w:u w:val="none"/>
                <w:lang w:val="en-US" w:eastAsia="zh-CN" w:bidi="ar"/>
                <w14:textFill>
                  <w14:solidFill>
                    <w14:schemeClr w14:val="tx1"/>
                  </w14:solidFill>
                </w14:textFill>
              </w:rPr>
              <w:t>103712.3</w:t>
            </w:r>
          </w:p>
        </w:tc>
        <w:tc>
          <w:tcPr>
            <w:tcW w:w="90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16"/>
                <w:szCs w:val="16"/>
                <w:highlight w:val="none"/>
                <w:u w:val="none"/>
                <w14:textFill>
                  <w14:solidFill>
                    <w14:schemeClr w14:val="tx1"/>
                  </w14:solidFill>
                </w14:textFill>
              </w:rPr>
            </w:pPr>
            <w:r>
              <w:rPr>
                <w:rFonts w:hint="eastAsia" w:ascii="宋体" w:hAnsi="宋体" w:eastAsia="宋体" w:cs="宋体"/>
                <w:b/>
                <w:bCs/>
                <w:i w:val="0"/>
                <w:iCs w:val="0"/>
                <w:color w:val="000000" w:themeColor="text1"/>
                <w:kern w:val="0"/>
                <w:sz w:val="16"/>
                <w:szCs w:val="16"/>
                <w:highlight w:val="none"/>
                <w:u w:val="none"/>
                <w:lang w:val="en-US" w:eastAsia="zh-CN" w:bidi="ar"/>
                <w14:textFill>
                  <w14:solidFill>
                    <w14:schemeClr w14:val="tx1"/>
                  </w14:solidFill>
                </w14:textFill>
              </w:rPr>
              <w:t>124250.9</w:t>
            </w:r>
          </w:p>
        </w:tc>
        <w:tc>
          <w:tcPr>
            <w:tcW w:w="2911" w:type="dxa"/>
            <w:tcBorders>
              <w:top w:val="nil"/>
              <w:left w:val="nil"/>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themeColor="text1"/>
                <w:sz w:val="16"/>
                <w:szCs w:val="16"/>
                <w:highlight w:val="none"/>
                <w:u w:val="none"/>
                <w14:textFill>
                  <w14:solidFill>
                    <w14:schemeClr w14:val="tx1"/>
                  </w14:solidFill>
                </w14:textFill>
              </w:rPr>
            </w:pPr>
          </w:p>
        </w:tc>
        <w:tc>
          <w:tcPr>
            <w:tcW w:w="754"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16"/>
                <w:szCs w:val="16"/>
                <w:highlight w:val="none"/>
                <w:u w:val="none"/>
                <w14:textFill>
                  <w14:solidFill>
                    <w14:schemeClr w14:val="tx1"/>
                  </w14:solidFill>
                </w14:textFill>
              </w:rPr>
            </w:pPr>
            <w:r>
              <w:rPr>
                <w:rFonts w:hint="eastAsia" w:ascii="宋体" w:hAnsi="宋体" w:eastAsia="宋体" w:cs="宋体"/>
                <w:b/>
                <w:bCs/>
                <w:i w:val="0"/>
                <w:iCs w:val="0"/>
                <w:color w:val="000000" w:themeColor="text1"/>
                <w:kern w:val="0"/>
                <w:sz w:val="16"/>
                <w:szCs w:val="16"/>
                <w:highlight w:val="none"/>
                <w:u w:val="none"/>
                <w:lang w:val="en-US" w:eastAsia="zh-CN" w:bidi="ar"/>
                <w14:textFill>
                  <w14:solidFill>
                    <w14:schemeClr w14:val="tx1"/>
                  </w14:solidFill>
                </w14:textFill>
              </w:rPr>
              <w:t>601028</w:t>
            </w:r>
          </w:p>
        </w:tc>
        <w:tc>
          <w:tcPr>
            <w:tcW w:w="1001"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16"/>
                <w:szCs w:val="16"/>
                <w:highlight w:val="none"/>
                <w:u w:val="none"/>
                <w14:textFill>
                  <w14:solidFill>
                    <w14:schemeClr w14:val="tx1"/>
                  </w14:solidFill>
                </w14:textFill>
              </w:rPr>
            </w:pPr>
            <w:r>
              <w:rPr>
                <w:rFonts w:hint="eastAsia" w:ascii="宋体" w:hAnsi="宋体" w:eastAsia="宋体" w:cs="宋体"/>
                <w:b/>
                <w:bCs/>
                <w:i w:val="0"/>
                <w:iCs w:val="0"/>
                <w:color w:val="000000" w:themeColor="text1"/>
                <w:kern w:val="0"/>
                <w:sz w:val="16"/>
                <w:szCs w:val="16"/>
                <w:highlight w:val="none"/>
                <w:u w:val="none"/>
                <w:lang w:val="en-US" w:eastAsia="zh-CN" w:bidi="ar"/>
                <w14:textFill>
                  <w14:solidFill>
                    <w14:schemeClr w14:val="tx1"/>
                  </w14:solidFill>
                </w14:textFill>
              </w:rPr>
              <w:t>483325.58</w:t>
            </w:r>
          </w:p>
        </w:tc>
        <w:tc>
          <w:tcPr>
            <w:tcW w:w="105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16"/>
                <w:szCs w:val="16"/>
                <w:highlight w:val="none"/>
                <w:u w:val="none"/>
                <w14:textFill>
                  <w14:solidFill>
                    <w14:schemeClr w14:val="tx1"/>
                  </w14:solidFill>
                </w14:textFill>
              </w:rPr>
            </w:pPr>
            <w:r>
              <w:rPr>
                <w:rFonts w:hint="eastAsia" w:ascii="宋体" w:hAnsi="宋体" w:eastAsia="宋体" w:cs="宋体"/>
                <w:b/>
                <w:bCs/>
                <w:i w:val="0"/>
                <w:iCs w:val="0"/>
                <w:color w:val="000000" w:themeColor="text1"/>
                <w:kern w:val="0"/>
                <w:sz w:val="16"/>
                <w:szCs w:val="16"/>
                <w:highlight w:val="none"/>
                <w:u w:val="none"/>
                <w:lang w:val="en-US" w:eastAsia="zh-CN" w:bidi="ar"/>
                <w14:textFill>
                  <w14:solidFill>
                    <w14:schemeClr w14:val="tx1"/>
                  </w14:solidFill>
                </w14:textFill>
              </w:rPr>
              <w:t>117702.54</w:t>
            </w:r>
          </w:p>
        </w:tc>
        <w:tc>
          <w:tcPr>
            <w:tcW w:w="1500" w:type="dxa"/>
            <w:tcBorders>
              <w:top w:val="nil"/>
              <w:left w:val="nil"/>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themeColor="text1"/>
                <w:sz w:val="18"/>
                <w:szCs w:val="18"/>
                <w:highlight w:val="none"/>
                <w:u w:val="none"/>
                <w14:textFill>
                  <w14:solidFill>
                    <w14:schemeClr w14:val="tx1"/>
                  </w14:solidFill>
                </w14:textFill>
              </w:rPr>
            </w:pPr>
          </w:p>
        </w:tc>
        <w:tc>
          <w:tcPr>
            <w:tcW w:w="1300" w:type="dxa"/>
            <w:tcBorders>
              <w:top w:val="nil"/>
              <w:left w:val="nil"/>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themeColor="text1"/>
                <w:sz w:val="18"/>
                <w:szCs w:val="18"/>
                <w:highlight w:val="none"/>
                <w:u w:val="none"/>
                <w14:textFill>
                  <w14:solidFill>
                    <w14:schemeClr w14:val="tx1"/>
                  </w14:solidFill>
                </w14:textFill>
              </w:rPr>
            </w:pPr>
          </w:p>
        </w:tc>
        <w:tc>
          <w:tcPr>
            <w:tcW w:w="1067" w:type="dxa"/>
            <w:tcBorders>
              <w:top w:val="nil"/>
              <w:left w:val="nil"/>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themeColor="text1"/>
                <w:sz w:val="18"/>
                <w:szCs w:val="18"/>
                <w:highlight w:val="none"/>
                <w:u w:val="none"/>
                <w14:textFill>
                  <w14:solidFill>
                    <w14:schemeClr w14:val="tx1"/>
                  </w14:solidFill>
                </w14:textFill>
              </w:rPr>
            </w:pPr>
          </w:p>
        </w:tc>
        <w:tc>
          <w:tcPr>
            <w:tcW w:w="833" w:type="dxa"/>
            <w:tcBorders>
              <w:top w:val="nil"/>
              <w:left w:val="nil"/>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themeColor="text1"/>
                <w:sz w:val="18"/>
                <w:szCs w:val="18"/>
                <w:highlight w:val="none"/>
                <w:u w:val="none"/>
                <w14:textFill>
                  <w14:solidFill>
                    <w14:schemeClr w14:val="tx1"/>
                  </w14:solidFill>
                </w14:textFill>
              </w:rPr>
            </w:pPr>
          </w:p>
        </w:tc>
      </w:tr>
    </w:tbl>
    <w:p>
      <w:pPr>
        <w:pStyle w:val="8"/>
        <w:spacing w:line="360" w:lineRule="auto"/>
        <w:ind w:left="0" w:leftChars="0" w:firstLine="0" w:firstLineChars="0"/>
        <w:rPr>
          <w:rFonts w:hint="eastAsia" w:ascii="宋体" w:hAnsi="宋体" w:eastAsia="宋体" w:cs="宋体"/>
          <w:b/>
          <w:bCs/>
          <w:color w:val="000000" w:themeColor="text1"/>
          <w:sz w:val="24"/>
          <w:highlight w:val="none"/>
          <w14:textFill>
            <w14:solidFill>
              <w14:schemeClr w14:val="tx1"/>
            </w14:solidFill>
          </w14:textFill>
        </w:rPr>
      </w:pPr>
      <w:r>
        <w:rPr>
          <w:rFonts w:hint="eastAsia" w:ascii="宋体" w:hAnsi="宋体" w:eastAsia="宋体" w:cs="宋体"/>
          <w:b/>
          <w:bCs/>
          <w:color w:val="000000" w:themeColor="text1"/>
          <w:sz w:val="24"/>
          <w:highlight w:val="none"/>
          <w14:textFill>
            <w14:solidFill>
              <w14:schemeClr w14:val="tx1"/>
            </w14:solidFill>
          </w14:textFill>
        </w:rPr>
        <w:br w:type="page"/>
      </w:r>
      <w:r>
        <w:rPr>
          <w:rFonts w:hint="eastAsia" w:ascii="宋体" w:hAnsi="宋体" w:eastAsia="宋体" w:cs="宋体"/>
          <w:b/>
          <w:bCs/>
          <w:color w:val="000000" w:themeColor="text1"/>
          <w:sz w:val="24"/>
          <w:highlight w:val="none"/>
          <w14:textFill>
            <w14:solidFill>
              <w14:schemeClr w14:val="tx1"/>
            </w14:solidFill>
          </w14:textFill>
        </w:rPr>
        <w:t>附2：东新路随路桥梁设施量明细清单</w:t>
      </w:r>
    </w:p>
    <w:tbl>
      <w:tblPr>
        <w:tblStyle w:val="62"/>
        <w:tblW w:w="15517" w:type="dxa"/>
        <w:tblInd w:w="-51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56"/>
        <w:gridCol w:w="494"/>
        <w:gridCol w:w="494"/>
        <w:gridCol w:w="673"/>
        <w:gridCol w:w="483"/>
        <w:gridCol w:w="417"/>
        <w:gridCol w:w="750"/>
        <w:gridCol w:w="850"/>
        <w:gridCol w:w="717"/>
        <w:gridCol w:w="3566"/>
        <w:gridCol w:w="984"/>
        <w:gridCol w:w="650"/>
        <w:gridCol w:w="466"/>
        <w:gridCol w:w="400"/>
        <w:gridCol w:w="450"/>
        <w:gridCol w:w="802"/>
        <w:gridCol w:w="782"/>
        <w:gridCol w:w="533"/>
        <w:gridCol w:w="600"/>
        <w:gridCol w:w="10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356"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0"/>
                <w:szCs w:val="20"/>
                <w:highlight w:val="none"/>
                <w:u w:val="none"/>
                <w14:textFill>
                  <w14:solidFill>
                    <w14:schemeClr w14:val="tx1"/>
                  </w14:solidFill>
                </w14:textFill>
              </w:rPr>
            </w:pPr>
            <w:r>
              <w:rPr>
                <w:rFonts w:hint="eastAsia" w:ascii="宋体" w:hAnsi="宋体" w:eastAsia="宋体" w:cs="宋体"/>
                <w:b/>
                <w:bCs/>
                <w:i w:val="0"/>
                <w:iCs w:val="0"/>
                <w:color w:val="000000" w:themeColor="text1"/>
                <w:kern w:val="0"/>
                <w:sz w:val="20"/>
                <w:szCs w:val="20"/>
                <w:highlight w:val="none"/>
                <w:u w:val="none"/>
                <w:lang w:val="en-US" w:eastAsia="zh-CN" w:bidi="ar"/>
                <w14:textFill>
                  <w14:solidFill>
                    <w14:schemeClr w14:val="tx1"/>
                  </w14:solidFill>
                </w14:textFill>
              </w:rPr>
              <w:t>序号</w:t>
            </w:r>
          </w:p>
        </w:tc>
        <w:tc>
          <w:tcPr>
            <w:tcW w:w="494" w:type="dxa"/>
            <w:vMerge w:val="restart"/>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0"/>
                <w:szCs w:val="20"/>
                <w:highlight w:val="none"/>
                <w:u w:val="none"/>
                <w14:textFill>
                  <w14:solidFill>
                    <w14:schemeClr w14:val="tx1"/>
                  </w14:solidFill>
                </w14:textFill>
              </w:rPr>
            </w:pPr>
            <w:r>
              <w:rPr>
                <w:rFonts w:hint="eastAsia" w:ascii="宋体" w:hAnsi="宋体" w:eastAsia="宋体" w:cs="宋体"/>
                <w:b/>
                <w:bCs/>
                <w:i w:val="0"/>
                <w:iCs w:val="0"/>
                <w:color w:val="000000" w:themeColor="text1"/>
                <w:kern w:val="0"/>
                <w:sz w:val="20"/>
                <w:szCs w:val="20"/>
                <w:highlight w:val="none"/>
                <w:u w:val="none"/>
                <w:lang w:val="en-US" w:eastAsia="zh-CN" w:bidi="ar"/>
                <w14:textFill>
                  <w14:solidFill>
                    <w14:schemeClr w14:val="tx1"/>
                  </w14:solidFill>
                </w14:textFill>
              </w:rPr>
              <w:t>桥梁名称</w:t>
            </w:r>
          </w:p>
        </w:tc>
        <w:tc>
          <w:tcPr>
            <w:tcW w:w="494" w:type="dxa"/>
            <w:vMerge w:val="restart"/>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0"/>
                <w:szCs w:val="20"/>
                <w:highlight w:val="none"/>
                <w:u w:val="none"/>
                <w14:textFill>
                  <w14:solidFill>
                    <w14:schemeClr w14:val="tx1"/>
                  </w14:solidFill>
                </w14:textFill>
              </w:rPr>
            </w:pPr>
            <w:r>
              <w:rPr>
                <w:rFonts w:hint="eastAsia" w:ascii="宋体" w:hAnsi="宋体" w:eastAsia="宋体" w:cs="宋体"/>
                <w:b/>
                <w:bCs/>
                <w:i w:val="0"/>
                <w:iCs w:val="0"/>
                <w:color w:val="000000" w:themeColor="text1"/>
                <w:kern w:val="0"/>
                <w:sz w:val="20"/>
                <w:szCs w:val="20"/>
                <w:highlight w:val="none"/>
                <w:u w:val="none"/>
                <w:lang w:val="en-US" w:eastAsia="zh-CN" w:bidi="ar"/>
                <w14:textFill>
                  <w14:solidFill>
                    <w14:schemeClr w14:val="tx1"/>
                  </w14:solidFill>
                </w14:textFill>
              </w:rPr>
              <w:t>建成日期</w:t>
            </w:r>
          </w:p>
        </w:tc>
        <w:tc>
          <w:tcPr>
            <w:tcW w:w="673" w:type="dxa"/>
            <w:vMerge w:val="restart"/>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0"/>
                <w:szCs w:val="20"/>
                <w:highlight w:val="none"/>
                <w:u w:val="none"/>
                <w14:textFill>
                  <w14:solidFill>
                    <w14:schemeClr w14:val="tx1"/>
                  </w14:solidFill>
                </w14:textFill>
              </w:rPr>
            </w:pPr>
            <w:r>
              <w:rPr>
                <w:rFonts w:hint="eastAsia" w:ascii="宋体" w:hAnsi="宋体" w:eastAsia="宋体" w:cs="宋体"/>
                <w:b/>
                <w:bCs/>
                <w:i w:val="0"/>
                <w:iCs w:val="0"/>
                <w:color w:val="000000" w:themeColor="text1"/>
                <w:kern w:val="0"/>
                <w:sz w:val="20"/>
                <w:szCs w:val="20"/>
                <w:highlight w:val="none"/>
                <w:u w:val="none"/>
                <w:lang w:val="en-US" w:eastAsia="zh-CN" w:bidi="ar"/>
                <w14:textFill>
                  <w14:solidFill>
                    <w14:schemeClr w14:val="tx1"/>
                  </w14:solidFill>
                </w14:textFill>
              </w:rPr>
              <w:t>跨越河流/道路</w:t>
            </w:r>
          </w:p>
        </w:tc>
        <w:tc>
          <w:tcPr>
            <w:tcW w:w="483" w:type="dxa"/>
            <w:tcBorders>
              <w:top w:val="single" w:color="000000" w:sz="8" w:space="0"/>
              <w:left w:val="nil"/>
              <w:bottom w:val="nil"/>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0"/>
                <w:szCs w:val="20"/>
                <w:highlight w:val="none"/>
                <w:u w:val="none"/>
                <w14:textFill>
                  <w14:solidFill>
                    <w14:schemeClr w14:val="tx1"/>
                  </w14:solidFill>
                </w14:textFill>
              </w:rPr>
            </w:pPr>
            <w:r>
              <w:rPr>
                <w:rFonts w:hint="eastAsia" w:ascii="宋体" w:hAnsi="宋体" w:eastAsia="宋体" w:cs="宋体"/>
                <w:b/>
                <w:bCs/>
                <w:i w:val="0"/>
                <w:iCs w:val="0"/>
                <w:color w:val="000000" w:themeColor="text1"/>
                <w:kern w:val="0"/>
                <w:sz w:val="20"/>
                <w:szCs w:val="20"/>
                <w:highlight w:val="none"/>
                <w:u w:val="none"/>
                <w:lang w:val="en-US" w:eastAsia="zh-CN" w:bidi="ar"/>
                <w14:textFill>
                  <w14:solidFill>
                    <w14:schemeClr w14:val="tx1"/>
                  </w14:solidFill>
                </w14:textFill>
              </w:rPr>
              <w:t>所在</w:t>
            </w:r>
          </w:p>
        </w:tc>
        <w:tc>
          <w:tcPr>
            <w:tcW w:w="2734" w:type="dxa"/>
            <w:gridSpan w:val="4"/>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0"/>
                <w:szCs w:val="20"/>
                <w:highlight w:val="none"/>
                <w:u w:val="none"/>
                <w14:textFill>
                  <w14:solidFill>
                    <w14:schemeClr w14:val="tx1"/>
                  </w14:solidFill>
                </w14:textFill>
              </w:rPr>
            </w:pPr>
            <w:r>
              <w:rPr>
                <w:rFonts w:hint="eastAsia" w:ascii="宋体" w:hAnsi="宋体" w:eastAsia="宋体" w:cs="宋体"/>
                <w:b/>
                <w:bCs/>
                <w:i w:val="0"/>
                <w:iCs w:val="0"/>
                <w:color w:val="000000" w:themeColor="text1"/>
                <w:kern w:val="0"/>
                <w:sz w:val="20"/>
                <w:szCs w:val="20"/>
                <w:highlight w:val="none"/>
                <w:u w:val="none"/>
                <w:lang w:val="en-US" w:eastAsia="zh-CN" w:bidi="ar"/>
                <w14:textFill>
                  <w14:solidFill>
                    <w14:schemeClr w14:val="tx1"/>
                  </w14:solidFill>
                </w14:textFill>
              </w:rPr>
              <w:t>桥梁</w:t>
            </w:r>
          </w:p>
        </w:tc>
        <w:tc>
          <w:tcPr>
            <w:tcW w:w="3566" w:type="dxa"/>
            <w:vMerge w:val="restart"/>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0"/>
                <w:szCs w:val="20"/>
                <w:highlight w:val="none"/>
                <w:u w:val="none"/>
                <w14:textFill>
                  <w14:solidFill>
                    <w14:schemeClr w14:val="tx1"/>
                  </w14:solidFill>
                </w14:textFill>
              </w:rPr>
            </w:pPr>
            <w:r>
              <w:rPr>
                <w:rFonts w:hint="eastAsia" w:ascii="宋体" w:hAnsi="宋体" w:eastAsia="宋体" w:cs="宋体"/>
                <w:b/>
                <w:bCs/>
                <w:i w:val="0"/>
                <w:iCs w:val="0"/>
                <w:color w:val="000000" w:themeColor="text1"/>
                <w:kern w:val="0"/>
                <w:sz w:val="20"/>
                <w:szCs w:val="20"/>
                <w:highlight w:val="none"/>
                <w:u w:val="none"/>
                <w:lang w:val="en-US" w:eastAsia="zh-CN" w:bidi="ar"/>
                <w14:textFill>
                  <w14:solidFill>
                    <w14:schemeClr w14:val="tx1"/>
                  </w14:solidFill>
                </w14:textFill>
              </w:rPr>
              <w:t>断面形式</w:t>
            </w:r>
          </w:p>
        </w:tc>
        <w:tc>
          <w:tcPr>
            <w:tcW w:w="984" w:type="dxa"/>
            <w:vMerge w:val="restart"/>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0"/>
                <w:szCs w:val="20"/>
                <w:highlight w:val="none"/>
                <w:u w:val="none"/>
                <w14:textFill>
                  <w14:solidFill>
                    <w14:schemeClr w14:val="tx1"/>
                  </w14:solidFill>
                </w14:textFill>
              </w:rPr>
            </w:pPr>
            <w:r>
              <w:rPr>
                <w:rFonts w:hint="eastAsia" w:ascii="宋体" w:hAnsi="宋体" w:eastAsia="宋体" w:cs="宋体"/>
                <w:b/>
                <w:bCs/>
                <w:i w:val="0"/>
                <w:iCs w:val="0"/>
                <w:color w:val="000000" w:themeColor="text1"/>
                <w:kern w:val="0"/>
                <w:sz w:val="20"/>
                <w:szCs w:val="20"/>
                <w:highlight w:val="none"/>
                <w:u w:val="none"/>
                <w:lang w:val="en-US" w:eastAsia="zh-CN" w:bidi="ar"/>
                <w14:textFill>
                  <w14:solidFill>
                    <w14:schemeClr w14:val="tx1"/>
                  </w14:solidFill>
                </w14:textFill>
              </w:rPr>
              <w:t>设计荷载</w:t>
            </w:r>
          </w:p>
        </w:tc>
        <w:tc>
          <w:tcPr>
            <w:tcW w:w="650" w:type="dxa"/>
            <w:vMerge w:val="restart"/>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0"/>
                <w:szCs w:val="20"/>
                <w:highlight w:val="none"/>
                <w:u w:val="none"/>
                <w14:textFill>
                  <w14:solidFill>
                    <w14:schemeClr w14:val="tx1"/>
                  </w14:solidFill>
                </w14:textFill>
              </w:rPr>
            </w:pPr>
            <w:r>
              <w:rPr>
                <w:rFonts w:hint="eastAsia" w:ascii="宋体" w:hAnsi="宋体" w:eastAsia="宋体" w:cs="宋体"/>
                <w:b/>
                <w:bCs/>
                <w:i w:val="0"/>
                <w:iCs w:val="0"/>
                <w:color w:val="000000" w:themeColor="text1"/>
                <w:kern w:val="0"/>
                <w:sz w:val="20"/>
                <w:szCs w:val="20"/>
                <w:highlight w:val="none"/>
                <w:u w:val="none"/>
                <w:lang w:val="en-US" w:eastAsia="zh-CN" w:bidi="ar"/>
                <w14:textFill>
                  <w14:solidFill>
                    <w14:schemeClr w14:val="tx1"/>
                  </w14:solidFill>
                </w14:textFill>
              </w:rPr>
              <w:t>结构用材</w:t>
            </w:r>
          </w:p>
        </w:tc>
        <w:tc>
          <w:tcPr>
            <w:tcW w:w="2118" w:type="dxa"/>
            <w:gridSpan w:val="4"/>
            <w:tcBorders>
              <w:top w:val="single" w:color="000000" w:sz="8" w:space="0"/>
              <w:left w:val="nil"/>
              <w:bottom w:val="nil"/>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0"/>
                <w:szCs w:val="20"/>
                <w:highlight w:val="none"/>
                <w:u w:val="none"/>
                <w14:textFill>
                  <w14:solidFill>
                    <w14:schemeClr w14:val="tx1"/>
                  </w14:solidFill>
                </w14:textFill>
              </w:rPr>
            </w:pPr>
            <w:r>
              <w:rPr>
                <w:rFonts w:hint="eastAsia" w:ascii="宋体" w:hAnsi="宋体" w:eastAsia="宋体" w:cs="宋体"/>
                <w:b/>
                <w:bCs/>
                <w:i w:val="0"/>
                <w:iCs w:val="0"/>
                <w:color w:val="000000" w:themeColor="text1"/>
                <w:kern w:val="0"/>
                <w:sz w:val="20"/>
                <w:szCs w:val="20"/>
                <w:highlight w:val="none"/>
                <w:u w:val="none"/>
                <w:lang w:val="en-US" w:eastAsia="zh-CN" w:bidi="ar"/>
                <w14:textFill>
                  <w14:solidFill>
                    <w14:schemeClr w14:val="tx1"/>
                  </w14:solidFill>
                </w14:textFill>
              </w:rPr>
              <w:t>结构 形式</w:t>
            </w:r>
          </w:p>
        </w:tc>
        <w:tc>
          <w:tcPr>
            <w:tcW w:w="2965" w:type="dxa"/>
            <w:gridSpan w:val="4"/>
            <w:tcBorders>
              <w:top w:val="single" w:color="000000" w:sz="8" w:space="0"/>
              <w:left w:val="nil"/>
              <w:bottom w:val="nil"/>
              <w:right w:val="single" w:color="000000" w:sz="8" w:space="0"/>
            </w:tcBorders>
            <w:noWrap w:val="0"/>
            <w:vAlign w:val="bottom"/>
          </w:tcPr>
          <w:p>
            <w:pPr>
              <w:jc w:val="center"/>
              <w:rPr>
                <w:rFonts w:hint="eastAsia" w:ascii="宋体" w:hAnsi="宋体" w:eastAsia="宋体" w:cs="宋体"/>
                <w:b/>
                <w:bCs/>
                <w:i w:val="0"/>
                <w:iCs w:val="0"/>
                <w:color w:val="000000" w:themeColor="text1"/>
                <w:sz w:val="20"/>
                <w:szCs w:val="20"/>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356"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themeColor="text1"/>
                <w:sz w:val="20"/>
                <w:szCs w:val="20"/>
                <w:highlight w:val="none"/>
                <w:u w:val="none"/>
                <w14:textFill>
                  <w14:solidFill>
                    <w14:schemeClr w14:val="tx1"/>
                  </w14:solidFill>
                </w14:textFill>
              </w:rPr>
            </w:pPr>
          </w:p>
        </w:tc>
        <w:tc>
          <w:tcPr>
            <w:tcW w:w="494" w:type="dxa"/>
            <w:vMerge w:val="continue"/>
            <w:tcBorders>
              <w:top w:val="single" w:color="000000" w:sz="8" w:space="0"/>
              <w:left w:val="nil"/>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themeColor="text1"/>
                <w:sz w:val="20"/>
                <w:szCs w:val="20"/>
                <w:highlight w:val="none"/>
                <w:u w:val="none"/>
                <w14:textFill>
                  <w14:solidFill>
                    <w14:schemeClr w14:val="tx1"/>
                  </w14:solidFill>
                </w14:textFill>
              </w:rPr>
            </w:pPr>
          </w:p>
        </w:tc>
        <w:tc>
          <w:tcPr>
            <w:tcW w:w="494" w:type="dxa"/>
            <w:vMerge w:val="continue"/>
            <w:tcBorders>
              <w:top w:val="single" w:color="000000" w:sz="8" w:space="0"/>
              <w:left w:val="nil"/>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themeColor="text1"/>
                <w:sz w:val="20"/>
                <w:szCs w:val="20"/>
                <w:highlight w:val="none"/>
                <w:u w:val="none"/>
                <w14:textFill>
                  <w14:solidFill>
                    <w14:schemeClr w14:val="tx1"/>
                  </w14:solidFill>
                </w14:textFill>
              </w:rPr>
            </w:pPr>
          </w:p>
        </w:tc>
        <w:tc>
          <w:tcPr>
            <w:tcW w:w="673" w:type="dxa"/>
            <w:vMerge w:val="continue"/>
            <w:tcBorders>
              <w:top w:val="single" w:color="000000" w:sz="8" w:space="0"/>
              <w:left w:val="nil"/>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themeColor="text1"/>
                <w:sz w:val="20"/>
                <w:szCs w:val="20"/>
                <w:highlight w:val="none"/>
                <w:u w:val="none"/>
                <w14:textFill>
                  <w14:solidFill>
                    <w14:schemeClr w14:val="tx1"/>
                  </w14:solidFill>
                </w14:textFill>
              </w:rPr>
            </w:pPr>
          </w:p>
        </w:tc>
        <w:tc>
          <w:tcPr>
            <w:tcW w:w="483" w:type="dxa"/>
            <w:tcBorders>
              <w:top w:val="nil"/>
              <w:left w:val="nil"/>
              <w:bottom w:val="nil"/>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0"/>
                <w:szCs w:val="20"/>
                <w:highlight w:val="none"/>
                <w:u w:val="none"/>
                <w14:textFill>
                  <w14:solidFill>
                    <w14:schemeClr w14:val="tx1"/>
                  </w14:solidFill>
                </w14:textFill>
              </w:rPr>
            </w:pPr>
            <w:r>
              <w:rPr>
                <w:rFonts w:hint="eastAsia" w:ascii="宋体" w:hAnsi="宋体" w:eastAsia="宋体" w:cs="宋体"/>
                <w:b/>
                <w:bCs/>
                <w:i w:val="0"/>
                <w:iCs w:val="0"/>
                <w:color w:val="000000" w:themeColor="text1"/>
                <w:kern w:val="0"/>
                <w:sz w:val="20"/>
                <w:szCs w:val="20"/>
                <w:highlight w:val="none"/>
                <w:u w:val="none"/>
                <w:lang w:val="en-US" w:eastAsia="zh-CN" w:bidi="ar"/>
                <w14:textFill>
                  <w14:solidFill>
                    <w14:schemeClr w14:val="tx1"/>
                  </w14:solidFill>
                </w14:textFill>
              </w:rPr>
              <w:t>道路</w:t>
            </w:r>
          </w:p>
        </w:tc>
        <w:tc>
          <w:tcPr>
            <w:tcW w:w="417" w:type="dxa"/>
            <w:tcBorders>
              <w:top w:val="nil"/>
              <w:left w:val="nil"/>
              <w:bottom w:val="nil"/>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0"/>
                <w:szCs w:val="20"/>
                <w:highlight w:val="none"/>
                <w:u w:val="none"/>
                <w14:textFill>
                  <w14:solidFill>
                    <w14:schemeClr w14:val="tx1"/>
                  </w14:solidFill>
                </w14:textFill>
              </w:rPr>
            </w:pPr>
            <w:r>
              <w:rPr>
                <w:rFonts w:hint="eastAsia" w:ascii="宋体" w:hAnsi="宋体" w:eastAsia="宋体" w:cs="宋体"/>
                <w:b/>
                <w:bCs/>
                <w:i w:val="0"/>
                <w:iCs w:val="0"/>
                <w:color w:val="000000" w:themeColor="text1"/>
                <w:kern w:val="0"/>
                <w:sz w:val="20"/>
                <w:szCs w:val="20"/>
                <w:highlight w:val="none"/>
                <w:u w:val="none"/>
                <w:lang w:val="en-US" w:eastAsia="zh-CN" w:bidi="ar"/>
                <w14:textFill>
                  <w14:solidFill>
                    <w14:schemeClr w14:val="tx1"/>
                  </w14:solidFill>
                </w14:textFill>
              </w:rPr>
              <w:t>总长</w:t>
            </w:r>
          </w:p>
        </w:tc>
        <w:tc>
          <w:tcPr>
            <w:tcW w:w="750" w:type="dxa"/>
            <w:vMerge w:val="restart"/>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0"/>
                <w:szCs w:val="20"/>
                <w:highlight w:val="none"/>
                <w:u w:val="none"/>
                <w14:textFill>
                  <w14:solidFill>
                    <w14:schemeClr w14:val="tx1"/>
                  </w14:solidFill>
                </w14:textFill>
              </w:rPr>
            </w:pPr>
            <w:r>
              <w:rPr>
                <w:rFonts w:hint="eastAsia" w:ascii="宋体" w:hAnsi="宋体" w:eastAsia="宋体" w:cs="宋体"/>
                <w:b/>
                <w:bCs/>
                <w:i w:val="0"/>
                <w:iCs w:val="0"/>
                <w:color w:val="000000" w:themeColor="text1"/>
                <w:kern w:val="0"/>
                <w:sz w:val="20"/>
                <w:szCs w:val="20"/>
                <w:highlight w:val="none"/>
                <w:u w:val="none"/>
                <w:lang w:val="en-US" w:eastAsia="zh-CN" w:bidi="ar"/>
                <w14:textFill>
                  <w14:solidFill>
                    <w14:schemeClr w14:val="tx1"/>
                  </w14:solidFill>
                </w14:textFill>
              </w:rPr>
              <w:t>跨数和跨径(M)</w:t>
            </w:r>
          </w:p>
        </w:tc>
        <w:tc>
          <w:tcPr>
            <w:tcW w:w="850" w:type="dxa"/>
            <w:vMerge w:val="restart"/>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0"/>
                <w:szCs w:val="20"/>
                <w:highlight w:val="none"/>
                <w:u w:val="none"/>
                <w14:textFill>
                  <w14:solidFill>
                    <w14:schemeClr w14:val="tx1"/>
                  </w14:solidFill>
                </w14:textFill>
              </w:rPr>
            </w:pPr>
            <w:r>
              <w:rPr>
                <w:rFonts w:hint="eastAsia" w:ascii="宋体" w:hAnsi="宋体" w:eastAsia="宋体" w:cs="宋体"/>
                <w:b/>
                <w:bCs/>
                <w:i w:val="0"/>
                <w:iCs w:val="0"/>
                <w:color w:val="000000" w:themeColor="text1"/>
                <w:kern w:val="0"/>
                <w:sz w:val="20"/>
                <w:szCs w:val="20"/>
                <w:highlight w:val="none"/>
                <w:u w:val="none"/>
                <w:lang w:val="en-US" w:eastAsia="zh-CN" w:bidi="ar"/>
                <w14:textFill>
                  <w14:solidFill>
                    <w14:schemeClr w14:val="tx1"/>
                  </w14:solidFill>
                </w14:textFill>
              </w:rPr>
              <w:t>宽度(M)</w:t>
            </w:r>
          </w:p>
        </w:tc>
        <w:tc>
          <w:tcPr>
            <w:tcW w:w="717" w:type="dxa"/>
            <w:vMerge w:val="restart"/>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0"/>
                <w:szCs w:val="20"/>
                <w:highlight w:val="none"/>
                <w:u w:val="none"/>
                <w14:textFill>
                  <w14:solidFill>
                    <w14:schemeClr w14:val="tx1"/>
                  </w14:solidFill>
                </w14:textFill>
              </w:rPr>
            </w:pPr>
            <w:r>
              <w:rPr>
                <w:rFonts w:hint="eastAsia" w:ascii="宋体" w:hAnsi="宋体" w:eastAsia="宋体" w:cs="宋体"/>
                <w:b/>
                <w:bCs/>
                <w:i w:val="0"/>
                <w:iCs w:val="0"/>
                <w:color w:val="000000" w:themeColor="text1"/>
                <w:kern w:val="0"/>
                <w:sz w:val="20"/>
                <w:szCs w:val="20"/>
                <w:highlight w:val="none"/>
                <w:u w:val="none"/>
                <w:lang w:val="en-US" w:eastAsia="zh-CN" w:bidi="ar"/>
                <w14:textFill>
                  <w14:solidFill>
                    <w14:schemeClr w14:val="tx1"/>
                  </w14:solidFill>
                </w14:textFill>
              </w:rPr>
              <w:t>面积(M2)</w:t>
            </w:r>
          </w:p>
        </w:tc>
        <w:tc>
          <w:tcPr>
            <w:tcW w:w="3566" w:type="dxa"/>
            <w:vMerge w:val="continue"/>
            <w:tcBorders>
              <w:top w:val="single" w:color="000000" w:sz="8" w:space="0"/>
              <w:left w:val="nil"/>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themeColor="text1"/>
                <w:sz w:val="20"/>
                <w:szCs w:val="20"/>
                <w:highlight w:val="none"/>
                <w:u w:val="none"/>
                <w14:textFill>
                  <w14:solidFill>
                    <w14:schemeClr w14:val="tx1"/>
                  </w14:solidFill>
                </w14:textFill>
              </w:rPr>
            </w:pPr>
          </w:p>
        </w:tc>
        <w:tc>
          <w:tcPr>
            <w:tcW w:w="984" w:type="dxa"/>
            <w:vMerge w:val="continue"/>
            <w:tcBorders>
              <w:top w:val="single" w:color="000000" w:sz="8" w:space="0"/>
              <w:left w:val="nil"/>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themeColor="text1"/>
                <w:sz w:val="20"/>
                <w:szCs w:val="20"/>
                <w:highlight w:val="none"/>
                <w:u w:val="none"/>
                <w14:textFill>
                  <w14:solidFill>
                    <w14:schemeClr w14:val="tx1"/>
                  </w14:solidFill>
                </w14:textFill>
              </w:rPr>
            </w:pPr>
          </w:p>
        </w:tc>
        <w:tc>
          <w:tcPr>
            <w:tcW w:w="650" w:type="dxa"/>
            <w:vMerge w:val="continue"/>
            <w:tcBorders>
              <w:top w:val="single" w:color="000000" w:sz="8" w:space="0"/>
              <w:left w:val="nil"/>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themeColor="text1"/>
                <w:sz w:val="20"/>
                <w:szCs w:val="20"/>
                <w:highlight w:val="none"/>
                <w:u w:val="none"/>
                <w14:textFill>
                  <w14:solidFill>
                    <w14:schemeClr w14:val="tx1"/>
                  </w14:solidFill>
                </w14:textFill>
              </w:rPr>
            </w:pPr>
          </w:p>
        </w:tc>
        <w:tc>
          <w:tcPr>
            <w:tcW w:w="466" w:type="dxa"/>
            <w:vMerge w:val="restart"/>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0"/>
                <w:szCs w:val="20"/>
                <w:highlight w:val="none"/>
                <w:u w:val="none"/>
                <w14:textFill>
                  <w14:solidFill>
                    <w14:schemeClr w14:val="tx1"/>
                  </w14:solidFill>
                </w14:textFill>
              </w:rPr>
            </w:pPr>
            <w:r>
              <w:rPr>
                <w:rFonts w:hint="eastAsia" w:ascii="宋体" w:hAnsi="宋体" w:eastAsia="宋体" w:cs="宋体"/>
                <w:b/>
                <w:bCs/>
                <w:i w:val="0"/>
                <w:iCs w:val="0"/>
                <w:color w:val="000000" w:themeColor="text1"/>
                <w:kern w:val="0"/>
                <w:sz w:val="20"/>
                <w:szCs w:val="20"/>
                <w:highlight w:val="none"/>
                <w:u w:val="none"/>
                <w:lang w:val="en-US" w:eastAsia="zh-CN" w:bidi="ar"/>
                <w14:textFill>
                  <w14:solidFill>
                    <w14:schemeClr w14:val="tx1"/>
                  </w14:solidFill>
                </w14:textFill>
              </w:rPr>
              <w:t>基础</w:t>
            </w:r>
          </w:p>
        </w:tc>
        <w:tc>
          <w:tcPr>
            <w:tcW w:w="400" w:type="dxa"/>
            <w:vMerge w:val="restart"/>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0"/>
                <w:szCs w:val="20"/>
                <w:highlight w:val="none"/>
                <w:u w:val="none"/>
                <w14:textFill>
                  <w14:solidFill>
                    <w14:schemeClr w14:val="tx1"/>
                  </w14:solidFill>
                </w14:textFill>
              </w:rPr>
            </w:pPr>
            <w:r>
              <w:rPr>
                <w:rFonts w:hint="eastAsia" w:ascii="宋体" w:hAnsi="宋体" w:eastAsia="宋体" w:cs="宋体"/>
                <w:b/>
                <w:bCs/>
                <w:i w:val="0"/>
                <w:iCs w:val="0"/>
                <w:color w:val="000000" w:themeColor="text1"/>
                <w:kern w:val="0"/>
                <w:sz w:val="20"/>
                <w:szCs w:val="20"/>
                <w:highlight w:val="none"/>
                <w:u w:val="none"/>
                <w:lang w:val="en-US" w:eastAsia="zh-CN" w:bidi="ar"/>
                <w14:textFill>
                  <w14:solidFill>
                    <w14:schemeClr w14:val="tx1"/>
                  </w14:solidFill>
                </w14:textFill>
              </w:rPr>
              <w:t>上部</w:t>
            </w:r>
          </w:p>
        </w:tc>
        <w:tc>
          <w:tcPr>
            <w:tcW w:w="450" w:type="dxa"/>
            <w:vMerge w:val="restart"/>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0"/>
                <w:szCs w:val="20"/>
                <w:highlight w:val="none"/>
                <w:u w:val="none"/>
                <w14:textFill>
                  <w14:solidFill>
                    <w14:schemeClr w14:val="tx1"/>
                  </w14:solidFill>
                </w14:textFill>
              </w:rPr>
            </w:pPr>
            <w:r>
              <w:rPr>
                <w:rFonts w:hint="eastAsia" w:ascii="宋体" w:hAnsi="宋体" w:eastAsia="宋体" w:cs="宋体"/>
                <w:b/>
                <w:bCs/>
                <w:i w:val="0"/>
                <w:iCs w:val="0"/>
                <w:color w:val="000000" w:themeColor="text1"/>
                <w:kern w:val="0"/>
                <w:sz w:val="20"/>
                <w:szCs w:val="20"/>
                <w:highlight w:val="none"/>
                <w:u w:val="none"/>
                <w:lang w:val="en-US" w:eastAsia="zh-CN" w:bidi="ar"/>
                <w14:textFill>
                  <w14:solidFill>
                    <w14:schemeClr w14:val="tx1"/>
                  </w14:solidFill>
                </w14:textFill>
              </w:rPr>
              <w:t>下部</w:t>
            </w:r>
          </w:p>
        </w:tc>
        <w:tc>
          <w:tcPr>
            <w:tcW w:w="802" w:type="dxa"/>
            <w:vMerge w:val="restart"/>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0"/>
                <w:szCs w:val="20"/>
                <w:highlight w:val="none"/>
                <w:u w:val="none"/>
                <w14:textFill>
                  <w14:solidFill>
                    <w14:schemeClr w14:val="tx1"/>
                  </w14:solidFill>
                </w14:textFill>
              </w:rPr>
            </w:pPr>
            <w:r>
              <w:rPr>
                <w:rFonts w:hint="eastAsia" w:ascii="宋体" w:hAnsi="宋体" w:eastAsia="宋体" w:cs="宋体"/>
                <w:b/>
                <w:bCs/>
                <w:i w:val="0"/>
                <w:iCs w:val="0"/>
                <w:color w:val="000000" w:themeColor="text1"/>
                <w:kern w:val="0"/>
                <w:sz w:val="20"/>
                <w:szCs w:val="20"/>
                <w:highlight w:val="none"/>
                <w:u w:val="none"/>
                <w:lang w:val="en-US" w:eastAsia="zh-CN" w:bidi="ar"/>
                <w14:textFill>
                  <w14:solidFill>
                    <w14:schemeClr w14:val="tx1"/>
                  </w14:solidFill>
                </w14:textFill>
              </w:rPr>
              <w:t>桥面铺装</w:t>
            </w:r>
          </w:p>
        </w:tc>
        <w:tc>
          <w:tcPr>
            <w:tcW w:w="782" w:type="dxa"/>
            <w:vMerge w:val="restart"/>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0"/>
                <w:szCs w:val="20"/>
                <w:highlight w:val="none"/>
                <w:u w:val="none"/>
                <w14:textFill>
                  <w14:solidFill>
                    <w14:schemeClr w14:val="tx1"/>
                  </w14:solidFill>
                </w14:textFill>
              </w:rPr>
            </w:pPr>
            <w:r>
              <w:rPr>
                <w:rFonts w:hint="eastAsia" w:ascii="宋体" w:hAnsi="宋体" w:eastAsia="宋体" w:cs="宋体"/>
                <w:b/>
                <w:bCs/>
                <w:i w:val="0"/>
                <w:iCs w:val="0"/>
                <w:color w:val="000000" w:themeColor="text1"/>
                <w:kern w:val="0"/>
                <w:sz w:val="20"/>
                <w:szCs w:val="20"/>
                <w:highlight w:val="none"/>
                <w:u w:val="none"/>
                <w:lang w:val="en-US" w:eastAsia="zh-CN" w:bidi="ar"/>
                <w14:textFill>
                  <w14:solidFill>
                    <w14:schemeClr w14:val="tx1"/>
                  </w14:solidFill>
                </w14:textFill>
              </w:rPr>
              <w:t>栏杆形式(M)</w:t>
            </w:r>
          </w:p>
        </w:tc>
        <w:tc>
          <w:tcPr>
            <w:tcW w:w="533" w:type="dxa"/>
            <w:vMerge w:val="restart"/>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0"/>
                <w:szCs w:val="20"/>
                <w:highlight w:val="none"/>
                <w:u w:val="none"/>
                <w14:textFill>
                  <w14:solidFill>
                    <w14:schemeClr w14:val="tx1"/>
                  </w14:solidFill>
                </w14:textFill>
              </w:rPr>
            </w:pPr>
            <w:r>
              <w:rPr>
                <w:rFonts w:hint="eastAsia" w:ascii="宋体" w:hAnsi="宋体" w:eastAsia="宋体" w:cs="宋体"/>
                <w:b/>
                <w:bCs/>
                <w:i w:val="0"/>
                <w:iCs w:val="0"/>
                <w:color w:val="000000" w:themeColor="text1"/>
                <w:kern w:val="0"/>
                <w:sz w:val="20"/>
                <w:szCs w:val="20"/>
                <w:highlight w:val="none"/>
                <w:u w:val="none"/>
                <w:lang w:val="en-US" w:eastAsia="zh-CN" w:bidi="ar"/>
                <w14:textFill>
                  <w14:solidFill>
                    <w14:schemeClr w14:val="tx1"/>
                  </w14:solidFill>
                </w14:textFill>
              </w:rPr>
              <w:t>栏杆长度(M)</w:t>
            </w:r>
          </w:p>
        </w:tc>
        <w:tc>
          <w:tcPr>
            <w:tcW w:w="600" w:type="dxa"/>
            <w:vMerge w:val="restart"/>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0"/>
                <w:szCs w:val="20"/>
                <w:highlight w:val="none"/>
                <w:u w:val="none"/>
                <w14:textFill>
                  <w14:solidFill>
                    <w14:schemeClr w14:val="tx1"/>
                  </w14:solidFill>
                </w14:textFill>
              </w:rPr>
            </w:pPr>
            <w:r>
              <w:rPr>
                <w:rFonts w:hint="eastAsia" w:ascii="宋体" w:hAnsi="宋体" w:eastAsia="宋体" w:cs="宋体"/>
                <w:b/>
                <w:bCs/>
                <w:i w:val="0"/>
                <w:iCs w:val="0"/>
                <w:color w:val="000000" w:themeColor="text1"/>
                <w:kern w:val="0"/>
                <w:sz w:val="20"/>
                <w:szCs w:val="20"/>
                <w:highlight w:val="none"/>
                <w:u w:val="none"/>
                <w:lang w:val="en-US" w:eastAsia="zh-CN" w:bidi="ar"/>
                <w14:textFill>
                  <w14:solidFill>
                    <w14:schemeClr w14:val="tx1"/>
                  </w14:solidFill>
                </w14:textFill>
              </w:rPr>
              <w:t>伸缩缝形式</w:t>
            </w:r>
          </w:p>
        </w:tc>
        <w:tc>
          <w:tcPr>
            <w:tcW w:w="1050" w:type="dxa"/>
            <w:vMerge w:val="restart"/>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0"/>
                <w:szCs w:val="20"/>
                <w:highlight w:val="none"/>
                <w:u w:val="none"/>
                <w14:textFill>
                  <w14:solidFill>
                    <w14:schemeClr w14:val="tx1"/>
                  </w14:solidFill>
                </w14:textFill>
              </w:rPr>
            </w:pPr>
            <w:r>
              <w:rPr>
                <w:rFonts w:hint="eastAsia" w:ascii="宋体" w:hAnsi="宋体" w:eastAsia="宋体" w:cs="宋体"/>
                <w:b/>
                <w:bCs/>
                <w:i w:val="0"/>
                <w:iCs w:val="0"/>
                <w:color w:val="000000" w:themeColor="text1"/>
                <w:kern w:val="0"/>
                <w:sz w:val="20"/>
                <w:szCs w:val="20"/>
                <w:highlight w:val="none"/>
                <w:u w:val="none"/>
                <w:lang w:val="en-US" w:eastAsia="zh-CN" w:bidi="ar"/>
                <w14:textFill>
                  <w14:solidFill>
                    <w14:schemeClr w14:val="tx1"/>
                  </w14:solidFill>
                </w14:textFill>
              </w:rPr>
              <w:t>伸缩缝长度(M)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56"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themeColor="text1"/>
                <w:sz w:val="20"/>
                <w:szCs w:val="20"/>
                <w:highlight w:val="none"/>
                <w:u w:val="none"/>
                <w14:textFill>
                  <w14:solidFill>
                    <w14:schemeClr w14:val="tx1"/>
                  </w14:solidFill>
                </w14:textFill>
              </w:rPr>
            </w:pPr>
          </w:p>
        </w:tc>
        <w:tc>
          <w:tcPr>
            <w:tcW w:w="494" w:type="dxa"/>
            <w:vMerge w:val="continue"/>
            <w:tcBorders>
              <w:top w:val="single" w:color="000000" w:sz="8" w:space="0"/>
              <w:left w:val="nil"/>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themeColor="text1"/>
                <w:sz w:val="20"/>
                <w:szCs w:val="20"/>
                <w:highlight w:val="none"/>
                <w:u w:val="none"/>
                <w14:textFill>
                  <w14:solidFill>
                    <w14:schemeClr w14:val="tx1"/>
                  </w14:solidFill>
                </w14:textFill>
              </w:rPr>
            </w:pPr>
          </w:p>
        </w:tc>
        <w:tc>
          <w:tcPr>
            <w:tcW w:w="494" w:type="dxa"/>
            <w:vMerge w:val="continue"/>
            <w:tcBorders>
              <w:top w:val="single" w:color="000000" w:sz="8" w:space="0"/>
              <w:left w:val="nil"/>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themeColor="text1"/>
                <w:sz w:val="20"/>
                <w:szCs w:val="20"/>
                <w:highlight w:val="none"/>
                <w:u w:val="none"/>
                <w14:textFill>
                  <w14:solidFill>
                    <w14:schemeClr w14:val="tx1"/>
                  </w14:solidFill>
                </w14:textFill>
              </w:rPr>
            </w:pPr>
          </w:p>
        </w:tc>
        <w:tc>
          <w:tcPr>
            <w:tcW w:w="673" w:type="dxa"/>
            <w:vMerge w:val="continue"/>
            <w:tcBorders>
              <w:top w:val="single" w:color="000000" w:sz="8" w:space="0"/>
              <w:left w:val="nil"/>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themeColor="text1"/>
                <w:sz w:val="20"/>
                <w:szCs w:val="20"/>
                <w:highlight w:val="none"/>
                <w:u w:val="none"/>
                <w14:textFill>
                  <w14:solidFill>
                    <w14:schemeClr w14:val="tx1"/>
                  </w14:solidFill>
                </w14:textFill>
              </w:rPr>
            </w:pPr>
          </w:p>
        </w:tc>
        <w:tc>
          <w:tcPr>
            <w:tcW w:w="483" w:type="dxa"/>
            <w:tcBorders>
              <w:top w:val="nil"/>
              <w:left w:val="nil"/>
              <w:bottom w:val="single" w:color="000000" w:sz="8" w:space="0"/>
              <w:right w:val="single" w:color="000000" w:sz="8" w:space="0"/>
            </w:tcBorders>
            <w:noWrap/>
            <w:vAlign w:val="bottom"/>
          </w:tcPr>
          <w:p>
            <w:pP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c>
          <w:tcPr>
            <w:tcW w:w="417"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0"/>
                <w:szCs w:val="20"/>
                <w:highlight w:val="none"/>
                <w:u w:val="none"/>
                <w14:textFill>
                  <w14:solidFill>
                    <w14:schemeClr w14:val="tx1"/>
                  </w14:solidFill>
                </w14:textFill>
              </w:rPr>
            </w:pPr>
            <w:r>
              <w:rPr>
                <w:rFonts w:hint="eastAsia" w:ascii="宋体" w:hAnsi="宋体" w:eastAsia="宋体" w:cs="宋体"/>
                <w:b/>
                <w:bCs/>
                <w:i w:val="0"/>
                <w:iCs w:val="0"/>
                <w:color w:val="000000" w:themeColor="text1"/>
                <w:kern w:val="0"/>
                <w:sz w:val="20"/>
                <w:szCs w:val="20"/>
                <w:highlight w:val="none"/>
                <w:u w:val="none"/>
                <w:lang w:val="en-US" w:eastAsia="zh-CN" w:bidi="ar"/>
                <w14:textFill>
                  <w14:solidFill>
                    <w14:schemeClr w14:val="tx1"/>
                  </w14:solidFill>
                </w14:textFill>
              </w:rPr>
              <w:t>(M)</w:t>
            </w:r>
          </w:p>
        </w:tc>
        <w:tc>
          <w:tcPr>
            <w:tcW w:w="750" w:type="dxa"/>
            <w:vMerge w:val="continue"/>
            <w:tcBorders>
              <w:top w:val="nil"/>
              <w:left w:val="nil"/>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themeColor="text1"/>
                <w:sz w:val="20"/>
                <w:szCs w:val="20"/>
                <w:highlight w:val="none"/>
                <w:u w:val="none"/>
                <w14:textFill>
                  <w14:solidFill>
                    <w14:schemeClr w14:val="tx1"/>
                  </w14:solidFill>
                </w14:textFill>
              </w:rPr>
            </w:pPr>
          </w:p>
        </w:tc>
        <w:tc>
          <w:tcPr>
            <w:tcW w:w="850" w:type="dxa"/>
            <w:vMerge w:val="continue"/>
            <w:tcBorders>
              <w:top w:val="nil"/>
              <w:left w:val="nil"/>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themeColor="text1"/>
                <w:sz w:val="20"/>
                <w:szCs w:val="20"/>
                <w:highlight w:val="none"/>
                <w:u w:val="none"/>
                <w14:textFill>
                  <w14:solidFill>
                    <w14:schemeClr w14:val="tx1"/>
                  </w14:solidFill>
                </w14:textFill>
              </w:rPr>
            </w:pPr>
          </w:p>
        </w:tc>
        <w:tc>
          <w:tcPr>
            <w:tcW w:w="717" w:type="dxa"/>
            <w:vMerge w:val="continue"/>
            <w:tcBorders>
              <w:top w:val="nil"/>
              <w:left w:val="nil"/>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themeColor="text1"/>
                <w:sz w:val="20"/>
                <w:szCs w:val="20"/>
                <w:highlight w:val="none"/>
                <w:u w:val="none"/>
                <w14:textFill>
                  <w14:solidFill>
                    <w14:schemeClr w14:val="tx1"/>
                  </w14:solidFill>
                </w14:textFill>
              </w:rPr>
            </w:pPr>
          </w:p>
        </w:tc>
        <w:tc>
          <w:tcPr>
            <w:tcW w:w="3566" w:type="dxa"/>
            <w:vMerge w:val="continue"/>
            <w:tcBorders>
              <w:top w:val="single" w:color="000000" w:sz="8" w:space="0"/>
              <w:left w:val="nil"/>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themeColor="text1"/>
                <w:sz w:val="20"/>
                <w:szCs w:val="20"/>
                <w:highlight w:val="none"/>
                <w:u w:val="none"/>
                <w14:textFill>
                  <w14:solidFill>
                    <w14:schemeClr w14:val="tx1"/>
                  </w14:solidFill>
                </w14:textFill>
              </w:rPr>
            </w:pPr>
          </w:p>
        </w:tc>
        <w:tc>
          <w:tcPr>
            <w:tcW w:w="984" w:type="dxa"/>
            <w:vMerge w:val="continue"/>
            <w:tcBorders>
              <w:top w:val="single" w:color="000000" w:sz="8" w:space="0"/>
              <w:left w:val="nil"/>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themeColor="text1"/>
                <w:sz w:val="20"/>
                <w:szCs w:val="20"/>
                <w:highlight w:val="none"/>
                <w:u w:val="none"/>
                <w14:textFill>
                  <w14:solidFill>
                    <w14:schemeClr w14:val="tx1"/>
                  </w14:solidFill>
                </w14:textFill>
              </w:rPr>
            </w:pPr>
          </w:p>
        </w:tc>
        <w:tc>
          <w:tcPr>
            <w:tcW w:w="650" w:type="dxa"/>
            <w:vMerge w:val="continue"/>
            <w:tcBorders>
              <w:top w:val="single" w:color="000000" w:sz="8" w:space="0"/>
              <w:left w:val="nil"/>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themeColor="text1"/>
                <w:sz w:val="20"/>
                <w:szCs w:val="20"/>
                <w:highlight w:val="none"/>
                <w:u w:val="none"/>
                <w14:textFill>
                  <w14:solidFill>
                    <w14:schemeClr w14:val="tx1"/>
                  </w14:solidFill>
                </w14:textFill>
              </w:rPr>
            </w:pPr>
          </w:p>
        </w:tc>
        <w:tc>
          <w:tcPr>
            <w:tcW w:w="466" w:type="dxa"/>
            <w:vMerge w:val="continue"/>
            <w:tcBorders>
              <w:top w:val="single" w:color="000000" w:sz="8" w:space="0"/>
              <w:left w:val="nil"/>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themeColor="text1"/>
                <w:sz w:val="20"/>
                <w:szCs w:val="20"/>
                <w:highlight w:val="none"/>
                <w:u w:val="none"/>
                <w14:textFill>
                  <w14:solidFill>
                    <w14:schemeClr w14:val="tx1"/>
                  </w14:solidFill>
                </w14:textFill>
              </w:rPr>
            </w:pPr>
          </w:p>
        </w:tc>
        <w:tc>
          <w:tcPr>
            <w:tcW w:w="400" w:type="dxa"/>
            <w:vMerge w:val="continue"/>
            <w:tcBorders>
              <w:top w:val="single" w:color="000000" w:sz="8" w:space="0"/>
              <w:left w:val="nil"/>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themeColor="text1"/>
                <w:sz w:val="20"/>
                <w:szCs w:val="20"/>
                <w:highlight w:val="none"/>
                <w:u w:val="none"/>
                <w14:textFill>
                  <w14:solidFill>
                    <w14:schemeClr w14:val="tx1"/>
                  </w14:solidFill>
                </w14:textFill>
              </w:rPr>
            </w:pPr>
          </w:p>
        </w:tc>
        <w:tc>
          <w:tcPr>
            <w:tcW w:w="450" w:type="dxa"/>
            <w:vMerge w:val="continue"/>
            <w:tcBorders>
              <w:top w:val="single" w:color="000000" w:sz="8" w:space="0"/>
              <w:left w:val="nil"/>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themeColor="text1"/>
                <w:sz w:val="20"/>
                <w:szCs w:val="20"/>
                <w:highlight w:val="none"/>
                <w:u w:val="none"/>
                <w14:textFill>
                  <w14:solidFill>
                    <w14:schemeClr w14:val="tx1"/>
                  </w14:solidFill>
                </w14:textFill>
              </w:rPr>
            </w:pPr>
          </w:p>
        </w:tc>
        <w:tc>
          <w:tcPr>
            <w:tcW w:w="802" w:type="dxa"/>
            <w:vMerge w:val="continue"/>
            <w:tcBorders>
              <w:top w:val="single" w:color="000000" w:sz="8" w:space="0"/>
              <w:left w:val="nil"/>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themeColor="text1"/>
                <w:sz w:val="20"/>
                <w:szCs w:val="20"/>
                <w:highlight w:val="none"/>
                <w:u w:val="none"/>
                <w14:textFill>
                  <w14:solidFill>
                    <w14:schemeClr w14:val="tx1"/>
                  </w14:solidFill>
                </w14:textFill>
              </w:rPr>
            </w:pPr>
          </w:p>
        </w:tc>
        <w:tc>
          <w:tcPr>
            <w:tcW w:w="782" w:type="dxa"/>
            <w:vMerge w:val="continue"/>
            <w:tcBorders>
              <w:top w:val="single" w:color="000000" w:sz="8" w:space="0"/>
              <w:left w:val="nil"/>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themeColor="text1"/>
                <w:sz w:val="20"/>
                <w:szCs w:val="20"/>
                <w:highlight w:val="none"/>
                <w:u w:val="none"/>
                <w14:textFill>
                  <w14:solidFill>
                    <w14:schemeClr w14:val="tx1"/>
                  </w14:solidFill>
                </w14:textFill>
              </w:rPr>
            </w:pPr>
          </w:p>
        </w:tc>
        <w:tc>
          <w:tcPr>
            <w:tcW w:w="533" w:type="dxa"/>
            <w:vMerge w:val="continue"/>
            <w:tcBorders>
              <w:top w:val="single" w:color="000000" w:sz="8" w:space="0"/>
              <w:left w:val="nil"/>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themeColor="text1"/>
                <w:sz w:val="20"/>
                <w:szCs w:val="20"/>
                <w:highlight w:val="none"/>
                <w:u w:val="none"/>
                <w14:textFill>
                  <w14:solidFill>
                    <w14:schemeClr w14:val="tx1"/>
                  </w14:solidFill>
                </w14:textFill>
              </w:rPr>
            </w:pPr>
          </w:p>
        </w:tc>
        <w:tc>
          <w:tcPr>
            <w:tcW w:w="600" w:type="dxa"/>
            <w:vMerge w:val="continue"/>
            <w:tcBorders>
              <w:top w:val="single" w:color="000000" w:sz="8" w:space="0"/>
              <w:left w:val="nil"/>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themeColor="text1"/>
                <w:sz w:val="20"/>
                <w:szCs w:val="20"/>
                <w:highlight w:val="none"/>
                <w:u w:val="none"/>
                <w14:textFill>
                  <w14:solidFill>
                    <w14:schemeClr w14:val="tx1"/>
                  </w14:solidFill>
                </w14:textFill>
              </w:rPr>
            </w:pPr>
          </w:p>
        </w:tc>
        <w:tc>
          <w:tcPr>
            <w:tcW w:w="1050" w:type="dxa"/>
            <w:vMerge w:val="continue"/>
            <w:tcBorders>
              <w:top w:val="single" w:color="000000" w:sz="8" w:space="0"/>
              <w:left w:val="nil"/>
              <w:bottom w:val="single" w:color="000000" w:sz="8" w:space="0"/>
              <w:right w:val="single" w:color="000000" w:sz="8" w:space="0"/>
            </w:tcBorders>
            <w:noWrap w:val="0"/>
            <w:vAlign w:val="center"/>
          </w:tcPr>
          <w:p>
            <w:pPr>
              <w:jc w:val="center"/>
              <w:rPr>
                <w:rFonts w:hint="eastAsia" w:ascii="宋体" w:hAnsi="宋体" w:eastAsia="宋体" w:cs="宋体"/>
                <w:b/>
                <w:bCs/>
                <w:i w:val="0"/>
                <w:iCs w:val="0"/>
                <w:color w:val="000000" w:themeColor="text1"/>
                <w:sz w:val="20"/>
                <w:szCs w:val="20"/>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0" w:hRule="atLeast"/>
        </w:trPr>
        <w:tc>
          <w:tcPr>
            <w:tcW w:w="35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w:t>
            </w:r>
          </w:p>
        </w:tc>
        <w:tc>
          <w:tcPr>
            <w:tcW w:w="494"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沈北桥</w:t>
            </w:r>
          </w:p>
        </w:tc>
        <w:tc>
          <w:tcPr>
            <w:tcW w:w="494"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2014</w:t>
            </w:r>
          </w:p>
        </w:tc>
        <w:tc>
          <w:tcPr>
            <w:tcW w:w="67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陆家河</w:t>
            </w:r>
          </w:p>
        </w:tc>
        <w:tc>
          <w:tcPr>
            <w:tcW w:w="48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长浜路</w:t>
            </w:r>
          </w:p>
        </w:tc>
        <w:tc>
          <w:tcPr>
            <w:tcW w:w="41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20</w:t>
            </w:r>
          </w:p>
        </w:tc>
        <w:tc>
          <w:tcPr>
            <w:tcW w:w="75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单跨/20</w:t>
            </w:r>
          </w:p>
        </w:tc>
        <w:tc>
          <w:tcPr>
            <w:tcW w:w="85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36.5</w:t>
            </w:r>
          </w:p>
        </w:tc>
        <w:tc>
          <w:tcPr>
            <w:tcW w:w="71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730</w:t>
            </w:r>
          </w:p>
        </w:tc>
        <w:tc>
          <w:tcPr>
            <w:tcW w:w="356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（自西向东）0.25m(栏杆)+2.5m(人行道）+3.5m机非混行车道+1.5m机非隔离带+9.5m机动车道+2.5m中央分隔带+7.5m机动车道+1.5m机非隔离带+3.5m机非混行车道+4m人行道+0.25m栏杆</w:t>
            </w:r>
          </w:p>
        </w:tc>
        <w:tc>
          <w:tcPr>
            <w:tcW w:w="984"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公路—II级</w:t>
            </w:r>
          </w:p>
        </w:tc>
        <w:tc>
          <w:tcPr>
            <w:tcW w:w="650"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c>
          <w:tcPr>
            <w:tcW w:w="466"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c>
          <w:tcPr>
            <w:tcW w:w="40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简支</w:t>
            </w:r>
          </w:p>
        </w:tc>
        <w:tc>
          <w:tcPr>
            <w:tcW w:w="45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重力式</w:t>
            </w:r>
          </w:p>
        </w:tc>
        <w:tc>
          <w:tcPr>
            <w:tcW w:w="80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10cmC50防水砼+防水层+5cm细粒式沥青砼</w:t>
            </w:r>
          </w:p>
        </w:tc>
        <w:tc>
          <w:tcPr>
            <w:tcW w:w="78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花岗岩</w:t>
            </w:r>
          </w:p>
        </w:tc>
        <w:tc>
          <w:tcPr>
            <w:tcW w:w="53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50.28</w:t>
            </w:r>
          </w:p>
        </w:tc>
        <w:tc>
          <w:tcPr>
            <w:tcW w:w="60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C型钢</w:t>
            </w:r>
          </w:p>
        </w:tc>
        <w:tc>
          <w:tcPr>
            <w:tcW w:w="105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61.4/2;14/2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0" w:hRule="atLeast"/>
        </w:trPr>
        <w:tc>
          <w:tcPr>
            <w:tcW w:w="35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w:t>
            </w:r>
          </w:p>
        </w:tc>
        <w:tc>
          <w:tcPr>
            <w:tcW w:w="494"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便桥</w:t>
            </w:r>
          </w:p>
        </w:tc>
        <w:tc>
          <w:tcPr>
            <w:tcW w:w="494"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2018</w:t>
            </w:r>
          </w:p>
        </w:tc>
        <w:tc>
          <w:tcPr>
            <w:tcW w:w="67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长浜河</w:t>
            </w:r>
          </w:p>
        </w:tc>
        <w:tc>
          <w:tcPr>
            <w:tcW w:w="48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长浜路</w:t>
            </w:r>
          </w:p>
        </w:tc>
        <w:tc>
          <w:tcPr>
            <w:tcW w:w="41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24.54</w:t>
            </w:r>
          </w:p>
        </w:tc>
        <w:tc>
          <w:tcPr>
            <w:tcW w:w="75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3/6+8+6</w:t>
            </w:r>
          </w:p>
        </w:tc>
        <w:tc>
          <w:tcPr>
            <w:tcW w:w="85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36</w:t>
            </w:r>
          </w:p>
        </w:tc>
        <w:tc>
          <w:tcPr>
            <w:tcW w:w="71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720</w:t>
            </w:r>
          </w:p>
        </w:tc>
        <w:tc>
          <w:tcPr>
            <w:tcW w:w="356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3m(人和栏))+3.5m(非)+1.5m(绿)+10.5m(机)+1m(绿)+8.5m(机)+1.5m(绿)+3.5m(非)+</w:t>
            </w:r>
          </w:p>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3m(人和栏)</w:t>
            </w:r>
          </w:p>
        </w:tc>
        <w:tc>
          <w:tcPr>
            <w:tcW w:w="984"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城-A</w:t>
            </w:r>
          </w:p>
        </w:tc>
        <w:tc>
          <w:tcPr>
            <w:tcW w:w="65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钢筋混凝土</w:t>
            </w:r>
          </w:p>
        </w:tc>
        <w:tc>
          <w:tcPr>
            <w:tcW w:w="466"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c>
          <w:tcPr>
            <w:tcW w:w="40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装配式后张法预应力混凝土简支空心板</w:t>
            </w:r>
          </w:p>
        </w:tc>
        <w:tc>
          <w:tcPr>
            <w:tcW w:w="45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重力式</w:t>
            </w:r>
          </w:p>
        </w:tc>
        <w:tc>
          <w:tcPr>
            <w:tcW w:w="80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8cmC40防水砼+5cm沥青混凝土</w:t>
            </w:r>
          </w:p>
        </w:tc>
        <w:tc>
          <w:tcPr>
            <w:tcW w:w="78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青石</w:t>
            </w:r>
          </w:p>
        </w:tc>
        <w:tc>
          <w:tcPr>
            <w:tcW w:w="53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49.1</w:t>
            </w:r>
          </w:p>
        </w:tc>
        <w:tc>
          <w:tcPr>
            <w:tcW w:w="60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C-40型钢</w:t>
            </w:r>
          </w:p>
        </w:tc>
        <w:tc>
          <w:tcPr>
            <w:tcW w:w="105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0" w:hRule="atLeast"/>
        </w:trPr>
        <w:tc>
          <w:tcPr>
            <w:tcW w:w="35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w:t>
            </w:r>
          </w:p>
        </w:tc>
        <w:tc>
          <w:tcPr>
            <w:tcW w:w="494"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庙桥港桥</w:t>
            </w:r>
          </w:p>
        </w:tc>
        <w:tc>
          <w:tcPr>
            <w:tcW w:w="494"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2019</w:t>
            </w:r>
          </w:p>
        </w:tc>
        <w:tc>
          <w:tcPr>
            <w:tcW w:w="67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庙桥港</w:t>
            </w:r>
          </w:p>
        </w:tc>
        <w:tc>
          <w:tcPr>
            <w:tcW w:w="48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长浜路</w:t>
            </w:r>
          </w:p>
        </w:tc>
        <w:tc>
          <w:tcPr>
            <w:tcW w:w="41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24.54</w:t>
            </w:r>
          </w:p>
        </w:tc>
        <w:tc>
          <w:tcPr>
            <w:tcW w:w="75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单跨/20</w:t>
            </w:r>
          </w:p>
        </w:tc>
        <w:tc>
          <w:tcPr>
            <w:tcW w:w="85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36</w:t>
            </w:r>
          </w:p>
        </w:tc>
        <w:tc>
          <w:tcPr>
            <w:tcW w:w="71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883.44</w:t>
            </w:r>
          </w:p>
        </w:tc>
        <w:tc>
          <w:tcPr>
            <w:tcW w:w="356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3m(人和栏))+3.5m(非)+1.5m(绿)+8.5m(机)+3m(绿)+8.5m(机)+1.5m(绿)+3.5m(非)+</w:t>
            </w:r>
          </w:p>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3m(人和栏)</w:t>
            </w:r>
          </w:p>
        </w:tc>
        <w:tc>
          <w:tcPr>
            <w:tcW w:w="984"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城-A</w:t>
            </w:r>
          </w:p>
        </w:tc>
        <w:tc>
          <w:tcPr>
            <w:tcW w:w="65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钢筋混凝土</w:t>
            </w:r>
          </w:p>
        </w:tc>
        <w:tc>
          <w:tcPr>
            <w:tcW w:w="466"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c>
          <w:tcPr>
            <w:tcW w:w="40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装配式后张法预应力混凝土简支空心板</w:t>
            </w:r>
          </w:p>
        </w:tc>
        <w:tc>
          <w:tcPr>
            <w:tcW w:w="45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重力式</w:t>
            </w:r>
          </w:p>
        </w:tc>
        <w:tc>
          <w:tcPr>
            <w:tcW w:w="80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沥青砼</w:t>
            </w:r>
          </w:p>
        </w:tc>
        <w:tc>
          <w:tcPr>
            <w:tcW w:w="78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青石</w:t>
            </w:r>
          </w:p>
        </w:tc>
        <w:tc>
          <w:tcPr>
            <w:tcW w:w="53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49.1</w:t>
            </w:r>
          </w:p>
        </w:tc>
        <w:tc>
          <w:tcPr>
            <w:tcW w:w="60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C-40型钢</w:t>
            </w:r>
          </w:p>
        </w:tc>
        <w:tc>
          <w:tcPr>
            <w:tcW w:w="105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0" w:hRule="atLeast"/>
        </w:trPr>
        <w:tc>
          <w:tcPr>
            <w:tcW w:w="35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4</w:t>
            </w:r>
          </w:p>
        </w:tc>
        <w:tc>
          <w:tcPr>
            <w:tcW w:w="494"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甘石桥</w:t>
            </w:r>
          </w:p>
        </w:tc>
        <w:tc>
          <w:tcPr>
            <w:tcW w:w="494"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2022</w:t>
            </w:r>
          </w:p>
        </w:tc>
        <w:tc>
          <w:tcPr>
            <w:tcW w:w="67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安桥港</w:t>
            </w:r>
          </w:p>
        </w:tc>
        <w:tc>
          <w:tcPr>
            <w:tcW w:w="48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长浜路</w:t>
            </w:r>
          </w:p>
        </w:tc>
        <w:tc>
          <w:tcPr>
            <w:tcW w:w="41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45.6</w:t>
            </w:r>
          </w:p>
        </w:tc>
        <w:tc>
          <w:tcPr>
            <w:tcW w:w="75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单跨20</w:t>
            </w:r>
          </w:p>
        </w:tc>
        <w:tc>
          <w:tcPr>
            <w:tcW w:w="85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36</w:t>
            </w:r>
          </w:p>
        </w:tc>
        <w:tc>
          <w:tcPr>
            <w:tcW w:w="71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1642</w:t>
            </w:r>
          </w:p>
        </w:tc>
        <w:tc>
          <w:tcPr>
            <w:tcW w:w="356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2.5人+3.5非+1.5绿+12.5机+1绿+7机+1.5绿+3.5非+3人</w:t>
            </w:r>
          </w:p>
        </w:tc>
        <w:tc>
          <w:tcPr>
            <w:tcW w:w="984"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城-A级</w:t>
            </w:r>
          </w:p>
        </w:tc>
        <w:tc>
          <w:tcPr>
            <w:tcW w:w="65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钢结构</w:t>
            </w:r>
          </w:p>
        </w:tc>
        <w:tc>
          <w:tcPr>
            <w:tcW w:w="46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钻孔灌注桩</w:t>
            </w:r>
          </w:p>
        </w:tc>
        <w:tc>
          <w:tcPr>
            <w:tcW w:w="40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钢简支梁</w:t>
            </w:r>
          </w:p>
        </w:tc>
        <w:tc>
          <w:tcPr>
            <w:tcW w:w="45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埋置式桥台</w:t>
            </w:r>
          </w:p>
        </w:tc>
        <w:tc>
          <w:tcPr>
            <w:tcW w:w="80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沥青混凝土</w:t>
            </w:r>
          </w:p>
        </w:tc>
        <w:tc>
          <w:tcPr>
            <w:tcW w:w="78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铸造石</w:t>
            </w:r>
          </w:p>
        </w:tc>
        <w:tc>
          <w:tcPr>
            <w:tcW w:w="53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80</w:t>
            </w:r>
          </w:p>
        </w:tc>
        <w:tc>
          <w:tcPr>
            <w:tcW w:w="60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D40型钢</w:t>
            </w:r>
          </w:p>
        </w:tc>
        <w:tc>
          <w:tcPr>
            <w:tcW w:w="105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0" w:hRule="atLeast"/>
        </w:trPr>
        <w:tc>
          <w:tcPr>
            <w:tcW w:w="35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5</w:t>
            </w:r>
          </w:p>
        </w:tc>
        <w:tc>
          <w:tcPr>
            <w:tcW w:w="494"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颜家港桥(香积寺东路)</w:t>
            </w:r>
          </w:p>
        </w:tc>
        <w:tc>
          <w:tcPr>
            <w:tcW w:w="494"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2001</w:t>
            </w:r>
          </w:p>
        </w:tc>
        <w:tc>
          <w:tcPr>
            <w:tcW w:w="67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东新河</w:t>
            </w:r>
          </w:p>
        </w:tc>
        <w:tc>
          <w:tcPr>
            <w:tcW w:w="48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香积寺东路</w:t>
            </w:r>
          </w:p>
        </w:tc>
        <w:tc>
          <w:tcPr>
            <w:tcW w:w="41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32</w:t>
            </w:r>
          </w:p>
        </w:tc>
        <w:tc>
          <w:tcPr>
            <w:tcW w:w="75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2/16</w:t>
            </w:r>
          </w:p>
        </w:tc>
        <w:tc>
          <w:tcPr>
            <w:tcW w:w="85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24.1</w:t>
            </w:r>
          </w:p>
        </w:tc>
        <w:tc>
          <w:tcPr>
            <w:tcW w:w="71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771.2</w:t>
            </w:r>
          </w:p>
        </w:tc>
        <w:tc>
          <w:tcPr>
            <w:tcW w:w="356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0.3m（栏）+3.7m（人）+3.0m（非）+10.0m（机）+2.6m（非）+3.7m（人）+0.3m（栏）</w:t>
            </w:r>
          </w:p>
        </w:tc>
        <w:tc>
          <w:tcPr>
            <w:tcW w:w="984"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汽-20 挂-100</w:t>
            </w:r>
          </w:p>
        </w:tc>
        <w:tc>
          <w:tcPr>
            <w:tcW w:w="65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钢筋混凝土</w:t>
            </w:r>
          </w:p>
        </w:tc>
        <w:tc>
          <w:tcPr>
            <w:tcW w:w="466"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c>
          <w:tcPr>
            <w:tcW w:w="40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预应力力空心板</w:t>
            </w:r>
          </w:p>
        </w:tc>
        <w:tc>
          <w:tcPr>
            <w:tcW w:w="45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重力式桥台</w:t>
            </w:r>
          </w:p>
        </w:tc>
        <w:tc>
          <w:tcPr>
            <w:tcW w:w="80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沥青混凝土</w:t>
            </w:r>
          </w:p>
        </w:tc>
        <w:tc>
          <w:tcPr>
            <w:tcW w:w="78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石材</w:t>
            </w:r>
          </w:p>
        </w:tc>
        <w:tc>
          <w:tcPr>
            <w:tcW w:w="53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35.4</w:t>
            </w:r>
          </w:p>
        </w:tc>
        <w:tc>
          <w:tcPr>
            <w:tcW w:w="60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型钢</w:t>
            </w:r>
          </w:p>
        </w:tc>
        <w:tc>
          <w:tcPr>
            <w:tcW w:w="105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0" w:hRule="atLeast"/>
        </w:trPr>
        <w:tc>
          <w:tcPr>
            <w:tcW w:w="35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6</w:t>
            </w:r>
          </w:p>
        </w:tc>
        <w:tc>
          <w:tcPr>
            <w:tcW w:w="494"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农灌渠桥</w:t>
            </w:r>
          </w:p>
        </w:tc>
        <w:tc>
          <w:tcPr>
            <w:tcW w:w="494"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2001</w:t>
            </w:r>
          </w:p>
        </w:tc>
        <w:tc>
          <w:tcPr>
            <w:tcW w:w="67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红西河</w:t>
            </w:r>
          </w:p>
        </w:tc>
        <w:tc>
          <w:tcPr>
            <w:tcW w:w="48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香积寺路</w:t>
            </w:r>
          </w:p>
        </w:tc>
        <w:tc>
          <w:tcPr>
            <w:tcW w:w="41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16</w:t>
            </w:r>
          </w:p>
        </w:tc>
        <w:tc>
          <w:tcPr>
            <w:tcW w:w="75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22</w:t>
            </w:r>
          </w:p>
        </w:tc>
        <w:tc>
          <w:tcPr>
            <w:tcW w:w="85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30.1</w:t>
            </w:r>
          </w:p>
        </w:tc>
        <w:tc>
          <w:tcPr>
            <w:tcW w:w="71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481.6</w:t>
            </w:r>
          </w:p>
        </w:tc>
        <w:tc>
          <w:tcPr>
            <w:tcW w:w="356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6.05m（人+栏）+18m（机）+6.05m（人+栏）</w:t>
            </w:r>
          </w:p>
        </w:tc>
        <w:tc>
          <w:tcPr>
            <w:tcW w:w="984"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汽-20 挂-100</w:t>
            </w:r>
          </w:p>
        </w:tc>
        <w:tc>
          <w:tcPr>
            <w:tcW w:w="65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钢筋混凝土</w:t>
            </w:r>
          </w:p>
        </w:tc>
        <w:tc>
          <w:tcPr>
            <w:tcW w:w="466"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c>
          <w:tcPr>
            <w:tcW w:w="40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单跨简支粱</w:t>
            </w:r>
          </w:p>
        </w:tc>
        <w:tc>
          <w:tcPr>
            <w:tcW w:w="45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重力式桥台</w:t>
            </w:r>
          </w:p>
        </w:tc>
        <w:tc>
          <w:tcPr>
            <w:tcW w:w="80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沥青混凝土</w:t>
            </w:r>
          </w:p>
        </w:tc>
        <w:tc>
          <w:tcPr>
            <w:tcW w:w="78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石材</w:t>
            </w:r>
          </w:p>
        </w:tc>
        <w:tc>
          <w:tcPr>
            <w:tcW w:w="53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32</w:t>
            </w:r>
          </w:p>
        </w:tc>
        <w:tc>
          <w:tcPr>
            <w:tcW w:w="60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型钢</w:t>
            </w:r>
          </w:p>
        </w:tc>
        <w:tc>
          <w:tcPr>
            <w:tcW w:w="105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0" w:hRule="atLeast"/>
        </w:trPr>
        <w:tc>
          <w:tcPr>
            <w:tcW w:w="35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7</w:t>
            </w:r>
          </w:p>
        </w:tc>
        <w:tc>
          <w:tcPr>
            <w:tcW w:w="494"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西湖漾河桥</w:t>
            </w:r>
          </w:p>
        </w:tc>
        <w:tc>
          <w:tcPr>
            <w:tcW w:w="494"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2006</w:t>
            </w:r>
          </w:p>
        </w:tc>
        <w:tc>
          <w:tcPr>
            <w:tcW w:w="67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西湖漾河</w:t>
            </w:r>
          </w:p>
        </w:tc>
        <w:tc>
          <w:tcPr>
            <w:tcW w:w="48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白石巷</w:t>
            </w:r>
          </w:p>
        </w:tc>
        <w:tc>
          <w:tcPr>
            <w:tcW w:w="41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25</w:t>
            </w:r>
          </w:p>
        </w:tc>
        <w:tc>
          <w:tcPr>
            <w:tcW w:w="75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1/25</w:t>
            </w:r>
          </w:p>
        </w:tc>
        <w:tc>
          <w:tcPr>
            <w:tcW w:w="85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33</w:t>
            </w:r>
          </w:p>
        </w:tc>
        <w:tc>
          <w:tcPr>
            <w:tcW w:w="71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825</w:t>
            </w:r>
          </w:p>
        </w:tc>
        <w:tc>
          <w:tcPr>
            <w:tcW w:w="356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0.25（栏）+4(人）+10.5（车）+3（隔）+10.5（车）+4（人）+0.25（栏）</w:t>
            </w:r>
          </w:p>
        </w:tc>
        <w:tc>
          <w:tcPr>
            <w:tcW w:w="984"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城-B级</w:t>
            </w:r>
          </w:p>
        </w:tc>
        <w:tc>
          <w:tcPr>
            <w:tcW w:w="65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钢筋混凝土</w:t>
            </w:r>
          </w:p>
        </w:tc>
        <w:tc>
          <w:tcPr>
            <w:tcW w:w="46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钻孔灌注桩</w:t>
            </w:r>
          </w:p>
        </w:tc>
        <w:tc>
          <w:tcPr>
            <w:tcW w:w="40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预应力力空心板</w:t>
            </w:r>
          </w:p>
        </w:tc>
        <w:tc>
          <w:tcPr>
            <w:tcW w:w="45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重力式U型桥台</w:t>
            </w:r>
          </w:p>
        </w:tc>
        <w:tc>
          <w:tcPr>
            <w:tcW w:w="80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沥青混凝土</w:t>
            </w:r>
          </w:p>
        </w:tc>
        <w:tc>
          <w:tcPr>
            <w:tcW w:w="78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石材</w:t>
            </w:r>
          </w:p>
        </w:tc>
        <w:tc>
          <w:tcPr>
            <w:tcW w:w="53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50</w:t>
            </w:r>
          </w:p>
        </w:tc>
        <w:tc>
          <w:tcPr>
            <w:tcW w:w="60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C40型钢</w:t>
            </w:r>
          </w:p>
        </w:tc>
        <w:tc>
          <w:tcPr>
            <w:tcW w:w="105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43m/2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0" w:hRule="atLeast"/>
        </w:trPr>
        <w:tc>
          <w:tcPr>
            <w:tcW w:w="35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8</w:t>
            </w:r>
          </w:p>
        </w:tc>
        <w:tc>
          <w:tcPr>
            <w:tcW w:w="494"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杜家河桥（白石巷）</w:t>
            </w:r>
          </w:p>
        </w:tc>
        <w:tc>
          <w:tcPr>
            <w:tcW w:w="494"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2006</w:t>
            </w:r>
          </w:p>
        </w:tc>
        <w:tc>
          <w:tcPr>
            <w:tcW w:w="67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横河港</w:t>
            </w:r>
          </w:p>
        </w:tc>
        <w:tc>
          <w:tcPr>
            <w:tcW w:w="48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白石巷</w:t>
            </w:r>
          </w:p>
        </w:tc>
        <w:tc>
          <w:tcPr>
            <w:tcW w:w="41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16</w:t>
            </w:r>
          </w:p>
        </w:tc>
        <w:tc>
          <w:tcPr>
            <w:tcW w:w="75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1/16</w:t>
            </w:r>
          </w:p>
        </w:tc>
        <w:tc>
          <w:tcPr>
            <w:tcW w:w="85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32.5</w:t>
            </w:r>
          </w:p>
        </w:tc>
        <w:tc>
          <w:tcPr>
            <w:tcW w:w="71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520</w:t>
            </w:r>
          </w:p>
        </w:tc>
        <w:tc>
          <w:tcPr>
            <w:tcW w:w="356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0.25m（栏）+4m(人）+3m（非）+7.5m（机）+3m（绿）+7.5m（机）+3m（非）+4m（人）+0.25m（栏）</w:t>
            </w:r>
          </w:p>
        </w:tc>
        <w:tc>
          <w:tcPr>
            <w:tcW w:w="984"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城-B级</w:t>
            </w:r>
          </w:p>
        </w:tc>
        <w:tc>
          <w:tcPr>
            <w:tcW w:w="65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钢筋混凝土</w:t>
            </w:r>
          </w:p>
        </w:tc>
        <w:tc>
          <w:tcPr>
            <w:tcW w:w="466"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c>
          <w:tcPr>
            <w:tcW w:w="40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预应力混凝土空心板梁</w:t>
            </w:r>
          </w:p>
        </w:tc>
        <w:tc>
          <w:tcPr>
            <w:tcW w:w="45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重力式桥台</w:t>
            </w:r>
          </w:p>
        </w:tc>
        <w:tc>
          <w:tcPr>
            <w:tcW w:w="80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沥青混凝土</w:t>
            </w:r>
          </w:p>
        </w:tc>
        <w:tc>
          <w:tcPr>
            <w:tcW w:w="78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石材</w:t>
            </w:r>
          </w:p>
        </w:tc>
        <w:tc>
          <w:tcPr>
            <w:tcW w:w="53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32</w:t>
            </w:r>
          </w:p>
        </w:tc>
        <w:tc>
          <w:tcPr>
            <w:tcW w:w="60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型钢</w:t>
            </w:r>
          </w:p>
        </w:tc>
        <w:tc>
          <w:tcPr>
            <w:tcW w:w="105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42/2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0" w:hRule="atLeast"/>
        </w:trPr>
        <w:tc>
          <w:tcPr>
            <w:tcW w:w="35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9</w:t>
            </w:r>
          </w:p>
        </w:tc>
        <w:tc>
          <w:tcPr>
            <w:tcW w:w="494"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颜家港桥     （东新路）</w:t>
            </w:r>
          </w:p>
        </w:tc>
        <w:tc>
          <w:tcPr>
            <w:tcW w:w="494"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2001</w:t>
            </w:r>
          </w:p>
        </w:tc>
        <w:tc>
          <w:tcPr>
            <w:tcW w:w="67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颜家港河</w:t>
            </w:r>
          </w:p>
        </w:tc>
        <w:tc>
          <w:tcPr>
            <w:tcW w:w="48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东新路</w:t>
            </w:r>
          </w:p>
        </w:tc>
        <w:tc>
          <w:tcPr>
            <w:tcW w:w="41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31</w:t>
            </w:r>
          </w:p>
        </w:tc>
        <w:tc>
          <w:tcPr>
            <w:tcW w:w="75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单跨23</w:t>
            </w:r>
          </w:p>
        </w:tc>
        <w:tc>
          <w:tcPr>
            <w:tcW w:w="85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40.4</w:t>
            </w:r>
          </w:p>
        </w:tc>
        <w:tc>
          <w:tcPr>
            <w:tcW w:w="71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1252</w:t>
            </w:r>
          </w:p>
        </w:tc>
        <w:tc>
          <w:tcPr>
            <w:tcW w:w="356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3.2人+3.5非+1.5绿+10.5机+3隔+10.5机+1.5绿+3.5非+3.2人</w:t>
            </w:r>
          </w:p>
        </w:tc>
        <w:tc>
          <w:tcPr>
            <w:tcW w:w="984"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城-A级</w:t>
            </w:r>
          </w:p>
        </w:tc>
        <w:tc>
          <w:tcPr>
            <w:tcW w:w="65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预应力钢筋砼</w:t>
            </w:r>
          </w:p>
        </w:tc>
        <w:tc>
          <w:tcPr>
            <w:tcW w:w="46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钻孔灌注桩</w:t>
            </w:r>
          </w:p>
        </w:tc>
        <w:tc>
          <w:tcPr>
            <w:tcW w:w="40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预应力混凝土空心板梁</w:t>
            </w:r>
          </w:p>
        </w:tc>
        <w:tc>
          <w:tcPr>
            <w:tcW w:w="45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重力式桥台</w:t>
            </w:r>
          </w:p>
        </w:tc>
        <w:tc>
          <w:tcPr>
            <w:tcW w:w="80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沥青混凝土</w:t>
            </w:r>
          </w:p>
        </w:tc>
        <w:tc>
          <w:tcPr>
            <w:tcW w:w="78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铸造石</w:t>
            </w:r>
          </w:p>
        </w:tc>
        <w:tc>
          <w:tcPr>
            <w:tcW w:w="53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52</w:t>
            </w:r>
          </w:p>
        </w:tc>
        <w:tc>
          <w:tcPr>
            <w:tcW w:w="60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C40型钢</w:t>
            </w:r>
          </w:p>
        </w:tc>
        <w:tc>
          <w:tcPr>
            <w:tcW w:w="105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0" w:hRule="atLeast"/>
        </w:trPr>
        <w:tc>
          <w:tcPr>
            <w:tcW w:w="35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10</w:t>
            </w:r>
          </w:p>
        </w:tc>
        <w:tc>
          <w:tcPr>
            <w:tcW w:w="494"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杜家港桥</w:t>
            </w:r>
          </w:p>
        </w:tc>
        <w:tc>
          <w:tcPr>
            <w:tcW w:w="494"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2001</w:t>
            </w:r>
          </w:p>
        </w:tc>
        <w:tc>
          <w:tcPr>
            <w:tcW w:w="67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东新河</w:t>
            </w:r>
          </w:p>
        </w:tc>
        <w:tc>
          <w:tcPr>
            <w:tcW w:w="48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东新路</w:t>
            </w:r>
          </w:p>
        </w:tc>
        <w:tc>
          <w:tcPr>
            <w:tcW w:w="41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17.12</w:t>
            </w:r>
          </w:p>
        </w:tc>
        <w:tc>
          <w:tcPr>
            <w:tcW w:w="75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17.12</w:t>
            </w:r>
          </w:p>
        </w:tc>
        <w:tc>
          <w:tcPr>
            <w:tcW w:w="85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40</w:t>
            </w:r>
          </w:p>
        </w:tc>
        <w:tc>
          <w:tcPr>
            <w:tcW w:w="71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684.8</w:t>
            </w:r>
          </w:p>
        </w:tc>
        <w:tc>
          <w:tcPr>
            <w:tcW w:w="356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3.2-4.5-1.5-8.5-1.5-4.5-3.2</w:t>
            </w:r>
          </w:p>
        </w:tc>
        <w:tc>
          <w:tcPr>
            <w:tcW w:w="984"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汽-20 挂-100</w:t>
            </w:r>
          </w:p>
        </w:tc>
        <w:tc>
          <w:tcPr>
            <w:tcW w:w="65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钢筋混凝土</w:t>
            </w:r>
          </w:p>
        </w:tc>
        <w:tc>
          <w:tcPr>
            <w:tcW w:w="466"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c>
          <w:tcPr>
            <w:tcW w:w="40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预应力钢筋砼</w:t>
            </w:r>
          </w:p>
        </w:tc>
        <w:tc>
          <w:tcPr>
            <w:tcW w:w="45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U型桥台</w:t>
            </w:r>
          </w:p>
        </w:tc>
        <w:tc>
          <w:tcPr>
            <w:tcW w:w="80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沥青混凝土</w:t>
            </w:r>
          </w:p>
        </w:tc>
        <w:tc>
          <w:tcPr>
            <w:tcW w:w="78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石 质</w:t>
            </w:r>
          </w:p>
        </w:tc>
        <w:tc>
          <w:tcPr>
            <w:tcW w:w="53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34.4</w:t>
            </w:r>
          </w:p>
        </w:tc>
        <w:tc>
          <w:tcPr>
            <w:tcW w:w="60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型钢</w:t>
            </w:r>
          </w:p>
        </w:tc>
        <w:tc>
          <w:tcPr>
            <w:tcW w:w="105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00" w:hRule="atLeast"/>
        </w:trPr>
        <w:tc>
          <w:tcPr>
            <w:tcW w:w="35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11</w:t>
            </w:r>
          </w:p>
        </w:tc>
        <w:tc>
          <w:tcPr>
            <w:tcW w:w="494"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六塘汶洋桥</w:t>
            </w:r>
          </w:p>
        </w:tc>
        <w:tc>
          <w:tcPr>
            <w:tcW w:w="494"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2001</w:t>
            </w:r>
          </w:p>
        </w:tc>
        <w:tc>
          <w:tcPr>
            <w:tcW w:w="67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六塘汶漾</w:t>
            </w:r>
          </w:p>
        </w:tc>
        <w:tc>
          <w:tcPr>
            <w:tcW w:w="48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东新路</w:t>
            </w:r>
          </w:p>
        </w:tc>
        <w:tc>
          <w:tcPr>
            <w:tcW w:w="41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26.52</w:t>
            </w:r>
          </w:p>
        </w:tc>
        <w:tc>
          <w:tcPr>
            <w:tcW w:w="75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26.52</w:t>
            </w:r>
          </w:p>
        </w:tc>
        <w:tc>
          <w:tcPr>
            <w:tcW w:w="85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40.4</w:t>
            </w:r>
          </w:p>
        </w:tc>
        <w:tc>
          <w:tcPr>
            <w:tcW w:w="71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1058.48</w:t>
            </w:r>
          </w:p>
        </w:tc>
        <w:tc>
          <w:tcPr>
            <w:tcW w:w="356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3.2-4.5-1.5-8.5-1.5-4.5-3.2</w:t>
            </w:r>
          </w:p>
        </w:tc>
        <w:tc>
          <w:tcPr>
            <w:tcW w:w="984"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汽-20 挂-100</w:t>
            </w:r>
          </w:p>
        </w:tc>
        <w:tc>
          <w:tcPr>
            <w:tcW w:w="65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钢筋混凝土</w:t>
            </w:r>
          </w:p>
        </w:tc>
        <w:tc>
          <w:tcPr>
            <w:tcW w:w="466"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c>
          <w:tcPr>
            <w:tcW w:w="40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预应力钢筋砼</w:t>
            </w:r>
          </w:p>
        </w:tc>
        <w:tc>
          <w:tcPr>
            <w:tcW w:w="45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U型桥台</w:t>
            </w:r>
          </w:p>
        </w:tc>
        <w:tc>
          <w:tcPr>
            <w:tcW w:w="80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沥青混凝土</w:t>
            </w:r>
          </w:p>
        </w:tc>
        <w:tc>
          <w:tcPr>
            <w:tcW w:w="78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石 质</w:t>
            </w:r>
          </w:p>
        </w:tc>
        <w:tc>
          <w:tcPr>
            <w:tcW w:w="53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66.4</w:t>
            </w:r>
          </w:p>
        </w:tc>
        <w:tc>
          <w:tcPr>
            <w:tcW w:w="60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型钢</w:t>
            </w:r>
          </w:p>
        </w:tc>
        <w:tc>
          <w:tcPr>
            <w:tcW w:w="105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53.04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0" w:hRule="atLeast"/>
        </w:trPr>
        <w:tc>
          <w:tcPr>
            <w:tcW w:w="35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12</w:t>
            </w:r>
          </w:p>
        </w:tc>
        <w:tc>
          <w:tcPr>
            <w:tcW w:w="494"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备塘河桥</w:t>
            </w:r>
          </w:p>
        </w:tc>
        <w:tc>
          <w:tcPr>
            <w:tcW w:w="494"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2001</w:t>
            </w:r>
          </w:p>
        </w:tc>
        <w:tc>
          <w:tcPr>
            <w:tcW w:w="67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备塘河支流</w:t>
            </w:r>
          </w:p>
        </w:tc>
        <w:tc>
          <w:tcPr>
            <w:tcW w:w="48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东新路</w:t>
            </w:r>
          </w:p>
        </w:tc>
        <w:tc>
          <w:tcPr>
            <w:tcW w:w="41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23.8</w:t>
            </w:r>
          </w:p>
        </w:tc>
        <w:tc>
          <w:tcPr>
            <w:tcW w:w="75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23.8</w:t>
            </w:r>
          </w:p>
        </w:tc>
        <w:tc>
          <w:tcPr>
            <w:tcW w:w="85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40</w:t>
            </w:r>
          </w:p>
        </w:tc>
        <w:tc>
          <w:tcPr>
            <w:tcW w:w="71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952</w:t>
            </w:r>
          </w:p>
        </w:tc>
        <w:tc>
          <w:tcPr>
            <w:tcW w:w="356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3-4.5-1.5-8.5-5-8.5-1.5-4.5-3</w:t>
            </w:r>
          </w:p>
        </w:tc>
        <w:tc>
          <w:tcPr>
            <w:tcW w:w="984"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汽-20 挂-100</w:t>
            </w:r>
          </w:p>
        </w:tc>
        <w:tc>
          <w:tcPr>
            <w:tcW w:w="65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钢筋混凝土</w:t>
            </w:r>
          </w:p>
        </w:tc>
        <w:tc>
          <w:tcPr>
            <w:tcW w:w="46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钻孔灌注桩</w:t>
            </w:r>
          </w:p>
        </w:tc>
        <w:tc>
          <w:tcPr>
            <w:tcW w:w="40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预应力空心梁板</w:t>
            </w:r>
          </w:p>
        </w:tc>
        <w:tc>
          <w:tcPr>
            <w:tcW w:w="45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重力式桥台</w:t>
            </w:r>
          </w:p>
        </w:tc>
        <w:tc>
          <w:tcPr>
            <w:tcW w:w="80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沥青混凝土</w:t>
            </w:r>
          </w:p>
        </w:tc>
        <w:tc>
          <w:tcPr>
            <w:tcW w:w="78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石 质</w:t>
            </w:r>
          </w:p>
        </w:tc>
        <w:tc>
          <w:tcPr>
            <w:tcW w:w="53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48</w:t>
            </w:r>
          </w:p>
        </w:tc>
        <w:tc>
          <w:tcPr>
            <w:tcW w:w="60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型钢</w:t>
            </w:r>
          </w:p>
        </w:tc>
        <w:tc>
          <w:tcPr>
            <w:tcW w:w="105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0" w:hRule="atLeast"/>
        </w:trPr>
        <w:tc>
          <w:tcPr>
            <w:tcW w:w="35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13</w:t>
            </w:r>
          </w:p>
        </w:tc>
        <w:tc>
          <w:tcPr>
            <w:tcW w:w="494"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通胜桥</w:t>
            </w:r>
          </w:p>
        </w:tc>
        <w:tc>
          <w:tcPr>
            <w:tcW w:w="494"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1995</w:t>
            </w:r>
          </w:p>
        </w:tc>
        <w:tc>
          <w:tcPr>
            <w:tcW w:w="67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备塘河</w:t>
            </w:r>
          </w:p>
        </w:tc>
        <w:tc>
          <w:tcPr>
            <w:tcW w:w="48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东新路</w:t>
            </w:r>
          </w:p>
        </w:tc>
        <w:tc>
          <w:tcPr>
            <w:tcW w:w="41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29.2</w:t>
            </w:r>
          </w:p>
        </w:tc>
        <w:tc>
          <w:tcPr>
            <w:tcW w:w="75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29.2</w:t>
            </w:r>
          </w:p>
        </w:tc>
        <w:tc>
          <w:tcPr>
            <w:tcW w:w="85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43</w:t>
            </w:r>
          </w:p>
        </w:tc>
        <w:tc>
          <w:tcPr>
            <w:tcW w:w="71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1255.6</w:t>
            </w:r>
          </w:p>
        </w:tc>
        <w:tc>
          <w:tcPr>
            <w:tcW w:w="356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3-4.5-1.5-13.5-3-8.5-1.5-4.5</w:t>
            </w:r>
          </w:p>
        </w:tc>
        <w:tc>
          <w:tcPr>
            <w:tcW w:w="984"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汽-20 挂-100</w:t>
            </w:r>
          </w:p>
        </w:tc>
        <w:tc>
          <w:tcPr>
            <w:tcW w:w="65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钢筋混凝土</w:t>
            </w:r>
          </w:p>
        </w:tc>
        <w:tc>
          <w:tcPr>
            <w:tcW w:w="46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钻孔灌注桩</w:t>
            </w:r>
          </w:p>
        </w:tc>
        <w:tc>
          <w:tcPr>
            <w:tcW w:w="40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预应力空心梁板</w:t>
            </w:r>
          </w:p>
        </w:tc>
        <w:tc>
          <w:tcPr>
            <w:tcW w:w="45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重力式桥台</w:t>
            </w:r>
          </w:p>
        </w:tc>
        <w:tc>
          <w:tcPr>
            <w:tcW w:w="80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沥青混凝土</w:t>
            </w:r>
          </w:p>
        </w:tc>
        <w:tc>
          <w:tcPr>
            <w:tcW w:w="78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石 质</w:t>
            </w:r>
          </w:p>
        </w:tc>
        <w:tc>
          <w:tcPr>
            <w:tcW w:w="53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58.4</w:t>
            </w:r>
          </w:p>
        </w:tc>
        <w:tc>
          <w:tcPr>
            <w:tcW w:w="60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型钢</w:t>
            </w:r>
          </w:p>
        </w:tc>
        <w:tc>
          <w:tcPr>
            <w:tcW w:w="105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0" w:hRule="atLeast"/>
        </w:trPr>
        <w:tc>
          <w:tcPr>
            <w:tcW w:w="35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14</w:t>
            </w:r>
          </w:p>
        </w:tc>
        <w:tc>
          <w:tcPr>
            <w:tcW w:w="494"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回龙港桥</w:t>
            </w:r>
          </w:p>
        </w:tc>
        <w:tc>
          <w:tcPr>
            <w:tcW w:w="494"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2009</w:t>
            </w:r>
          </w:p>
        </w:tc>
        <w:tc>
          <w:tcPr>
            <w:tcW w:w="67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北大河</w:t>
            </w:r>
          </w:p>
        </w:tc>
        <w:tc>
          <w:tcPr>
            <w:tcW w:w="48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东新路延伸段</w:t>
            </w:r>
          </w:p>
        </w:tc>
        <w:tc>
          <w:tcPr>
            <w:tcW w:w="41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16</w:t>
            </w:r>
          </w:p>
        </w:tc>
        <w:tc>
          <w:tcPr>
            <w:tcW w:w="75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1/16</w:t>
            </w:r>
          </w:p>
        </w:tc>
        <w:tc>
          <w:tcPr>
            <w:tcW w:w="85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30</w:t>
            </w:r>
          </w:p>
        </w:tc>
        <w:tc>
          <w:tcPr>
            <w:tcW w:w="71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480</w:t>
            </w:r>
          </w:p>
        </w:tc>
        <w:tc>
          <w:tcPr>
            <w:tcW w:w="356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0.25（栏）+2.75m（人）+3.0m（非）+1.5m（绿）+15.0m（机）+1.5m（绿）+3.0m（非）+2.75m（人）+0.25m（栏）</w:t>
            </w:r>
          </w:p>
        </w:tc>
        <w:tc>
          <w:tcPr>
            <w:tcW w:w="984"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城-B级</w:t>
            </w:r>
          </w:p>
        </w:tc>
        <w:tc>
          <w:tcPr>
            <w:tcW w:w="65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钢筋混凝土</w:t>
            </w:r>
          </w:p>
        </w:tc>
        <w:tc>
          <w:tcPr>
            <w:tcW w:w="46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钻孔灌注桩</w:t>
            </w:r>
          </w:p>
        </w:tc>
        <w:tc>
          <w:tcPr>
            <w:tcW w:w="40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预应力混凝土空心板梁</w:t>
            </w:r>
          </w:p>
        </w:tc>
        <w:tc>
          <w:tcPr>
            <w:tcW w:w="45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重力式桥台</w:t>
            </w:r>
          </w:p>
        </w:tc>
        <w:tc>
          <w:tcPr>
            <w:tcW w:w="80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沥青混凝土</w:t>
            </w:r>
          </w:p>
        </w:tc>
        <w:tc>
          <w:tcPr>
            <w:tcW w:w="78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石材</w:t>
            </w:r>
          </w:p>
        </w:tc>
        <w:tc>
          <w:tcPr>
            <w:tcW w:w="53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37</w:t>
            </w:r>
          </w:p>
        </w:tc>
        <w:tc>
          <w:tcPr>
            <w:tcW w:w="60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型钢</w:t>
            </w:r>
          </w:p>
        </w:tc>
        <w:tc>
          <w:tcPr>
            <w:tcW w:w="105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0" w:hRule="atLeast"/>
        </w:trPr>
        <w:tc>
          <w:tcPr>
            <w:tcW w:w="35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15</w:t>
            </w:r>
          </w:p>
        </w:tc>
        <w:tc>
          <w:tcPr>
            <w:tcW w:w="494"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安桥港桥</w:t>
            </w:r>
          </w:p>
        </w:tc>
        <w:tc>
          <w:tcPr>
            <w:tcW w:w="494"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2009</w:t>
            </w:r>
          </w:p>
        </w:tc>
        <w:tc>
          <w:tcPr>
            <w:tcW w:w="67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石桥河</w:t>
            </w:r>
          </w:p>
        </w:tc>
        <w:tc>
          <w:tcPr>
            <w:tcW w:w="48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东新路延伸段</w:t>
            </w:r>
          </w:p>
        </w:tc>
        <w:tc>
          <w:tcPr>
            <w:tcW w:w="41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20</w:t>
            </w:r>
          </w:p>
        </w:tc>
        <w:tc>
          <w:tcPr>
            <w:tcW w:w="75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1/20</w:t>
            </w:r>
          </w:p>
        </w:tc>
        <w:tc>
          <w:tcPr>
            <w:tcW w:w="85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36</w:t>
            </w:r>
          </w:p>
        </w:tc>
        <w:tc>
          <w:tcPr>
            <w:tcW w:w="71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720</w:t>
            </w:r>
          </w:p>
        </w:tc>
        <w:tc>
          <w:tcPr>
            <w:tcW w:w="356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4.2m（人）+3.5m（非）+2m（绿）+16.6m（机）+2m（绿）+3.5m（非）+4.2m（人）</w:t>
            </w:r>
          </w:p>
        </w:tc>
        <w:tc>
          <w:tcPr>
            <w:tcW w:w="984"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城-B级</w:t>
            </w:r>
          </w:p>
        </w:tc>
        <w:tc>
          <w:tcPr>
            <w:tcW w:w="65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钢筋混凝土</w:t>
            </w:r>
          </w:p>
        </w:tc>
        <w:tc>
          <w:tcPr>
            <w:tcW w:w="46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钻孔灌注桩</w:t>
            </w:r>
          </w:p>
        </w:tc>
        <w:tc>
          <w:tcPr>
            <w:tcW w:w="40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单跨简支粱</w:t>
            </w:r>
          </w:p>
        </w:tc>
        <w:tc>
          <w:tcPr>
            <w:tcW w:w="45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重力式U型桥台</w:t>
            </w:r>
          </w:p>
        </w:tc>
        <w:tc>
          <w:tcPr>
            <w:tcW w:w="80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沥青混凝土</w:t>
            </w:r>
          </w:p>
        </w:tc>
        <w:tc>
          <w:tcPr>
            <w:tcW w:w="78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石材</w:t>
            </w:r>
          </w:p>
        </w:tc>
        <w:tc>
          <w:tcPr>
            <w:tcW w:w="53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40</w:t>
            </w:r>
          </w:p>
        </w:tc>
        <w:tc>
          <w:tcPr>
            <w:tcW w:w="60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GQF-C41</w:t>
            </w:r>
          </w:p>
        </w:tc>
        <w:tc>
          <w:tcPr>
            <w:tcW w:w="105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0" w:hRule="atLeast"/>
        </w:trPr>
        <w:tc>
          <w:tcPr>
            <w:tcW w:w="35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16</w:t>
            </w:r>
          </w:p>
        </w:tc>
        <w:tc>
          <w:tcPr>
            <w:tcW w:w="494"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红西河桥</w:t>
            </w:r>
          </w:p>
        </w:tc>
        <w:tc>
          <w:tcPr>
            <w:tcW w:w="494"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2007</w:t>
            </w:r>
          </w:p>
        </w:tc>
        <w:tc>
          <w:tcPr>
            <w:tcW w:w="67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红西河</w:t>
            </w:r>
          </w:p>
        </w:tc>
        <w:tc>
          <w:tcPr>
            <w:tcW w:w="48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西文街</w:t>
            </w:r>
          </w:p>
        </w:tc>
        <w:tc>
          <w:tcPr>
            <w:tcW w:w="41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15</w:t>
            </w:r>
          </w:p>
        </w:tc>
        <w:tc>
          <w:tcPr>
            <w:tcW w:w="75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1/10</w:t>
            </w:r>
          </w:p>
        </w:tc>
        <w:tc>
          <w:tcPr>
            <w:tcW w:w="85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36</w:t>
            </w:r>
          </w:p>
        </w:tc>
        <w:tc>
          <w:tcPr>
            <w:tcW w:w="71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540</w:t>
            </w:r>
          </w:p>
        </w:tc>
        <w:tc>
          <w:tcPr>
            <w:tcW w:w="356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5m（人行道）+11.5m（机动车道）+3 m（中央分隔带）+11.5 m（机动车道）+5 m（人行道）</w:t>
            </w:r>
          </w:p>
        </w:tc>
        <w:tc>
          <w:tcPr>
            <w:tcW w:w="984"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城-B级</w:t>
            </w:r>
          </w:p>
        </w:tc>
        <w:tc>
          <w:tcPr>
            <w:tcW w:w="65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钢筋砼</w:t>
            </w:r>
          </w:p>
        </w:tc>
        <w:tc>
          <w:tcPr>
            <w:tcW w:w="466"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c>
          <w:tcPr>
            <w:tcW w:w="40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预制砼板梁</w:t>
            </w:r>
          </w:p>
        </w:tc>
        <w:tc>
          <w:tcPr>
            <w:tcW w:w="45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钢筋砼</w:t>
            </w:r>
          </w:p>
        </w:tc>
        <w:tc>
          <w:tcPr>
            <w:tcW w:w="80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沥青砼、彩色人行道板</w:t>
            </w:r>
          </w:p>
        </w:tc>
        <w:tc>
          <w:tcPr>
            <w:tcW w:w="78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青石</w:t>
            </w:r>
          </w:p>
        </w:tc>
        <w:tc>
          <w:tcPr>
            <w:tcW w:w="53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38</w:t>
            </w:r>
          </w:p>
        </w:tc>
        <w:tc>
          <w:tcPr>
            <w:tcW w:w="60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SQ-80</w:t>
            </w:r>
          </w:p>
        </w:tc>
        <w:tc>
          <w:tcPr>
            <w:tcW w:w="105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59.2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0" w:hRule="atLeast"/>
        </w:trPr>
        <w:tc>
          <w:tcPr>
            <w:tcW w:w="35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17</w:t>
            </w:r>
          </w:p>
        </w:tc>
        <w:tc>
          <w:tcPr>
            <w:tcW w:w="494"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西湖漾河桥</w:t>
            </w:r>
          </w:p>
        </w:tc>
        <w:tc>
          <w:tcPr>
            <w:tcW w:w="494"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2014</w:t>
            </w:r>
          </w:p>
        </w:tc>
        <w:tc>
          <w:tcPr>
            <w:tcW w:w="67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西湖漾河</w:t>
            </w:r>
          </w:p>
        </w:tc>
        <w:tc>
          <w:tcPr>
            <w:tcW w:w="48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西文街</w:t>
            </w:r>
          </w:p>
        </w:tc>
        <w:tc>
          <w:tcPr>
            <w:tcW w:w="41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13.84</w:t>
            </w:r>
          </w:p>
        </w:tc>
        <w:tc>
          <w:tcPr>
            <w:tcW w:w="75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单跨/10</w:t>
            </w:r>
          </w:p>
        </w:tc>
        <w:tc>
          <w:tcPr>
            <w:tcW w:w="85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36</w:t>
            </w:r>
          </w:p>
        </w:tc>
        <w:tc>
          <w:tcPr>
            <w:tcW w:w="71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498.24</w:t>
            </w:r>
          </w:p>
        </w:tc>
        <w:tc>
          <w:tcPr>
            <w:tcW w:w="356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5m（人行道，含0.3m石栏杆）+11.5m机动车道+3m中央分隔带+11.5m机动车+5m（人行道，含0.3m石栏杆）=36m</w:t>
            </w:r>
          </w:p>
        </w:tc>
        <w:tc>
          <w:tcPr>
            <w:tcW w:w="984"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城-B级</w:t>
            </w:r>
          </w:p>
        </w:tc>
        <w:tc>
          <w:tcPr>
            <w:tcW w:w="65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混凝土、钢筋</w:t>
            </w:r>
          </w:p>
        </w:tc>
        <w:tc>
          <w:tcPr>
            <w:tcW w:w="466"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c>
          <w:tcPr>
            <w:tcW w:w="40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空心板梁桥</w:t>
            </w:r>
          </w:p>
        </w:tc>
        <w:tc>
          <w:tcPr>
            <w:tcW w:w="45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重力式</w:t>
            </w:r>
          </w:p>
        </w:tc>
        <w:tc>
          <w:tcPr>
            <w:tcW w:w="80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8cm钢筋砼+8cm沥青砼</w:t>
            </w:r>
          </w:p>
        </w:tc>
        <w:tc>
          <w:tcPr>
            <w:tcW w:w="78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石材</w:t>
            </w:r>
          </w:p>
        </w:tc>
        <w:tc>
          <w:tcPr>
            <w:tcW w:w="53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27.68</w:t>
            </w:r>
          </w:p>
        </w:tc>
        <w:tc>
          <w:tcPr>
            <w:tcW w:w="60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80型钢伸缩缝</w:t>
            </w:r>
          </w:p>
        </w:tc>
        <w:tc>
          <w:tcPr>
            <w:tcW w:w="105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46m/2根</w:t>
            </w:r>
          </w:p>
        </w:tc>
      </w:tr>
    </w:tbl>
    <w:p>
      <w:pPr>
        <w:rPr>
          <w:rFonts w:hint="eastAsia" w:ascii="宋体" w:hAnsi="宋体" w:eastAsia="宋体" w:cs="宋体"/>
          <w:color w:val="000000" w:themeColor="text1"/>
          <w:highlight w:val="none"/>
          <w14:textFill>
            <w14:solidFill>
              <w14:schemeClr w14:val="tx1"/>
            </w14:solidFill>
          </w14:textFill>
        </w:rPr>
      </w:pPr>
    </w:p>
    <w:p>
      <w:pPr>
        <w:pStyle w:val="8"/>
        <w:spacing w:line="360" w:lineRule="auto"/>
        <w:ind w:firstLine="0"/>
        <w:rPr>
          <w:rFonts w:hint="eastAsia" w:ascii="宋体" w:hAnsi="宋体" w:eastAsia="宋体" w:cs="宋体"/>
          <w:b/>
          <w:bCs/>
          <w:color w:val="000000" w:themeColor="text1"/>
          <w:sz w:val="24"/>
          <w:szCs w:val="24"/>
          <w:highlight w:val="none"/>
          <w:lang w:val="en-US" w:eastAsia="zh-CN"/>
          <w14:textFill>
            <w14:solidFill>
              <w14:schemeClr w14:val="tx1"/>
            </w14:solidFill>
          </w14:textFill>
        </w:rPr>
      </w:pPr>
      <w:r>
        <w:rPr>
          <w:rFonts w:hint="eastAsia" w:ascii="宋体" w:hAnsi="宋体" w:eastAsia="宋体" w:cs="宋体"/>
          <w:b/>
          <w:bCs/>
          <w:color w:val="000000" w:themeColor="text1"/>
          <w:sz w:val="24"/>
          <w:szCs w:val="24"/>
          <w:highlight w:val="none"/>
          <w:lang w:val="en-US" w:eastAsia="zh-CN"/>
          <w14:textFill>
            <w14:solidFill>
              <w14:schemeClr w14:val="tx1"/>
            </w14:solidFill>
          </w14:textFill>
        </w:rPr>
        <w:br w:type="page"/>
      </w: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②东新路环卫（道路保洁）设施量明细表</w:t>
      </w:r>
    </w:p>
    <w:tbl>
      <w:tblPr>
        <w:tblStyle w:val="62"/>
        <w:tblW w:w="15517" w:type="dxa"/>
        <w:tblInd w:w="-74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00"/>
        <w:gridCol w:w="1517"/>
        <w:gridCol w:w="1603"/>
        <w:gridCol w:w="2213"/>
        <w:gridCol w:w="1184"/>
        <w:gridCol w:w="1050"/>
        <w:gridCol w:w="1116"/>
        <w:gridCol w:w="1384"/>
        <w:gridCol w:w="1279"/>
        <w:gridCol w:w="1069"/>
        <w:gridCol w:w="23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80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0"/>
                <w:szCs w:val="20"/>
                <w:highlight w:val="none"/>
                <w:u w:val="none"/>
                <w14:textFill>
                  <w14:solidFill>
                    <w14:schemeClr w14:val="tx1"/>
                  </w14:solidFill>
                </w14:textFill>
              </w:rPr>
            </w:pPr>
            <w:r>
              <w:rPr>
                <w:rFonts w:hint="eastAsia" w:ascii="宋体" w:hAnsi="宋体" w:eastAsia="宋体" w:cs="宋体"/>
                <w:b/>
                <w:bCs/>
                <w:i w:val="0"/>
                <w:iCs w:val="0"/>
                <w:color w:val="000000" w:themeColor="text1"/>
                <w:kern w:val="0"/>
                <w:sz w:val="20"/>
                <w:szCs w:val="20"/>
                <w:highlight w:val="none"/>
                <w:u w:val="none"/>
                <w:lang w:val="en-US" w:eastAsia="zh-CN" w:bidi="ar"/>
                <w14:textFill>
                  <w14:solidFill>
                    <w14:schemeClr w14:val="tx1"/>
                  </w14:solidFill>
                </w14:textFill>
              </w:rPr>
              <w:t>序号</w:t>
            </w:r>
          </w:p>
        </w:tc>
        <w:tc>
          <w:tcPr>
            <w:tcW w:w="151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0"/>
                <w:szCs w:val="20"/>
                <w:highlight w:val="none"/>
                <w:u w:val="none"/>
                <w14:textFill>
                  <w14:solidFill>
                    <w14:schemeClr w14:val="tx1"/>
                  </w14:solidFill>
                </w14:textFill>
              </w:rPr>
            </w:pPr>
            <w:r>
              <w:rPr>
                <w:rFonts w:hint="eastAsia" w:ascii="宋体" w:hAnsi="宋体" w:eastAsia="宋体" w:cs="宋体"/>
                <w:b/>
                <w:bCs/>
                <w:i w:val="0"/>
                <w:iCs w:val="0"/>
                <w:color w:val="000000" w:themeColor="text1"/>
                <w:kern w:val="0"/>
                <w:sz w:val="20"/>
                <w:szCs w:val="20"/>
                <w:highlight w:val="none"/>
                <w:u w:val="none"/>
                <w:lang w:val="en-US" w:eastAsia="zh-CN" w:bidi="ar"/>
                <w14:textFill>
                  <w14:solidFill>
                    <w14:schemeClr w14:val="tx1"/>
                  </w14:solidFill>
                </w14:textFill>
              </w:rPr>
              <w:t>道路名称</w:t>
            </w:r>
          </w:p>
        </w:tc>
        <w:tc>
          <w:tcPr>
            <w:tcW w:w="1603" w:type="dxa"/>
            <w:tcBorders>
              <w:top w:val="single" w:color="000000" w:sz="8" w:space="0"/>
              <w:left w:val="single" w:color="000000" w:sz="8" w:space="0"/>
              <w:bottom w:val="single" w:color="000000" w:sz="8" w:space="0"/>
              <w:right w:val="single" w:color="000000" w:sz="8"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0"/>
                <w:szCs w:val="20"/>
                <w:highlight w:val="none"/>
                <w:u w:val="none"/>
                <w14:textFill>
                  <w14:solidFill>
                    <w14:schemeClr w14:val="tx1"/>
                  </w14:solidFill>
                </w14:textFill>
              </w:rPr>
            </w:pPr>
            <w:r>
              <w:rPr>
                <w:rFonts w:hint="eastAsia" w:ascii="宋体" w:hAnsi="宋体" w:eastAsia="宋体" w:cs="宋体"/>
                <w:b/>
                <w:bCs/>
                <w:i w:val="0"/>
                <w:iCs w:val="0"/>
                <w:color w:val="000000" w:themeColor="text1"/>
                <w:kern w:val="0"/>
                <w:sz w:val="20"/>
                <w:szCs w:val="20"/>
                <w:highlight w:val="none"/>
                <w:u w:val="none"/>
                <w:lang w:val="en-US" w:eastAsia="zh-CN" w:bidi="ar"/>
                <w14:textFill>
                  <w14:solidFill>
                    <w14:schemeClr w14:val="tx1"/>
                  </w14:solidFill>
                </w14:textFill>
              </w:rPr>
              <w:t>道路等级</w:t>
            </w:r>
          </w:p>
        </w:tc>
        <w:tc>
          <w:tcPr>
            <w:tcW w:w="221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0"/>
                <w:szCs w:val="20"/>
                <w:highlight w:val="none"/>
                <w:u w:val="none"/>
                <w14:textFill>
                  <w14:solidFill>
                    <w14:schemeClr w14:val="tx1"/>
                  </w14:solidFill>
                </w14:textFill>
              </w:rPr>
            </w:pPr>
            <w:r>
              <w:rPr>
                <w:rFonts w:hint="eastAsia" w:ascii="宋体" w:hAnsi="宋体" w:eastAsia="宋体" w:cs="宋体"/>
                <w:b/>
                <w:bCs/>
                <w:i w:val="0"/>
                <w:iCs w:val="0"/>
                <w:color w:val="000000" w:themeColor="text1"/>
                <w:kern w:val="0"/>
                <w:sz w:val="20"/>
                <w:szCs w:val="20"/>
                <w:highlight w:val="none"/>
                <w:u w:val="none"/>
                <w:lang w:val="en-US" w:eastAsia="zh-CN" w:bidi="ar"/>
                <w14:textFill>
                  <w14:solidFill>
                    <w14:schemeClr w14:val="tx1"/>
                  </w14:solidFill>
                </w14:textFill>
              </w:rPr>
              <w:t>起止点</w:t>
            </w:r>
          </w:p>
        </w:tc>
        <w:tc>
          <w:tcPr>
            <w:tcW w:w="1184"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0"/>
                <w:szCs w:val="20"/>
                <w:highlight w:val="none"/>
                <w:u w:val="none"/>
                <w14:textFill>
                  <w14:solidFill>
                    <w14:schemeClr w14:val="tx1"/>
                  </w14:solidFill>
                </w14:textFill>
              </w:rPr>
            </w:pPr>
            <w:r>
              <w:rPr>
                <w:rFonts w:hint="eastAsia" w:ascii="宋体" w:hAnsi="宋体" w:eastAsia="宋体" w:cs="宋体"/>
                <w:b/>
                <w:bCs/>
                <w:i w:val="0"/>
                <w:iCs w:val="0"/>
                <w:color w:val="000000" w:themeColor="text1"/>
                <w:kern w:val="0"/>
                <w:sz w:val="20"/>
                <w:szCs w:val="20"/>
                <w:highlight w:val="none"/>
                <w:u w:val="none"/>
                <w:lang w:val="en-US" w:eastAsia="zh-CN" w:bidi="ar"/>
                <w14:textFill>
                  <w14:solidFill>
                    <w14:schemeClr w14:val="tx1"/>
                  </w14:solidFill>
                </w14:textFill>
              </w:rPr>
              <w:t>道路长度（m）</w:t>
            </w:r>
          </w:p>
        </w:tc>
        <w:tc>
          <w:tcPr>
            <w:tcW w:w="105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0"/>
                <w:szCs w:val="20"/>
                <w:highlight w:val="none"/>
                <w:u w:val="none"/>
                <w14:textFill>
                  <w14:solidFill>
                    <w14:schemeClr w14:val="tx1"/>
                  </w14:solidFill>
                </w14:textFill>
              </w:rPr>
            </w:pPr>
            <w:r>
              <w:rPr>
                <w:rFonts w:hint="eastAsia" w:ascii="宋体" w:hAnsi="宋体" w:eastAsia="宋体" w:cs="宋体"/>
                <w:b/>
                <w:bCs/>
                <w:i w:val="0"/>
                <w:iCs w:val="0"/>
                <w:color w:val="000000" w:themeColor="text1"/>
                <w:kern w:val="0"/>
                <w:sz w:val="20"/>
                <w:szCs w:val="20"/>
                <w:highlight w:val="none"/>
                <w:u w:val="none"/>
                <w:lang w:val="en-US" w:eastAsia="zh-CN" w:bidi="ar"/>
                <w14:textFill>
                  <w14:solidFill>
                    <w14:schemeClr w14:val="tx1"/>
                  </w14:solidFill>
                </w14:textFill>
              </w:rPr>
              <w:t>道路宽度（m）</w:t>
            </w:r>
          </w:p>
        </w:tc>
        <w:tc>
          <w:tcPr>
            <w:tcW w:w="111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0"/>
                <w:szCs w:val="20"/>
                <w:highlight w:val="none"/>
                <w:u w:val="none"/>
                <w14:textFill>
                  <w14:solidFill>
                    <w14:schemeClr w14:val="tx1"/>
                  </w14:solidFill>
                </w14:textFill>
              </w:rPr>
            </w:pPr>
            <w:r>
              <w:rPr>
                <w:rFonts w:hint="eastAsia" w:ascii="宋体" w:hAnsi="宋体" w:eastAsia="宋体" w:cs="宋体"/>
                <w:b/>
                <w:bCs/>
                <w:i w:val="0"/>
                <w:iCs w:val="0"/>
                <w:color w:val="000000" w:themeColor="text1"/>
                <w:kern w:val="0"/>
                <w:sz w:val="20"/>
                <w:szCs w:val="20"/>
                <w:highlight w:val="none"/>
                <w:u w:val="none"/>
                <w:lang w:val="en-US" w:eastAsia="zh-CN" w:bidi="ar"/>
                <w14:textFill>
                  <w14:solidFill>
                    <w14:schemeClr w14:val="tx1"/>
                  </w14:solidFill>
                </w14:textFill>
              </w:rPr>
              <w:t>车行道面积（㎡）</w:t>
            </w:r>
          </w:p>
        </w:tc>
        <w:tc>
          <w:tcPr>
            <w:tcW w:w="1384"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0"/>
                <w:szCs w:val="20"/>
                <w:highlight w:val="none"/>
                <w:u w:val="none"/>
                <w14:textFill>
                  <w14:solidFill>
                    <w14:schemeClr w14:val="tx1"/>
                  </w14:solidFill>
                </w14:textFill>
              </w:rPr>
            </w:pPr>
            <w:r>
              <w:rPr>
                <w:rFonts w:hint="eastAsia" w:ascii="宋体" w:hAnsi="宋体" w:eastAsia="宋体" w:cs="宋体"/>
                <w:b/>
                <w:bCs/>
                <w:i w:val="0"/>
                <w:iCs w:val="0"/>
                <w:color w:val="000000" w:themeColor="text1"/>
                <w:kern w:val="0"/>
                <w:sz w:val="20"/>
                <w:szCs w:val="20"/>
                <w:highlight w:val="none"/>
                <w:u w:val="none"/>
                <w:lang w:val="en-US" w:eastAsia="zh-CN" w:bidi="ar"/>
                <w14:textFill>
                  <w14:solidFill>
                    <w14:schemeClr w14:val="tx1"/>
                  </w14:solidFill>
                </w14:textFill>
              </w:rPr>
              <w:t>人行道面积（㎡）</w:t>
            </w:r>
          </w:p>
        </w:tc>
        <w:tc>
          <w:tcPr>
            <w:tcW w:w="127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0"/>
                <w:szCs w:val="20"/>
                <w:highlight w:val="none"/>
                <w:u w:val="none"/>
                <w14:textFill>
                  <w14:solidFill>
                    <w14:schemeClr w14:val="tx1"/>
                  </w14:solidFill>
                </w14:textFill>
              </w:rPr>
            </w:pPr>
            <w:r>
              <w:rPr>
                <w:rFonts w:hint="eastAsia" w:ascii="宋体" w:hAnsi="宋体" w:eastAsia="宋体" w:cs="宋体"/>
                <w:b/>
                <w:bCs/>
                <w:i w:val="0"/>
                <w:iCs w:val="0"/>
                <w:color w:val="000000" w:themeColor="text1"/>
                <w:kern w:val="0"/>
                <w:sz w:val="20"/>
                <w:szCs w:val="20"/>
                <w:highlight w:val="none"/>
                <w:u w:val="none"/>
                <w:lang w:val="en-US" w:eastAsia="zh-CN" w:bidi="ar"/>
                <w14:textFill>
                  <w14:solidFill>
                    <w14:schemeClr w14:val="tx1"/>
                  </w14:solidFill>
                </w14:textFill>
              </w:rPr>
              <w:t>红线外面积(㎡)</w:t>
            </w:r>
          </w:p>
        </w:tc>
        <w:tc>
          <w:tcPr>
            <w:tcW w:w="106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b/>
                <w:bCs/>
                <w:i w:val="0"/>
                <w:iCs w:val="0"/>
                <w:color w:val="000000" w:themeColor="text1"/>
                <w:kern w:val="0"/>
                <w:sz w:val="20"/>
                <w:szCs w:val="20"/>
                <w:highlight w:val="none"/>
                <w:u w:val="none"/>
                <w:lang w:val="en-US" w:eastAsia="zh-CN" w:bidi="ar"/>
                <w14:textFill>
                  <w14:solidFill>
                    <w14:schemeClr w14:val="tx1"/>
                  </w14:solidFill>
                </w14:textFill>
              </w:rPr>
              <w:t>核定的</w:t>
            </w:r>
          </w:p>
          <w:p>
            <w:pPr>
              <w:keepNext w:val="0"/>
              <w:keepLines w:val="0"/>
              <w:widowControl/>
              <w:suppressLineNumbers w:val="0"/>
              <w:jc w:val="center"/>
              <w:textAlignment w:val="center"/>
              <w:rPr>
                <w:rFonts w:hint="eastAsia" w:ascii="宋体" w:hAnsi="宋体" w:eastAsia="宋体" w:cs="宋体"/>
                <w:b/>
                <w:bCs/>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b/>
                <w:bCs/>
                <w:i w:val="0"/>
                <w:iCs w:val="0"/>
                <w:color w:val="000000" w:themeColor="text1"/>
                <w:kern w:val="0"/>
                <w:sz w:val="20"/>
                <w:szCs w:val="20"/>
                <w:highlight w:val="none"/>
                <w:u w:val="none"/>
                <w:lang w:val="en-US" w:eastAsia="zh-CN" w:bidi="ar"/>
                <w14:textFill>
                  <w14:solidFill>
                    <w14:schemeClr w14:val="tx1"/>
                  </w14:solidFill>
                </w14:textFill>
              </w:rPr>
              <w:t>1米绿地</w:t>
            </w:r>
          </w:p>
          <w:p>
            <w:pPr>
              <w:keepNext w:val="0"/>
              <w:keepLines w:val="0"/>
              <w:widowControl/>
              <w:suppressLineNumbers w:val="0"/>
              <w:jc w:val="center"/>
              <w:textAlignment w:val="center"/>
              <w:rPr>
                <w:rFonts w:hint="eastAsia" w:ascii="宋体" w:hAnsi="宋体" w:eastAsia="宋体" w:cs="宋体"/>
                <w:b/>
                <w:bCs/>
                <w:i w:val="0"/>
                <w:iCs w:val="0"/>
                <w:color w:val="000000" w:themeColor="text1"/>
                <w:sz w:val="20"/>
                <w:szCs w:val="20"/>
                <w:highlight w:val="none"/>
                <w:u w:val="none"/>
                <w14:textFill>
                  <w14:solidFill>
                    <w14:schemeClr w14:val="tx1"/>
                  </w14:solidFill>
                </w14:textFill>
              </w:rPr>
            </w:pPr>
            <w:r>
              <w:rPr>
                <w:rFonts w:hint="eastAsia" w:ascii="宋体" w:hAnsi="宋体" w:eastAsia="宋体" w:cs="宋体"/>
                <w:b/>
                <w:bCs/>
                <w:i w:val="0"/>
                <w:iCs w:val="0"/>
                <w:color w:val="000000" w:themeColor="text1"/>
                <w:kern w:val="0"/>
                <w:sz w:val="20"/>
                <w:szCs w:val="20"/>
                <w:highlight w:val="none"/>
                <w:u w:val="none"/>
                <w:lang w:val="en-US" w:eastAsia="zh-CN" w:bidi="ar"/>
                <w14:textFill>
                  <w14:solidFill>
                    <w14:schemeClr w14:val="tx1"/>
                  </w14:solidFill>
                </w14:textFill>
              </w:rPr>
              <w:t>面积（㎡）</w:t>
            </w:r>
          </w:p>
        </w:tc>
        <w:tc>
          <w:tcPr>
            <w:tcW w:w="2302"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0"/>
                <w:szCs w:val="20"/>
                <w:highlight w:val="none"/>
                <w:u w:val="none"/>
                <w14:textFill>
                  <w14:solidFill>
                    <w14:schemeClr w14:val="tx1"/>
                  </w14:solidFill>
                </w14:textFill>
              </w:rPr>
            </w:pPr>
            <w:r>
              <w:rPr>
                <w:rFonts w:hint="eastAsia" w:ascii="宋体" w:hAnsi="宋体" w:eastAsia="宋体" w:cs="宋体"/>
                <w:b/>
                <w:bCs/>
                <w:i w:val="0"/>
                <w:iCs w:val="0"/>
                <w:color w:val="000000" w:themeColor="text1"/>
                <w:kern w:val="0"/>
                <w:sz w:val="20"/>
                <w:szCs w:val="20"/>
                <w:highlight w:val="none"/>
                <w:u w:val="none"/>
                <w:lang w:val="en-US" w:eastAsia="zh-CN" w:bidi="ar"/>
                <w14:textFill>
                  <w14:solidFill>
                    <w14:schemeClr w14:val="tx1"/>
                  </w14:solidFill>
                </w14:textFill>
              </w:rPr>
              <w:t>核定的道路保洁面积（含1米绿地）(㎡)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800"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w:t>
            </w:r>
          </w:p>
        </w:tc>
        <w:tc>
          <w:tcPr>
            <w:tcW w:w="151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香积寺路</w:t>
            </w:r>
          </w:p>
        </w:tc>
        <w:tc>
          <w:tcPr>
            <w:tcW w:w="160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一级道路</w:t>
            </w:r>
          </w:p>
        </w:tc>
        <w:tc>
          <w:tcPr>
            <w:tcW w:w="221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西侧香积桥中—草庵四桥中</w:t>
            </w:r>
          </w:p>
        </w:tc>
        <w:tc>
          <w:tcPr>
            <w:tcW w:w="1184"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2481</w:t>
            </w:r>
          </w:p>
        </w:tc>
        <w:tc>
          <w:tcPr>
            <w:tcW w:w="1050"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33</w:t>
            </w:r>
          </w:p>
        </w:tc>
        <w:tc>
          <w:tcPr>
            <w:tcW w:w="1116"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51143.64</w:t>
            </w:r>
          </w:p>
        </w:tc>
        <w:tc>
          <w:tcPr>
            <w:tcW w:w="1384"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32074.95</w:t>
            </w:r>
          </w:p>
        </w:tc>
        <w:tc>
          <w:tcPr>
            <w:tcW w:w="1279"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0</w:t>
            </w:r>
          </w:p>
        </w:tc>
        <w:tc>
          <w:tcPr>
            <w:tcW w:w="1069"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2034.49</w:t>
            </w:r>
          </w:p>
        </w:tc>
        <w:tc>
          <w:tcPr>
            <w:tcW w:w="2302"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85253.08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800"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w:t>
            </w:r>
          </w:p>
        </w:tc>
        <w:tc>
          <w:tcPr>
            <w:tcW w:w="151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东新路一段</w:t>
            </w:r>
          </w:p>
        </w:tc>
        <w:tc>
          <w:tcPr>
            <w:tcW w:w="160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一级道路</w:t>
            </w:r>
          </w:p>
        </w:tc>
        <w:tc>
          <w:tcPr>
            <w:tcW w:w="221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文晖路－岳帅桥</w:t>
            </w:r>
          </w:p>
        </w:tc>
        <w:tc>
          <w:tcPr>
            <w:tcW w:w="1184"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0</w:t>
            </w:r>
          </w:p>
        </w:tc>
        <w:tc>
          <w:tcPr>
            <w:tcW w:w="1050"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0</w:t>
            </w:r>
          </w:p>
        </w:tc>
        <w:tc>
          <w:tcPr>
            <w:tcW w:w="1116"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47347.61</w:t>
            </w:r>
          </w:p>
        </w:tc>
        <w:tc>
          <w:tcPr>
            <w:tcW w:w="1384"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10866.7</w:t>
            </w:r>
          </w:p>
        </w:tc>
        <w:tc>
          <w:tcPr>
            <w:tcW w:w="1279"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0</w:t>
            </w:r>
          </w:p>
        </w:tc>
        <w:tc>
          <w:tcPr>
            <w:tcW w:w="1069"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4877.41</w:t>
            </w:r>
          </w:p>
        </w:tc>
        <w:tc>
          <w:tcPr>
            <w:tcW w:w="2302"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63091.72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800"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w:t>
            </w:r>
          </w:p>
        </w:tc>
        <w:tc>
          <w:tcPr>
            <w:tcW w:w="151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东新路二段</w:t>
            </w:r>
          </w:p>
        </w:tc>
        <w:tc>
          <w:tcPr>
            <w:tcW w:w="160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一级道路</w:t>
            </w:r>
          </w:p>
        </w:tc>
        <w:tc>
          <w:tcPr>
            <w:tcW w:w="221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香积寺路-岳帅桥</w:t>
            </w:r>
          </w:p>
        </w:tc>
        <w:tc>
          <w:tcPr>
            <w:tcW w:w="1184"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1626</w:t>
            </w:r>
          </w:p>
        </w:tc>
        <w:tc>
          <w:tcPr>
            <w:tcW w:w="1050"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40</w:t>
            </w:r>
          </w:p>
        </w:tc>
        <w:tc>
          <w:tcPr>
            <w:tcW w:w="1116"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49756.59</w:t>
            </w:r>
          </w:p>
        </w:tc>
        <w:tc>
          <w:tcPr>
            <w:tcW w:w="1384"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11955.7</w:t>
            </w:r>
          </w:p>
        </w:tc>
        <w:tc>
          <w:tcPr>
            <w:tcW w:w="1279"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0</w:t>
            </w:r>
          </w:p>
        </w:tc>
        <w:tc>
          <w:tcPr>
            <w:tcW w:w="1069"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4649.3</w:t>
            </w:r>
          </w:p>
        </w:tc>
        <w:tc>
          <w:tcPr>
            <w:tcW w:w="2302"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66361.59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800"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4</w:t>
            </w:r>
          </w:p>
        </w:tc>
        <w:tc>
          <w:tcPr>
            <w:tcW w:w="151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东新路三段</w:t>
            </w:r>
          </w:p>
        </w:tc>
        <w:tc>
          <w:tcPr>
            <w:tcW w:w="160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一级道路</w:t>
            </w:r>
          </w:p>
        </w:tc>
        <w:tc>
          <w:tcPr>
            <w:tcW w:w="221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香积寺路--石祥路</w:t>
            </w:r>
          </w:p>
        </w:tc>
        <w:tc>
          <w:tcPr>
            <w:tcW w:w="1184"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1991</w:t>
            </w:r>
          </w:p>
        </w:tc>
        <w:tc>
          <w:tcPr>
            <w:tcW w:w="1050"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39</w:t>
            </w:r>
          </w:p>
        </w:tc>
        <w:tc>
          <w:tcPr>
            <w:tcW w:w="1116"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64068.73</w:t>
            </w:r>
          </w:p>
        </w:tc>
        <w:tc>
          <w:tcPr>
            <w:tcW w:w="1384"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15788.57</w:t>
            </w:r>
          </w:p>
        </w:tc>
        <w:tc>
          <w:tcPr>
            <w:tcW w:w="1279"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0</w:t>
            </w:r>
          </w:p>
        </w:tc>
        <w:tc>
          <w:tcPr>
            <w:tcW w:w="1069"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6440.41</w:t>
            </w:r>
          </w:p>
        </w:tc>
        <w:tc>
          <w:tcPr>
            <w:tcW w:w="2302"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86297.71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800"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5</w:t>
            </w:r>
          </w:p>
        </w:tc>
        <w:tc>
          <w:tcPr>
            <w:tcW w:w="151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东新东路</w:t>
            </w:r>
          </w:p>
        </w:tc>
        <w:tc>
          <w:tcPr>
            <w:tcW w:w="160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二级道路</w:t>
            </w:r>
          </w:p>
        </w:tc>
        <w:tc>
          <w:tcPr>
            <w:tcW w:w="221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长大屋路——石祥路</w:t>
            </w:r>
          </w:p>
        </w:tc>
        <w:tc>
          <w:tcPr>
            <w:tcW w:w="1184"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683</w:t>
            </w:r>
          </w:p>
        </w:tc>
        <w:tc>
          <w:tcPr>
            <w:tcW w:w="1050"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36</w:t>
            </w:r>
          </w:p>
        </w:tc>
        <w:tc>
          <w:tcPr>
            <w:tcW w:w="1116"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18096.32</w:t>
            </w:r>
          </w:p>
        </w:tc>
        <w:tc>
          <w:tcPr>
            <w:tcW w:w="1384"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5703.78</w:t>
            </w:r>
          </w:p>
        </w:tc>
        <w:tc>
          <w:tcPr>
            <w:tcW w:w="1279"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0</w:t>
            </w:r>
          </w:p>
        </w:tc>
        <w:tc>
          <w:tcPr>
            <w:tcW w:w="1069"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3155.31</w:t>
            </w:r>
          </w:p>
        </w:tc>
        <w:tc>
          <w:tcPr>
            <w:tcW w:w="2302"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 xml:space="preserve">26955.41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800"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6</w:t>
            </w:r>
          </w:p>
        </w:tc>
        <w:tc>
          <w:tcPr>
            <w:tcW w:w="151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东新路延伸段2</w:t>
            </w:r>
          </w:p>
        </w:tc>
        <w:tc>
          <w:tcPr>
            <w:tcW w:w="160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二级道路</w:t>
            </w:r>
          </w:p>
        </w:tc>
        <w:tc>
          <w:tcPr>
            <w:tcW w:w="221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公交总站-石桥路</w:t>
            </w:r>
          </w:p>
        </w:tc>
        <w:tc>
          <w:tcPr>
            <w:tcW w:w="1184"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944</w:t>
            </w:r>
          </w:p>
        </w:tc>
        <w:tc>
          <w:tcPr>
            <w:tcW w:w="1050"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36</w:t>
            </w:r>
          </w:p>
        </w:tc>
        <w:tc>
          <w:tcPr>
            <w:tcW w:w="1116"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23526.89</w:t>
            </w:r>
          </w:p>
        </w:tc>
        <w:tc>
          <w:tcPr>
            <w:tcW w:w="1384"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10143.44</w:t>
            </w:r>
          </w:p>
        </w:tc>
        <w:tc>
          <w:tcPr>
            <w:tcW w:w="1279"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0</w:t>
            </w:r>
          </w:p>
        </w:tc>
        <w:tc>
          <w:tcPr>
            <w:tcW w:w="1069"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3131.96</w:t>
            </w:r>
          </w:p>
        </w:tc>
        <w:tc>
          <w:tcPr>
            <w:tcW w:w="2302"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 xml:space="preserve">36802.29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800"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7</w:t>
            </w:r>
          </w:p>
        </w:tc>
        <w:tc>
          <w:tcPr>
            <w:tcW w:w="151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东新路延伸段2</w:t>
            </w:r>
          </w:p>
        </w:tc>
        <w:tc>
          <w:tcPr>
            <w:tcW w:w="160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二级道路</w:t>
            </w:r>
          </w:p>
        </w:tc>
        <w:tc>
          <w:tcPr>
            <w:tcW w:w="221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东新东路984号对面</w:t>
            </w:r>
          </w:p>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（187路公交总站西边三叉路）</w:t>
            </w:r>
          </w:p>
        </w:tc>
        <w:tc>
          <w:tcPr>
            <w:tcW w:w="1184"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205</w:t>
            </w:r>
          </w:p>
        </w:tc>
        <w:tc>
          <w:tcPr>
            <w:tcW w:w="1050"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0</w:t>
            </w:r>
          </w:p>
        </w:tc>
        <w:tc>
          <w:tcPr>
            <w:tcW w:w="1116"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1254.6</w:t>
            </w:r>
          </w:p>
        </w:tc>
        <w:tc>
          <w:tcPr>
            <w:tcW w:w="1384"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29.25</w:t>
            </w:r>
          </w:p>
        </w:tc>
        <w:tc>
          <w:tcPr>
            <w:tcW w:w="1279"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0</w:t>
            </w:r>
          </w:p>
        </w:tc>
        <w:tc>
          <w:tcPr>
            <w:tcW w:w="1069"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248.95</w:t>
            </w:r>
          </w:p>
        </w:tc>
        <w:tc>
          <w:tcPr>
            <w:tcW w:w="2302"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 xml:space="preserve">1532.80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800"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8</w:t>
            </w:r>
          </w:p>
        </w:tc>
        <w:tc>
          <w:tcPr>
            <w:tcW w:w="151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东新路延伸段1</w:t>
            </w:r>
          </w:p>
        </w:tc>
        <w:tc>
          <w:tcPr>
            <w:tcW w:w="160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二级道路</w:t>
            </w:r>
          </w:p>
        </w:tc>
        <w:tc>
          <w:tcPr>
            <w:tcW w:w="221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石祥路-回龙港桥</w:t>
            </w:r>
          </w:p>
        </w:tc>
        <w:tc>
          <w:tcPr>
            <w:tcW w:w="1184"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1744</w:t>
            </w:r>
          </w:p>
        </w:tc>
        <w:tc>
          <w:tcPr>
            <w:tcW w:w="1050"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36.5</w:t>
            </w:r>
          </w:p>
        </w:tc>
        <w:tc>
          <w:tcPr>
            <w:tcW w:w="1116"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43905.09</w:t>
            </w:r>
          </w:p>
        </w:tc>
        <w:tc>
          <w:tcPr>
            <w:tcW w:w="1384"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23959.38</w:t>
            </w:r>
          </w:p>
        </w:tc>
        <w:tc>
          <w:tcPr>
            <w:tcW w:w="1279"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0</w:t>
            </w:r>
          </w:p>
        </w:tc>
        <w:tc>
          <w:tcPr>
            <w:tcW w:w="1069"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6391.76</w:t>
            </w:r>
          </w:p>
        </w:tc>
        <w:tc>
          <w:tcPr>
            <w:tcW w:w="2302"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 xml:space="preserve">74256.23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800"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9</w:t>
            </w:r>
          </w:p>
        </w:tc>
        <w:tc>
          <w:tcPr>
            <w:tcW w:w="151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安桥北路</w:t>
            </w:r>
          </w:p>
        </w:tc>
        <w:tc>
          <w:tcPr>
            <w:tcW w:w="160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二级道路</w:t>
            </w:r>
          </w:p>
        </w:tc>
        <w:tc>
          <w:tcPr>
            <w:tcW w:w="221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费家塘路-新北街</w:t>
            </w:r>
          </w:p>
        </w:tc>
        <w:tc>
          <w:tcPr>
            <w:tcW w:w="1184"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633.98</w:t>
            </w:r>
          </w:p>
        </w:tc>
        <w:tc>
          <w:tcPr>
            <w:tcW w:w="1050"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0</w:t>
            </w:r>
          </w:p>
        </w:tc>
        <w:tc>
          <w:tcPr>
            <w:tcW w:w="1116"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4604.28</w:t>
            </w:r>
          </w:p>
        </w:tc>
        <w:tc>
          <w:tcPr>
            <w:tcW w:w="1384"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2113.85</w:t>
            </w:r>
          </w:p>
        </w:tc>
        <w:tc>
          <w:tcPr>
            <w:tcW w:w="1279"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0</w:t>
            </w:r>
          </w:p>
        </w:tc>
        <w:tc>
          <w:tcPr>
            <w:tcW w:w="1069"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1268</w:t>
            </w:r>
          </w:p>
        </w:tc>
        <w:tc>
          <w:tcPr>
            <w:tcW w:w="2302"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 xml:space="preserve">7986.13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800"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10</w:t>
            </w:r>
          </w:p>
        </w:tc>
        <w:tc>
          <w:tcPr>
            <w:tcW w:w="151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新北街</w:t>
            </w:r>
          </w:p>
        </w:tc>
        <w:tc>
          <w:tcPr>
            <w:tcW w:w="160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二级道路</w:t>
            </w:r>
          </w:p>
        </w:tc>
        <w:tc>
          <w:tcPr>
            <w:tcW w:w="221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费家塘路-长浜路</w:t>
            </w:r>
          </w:p>
        </w:tc>
        <w:tc>
          <w:tcPr>
            <w:tcW w:w="1184"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673.99</w:t>
            </w:r>
          </w:p>
        </w:tc>
        <w:tc>
          <w:tcPr>
            <w:tcW w:w="1050"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16</w:t>
            </w:r>
          </w:p>
        </w:tc>
        <w:tc>
          <w:tcPr>
            <w:tcW w:w="1116"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7907.23</w:t>
            </w:r>
          </w:p>
        </w:tc>
        <w:tc>
          <w:tcPr>
            <w:tcW w:w="1384"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3325.08</w:t>
            </w:r>
          </w:p>
        </w:tc>
        <w:tc>
          <w:tcPr>
            <w:tcW w:w="1279"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0</w:t>
            </w:r>
          </w:p>
        </w:tc>
        <w:tc>
          <w:tcPr>
            <w:tcW w:w="1069"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1200</w:t>
            </w:r>
          </w:p>
        </w:tc>
        <w:tc>
          <w:tcPr>
            <w:tcW w:w="2302"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 xml:space="preserve">12432.31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800"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11</w:t>
            </w:r>
          </w:p>
        </w:tc>
        <w:tc>
          <w:tcPr>
            <w:tcW w:w="151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东文街</w:t>
            </w:r>
          </w:p>
        </w:tc>
        <w:tc>
          <w:tcPr>
            <w:tcW w:w="160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二级道路</w:t>
            </w:r>
          </w:p>
        </w:tc>
        <w:tc>
          <w:tcPr>
            <w:tcW w:w="221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费家塘路-长浜路</w:t>
            </w:r>
          </w:p>
        </w:tc>
        <w:tc>
          <w:tcPr>
            <w:tcW w:w="1184"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707.26</w:t>
            </w:r>
          </w:p>
        </w:tc>
        <w:tc>
          <w:tcPr>
            <w:tcW w:w="1050"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20</w:t>
            </w:r>
          </w:p>
        </w:tc>
        <w:tc>
          <w:tcPr>
            <w:tcW w:w="1116"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12495.44</w:t>
            </w:r>
          </w:p>
        </w:tc>
        <w:tc>
          <w:tcPr>
            <w:tcW w:w="1384"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2997.51</w:t>
            </w:r>
          </w:p>
        </w:tc>
        <w:tc>
          <w:tcPr>
            <w:tcW w:w="1279"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0</w:t>
            </w:r>
          </w:p>
        </w:tc>
        <w:tc>
          <w:tcPr>
            <w:tcW w:w="1069"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1416</w:t>
            </w:r>
          </w:p>
        </w:tc>
        <w:tc>
          <w:tcPr>
            <w:tcW w:w="2302"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 xml:space="preserve">16908.95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800"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12</w:t>
            </w:r>
          </w:p>
        </w:tc>
        <w:tc>
          <w:tcPr>
            <w:tcW w:w="151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永福桥路</w:t>
            </w:r>
          </w:p>
        </w:tc>
        <w:tc>
          <w:tcPr>
            <w:tcW w:w="160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二级道路</w:t>
            </w:r>
          </w:p>
        </w:tc>
        <w:tc>
          <w:tcPr>
            <w:tcW w:w="221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新天地街-石祥路</w:t>
            </w:r>
          </w:p>
        </w:tc>
        <w:tc>
          <w:tcPr>
            <w:tcW w:w="1184"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552.13</w:t>
            </w:r>
          </w:p>
        </w:tc>
        <w:tc>
          <w:tcPr>
            <w:tcW w:w="1050"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0</w:t>
            </w:r>
          </w:p>
        </w:tc>
        <w:tc>
          <w:tcPr>
            <w:tcW w:w="1116"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7287.01</w:t>
            </w:r>
          </w:p>
        </w:tc>
        <w:tc>
          <w:tcPr>
            <w:tcW w:w="1384"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2951.8</w:t>
            </w:r>
          </w:p>
        </w:tc>
        <w:tc>
          <w:tcPr>
            <w:tcW w:w="1279"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0</w:t>
            </w:r>
          </w:p>
        </w:tc>
        <w:tc>
          <w:tcPr>
            <w:tcW w:w="1069"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1000</w:t>
            </w:r>
          </w:p>
        </w:tc>
        <w:tc>
          <w:tcPr>
            <w:tcW w:w="2302"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 xml:space="preserve">11238.81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800"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13</w:t>
            </w:r>
          </w:p>
        </w:tc>
        <w:tc>
          <w:tcPr>
            <w:tcW w:w="151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费家塘路</w:t>
            </w:r>
          </w:p>
        </w:tc>
        <w:tc>
          <w:tcPr>
            <w:tcW w:w="160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二级道路</w:t>
            </w:r>
          </w:p>
        </w:tc>
        <w:tc>
          <w:tcPr>
            <w:tcW w:w="221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新天地街-石祥路</w:t>
            </w:r>
          </w:p>
        </w:tc>
        <w:tc>
          <w:tcPr>
            <w:tcW w:w="1184"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605.16</w:t>
            </w:r>
          </w:p>
        </w:tc>
        <w:tc>
          <w:tcPr>
            <w:tcW w:w="1050"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24</w:t>
            </w:r>
          </w:p>
        </w:tc>
        <w:tc>
          <w:tcPr>
            <w:tcW w:w="1116"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12399.08</w:t>
            </w:r>
          </w:p>
        </w:tc>
        <w:tc>
          <w:tcPr>
            <w:tcW w:w="1384"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3903.56</w:t>
            </w:r>
          </w:p>
        </w:tc>
        <w:tc>
          <w:tcPr>
            <w:tcW w:w="1279"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0</w:t>
            </w:r>
          </w:p>
        </w:tc>
        <w:tc>
          <w:tcPr>
            <w:tcW w:w="1069"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1212</w:t>
            </w:r>
          </w:p>
        </w:tc>
        <w:tc>
          <w:tcPr>
            <w:tcW w:w="2302"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 xml:space="preserve">17514.64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800"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14</w:t>
            </w:r>
          </w:p>
        </w:tc>
        <w:tc>
          <w:tcPr>
            <w:tcW w:w="151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长浜南路</w:t>
            </w:r>
          </w:p>
        </w:tc>
        <w:tc>
          <w:tcPr>
            <w:tcW w:w="160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三级道路</w:t>
            </w:r>
          </w:p>
        </w:tc>
        <w:tc>
          <w:tcPr>
            <w:tcW w:w="221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茂德巷-长岳街</w:t>
            </w:r>
          </w:p>
        </w:tc>
        <w:tc>
          <w:tcPr>
            <w:tcW w:w="1184"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1170</w:t>
            </w:r>
          </w:p>
        </w:tc>
        <w:tc>
          <w:tcPr>
            <w:tcW w:w="1050"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36</w:t>
            </w:r>
          </w:p>
        </w:tc>
        <w:tc>
          <w:tcPr>
            <w:tcW w:w="1116"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29492</w:t>
            </w:r>
          </w:p>
        </w:tc>
        <w:tc>
          <w:tcPr>
            <w:tcW w:w="1384"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6020</w:t>
            </w:r>
          </w:p>
        </w:tc>
        <w:tc>
          <w:tcPr>
            <w:tcW w:w="1279"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0</w:t>
            </w:r>
          </w:p>
        </w:tc>
        <w:tc>
          <w:tcPr>
            <w:tcW w:w="1069"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6608</w:t>
            </w:r>
          </w:p>
        </w:tc>
        <w:tc>
          <w:tcPr>
            <w:tcW w:w="2302"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42120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800"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15</w:t>
            </w:r>
          </w:p>
        </w:tc>
        <w:tc>
          <w:tcPr>
            <w:tcW w:w="151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长浜路</w:t>
            </w:r>
          </w:p>
        </w:tc>
        <w:tc>
          <w:tcPr>
            <w:tcW w:w="160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三级道路</w:t>
            </w:r>
          </w:p>
        </w:tc>
        <w:tc>
          <w:tcPr>
            <w:tcW w:w="221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香积寺路－沈家仓库</w:t>
            </w:r>
          </w:p>
        </w:tc>
        <w:tc>
          <w:tcPr>
            <w:tcW w:w="1184"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804</w:t>
            </w:r>
          </w:p>
        </w:tc>
        <w:tc>
          <w:tcPr>
            <w:tcW w:w="1050"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19</w:t>
            </w:r>
          </w:p>
        </w:tc>
        <w:tc>
          <w:tcPr>
            <w:tcW w:w="1116"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10049.73</w:t>
            </w:r>
          </w:p>
        </w:tc>
        <w:tc>
          <w:tcPr>
            <w:tcW w:w="1384"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6997.09</w:t>
            </w:r>
          </w:p>
        </w:tc>
        <w:tc>
          <w:tcPr>
            <w:tcW w:w="1279"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0</w:t>
            </w:r>
          </w:p>
        </w:tc>
        <w:tc>
          <w:tcPr>
            <w:tcW w:w="1069"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253.4</w:t>
            </w:r>
          </w:p>
        </w:tc>
        <w:tc>
          <w:tcPr>
            <w:tcW w:w="2302"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17300.22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800"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16</w:t>
            </w:r>
          </w:p>
        </w:tc>
        <w:tc>
          <w:tcPr>
            <w:tcW w:w="151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长浜路</w:t>
            </w:r>
          </w:p>
        </w:tc>
        <w:tc>
          <w:tcPr>
            <w:tcW w:w="160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三级道路</w:t>
            </w:r>
          </w:p>
        </w:tc>
        <w:tc>
          <w:tcPr>
            <w:tcW w:w="221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纵二路-石祥路</w:t>
            </w:r>
          </w:p>
        </w:tc>
        <w:tc>
          <w:tcPr>
            <w:tcW w:w="1184"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230</w:t>
            </w:r>
          </w:p>
        </w:tc>
        <w:tc>
          <w:tcPr>
            <w:tcW w:w="1050"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36</w:t>
            </w:r>
          </w:p>
        </w:tc>
        <w:tc>
          <w:tcPr>
            <w:tcW w:w="1116"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6201</w:t>
            </w:r>
          </w:p>
        </w:tc>
        <w:tc>
          <w:tcPr>
            <w:tcW w:w="1384"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1235</w:t>
            </w:r>
          </w:p>
        </w:tc>
        <w:tc>
          <w:tcPr>
            <w:tcW w:w="1279"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0</w:t>
            </w:r>
          </w:p>
        </w:tc>
        <w:tc>
          <w:tcPr>
            <w:tcW w:w="1069"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764.4</w:t>
            </w:r>
          </w:p>
        </w:tc>
        <w:tc>
          <w:tcPr>
            <w:tcW w:w="2302"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8200.4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800"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17</w:t>
            </w:r>
          </w:p>
        </w:tc>
        <w:tc>
          <w:tcPr>
            <w:tcW w:w="151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长浜路</w:t>
            </w:r>
          </w:p>
        </w:tc>
        <w:tc>
          <w:tcPr>
            <w:tcW w:w="160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三级道路</w:t>
            </w:r>
          </w:p>
        </w:tc>
        <w:tc>
          <w:tcPr>
            <w:tcW w:w="221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东新路—瑞银街</w:t>
            </w:r>
          </w:p>
        </w:tc>
        <w:tc>
          <w:tcPr>
            <w:tcW w:w="1184"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327</w:t>
            </w:r>
          </w:p>
        </w:tc>
        <w:tc>
          <w:tcPr>
            <w:tcW w:w="1050"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0</w:t>
            </w:r>
          </w:p>
        </w:tc>
        <w:tc>
          <w:tcPr>
            <w:tcW w:w="1116"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4905</w:t>
            </w:r>
          </w:p>
        </w:tc>
        <w:tc>
          <w:tcPr>
            <w:tcW w:w="1384"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2205</w:t>
            </w:r>
          </w:p>
        </w:tc>
        <w:tc>
          <w:tcPr>
            <w:tcW w:w="1279"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2520</w:t>
            </w:r>
          </w:p>
        </w:tc>
        <w:tc>
          <w:tcPr>
            <w:tcW w:w="1069"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1471.5</w:t>
            </w:r>
          </w:p>
        </w:tc>
        <w:tc>
          <w:tcPr>
            <w:tcW w:w="2302"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11101.5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00"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18</w:t>
            </w:r>
          </w:p>
        </w:tc>
        <w:tc>
          <w:tcPr>
            <w:tcW w:w="151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东新东路</w:t>
            </w:r>
          </w:p>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（长浜路扩充延伸段）</w:t>
            </w:r>
          </w:p>
        </w:tc>
        <w:tc>
          <w:tcPr>
            <w:tcW w:w="160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三级道路</w:t>
            </w:r>
          </w:p>
        </w:tc>
        <w:tc>
          <w:tcPr>
            <w:tcW w:w="221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德胜路-重工路</w:t>
            </w:r>
          </w:p>
        </w:tc>
        <w:tc>
          <w:tcPr>
            <w:tcW w:w="1184"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1332</w:t>
            </w:r>
          </w:p>
        </w:tc>
        <w:tc>
          <w:tcPr>
            <w:tcW w:w="1050"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0</w:t>
            </w:r>
          </w:p>
        </w:tc>
        <w:tc>
          <w:tcPr>
            <w:tcW w:w="1116"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23188</w:t>
            </w:r>
          </w:p>
        </w:tc>
        <w:tc>
          <w:tcPr>
            <w:tcW w:w="1384"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3539</w:t>
            </w:r>
          </w:p>
        </w:tc>
        <w:tc>
          <w:tcPr>
            <w:tcW w:w="1279"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0</w:t>
            </w:r>
          </w:p>
        </w:tc>
        <w:tc>
          <w:tcPr>
            <w:tcW w:w="1069"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3040</w:t>
            </w:r>
          </w:p>
        </w:tc>
        <w:tc>
          <w:tcPr>
            <w:tcW w:w="2302"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 xml:space="preserve">29767.00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800"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19</w:t>
            </w:r>
          </w:p>
        </w:tc>
        <w:tc>
          <w:tcPr>
            <w:tcW w:w="151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东新东路（延伸）</w:t>
            </w:r>
          </w:p>
        </w:tc>
        <w:tc>
          <w:tcPr>
            <w:tcW w:w="160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三级道路</w:t>
            </w:r>
          </w:p>
        </w:tc>
        <w:tc>
          <w:tcPr>
            <w:tcW w:w="221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长大屋路-重工路</w:t>
            </w:r>
          </w:p>
        </w:tc>
        <w:tc>
          <w:tcPr>
            <w:tcW w:w="1184"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722</w:t>
            </w:r>
          </w:p>
        </w:tc>
        <w:tc>
          <w:tcPr>
            <w:tcW w:w="1050"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36.5</w:t>
            </w:r>
          </w:p>
        </w:tc>
        <w:tc>
          <w:tcPr>
            <w:tcW w:w="1116"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18157.27</w:t>
            </w:r>
          </w:p>
        </w:tc>
        <w:tc>
          <w:tcPr>
            <w:tcW w:w="1384"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5493.3</w:t>
            </w:r>
          </w:p>
        </w:tc>
        <w:tc>
          <w:tcPr>
            <w:tcW w:w="1279"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0</w:t>
            </w:r>
          </w:p>
        </w:tc>
        <w:tc>
          <w:tcPr>
            <w:tcW w:w="1069"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2887.63</w:t>
            </w:r>
          </w:p>
        </w:tc>
        <w:tc>
          <w:tcPr>
            <w:tcW w:w="2302"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26538.2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800"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20</w:t>
            </w:r>
          </w:p>
        </w:tc>
        <w:tc>
          <w:tcPr>
            <w:tcW w:w="151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白石路</w:t>
            </w:r>
          </w:p>
        </w:tc>
        <w:tc>
          <w:tcPr>
            <w:tcW w:w="160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三级道路</w:t>
            </w:r>
          </w:p>
        </w:tc>
        <w:tc>
          <w:tcPr>
            <w:tcW w:w="221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香积寺路口－西文村</w:t>
            </w:r>
          </w:p>
        </w:tc>
        <w:tc>
          <w:tcPr>
            <w:tcW w:w="1184"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1626</w:t>
            </w:r>
          </w:p>
        </w:tc>
        <w:tc>
          <w:tcPr>
            <w:tcW w:w="1050"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32</w:t>
            </w:r>
          </w:p>
        </w:tc>
        <w:tc>
          <w:tcPr>
            <w:tcW w:w="1116"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37177.53</w:t>
            </w:r>
          </w:p>
        </w:tc>
        <w:tc>
          <w:tcPr>
            <w:tcW w:w="1384"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15997.27</w:t>
            </w:r>
          </w:p>
        </w:tc>
        <w:tc>
          <w:tcPr>
            <w:tcW w:w="1279"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0</w:t>
            </w:r>
          </w:p>
        </w:tc>
        <w:tc>
          <w:tcPr>
            <w:tcW w:w="1069"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3370.51</w:t>
            </w:r>
          </w:p>
        </w:tc>
        <w:tc>
          <w:tcPr>
            <w:tcW w:w="2302"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56545.31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800"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21</w:t>
            </w:r>
          </w:p>
        </w:tc>
        <w:tc>
          <w:tcPr>
            <w:tcW w:w="151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白石路</w:t>
            </w:r>
          </w:p>
        </w:tc>
        <w:tc>
          <w:tcPr>
            <w:tcW w:w="160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三级道路</w:t>
            </w:r>
          </w:p>
        </w:tc>
        <w:tc>
          <w:tcPr>
            <w:tcW w:w="221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杭钢市场围墙-东新路</w:t>
            </w:r>
          </w:p>
        </w:tc>
        <w:tc>
          <w:tcPr>
            <w:tcW w:w="1184"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440</w:t>
            </w:r>
          </w:p>
        </w:tc>
        <w:tc>
          <w:tcPr>
            <w:tcW w:w="1050"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32</w:t>
            </w:r>
          </w:p>
        </w:tc>
        <w:tc>
          <w:tcPr>
            <w:tcW w:w="1116"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9240</w:t>
            </w:r>
          </w:p>
        </w:tc>
        <w:tc>
          <w:tcPr>
            <w:tcW w:w="1384"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4040</w:t>
            </w:r>
          </w:p>
        </w:tc>
        <w:tc>
          <w:tcPr>
            <w:tcW w:w="1279"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300</w:t>
            </w:r>
          </w:p>
        </w:tc>
        <w:tc>
          <w:tcPr>
            <w:tcW w:w="1069"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800</w:t>
            </w:r>
          </w:p>
        </w:tc>
        <w:tc>
          <w:tcPr>
            <w:tcW w:w="2302"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14380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800"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22</w:t>
            </w:r>
          </w:p>
        </w:tc>
        <w:tc>
          <w:tcPr>
            <w:tcW w:w="151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西文街（原名重工路西段）</w:t>
            </w:r>
          </w:p>
        </w:tc>
        <w:tc>
          <w:tcPr>
            <w:tcW w:w="160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三级道路</w:t>
            </w:r>
          </w:p>
        </w:tc>
        <w:tc>
          <w:tcPr>
            <w:tcW w:w="221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东新路-西联桥</w:t>
            </w:r>
          </w:p>
        </w:tc>
        <w:tc>
          <w:tcPr>
            <w:tcW w:w="1184"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1080</w:t>
            </w:r>
          </w:p>
        </w:tc>
        <w:tc>
          <w:tcPr>
            <w:tcW w:w="1050"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33</w:t>
            </w:r>
          </w:p>
        </w:tc>
        <w:tc>
          <w:tcPr>
            <w:tcW w:w="1116"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25743.63</w:t>
            </w:r>
          </w:p>
        </w:tc>
        <w:tc>
          <w:tcPr>
            <w:tcW w:w="1384"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10349.68</w:t>
            </w:r>
          </w:p>
        </w:tc>
        <w:tc>
          <w:tcPr>
            <w:tcW w:w="1279"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0</w:t>
            </w:r>
          </w:p>
        </w:tc>
        <w:tc>
          <w:tcPr>
            <w:tcW w:w="1069"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2390.11</w:t>
            </w:r>
          </w:p>
        </w:tc>
        <w:tc>
          <w:tcPr>
            <w:tcW w:w="2302"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38483.42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800"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23</w:t>
            </w:r>
          </w:p>
        </w:tc>
        <w:tc>
          <w:tcPr>
            <w:tcW w:w="151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新西路</w:t>
            </w:r>
          </w:p>
        </w:tc>
        <w:tc>
          <w:tcPr>
            <w:tcW w:w="160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三级道路</w:t>
            </w:r>
          </w:p>
        </w:tc>
        <w:tc>
          <w:tcPr>
            <w:tcW w:w="221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白石路-东新路</w:t>
            </w:r>
          </w:p>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（含九龙巷桥，众贤桥）</w:t>
            </w:r>
          </w:p>
        </w:tc>
        <w:tc>
          <w:tcPr>
            <w:tcW w:w="1184"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911</w:t>
            </w:r>
          </w:p>
        </w:tc>
        <w:tc>
          <w:tcPr>
            <w:tcW w:w="1050"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0</w:t>
            </w:r>
          </w:p>
        </w:tc>
        <w:tc>
          <w:tcPr>
            <w:tcW w:w="1116"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12142</w:t>
            </w:r>
          </w:p>
        </w:tc>
        <w:tc>
          <w:tcPr>
            <w:tcW w:w="1384"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6553</w:t>
            </w:r>
          </w:p>
        </w:tc>
        <w:tc>
          <w:tcPr>
            <w:tcW w:w="1279"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0</w:t>
            </w:r>
          </w:p>
        </w:tc>
        <w:tc>
          <w:tcPr>
            <w:tcW w:w="1069"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0</w:t>
            </w:r>
          </w:p>
        </w:tc>
        <w:tc>
          <w:tcPr>
            <w:tcW w:w="2302"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18695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800"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24</w:t>
            </w:r>
          </w:p>
        </w:tc>
        <w:tc>
          <w:tcPr>
            <w:tcW w:w="151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华西路</w:t>
            </w:r>
          </w:p>
        </w:tc>
        <w:tc>
          <w:tcPr>
            <w:tcW w:w="160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三级道路</w:t>
            </w:r>
          </w:p>
        </w:tc>
        <w:tc>
          <w:tcPr>
            <w:tcW w:w="221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康宁路-石大路</w:t>
            </w:r>
          </w:p>
        </w:tc>
        <w:tc>
          <w:tcPr>
            <w:tcW w:w="1184"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320</w:t>
            </w:r>
          </w:p>
        </w:tc>
        <w:tc>
          <w:tcPr>
            <w:tcW w:w="1050"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20</w:t>
            </w:r>
          </w:p>
        </w:tc>
        <w:tc>
          <w:tcPr>
            <w:tcW w:w="1116"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4480</w:t>
            </w:r>
          </w:p>
        </w:tc>
        <w:tc>
          <w:tcPr>
            <w:tcW w:w="1384"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1920</w:t>
            </w:r>
          </w:p>
        </w:tc>
        <w:tc>
          <w:tcPr>
            <w:tcW w:w="1279"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0</w:t>
            </w:r>
          </w:p>
        </w:tc>
        <w:tc>
          <w:tcPr>
            <w:tcW w:w="1069"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0</w:t>
            </w:r>
          </w:p>
        </w:tc>
        <w:tc>
          <w:tcPr>
            <w:tcW w:w="2302"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6400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800"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25</w:t>
            </w:r>
          </w:p>
        </w:tc>
        <w:tc>
          <w:tcPr>
            <w:tcW w:w="1517"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费家塘路</w:t>
            </w:r>
          </w:p>
        </w:tc>
        <w:tc>
          <w:tcPr>
            <w:tcW w:w="160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三级道路</w:t>
            </w:r>
          </w:p>
        </w:tc>
        <w:tc>
          <w:tcPr>
            <w:tcW w:w="2213"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沈家北路-香积寺东路</w:t>
            </w:r>
          </w:p>
        </w:tc>
        <w:tc>
          <w:tcPr>
            <w:tcW w:w="1184"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1402</w:t>
            </w:r>
          </w:p>
        </w:tc>
        <w:tc>
          <w:tcPr>
            <w:tcW w:w="1050"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0</w:t>
            </w:r>
          </w:p>
        </w:tc>
        <w:tc>
          <w:tcPr>
            <w:tcW w:w="1116"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23834</w:t>
            </w:r>
          </w:p>
        </w:tc>
        <w:tc>
          <w:tcPr>
            <w:tcW w:w="1384"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6765</w:t>
            </w:r>
          </w:p>
        </w:tc>
        <w:tc>
          <w:tcPr>
            <w:tcW w:w="1279"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0</w:t>
            </w:r>
          </w:p>
        </w:tc>
        <w:tc>
          <w:tcPr>
            <w:tcW w:w="1069"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2202</w:t>
            </w:r>
          </w:p>
        </w:tc>
        <w:tc>
          <w:tcPr>
            <w:tcW w:w="2302"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32801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800"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26</w:t>
            </w:r>
          </w:p>
        </w:tc>
        <w:tc>
          <w:tcPr>
            <w:tcW w:w="1517"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听胜弄</w:t>
            </w:r>
          </w:p>
        </w:tc>
        <w:tc>
          <w:tcPr>
            <w:tcW w:w="160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三级道路</w:t>
            </w:r>
          </w:p>
        </w:tc>
        <w:tc>
          <w:tcPr>
            <w:tcW w:w="2213"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东新路-长浜路</w:t>
            </w:r>
          </w:p>
        </w:tc>
        <w:tc>
          <w:tcPr>
            <w:tcW w:w="1184"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628</w:t>
            </w:r>
          </w:p>
        </w:tc>
        <w:tc>
          <w:tcPr>
            <w:tcW w:w="1050"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0</w:t>
            </w:r>
          </w:p>
        </w:tc>
        <w:tc>
          <w:tcPr>
            <w:tcW w:w="1116"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9420</w:t>
            </w:r>
          </w:p>
        </w:tc>
        <w:tc>
          <w:tcPr>
            <w:tcW w:w="1384"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2720</w:t>
            </w:r>
          </w:p>
        </w:tc>
        <w:tc>
          <w:tcPr>
            <w:tcW w:w="1279"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0</w:t>
            </w:r>
          </w:p>
        </w:tc>
        <w:tc>
          <w:tcPr>
            <w:tcW w:w="1069"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0</w:t>
            </w:r>
          </w:p>
        </w:tc>
        <w:tc>
          <w:tcPr>
            <w:tcW w:w="2302"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12140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133" w:type="dxa"/>
            <w:gridSpan w:val="4"/>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0"/>
                <w:szCs w:val="20"/>
                <w:highlight w:val="none"/>
                <w:u w:val="none"/>
                <w14:textFill>
                  <w14:solidFill>
                    <w14:schemeClr w14:val="tx1"/>
                  </w14:solidFill>
                </w14:textFill>
              </w:rPr>
            </w:pPr>
            <w:r>
              <w:rPr>
                <w:rFonts w:hint="eastAsia" w:ascii="宋体" w:hAnsi="宋体" w:eastAsia="宋体" w:cs="宋体"/>
                <w:b/>
                <w:bCs/>
                <w:i w:val="0"/>
                <w:iCs w:val="0"/>
                <w:color w:val="000000" w:themeColor="text1"/>
                <w:kern w:val="0"/>
                <w:sz w:val="20"/>
                <w:szCs w:val="20"/>
                <w:highlight w:val="none"/>
                <w:u w:val="none"/>
                <w:lang w:val="en-US" w:eastAsia="zh-CN" w:bidi="ar"/>
                <w14:textFill>
                  <w14:solidFill>
                    <w14:schemeClr w14:val="tx1"/>
                  </w14:solidFill>
                </w14:textFill>
              </w:rPr>
              <w:t>合  计</w:t>
            </w:r>
          </w:p>
        </w:tc>
        <w:tc>
          <w:tcPr>
            <w:tcW w:w="1184"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0"/>
                <w:szCs w:val="20"/>
                <w:highlight w:val="none"/>
                <w:u w:val="none"/>
                <w14:textFill>
                  <w14:solidFill>
                    <w14:schemeClr w14:val="tx1"/>
                  </w14:solidFill>
                </w14:textFill>
              </w:rPr>
            </w:pPr>
            <w:r>
              <w:rPr>
                <w:rFonts w:hint="eastAsia" w:ascii="宋体" w:hAnsi="宋体" w:eastAsia="宋体" w:cs="宋体"/>
                <w:b/>
                <w:bCs/>
                <w:i w:val="0"/>
                <w:iCs w:val="0"/>
                <w:color w:val="000000" w:themeColor="text1"/>
                <w:kern w:val="0"/>
                <w:sz w:val="20"/>
                <w:szCs w:val="20"/>
                <w:highlight w:val="none"/>
                <w:u w:val="none"/>
                <w:lang w:val="en-US" w:eastAsia="zh-CN" w:bidi="ar"/>
                <w14:textFill>
                  <w14:solidFill>
                    <w14:schemeClr w14:val="tx1"/>
                  </w14:solidFill>
                </w14:textFill>
              </w:rPr>
              <w:t>23838.52</w:t>
            </w:r>
          </w:p>
        </w:tc>
        <w:tc>
          <w:tcPr>
            <w:tcW w:w="1050"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0"/>
                <w:szCs w:val="20"/>
                <w:highlight w:val="none"/>
                <w:u w:val="none"/>
                <w14:textFill>
                  <w14:solidFill>
                    <w14:schemeClr w14:val="tx1"/>
                  </w14:solidFill>
                </w14:textFill>
              </w:rPr>
            </w:pPr>
            <w:r>
              <w:rPr>
                <w:rFonts w:hint="eastAsia" w:ascii="宋体" w:hAnsi="宋体" w:eastAsia="宋体" w:cs="宋体"/>
                <w:b/>
                <w:bCs/>
                <w:i w:val="0"/>
                <w:iCs w:val="0"/>
                <w:color w:val="000000" w:themeColor="text1"/>
                <w:kern w:val="0"/>
                <w:sz w:val="20"/>
                <w:szCs w:val="20"/>
                <w:highlight w:val="none"/>
                <w:u w:val="none"/>
                <w:lang w:val="en-US" w:eastAsia="zh-CN" w:bidi="ar"/>
                <w14:textFill>
                  <w14:solidFill>
                    <w14:schemeClr w14:val="tx1"/>
                  </w14:solidFill>
                </w14:textFill>
              </w:rPr>
              <w:t>525</w:t>
            </w:r>
          </w:p>
        </w:tc>
        <w:tc>
          <w:tcPr>
            <w:tcW w:w="1116"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0"/>
                <w:szCs w:val="20"/>
                <w:highlight w:val="none"/>
                <w:u w:val="none"/>
                <w14:textFill>
                  <w14:solidFill>
                    <w14:schemeClr w14:val="tx1"/>
                  </w14:solidFill>
                </w14:textFill>
              </w:rPr>
            </w:pPr>
            <w:r>
              <w:rPr>
                <w:rFonts w:hint="eastAsia" w:ascii="宋体" w:hAnsi="宋体" w:eastAsia="宋体" w:cs="宋体"/>
                <w:b/>
                <w:bCs/>
                <w:i w:val="0"/>
                <w:iCs w:val="0"/>
                <w:color w:val="000000" w:themeColor="text1"/>
                <w:kern w:val="0"/>
                <w:sz w:val="20"/>
                <w:szCs w:val="20"/>
                <w:highlight w:val="none"/>
                <w:u w:val="none"/>
                <w:lang w:val="en-US" w:eastAsia="zh-CN" w:bidi="ar"/>
                <w14:textFill>
                  <w14:solidFill>
                    <w14:schemeClr w14:val="tx1"/>
                  </w14:solidFill>
                </w14:textFill>
              </w:rPr>
              <w:t>557822.67</w:t>
            </w:r>
          </w:p>
        </w:tc>
        <w:tc>
          <w:tcPr>
            <w:tcW w:w="1384"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0"/>
                <w:szCs w:val="20"/>
                <w:highlight w:val="none"/>
                <w:u w:val="none"/>
                <w14:textFill>
                  <w14:solidFill>
                    <w14:schemeClr w14:val="tx1"/>
                  </w14:solidFill>
                </w14:textFill>
              </w:rPr>
            </w:pPr>
            <w:r>
              <w:rPr>
                <w:rFonts w:hint="eastAsia" w:ascii="宋体" w:hAnsi="宋体" w:eastAsia="宋体" w:cs="宋体"/>
                <w:b/>
                <w:bCs/>
                <w:i w:val="0"/>
                <w:iCs w:val="0"/>
                <w:color w:val="000000" w:themeColor="text1"/>
                <w:kern w:val="0"/>
                <w:sz w:val="20"/>
                <w:szCs w:val="20"/>
                <w:highlight w:val="none"/>
                <w:u w:val="none"/>
                <w:lang w:val="en-US" w:eastAsia="zh-CN" w:bidi="ar"/>
                <w14:textFill>
                  <w14:solidFill>
                    <w14:schemeClr w14:val="tx1"/>
                  </w14:solidFill>
                </w14:textFill>
              </w:rPr>
              <w:t>199647.91</w:t>
            </w:r>
          </w:p>
        </w:tc>
        <w:tc>
          <w:tcPr>
            <w:tcW w:w="1279"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0"/>
                <w:szCs w:val="20"/>
                <w:highlight w:val="none"/>
                <w:u w:val="none"/>
                <w14:textFill>
                  <w14:solidFill>
                    <w14:schemeClr w14:val="tx1"/>
                  </w14:solidFill>
                </w14:textFill>
              </w:rPr>
            </w:pPr>
            <w:r>
              <w:rPr>
                <w:rFonts w:hint="eastAsia" w:ascii="宋体" w:hAnsi="宋体" w:eastAsia="宋体" w:cs="宋体"/>
                <w:b/>
                <w:bCs/>
                <w:i w:val="0"/>
                <w:iCs w:val="0"/>
                <w:color w:val="000000" w:themeColor="text1"/>
                <w:kern w:val="0"/>
                <w:sz w:val="20"/>
                <w:szCs w:val="20"/>
                <w:highlight w:val="none"/>
                <w:u w:val="none"/>
                <w:lang w:val="en-US" w:eastAsia="zh-CN" w:bidi="ar"/>
                <w14:textFill>
                  <w14:solidFill>
                    <w14:schemeClr w14:val="tx1"/>
                  </w14:solidFill>
                </w14:textFill>
              </w:rPr>
              <w:t>2820</w:t>
            </w:r>
          </w:p>
        </w:tc>
        <w:tc>
          <w:tcPr>
            <w:tcW w:w="1069"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0"/>
                <w:szCs w:val="20"/>
                <w:highlight w:val="none"/>
                <w:u w:val="none"/>
                <w14:textFill>
                  <w14:solidFill>
                    <w14:schemeClr w14:val="tx1"/>
                  </w14:solidFill>
                </w14:textFill>
              </w:rPr>
            </w:pPr>
            <w:r>
              <w:rPr>
                <w:rFonts w:hint="eastAsia" w:ascii="宋体" w:hAnsi="宋体" w:eastAsia="宋体" w:cs="宋体"/>
                <w:b/>
                <w:bCs/>
                <w:i w:val="0"/>
                <w:iCs w:val="0"/>
                <w:color w:val="000000" w:themeColor="text1"/>
                <w:kern w:val="0"/>
                <w:sz w:val="20"/>
                <w:szCs w:val="20"/>
                <w:highlight w:val="none"/>
                <w:u w:val="none"/>
                <w:lang w:val="en-US" w:eastAsia="zh-CN" w:bidi="ar"/>
                <w14:textFill>
                  <w14:solidFill>
                    <w14:schemeClr w14:val="tx1"/>
                  </w14:solidFill>
                </w14:textFill>
              </w:rPr>
              <w:t>60813.14</w:t>
            </w:r>
          </w:p>
        </w:tc>
        <w:tc>
          <w:tcPr>
            <w:tcW w:w="2302"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0"/>
                <w:szCs w:val="20"/>
                <w:highlight w:val="none"/>
                <w:u w:val="none"/>
                <w14:textFill>
                  <w14:solidFill>
                    <w14:schemeClr w14:val="tx1"/>
                  </w14:solidFill>
                </w14:textFill>
              </w:rPr>
            </w:pPr>
            <w:r>
              <w:rPr>
                <w:rFonts w:hint="eastAsia" w:ascii="宋体" w:hAnsi="宋体" w:eastAsia="宋体" w:cs="宋体"/>
                <w:b/>
                <w:bCs/>
                <w:i w:val="0"/>
                <w:iCs w:val="0"/>
                <w:color w:val="000000" w:themeColor="text1"/>
                <w:kern w:val="0"/>
                <w:sz w:val="20"/>
                <w:szCs w:val="20"/>
                <w:highlight w:val="none"/>
                <w:u w:val="none"/>
                <w:lang w:val="en-US" w:eastAsia="zh-CN" w:bidi="ar"/>
                <w14:textFill>
                  <w14:solidFill>
                    <w14:schemeClr w14:val="tx1"/>
                  </w14:solidFill>
                </w14:textFill>
              </w:rPr>
              <w:t>821103.72</w:t>
            </w:r>
          </w:p>
        </w:tc>
      </w:tr>
    </w:tbl>
    <w:p>
      <w:pPr>
        <w:pStyle w:val="8"/>
        <w:spacing w:line="360" w:lineRule="auto"/>
        <w:ind w:firstLine="0"/>
        <w:rPr>
          <w:rFonts w:hint="eastAsia" w:ascii="宋体" w:hAnsi="宋体" w:eastAsia="宋体" w:cs="宋体"/>
          <w:b/>
          <w:bCs/>
          <w:color w:val="000000" w:themeColor="text1"/>
          <w:sz w:val="24"/>
          <w:szCs w:val="24"/>
          <w:highlight w:val="none"/>
          <w:lang w:val="en-US" w:eastAsia="zh-CN"/>
          <w14:textFill>
            <w14:solidFill>
              <w14:schemeClr w14:val="tx1"/>
            </w14:solidFill>
          </w14:textFill>
        </w:rPr>
      </w:pPr>
    </w:p>
    <w:p>
      <w:pPr>
        <w:pStyle w:val="8"/>
        <w:spacing w:line="360" w:lineRule="auto"/>
        <w:ind w:firstLine="0"/>
        <w:rPr>
          <w:rFonts w:hint="eastAsia" w:ascii="宋体" w:hAnsi="宋体" w:eastAsia="宋体" w:cs="宋体"/>
          <w:b/>
          <w:bCs/>
          <w:color w:val="000000" w:themeColor="text1"/>
          <w:sz w:val="24"/>
          <w:szCs w:val="24"/>
          <w:highlight w:val="none"/>
          <w:shd w:val="clear" w:color="auto" w:fill="auto"/>
          <w:lang w:val="en-US" w:eastAsia="zh-CN"/>
          <w14:textFill>
            <w14:solidFill>
              <w14:schemeClr w14:val="tx1"/>
            </w14:solidFill>
          </w14:textFill>
        </w:rPr>
        <w:sectPr>
          <w:pgSz w:w="16838" w:h="11906" w:orient="landscape"/>
          <w:pgMar w:top="1474" w:right="1417" w:bottom="1474" w:left="1417" w:header="851" w:footer="992" w:gutter="0"/>
          <w:cols w:space="720" w:num="1"/>
          <w:titlePg/>
          <w:docGrid w:linePitch="312" w:charSpace="0"/>
        </w:sectPr>
      </w:pPr>
    </w:p>
    <w:p>
      <w:pPr>
        <w:pStyle w:val="8"/>
        <w:pageBreakBefore w:val="0"/>
        <w:kinsoku/>
        <w:wordWrap/>
        <w:overflowPunct/>
        <w:topLinePunct w:val="0"/>
        <w:bidi w:val="0"/>
        <w:adjustRightInd/>
        <w:snapToGrid/>
        <w:spacing w:line="360" w:lineRule="auto"/>
        <w:ind w:left="0" w:leftChars="0" w:firstLine="482" w:firstLineChars="200"/>
        <w:jc w:val="left"/>
        <w:textAlignment w:val="auto"/>
        <w:rPr>
          <w:rFonts w:hint="eastAsia" w:ascii="宋体" w:hAnsi="宋体" w:eastAsia="宋体" w:cs="宋体"/>
          <w:b/>
          <w:bCs/>
          <w:color w:val="000000" w:themeColor="text1"/>
          <w:sz w:val="24"/>
          <w:szCs w:val="24"/>
          <w:highlight w:val="none"/>
          <w:shd w:val="clear" w:color="auto" w:fill="auto"/>
          <w:lang w:val="en-US" w:eastAsia="zh-CN"/>
          <w14:textFill>
            <w14:solidFill>
              <w14:schemeClr w14:val="tx1"/>
            </w14:solidFill>
          </w14:textFill>
        </w:rPr>
      </w:pPr>
      <w:r>
        <w:rPr>
          <w:rFonts w:hint="eastAsia" w:ascii="宋体" w:hAnsi="宋体" w:eastAsia="宋体" w:cs="宋体"/>
          <w:b/>
          <w:bCs/>
          <w:color w:val="000000" w:themeColor="text1"/>
          <w:sz w:val="24"/>
          <w:szCs w:val="24"/>
          <w:highlight w:val="none"/>
          <w:shd w:val="clear" w:color="auto" w:fill="auto"/>
          <w:lang w:val="en-US" w:eastAsia="zh-CN"/>
          <w14:textFill>
            <w14:solidFill>
              <w14:schemeClr w14:val="tx1"/>
            </w14:solidFill>
          </w14:textFill>
        </w:rPr>
        <w:t>2、技术规范</w:t>
      </w:r>
    </w:p>
    <w:p>
      <w:pPr>
        <w:pStyle w:val="8"/>
        <w:pageBreakBefore w:val="0"/>
        <w:kinsoku/>
        <w:wordWrap/>
        <w:overflowPunct/>
        <w:topLinePunct w:val="0"/>
        <w:bidi w:val="0"/>
        <w:adjustRightInd/>
        <w:snapToGrid/>
        <w:spacing w:line="360" w:lineRule="auto"/>
        <w:ind w:left="0" w:leftChars="0" w:firstLine="482" w:firstLineChars="200"/>
        <w:jc w:val="left"/>
        <w:textAlignment w:val="auto"/>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lang w:eastAsia="zh-CN"/>
          <w14:textFill>
            <w14:solidFill>
              <w14:schemeClr w14:val="tx1"/>
            </w14:solidFill>
          </w14:textFill>
        </w:rPr>
        <w:t>（</w:t>
      </w: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1</w:t>
      </w:r>
      <w:r>
        <w:rPr>
          <w:rFonts w:hint="eastAsia" w:ascii="宋体" w:hAnsi="宋体" w:eastAsia="宋体" w:cs="宋体"/>
          <w:b/>
          <w:bCs/>
          <w:color w:val="000000" w:themeColor="text1"/>
          <w:sz w:val="24"/>
          <w:szCs w:val="24"/>
          <w:highlight w:val="none"/>
          <w:lang w:eastAsia="zh-CN"/>
          <w14:textFill>
            <w14:solidFill>
              <w14:schemeClr w14:val="tx1"/>
            </w14:solidFill>
          </w14:textFill>
        </w:rPr>
        <w:t>）</w:t>
      </w:r>
      <w:r>
        <w:rPr>
          <w:rFonts w:hint="eastAsia" w:ascii="宋体" w:hAnsi="宋体" w:eastAsia="宋体" w:cs="宋体"/>
          <w:b/>
          <w:bCs/>
          <w:color w:val="000000" w:themeColor="text1"/>
          <w:sz w:val="24"/>
          <w:szCs w:val="24"/>
          <w:highlight w:val="none"/>
          <w14:textFill>
            <w14:solidFill>
              <w14:schemeClr w14:val="tx1"/>
            </w14:solidFill>
          </w14:textFill>
        </w:rPr>
        <w:t>道路市政养护规范</w:t>
      </w:r>
    </w:p>
    <w:p>
      <w:pPr>
        <w:pStyle w:val="8"/>
        <w:pageBreakBefore w:val="0"/>
        <w:kinsoku/>
        <w:wordWrap/>
        <w:overflowPunct/>
        <w:topLinePunct w:val="0"/>
        <w:bidi w:val="0"/>
        <w:adjustRightInd/>
        <w:snapToGrid/>
        <w:spacing w:line="360" w:lineRule="auto"/>
        <w:ind w:left="0" w:leftChars="0"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1.1</w:t>
      </w:r>
      <w:r>
        <w:rPr>
          <w:rFonts w:hint="eastAsia" w:ascii="宋体" w:hAnsi="宋体" w:eastAsia="宋体" w:cs="宋体"/>
          <w:color w:val="000000" w:themeColor="text1"/>
          <w:sz w:val="24"/>
          <w:szCs w:val="24"/>
          <w:highlight w:val="none"/>
          <w14:textFill>
            <w14:solidFill>
              <w14:schemeClr w14:val="tx1"/>
            </w14:solidFill>
          </w14:textFill>
        </w:rPr>
        <w:t>《城镇道路养护技术规范》（CJJ36-2016）</w:t>
      </w:r>
    </w:p>
    <w:p>
      <w:pPr>
        <w:pStyle w:val="8"/>
        <w:pageBreakBefore w:val="0"/>
        <w:kinsoku/>
        <w:wordWrap/>
        <w:overflowPunct/>
        <w:topLinePunct w:val="0"/>
        <w:bidi w:val="0"/>
        <w:adjustRightInd/>
        <w:snapToGrid/>
        <w:spacing w:line="360" w:lineRule="auto"/>
        <w:ind w:left="0" w:leftChars="0"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1.2《沥青路面施工及验收规范》（GB50092-96）</w:t>
      </w:r>
    </w:p>
    <w:p>
      <w:pPr>
        <w:pStyle w:val="8"/>
        <w:pageBreakBefore w:val="0"/>
        <w:kinsoku/>
        <w:wordWrap/>
        <w:overflowPunct/>
        <w:topLinePunct w:val="0"/>
        <w:bidi w:val="0"/>
        <w:adjustRightInd/>
        <w:snapToGrid/>
        <w:spacing w:line="360" w:lineRule="auto"/>
        <w:ind w:left="0" w:leftChars="0"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1.3《杭州市城市道路管理养护技术要求(试行)》（杭城管〔2011〕37号）</w:t>
      </w:r>
    </w:p>
    <w:p>
      <w:pPr>
        <w:pStyle w:val="8"/>
        <w:pageBreakBefore w:val="0"/>
        <w:kinsoku/>
        <w:wordWrap/>
        <w:overflowPunct/>
        <w:topLinePunct w:val="0"/>
        <w:bidi w:val="0"/>
        <w:adjustRightInd/>
        <w:snapToGrid/>
        <w:spacing w:line="360" w:lineRule="auto"/>
        <w:ind w:left="0" w:leftChars="0"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1.4《杭州市城市道路市政养护技术规程》（CJS-02-2000）</w:t>
      </w:r>
    </w:p>
    <w:p>
      <w:pPr>
        <w:pStyle w:val="8"/>
        <w:pageBreakBefore w:val="0"/>
        <w:kinsoku/>
        <w:wordWrap/>
        <w:overflowPunct/>
        <w:topLinePunct w:val="0"/>
        <w:bidi w:val="0"/>
        <w:adjustRightInd/>
        <w:snapToGrid/>
        <w:spacing w:line="360" w:lineRule="auto"/>
        <w:ind w:left="0" w:leftChars="0"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1.5《城市桥梁养护标准》（CJJ99-2017）</w:t>
      </w:r>
    </w:p>
    <w:p>
      <w:pPr>
        <w:pStyle w:val="8"/>
        <w:pageBreakBefore w:val="0"/>
        <w:kinsoku/>
        <w:wordWrap/>
        <w:overflowPunct/>
        <w:topLinePunct w:val="0"/>
        <w:bidi w:val="0"/>
        <w:adjustRightInd/>
        <w:snapToGrid/>
        <w:spacing w:line="360" w:lineRule="auto"/>
        <w:ind w:left="0" w:leftChars="0"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1.6《城市桥梁检测和养护维修管理办法》（建设部2003年118号令）</w:t>
      </w:r>
    </w:p>
    <w:p>
      <w:pPr>
        <w:pStyle w:val="8"/>
        <w:pageBreakBefore w:val="0"/>
        <w:kinsoku/>
        <w:wordWrap/>
        <w:overflowPunct/>
        <w:topLinePunct w:val="0"/>
        <w:bidi w:val="0"/>
        <w:adjustRightInd/>
        <w:snapToGrid/>
        <w:spacing w:line="360" w:lineRule="auto"/>
        <w:ind w:left="0" w:leftChars="0"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1.7《杭州市城市桥梁养护技术规程》（CJS-03-2000）</w:t>
      </w:r>
    </w:p>
    <w:p>
      <w:pPr>
        <w:pStyle w:val="8"/>
        <w:pageBreakBefore w:val="0"/>
        <w:kinsoku/>
        <w:wordWrap/>
        <w:overflowPunct/>
        <w:topLinePunct w:val="0"/>
        <w:bidi w:val="0"/>
        <w:adjustRightInd/>
        <w:snapToGrid/>
        <w:spacing w:line="360" w:lineRule="auto"/>
        <w:ind w:left="0" w:leftChars="0"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1.8《杭州市市政设施管理条例》</w:t>
      </w:r>
    </w:p>
    <w:p>
      <w:pPr>
        <w:pStyle w:val="8"/>
        <w:pageBreakBefore w:val="0"/>
        <w:kinsoku/>
        <w:wordWrap/>
        <w:overflowPunct/>
        <w:topLinePunct w:val="0"/>
        <w:bidi w:val="0"/>
        <w:adjustRightInd/>
        <w:snapToGrid/>
        <w:spacing w:line="360" w:lineRule="auto"/>
        <w:ind w:left="0" w:leftChars="0"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1.9《城市道路杆件及标识整合技术规范》（DB3301/T 0232—2018）</w:t>
      </w:r>
    </w:p>
    <w:p>
      <w:pPr>
        <w:pStyle w:val="8"/>
        <w:pageBreakBefore w:val="0"/>
        <w:kinsoku/>
        <w:wordWrap/>
        <w:overflowPunct/>
        <w:topLinePunct w:val="0"/>
        <w:bidi w:val="0"/>
        <w:adjustRightInd/>
        <w:snapToGrid/>
        <w:spacing w:line="360" w:lineRule="auto"/>
        <w:ind w:left="0" w:leftChars="0"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1.10《关于进一步加强道路、河道养护及环卫保洁作业设备管理的通知》（杭城管委〔2018〕255号）</w:t>
      </w:r>
    </w:p>
    <w:p>
      <w:pPr>
        <w:pStyle w:val="8"/>
        <w:pageBreakBefore w:val="0"/>
        <w:kinsoku/>
        <w:wordWrap/>
        <w:overflowPunct/>
        <w:topLinePunct w:val="0"/>
        <w:bidi w:val="0"/>
        <w:adjustRightInd/>
        <w:snapToGrid/>
        <w:spacing w:line="360" w:lineRule="auto"/>
        <w:ind w:left="0" w:leftChars="0"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1.11《道路交通指示标识英文译写规范》（DB3301T0170-2016）</w:t>
      </w:r>
    </w:p>
    <w:p>
      <w:pPr>
        <w:pStyle w:val="8"/>
        <w:pageBreakBefore w:val="0"/>
        <w:kinsoku/>
        <w:wordWrap/>
        <w:overflowPunct/>
        <w:topLinePunct w:val="0"/>
        <w:bidi w:val="0"/>
        <w:adjustRightInd/>
        <w:snapToGrid/>
        <w:spacing w:line="360" w:lineRule="auto"/>
        <w:ind w:left="0" w:leftChars="0"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1.12《关于印发2021年度各区县（市）政府（管委会）城市管理考核相关评分细则的通知（杭城管综执联办〔2021〕3号）》</w:t>
      </w:r>
    </w:p>
    <w:p>
      <w:pPr>
        <w:pStyle w:val="8"/>
        <w:pageBreakBefore w:val="0"/>
        <w:kinsoku/>
        <w:wordWrap/>
        <w:overflowPunct/>
        <w:topLinePunct w:val="0"/>
        <w:bidi w:val="0"/>
        <w:adjustRightInd/>
        <w:snapToGrid/>
        <w:spacing w:line="360" w:lineRule="auto"/>
        <w:ind w:left="0" w:leftChars="0"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1.13关于印发《杭州市区城市道路路面技术状况检测方案》的通知（杭城管委﹝2016﹞292号）</w:t>
      </w:r>
    </w:p>
    <w:p>
      <w:pPr>
        <w:pStyle w:val="8"/>
        <w:pageBreakBefore w:val="0"/>
        <w:kinsoku/>
        <w:wordWrap/>
        <w:overflowPunct/>
        <w:topLinePunct w:val="0"/>
        <w:bidi w:val="0"/>
        <w:adjustRightInd/>
        <w:snapToGrid/>
        <w:spacing w:line="360" w:lineRule="auto"/>
        <w:ind w:left="0" w:leftChars="0"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1.14《城市道路养护规范》（DB3301/T0012-2013）</w:t>
      </w:r>
    </w:p>
    <w:p>
      <w:pPr>
        <w:pStyle w:val="8"/>
        <w:pageBreakBefore w:val="0"/>
        <w:kinsoku/>
        <w:wordWrap/>
        <w:overflowPunct/>
        <w:topLinePunct w:val="0"/>
        <w:bidi w:val="0"/>
        <w:adjustRightInd/>
        <w:snapToGrid/>
        <w:spacing w:line="360" w:lineRule="auto"/>
        <w:ind w:left="0" w:leftChars="0"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1.15关于印发《杭州市城市道路市政检查井提升改造通用图》的通知（杭城管委〔2015〕149号）</w:t>
      </w:r>
    </w:p>
    <w:p>
      <w:pPr>
        <w:pStyle w:val="8"/>
        <w:pageBreakBefore w:val="0"/>
        <w:kinsoku/>
        <w:wordWrap/>
        <w:overflowPunct/>
        <w:topLinePunct w:val="0"/>
        <w:bidi w:val="0"/>
        <w:adjustRightInd/>
        <w:snapToGrid/>
        <w:spacing w:line="360" w:lineRule="auto"/>
        <w:ind w:left="0" w:leftChars="0"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1.16关于进一步加强临时占用挖掘城市道路批后监管的通知（杭城管委〔2015〕207号）</w:t>
      </w:r>
    </w:p>
    <w:p>
      <w:pPr>
        <w:pStyle w:val="8"/>
        <w:pageBreakBefore w:val="0"/>
        <w:kinsoku/>
        <w:wordWrap/>
        <w:overflowPunct/>
        <w:topLinePunct w:val="0"/>
        <w:bidi w:val="0"/>
        <w:adjustRightInd/>
        <w:snapToGrid/>
        <w:spacing w:line="360" w:lineRule="auto"/>
        <w:ind w:left="0" w:leftChars="0"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1.17关于印发《杭州市市政养护市场诚信信息管理办法》《杭州市市政养护市场诚信评价标准》的通知（杭城管委﹝2018﹞19号）</w:t>
      </w:r>
    </w:p>
    <w:p>
      <w:pPr>
        <w:pStyle w:val="8"/>
        <w:pageBreakBefore w:val="0"/>
        <w:kinsoku/>
        <w:wordWrap/>
        <w:overflowPunct/>
        <w:topLinePunct w:val="0"/>
        <w:bidi w:val="0"/>
        <w:adjustRightInd/>
        <w:snapToGrid/>
        <w:spacing w:line="360" w:lineRule="auto"/>
        <w:ind w:left="0" w:leftChars="0" w:firstLine="480" w:firstLineChars="200"/>
        <w:jc w:val="left"/>
        <w:textAlignment w:val="auto"/>
        <w:rPr>
          <w:rFonts w:hint="default"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1.18城镇道路路桥过渡段工程技术导则（试行）</w:t>
      </w:r>
    </w:p>
    <w:p>
      <w:pPr>
        <w:pStyle w:val="8"/>
        <w:pageBreakBefore w:val="0"/>
        <w:kinsoku/>
        <w:wordWrap/>
        <w:overflowPunct/>
        <w:topLinePunct w:val="0"/>
        <w:bidi w:val="0"/>
        <w:adjustRightInd/>
        <w:snapToGrid/>
        <w:spacing w:line="360" w:lineRule="auto"/>
        <w:ind w:left="0" w:leftChars="0"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注：如市、区相应规范标准有更新，按照最新版本执行。</w:t>
      </w:r>
    </w:p>
    <w:p>
      <w:pPr>
        <w:pStyle w:val="8"/>
        <w:pageBreakBefore w:val="0"/>
        <w:kinsoku/>
        <w:wordWrap/>
        <w:overflowPunct/>
        <w:topLinePunct w:val="0"/>
        <w:bidi w:val="0"/>
        <w:adjustRightInd/>
        <w:snapToGrid/>
        <w:spacing w:line="360" w:lineRule="auto"/>
        <w:ind w:left="0" w:leftChars="0" w:firstLine="482" w:firstLineChars="200"/>
        <w:jc w:val="left"/>
        <w:textAlignment w:val="auto"/>
        <w:rPr>
          <w:rFonts w:hint="eastAsia" w:ascii="宋体" w:hAnsi="宋体" w:eastAsia="宋体" w:cs="宋体"/>
          <w:b/>
          <w:bCs/>
          <w:color w:val="000000" w:themeColor="text1"/>
          <w:sz w:val="24"/>
          <w:szCs w:val="24"/>
          <w:highlight w:val="none"/>
          <w:shd w:val="clear" w:color="FFFFFF" w:fill="D9D9D9"/>
          <w:lang w:val="en-US" w:eastAsia="zh-CN"/>
          <w14:textFill>
            <w14:solidFill>
              <w14:schemeClr w14:val="tx1"/>
            </w14:solidFill>
          </w14:textFill>
        </w:rPr>
      </w:pPr>
      <w:r>
        <w:rPr>
          <w:rFonts w:hint="eastAsia" w:ascii="宋体" w:hAnsi="宋体" w:eastAsia="宋体" w:cs="宋体"/>
          <w:b/>
          <w:bCs/>
          <w:color w:val="000000" w:themeColor="text1"/>
          <w:sz w:val="24"/>
          <w:szCs w:val="24"/>
          <w:highlight w:val="none"/>
          <w:shd w:val="clear" w:color="FFFFFF" w:fill="D9D9D9"/>
          <w:lang w:val="en-US" w:eastAsia="zh-CN"/>
          <w14:textFill>
            <w14:solidFill>
              <w14:schemeClr w14:val="tx1"/>
            </w14:solidFill>
          </w14:textFill>
        </w:rPr>
        <w:t>（2）城市环境卫生管理规范</w:t>
      </w:r>
    </w:p>
    <w:p>
      <w:pPr>
        <w:pStyle w:val="8"/>
        <w:pageBreakBefore w:val="0"/>
        <w:kinsoku/>
        <w:wordWrap/>
        <w:overflowPunct/>
        <w:topLinePunct w:val="0"/>
        <w:bidi w:val="0"/>
        <w:adjustRightInd/>
        <w:snapToGrid/>
        <w:spacing w:line="360" w:lineRule="auto"/>
        <w:ind w:left="0" w:leftChars="0" w:firstLine="480" w:firstLineChars="200"/>
        <w:jc w:val="left"/>
        <w:textAlignment w:val="auto"/>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2.1《杭州市人民政府办公厅转发市城管委关于杭州市城区整洁度检查考核试行办法的通知》（杭政办函〔2012〕177号）</w:t>
      </w:r>
    </w:p>
    <w:p>
      <w:pPr>
        <w:pageBreakBefore w:val="0"/>
        <w:kinsoku/>
        <w:wordWrap/>
        <w:overflowPunct/>
        <w:topLinePunct w:val="0"/>
        <w:bidi w:val="0"/>
        <w:adjustRightInd/>
        <w:snapToGrid/>
        <w:spacing w:line="360" w:lineRule="auto"/>
        <w:ind w:left="0" w:leftChars="0" w:firstLine="480" w:firstLineChars="200"/>
        <w:jc w:val="left"/>
        <w:textAlignment w:val="auto"/>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2.2《杭州市城市环境卫生作业规范》</w:t>
      </w:r>
    </w:p>
    <w:p>
      <w:pPr>
        <w:pageBreakBefore w:val="0"/>
        <w:kinsoku/>
        <w:wordWrap/>
        <w:overflowPunct/>
        <w:topLinePunct w:val="0"/>
        <w:bidi w:val="0"/>
        <w:adjustRightInd/>
        <w:snapToGrid/>
        <w:spacing w:line="360" w:lineRule="auto"/>
        <w:ind w:left="0" w:leftChars="0" w:firstLine="480" w:firstLineChars="200"/>
        <w:jc w:val="left"/>
        <w:textAlignment w:val="auto"/>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2.3《关于下发实施“清洁城区”“信访投诉”“队伍督查”“城管宣传”等考核办法的通知》（杭城管局</w:t>
      </w:r>
      <w:r>
        <w:rPr>
          <w:rFonts w:hint="eastAsia" w:ascii="宋体" w:hAnsi="宋体" w:eastAsia="宋体" w:cs="宋体"/>
          <w:color w:val="000000" w:themeColor="text1"/>
          <w:kern w:val="0"/>
          <w:sz w:val="24"/>
          <w:szCs w:val="24"/>
          <w:highlight w:val="none"/>
          <w:lang w:val="zh-CN"/>
          <w14:textFill>
            <w14:solidFill>
              <w14:schemeClr w14:val="tx1"/>
            </w14:solidFill>
          </w14:textFill>
        </w:rPr>
        <w:t>〔20</w:t>
      </w:r>
      <w:r>
        <w:rPr>
          <w:rFonts w:hint="eastAsia" w:ascii="宋体" w:hAnsi="宋体" w:eastAsia="宋体" w:cs="宋体"/>
          <w:color w:val="000000" w:themeColor="text1"/>
          <w:kern w:val="0"/>
          <w:sz w:val="24"/>
          <w:szCs w:val="24"/>
          <w:highlight w:val="none"/>
          <w14:textFill>
            <w14:solidFill>
              <w14:schemeClr w14:val="tx1"/>
            </w14:solidFill>
          </w14:textFill>
        </w:rPr>
        <w:t>19</w:t>
      </w:r>
      <w:r>
        <w:rPr>
          <w:rFonts w:hint="eastAsia" w:ascii="宋体" w:hAnsi="宋体" w:eastAsia="宋体" w:cs="宋体"/>
          <w:color w:val="000000" w:themeColor="text1"/>
          <w:kern w:val="0"/>
          <w:sz w:val="24"/>
          <w:szCs w:val="24"/>
          <w:highlight w:val="none"/>
          <w:lang w:val="zh-CN"/>
          <w14:textFill>
            <w14:solidFill>
              <w14:schemeClr w14:val="tx1"/>
            </w14:solidFill>
          </w14:textFill>
        </w:rPr>
        <w:t>〕</w:t>
      </w:r>
      <w:r>
        <w:rPr>
          <w:rFonts w:hint="eastAsia" w:ascii="宋体" w:hAnsi="宋体" w:eastAsia="宋体" w:cs="宋体"/>
          <w:color w:val="000000" w:themeColor="text1"/>
          <w:kern w:val="0"/>
          <w:sz w:val="24"/>
          <w:szCs w:val="24"/>
          <w:highlight w:val="none"/>
          <w14:textFill>
            <w14:solidFill>
              <w14:schemeClr w14:val="tx1"/>
            </w14:solidFill>
          </w14:textFill>
        </w:rPr>
        <w:t>49号）</w:t>
      </w:r>
    </w:p>
    <w:p>
      <w:pPr>
        <w:pageBreakBefore w:val="0"/>
        <w:kinsoku/>
        <w:wordWrap/>
        <w:overflowPunct/>
        <w:topLinePunct w:val="0"/>
        <w:bidi w:val="0"/>
        <w:adjustRightInd/>
        <w:snapToGrid/>
        <w:spacing w:line="360" w:lineRule="auto"/>
        <w:ind w:left="0" w:leftChars="0" w:firstLine="480" w:firstLineChars="200"/>
        <w:jc w:val="left"/>
        <w:textAlignment w:val="auto"/>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2.4</w:t>
      </w:r>
      <w:r>
        <w:rPr>
          <w:rFonts w:hint="eastAsia" w:ascii="宋体" w:hAnsi="宋体" w:eastAsia="宋体" w:cs="宋体"/>
          <w:color w:val="000000" w:themeColor="text1"/>
          <w:sz w:val="24"/>
          <w:szCs w:val="24"/>
          <w:highlight w:val="none"/>
          <w14:textFill>
            <w14:solidFill>
              <w14:schemeClr w14:val="tx1"/>
            </w14:solidFill>
          </w14:textFill>
        </w:rPr>
        <w:t>《关于印发〈杭州市环卫作业人员着装与作业行为规范〉及〈杭州市环卫作业车辆标识与作业管理规范〉的通知》（杭城管委〔2016〕130号）</w:t>
      </w:r>
    </w:p>
    <w:p>
      <w:pPr>
        <w:pageBreakBefore w:val="0"/>
        <w:kinsoku/>
        <w:wordWrap/>
        <w:overflowPunct/>
        <w:topLinePunct w:val="0"/>
        <w:bidi w:val="0"/>
        <w:adjustRightInd/>
        <w:snapToGrid/>
        <w:spacing w:line="360" w:lineRule="auto"/>
        <w:ind w:left="0" w:leftChars="0" w:firstLine="480" w:firstLineChars="200"/>
        <w:jc w:val="left"/>
        <w:textAlignment w:val="auto"/>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2.5《关于印发杭州市城管委行业服装统一表示规范的通知》（杭城管委[2018]16号）</w:t>
      </w:r>
    </w:p>
    <w:p>
      <w:pPr>
        <w:pageBreakBefore w:val="0"/>
        <w:kinsoku/>
        <w:wordWrap/>
        <w:overflowPunct/>
        <w:topLinePunct w:val="0"/>
        <w:bidi w:val="0"/>
        <w:adjustRightInd/>
        <w:snapToGrid/>
        <w:spacing w:line="360" w:lineRule="auto"/>
        <w:ind w:left="0" w:leftChars="0" w:firstLine="480" w:firstLineChars="200"/>
        <w:jc w:val="left"/>
        <w:textAlignment w:val="auto"/>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2.</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6</w:t>
      </w:r>
      <w:r>
        <w:rPr>
          <w:rFonts w:hint="eastAsia" w:ascii="宋体" w:hAnsi="宋体" w:eastAsia="宋体" w:cs="宋体"/>
          <w:color w:val="000000" w:themeColor="text1"/>
          <w:kern w:val="0"/>
          <w:sz w:val="24"/>
          <w:szCs w:val="24"/>
          <w:highlight w:val="none"/>
          <w14:textFill>
            <w14:solidFill>
              <w14:schemeClr w14:val="tx1"/>
            </w14:solidFill>
          </w14:textFill>
        </w:rPr>
        <w:t>《城管驿站管理规范》（DB3301T0266—2018）</w:t>
      </w:r>
    </w:p>
    <w:p>
      <w:pPr>
        <w:keepNext w:val="0"/>
        <w:keepLines w:val="0"/>
        <w:pageBreakBefore w:val="0"/>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2.</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7</w:t>
      </w:r>
      <w:r>
        <w:rPr>
          <w:rFonts w:hint="eastAsia" w:ascii="宋体" w:hAnsi="宋体" w:eastAsia="宋体" w:cs="宋体"/>
          <w:color w:val="000000" w:themeColor="text1"/>
          <w:kern w:val="0"/>
          <w:sz w:val="24"/>
          <w:szCs w:val="24"/>
          <w:highlight w:val="none"/>
          <w14:textFill>
            <w14:solidFill>
              <w14:schemeClr w14:val="tx1"/>
            </w14:solidFill>
          </w14:textFill>
        </w:rPr>
        <w:t>《杭州市人民政府办公厅关于进一步解决环卫工人实际困难保障其合法权益的意见》（〔2008〕14号）</w:t>
      </w:r>
    </w:p>
    <w:p>
      <w:pPr>
        <w:keepNext w:val="0"/>
        <w:keepLines w:val="0"/>
        <w:pageBreakBefore w:val="0"/>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2.</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8</w:t>
      </w:r>
      <w:r>
        <w:rPr>
          <w:rFonts w:hint="eastAsia" w:ascii="宋体" w:hAnsi="宋体" w:eastAsia="宋体" w:cs="宋体"/>
          <w:color w:val="000000" w:themeColor="text1"/>
          <w:kern w:val="0"/>
          <w:sz w:val="24"/>
          <w:szCs w:val="24"/>
          <w:highlight w:val="none"/>
          <w14:textFill>
            <w14:solidFill>
              <w14:schemeClr w14:val="tx1"/>
            </w14:solidFill>
          </w14:textFill>
        </w:rPr>
        <w:t>《浙江省人民政府办公厅关于进一步改善环卫工人工作生活条件促进环卫事业持续发展的若干意见》（浙政办发〔2009〕190号）</w:t>
      </w:r>
    </w:p>
    <w:p>
      <w:pPr>
        <w:keepNext w:val="0"/>
        <w:keepLines w:val="0"/>
        <w:pageBreakBefore w:val="0"/>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宋体" w:hAnsi="宋体" w:eastAsia="宋体" w:cs="宋体"/>
          <w:b w:val="0"/>
          <w:bCs w:val="0"/>
          <w:color w:val="000000" w:themeColor="text1"/>
          <w:kern w:val="0"/>
          <w:sz w:val="24"/>
          <w:szCs w:val="24"/>
          <w:highlight w:val="none"/>
          <w14:textFill>
            <w14:solidFill>
              <w14:schemeClr w14:val="tx1"/>
            </w14:solidFill>
          </w14:textFill>
        </w:rPr>
      </w:pPr>
      <w:r>
        <w:rPr>
          <w:rFonts w:hint="eastAsia" w:ascii="宋体" w:hAnsi="宋体" w:eastAsia="宋体" w:cs="宋体"/>
          <w:b w:val="0"/>
          <w:bCs w:val="0"/>
          <w:color w:val="000000" w:themeColor="text1"/>
          <w:kern w:val="0"/>
          <w:sz w:val="24"/>
          <w:szCs w:val="24"/>
          <w:highlight w:val="none"/>
          <w14:textFill>
            <w14:solidFill>
              <w14:schemeClr w14:val="tx1"/>
            </w14:solidFill>
          </w14:textFill>
        </w:rPr>
        <w:t>注：如市、区相应规范标准有更新，按照最新版本执行。</w:t>
      </w:r>
    </w:p>
    <w:p>
      <w:pPr>
        <w:pStyle w:val="8"/>
        <w:keepNext w:val="0"/>
        <w:keepLines w:val="0"/>
        <w:pageBreakBefore w:val="0"/>
        <w:widowControl/>
        <w:kinsoku/>
        <w:wordWrap/>
        <w:overflowPunct/>
        <w:topLinePunct w:val="0"/>
        <w:autoSpaceDE/>
        <w:autoSpaceDN/>
        <w:bidi w:val="0"/>
        <w:adjustRightInd/>
        <w:snapToGrid/>
        <w:spacing w:line="360" w:lineRule="auto"/>
        <w:ind w:left="0" w:leftChars="0" w:firstLine="482" w:firstLineChars="200"/>
        <w:jc w:val="left"/>
        <w:textAlignment w:val="auto"/>
        <w:rPr>
          <w:rFonts w:hint="eastAsia" w:ascii="宋体" w:hAnsi="宋体" w:eastAsia="宋体" w:cs="宋体"/>
          <w:b/>
          <w:bCs/>
          <w:color w:val="000000" w:themeColor="text1"/>
          <w:sz w:val="24"/>
          <w:szCs w:val="24"/>
          <w:highlight w:val="none"/>
          <w:shd w:val="clear" w:color="FFFFFF" w:fill="D9D9D9"/>
          <w:lang w:val="en-US" w:eastAsia="zh-CN"/>
          <w14:textFill>
            <w14:solidFill>
              <w14:schemeClr w14:val="tx1"/>
            </w14:solidFill>
          </w14:textFill>
        </w:rPr>
      </w:pPr>
      <w:r>
        <w:rPr>
          <w:rFonts w:hint="eastAsia" w:ascii="宋体" w:hAnsi="宋体" w:eastAsia="宋体" w:cs="宋体"/>
          <w:b/>
          <w:bCs/>
          <w:color w:val="000000" w:themeColor="text1"/>
          <w:sz w:val="24"/>
          <w:szCs w:val="24"/>
          <w:highlight w:val="none"/>
          <w:shd w:val="clear" w:color="FFFFFF" w:fill="D9D9D9"/>
          <w:lang w:val="en-US" w:eastAsia="zh-CN"/>
          <w14:textFill>
            <w14:solidFill>
              <w14:schemeClr w14:val="tx1"/>
            </w14:solidFill>
          </w14:textFill>
        </w:rPr>
        <w:t>3、市政养护质量标准和要求</w:t>
      </w:r>
    </w:p>
    <w:p>
      <w:pPr>
        <w:pStyle w:val="131"/>
        <w:keepNext w:val="0"/>
        <w:keepLines w:val="0"/>
        <w:pageBreakBefore w:val="0"/>
        <w:kinsoku/>
        <w:wordWrap/>
        <w:overflowPunct/>
        <w:topLinePunct w:val="0"/>
        <w:autoSpaceDE/>
        <w:autoSpaceDN/>
        <w:bidi w:val="0"/>
        <w:adjustRightInd/>
        <w:snapToGrid/>
        <w:spacing w:before="0" w:beforeLines="0" w:line="360" w:lineRule="auto"/>
        <w:ind w:left="0" w:leftChars="0"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（1）</w:t>
      </w:r>
      <w:r>
        <w:rPr>
          <w:rFonts w:hint="eastAsia" w:ascii="宋体" w:hAnsi="宋体" w:eastAsia="宋体" w:cs="宋体"/>
          <w:color w:val="000000" w:themeColor="text1"/>
          <w:sz w:val="24"/>
          <w:szCs w:val="24"/>
          <w:highlight w:val="none"/>
          <w14:textFill>
            <w14:solidFill>
              <w14:schemeClr w14:val="tx1"/>
            </w14:solidFill>
          </w14:textFill>
        </w:rPr>
        <w:t>养护质量标准：</w:t>
      </w:r>
    </w:p>
    <w:p>
      <w:pPr>
        <w:pStyle w:val="131"/>
        <w:keepNext w:val="0"/>
        <w:keepLines w:val="0"/>
        <w:pageBreakBefore w:val="0"/>
        <w:kinsoku/>
        <w:wordWrap/>
        <w:overflowPunct/>
        <w:topLinePunct w:val="0"/>
        <w:autoSpaceDE/>
        <w:autoSpaceDN/>
        <w:bidi w:val="0"/>
        <w:adjustRightInd/>
        <w:snapToGrid/>
        <w:spacing w:before="0" w:beforeLines="0" w:line="360" w:lineRule="auto"/>
        <w:ind w:left="0" w:leftChars="0"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根据《城镇道路养护技术规范》(CJJ36—2006)、《城市道路养护规范》（DB 3301/T 0012-2013）等新颁布的相关规程、规范和国家有关强制性标准的规定执行、《城镇排水管道维护安全技术规程》（CJJ 6-2009）、《杭州市城市排水管渠养护管理标准（试行）》（杭城管委[2012]285号）</w:t>
      </w:r>
      <w:r>
        <w:rPr>
          <w:rFonts w:hint="eastAsia" w:ascii="宋体" w:hAnsi="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城镇道路路桥过渡段工程技术导则（试行）</w:t>
      </w:r>
      <w:r>
        <w:rPr>
          <w:rFonts w:hint="eastAsia" w:ascii="宋体" w:hAnsi="宋体" w:eastAsia="宋体" w:cs="宋体"/>
          <w:color w:val="000000" w:themeColor="text1"/>
          <w:sz w:val="24"/>
          <w:szCs w:val="24"/>
          <w:highlight w:val="none"/>
          <w14:textFill>
            <w14:solidFill>
              <w14:schemeClr w14:val="tx1"/>
            </w14:solidFill>
          </w14:textFill>
        </w:rPr>
        <w:t>等新颁布的相关规程、规范和国家有关强制性标准的规定执行。</w:t>
      </w:r>
    </w:p>
    <w:p>
      <w:pPr>
        <w:pStyle w:val="131"/>
        <w:pageBreakBefore w:val="0"/>
        <w:kinsoku/>
        <w:wordWrap/>
        <w:overflowPunct/>
        <w:topLinePunct w:val="0"/>
        <w:bidi w:val="0"/>
        <w:adjustRightInd/>
        <w:snapToGrid/>
        <w:spacing w:before="0" w:beforeLines="0" w:line="360" w:lineRule="auto"/>
        <w:ind w:left="0" w:leftChars="0"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（2）</w:t>
      </w:r>
      <w:r>
        <w:rPr>
          <w:rFonts w:hint="eastAsia" w:ascii="宋体" w:hAnsi="宋体" w:eastAsia="宋体" w:cs="宋体"/>
          <w:color w:val="000000" w:themeColor="text1"/>
          <w:sz w:val="24"/>
          <w:szCs w:val="24"/>
          <w:highlight w:val="none"/>
          <w14:textFill>
            <w14:solidFill>
              <w14:schemeClr w14:val="tx1"/>
            </w14:solidFill>
          </w14:textFill>
        </w:rPr>
        <w:t>养护考核：</w:t>
      </w:r>
    </w:p>
    <w:p>
      <w:pPr>
        <w:pStyle w:val="131"/>
        <w:pageBreakBefore w:val="0"/>
        <w:kinsoku/>
        <w:wordWrap/>
        <w:overflowPunct/>
        <w:topLinePunct w:val="0"/>
        <w:bidi w:val="0"/>
        <w:adjustRightInd/>
        <w:snapToGrid/>
        <w:spacing w:before="0" w:beforeLines="0" w:line="360" w:lineRule="auto"/>
        <w:ind w:left="0" w:leftChars="0"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按照杭州市人民政府《关于杭州市区城市道路设施完好度检查考核试行办法》及国家强制性标准等相关规定，</w:t>
      </w:r>
      <w:r>
        <w:rPr>
          <w:rFonts w:hint="eastAsia" w:ascii="宋体" w:hAnsi="宋体" w:eastAsia="宋体" w:cs="宋体"/>
          <w:color w:val="000000" w:themeColor="text1"/>
          <w:kern w:val="0"/>
          <w:sz w:val="24"/>
          <w:szCs w:val="24"/>
          <w:highlight w:val="none"/>
          <w14:textFill>
            <w14:solidFill>
              <w14:schemeClr w14:val="tx1"/>
            </w14:solidFill>
          </w14:textFill>
        </w:rPr>
        <w:t>如市、区相应规范标准有更新，按照最新版本执行</w:t>
      </w:r>
      <w:r>
        <w:rPr>
          <w:rFonts w:hint="eastAsia" w:ascii="宋体" w:hAnsi="宋体" w:eastAsia="宋体" w:cs="宋体"/>
          <w:color w:val="000000" w:themeColor="text1"/>
          <w:sz w:val="24"/>
          <w:szCs w:val="24"/>
          <w:highlight w:val="none"/>
          <w14:textFill>
            <w14:solidFill>
              <w14:schemeClr w14:val="tx1"/>
            </w14:solidFill>
          </w14:textFill>
        </w:rPr>
        <w:t>。。</w:t>
      </w:r>
    </w:p>
    <w:p>
      <w:pPr>
        <w:pStyle w:val="131"/>
        <w:pageBreakBefore w:val="0"/>
        <w:kinsoku/>
        <w:wordWrap/>
        <w:overflowPunct/>
        <w:topLinePunct w:val="0"/>
        <w:bidi w:val="0"/>
        <w:adjustRightInd/>
        <w:snapToGrid/>
        <w:spacing w:before="0" w:beforeLines="0" w:line="360" w:lineRule="auto"/>
        <w:ind w:left="0" w:leftChars="0"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（3）</w:t>
      </w:r>
      <w:r>
        <w:rPr>
          <w:rFonts w:hint="eastAsia" w:ascii="宋体" w:hAnsi="宋体" w:eastAsia="宋体" w:cs="宋体"/>
          <w:color w:val="000000" w:themeColor="text1"/>
          <w:sz w:val="24"/>
          <w:szCs w:val="24"/>
          <w:highlight w:val="none"/>
          <w14:textFill>
            <w14:solidFill>
              <w14:schemeClr w14:val="tx1"/>
            </w14:solidFill>
          </w14:textFill>
        </w:rPr>
        <w:t>养护检测评估：</w:t>
      </w:r>
    </w:p>
    <w:p>
      <w:pPr>
        <w:pStyle w:val="131"/>
        <w:pageBreakBefore w:val="0"/>
        <w:kinsoku/>
        <w:wordWrap/>
        <w:overflowPunct/>
        <w:topLinePunct w:val="0"/>
        <w:bidi w:val="0"/>
        <w:adjustRightInd/>
        <w:snapToGrid/>
        <w:spacing w:before="0" w:beforeLines="0" w:line="360" w:lineRule="auto"/>
        <w:ind w:left="0" w:leftChars="0"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在道路及附属设施养护过程中，供应商应配备与养护设施量相适应养护技术人员、检查工具和检测设备，进行经常性检查和定期检测中的常规检测及评价、管道CCTV检测（一年一次）。</w:t>
      </w:r>
    </w:p>
    <w:p>
      <w:pPr>
        <w:pStyle w:val="131"/>
        <w:pageBreakBefore w:val="0"/>
        <w:kinsoku/>
        <w:wordWrap/>
        <w:overflowPunct/>
        <w:topLinePunct w:val="0"/>
        <w:bidi w:val="0"/>
        <w:adjustRightInd/>
        <w:snapToGrid/>
        <w:spacing w:before="0" w:beforeLines="0" w:line="360" w:lineRule="auto"/>
        <w:ind w:left="0" w:leftChars="0"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常规检测及评价具体要求：</w:t>
      </w:r>
    </w:p>
    <w:p>
      <w:pPr>
        <w:pStyle w:val="131"/>
        <w:pageBreakBefore w:val="0"/>
        <w:kinsoku/>
        <w:wordWrap/>
        <w:overflowPunct/>
        <w:topLinePunct w:val="0"/>
        <w:bidi w:val="0"/>
        <w:adjustRightInd/>
        <w:snapToGrid/>
        <w:spacing w:before="0" w:beforeLines="0" w:line="360" w:lineRule="auto"/>
        <w:ind w:left="0" w:leftChars="0"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①</w:t>
      </w:r>
      <w:r>
        <w:rPr>
          <w:rFonts w:hint="eastAsia" w:ascii="宋体" w:hAnsi="宋体" w:eastAsia="宋体" w:cs="宋体"/>
          <w:color w:val="000000" w:themeColor="text1"/>
          <w:sz w:val="24"/>
          <w:szCs w:val="24"/>
          <w:highlight w:val="none"/>
          <w14:textFill>
            <w14:solidFill>
              <w14:schemeClr w14:val="tx1"/>
            </w14:solidFill>
          </w14:textFill>
        </w:rPr>
        <w:t>对照采购人提供的道路资料卡的基本情况，现场校核道路的基本数据，如有变化应及时记录修改。</w:t>
      </w:r>
    </w:p>
    <w:p>
      <w:pPr>
        <w:pStyle w:val="131"/>
        <w:pageBreakBefore w:val="0"/>
        <w:kinsoku/>
        <w:wordWrap/>
        <w:overflowPunct/>
        <w:topLinePunct w:val="0"/>
        <w:bidi w:val="0"/>
        <w:adjustRightInd/>
        <w:snapToGrid/>
        <w:spacing w:before="0" w:beforeLines="0" w:line="360" w:lineRule="auto"/>
        <w:ind w:left="0" w:leftChars="0"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②</w:t>
      </w:r>
      <w:r>
        <w:rPr>
          <w:rFonts w:hint="eastAsia" w:ascii="宋体" w:hAnsi="宋体" w:eastAsia="宋体" w:cs="宋体"/>
          <w:color w:val="000000" w:themeColor="text1"/>
          <w:sz w:val="24"/>
          <w:szCs w:val="24"/>
          <w:highlight w:val="none"/>
          <w14:textFill>
            <w14:solidFill>
              <w14:schemeClr w14:val="tx1"/>
            </w14:solidFill>
          </w14:textFill>
        </w:rPr>
        <w:t>每年至少进行一次路面损坏状况及路面行驶质量检测，填写路面技术状况评价汇总表（表1）和路面行驶质量评价汇总表（表2）,并于检测当年11月底向采购人提供以上两份表格。</w:t>
      </w:r>
    </w:p>
    <w:p>
      <w:pPr>
        <w:pStyle w:val="131"/>
        <w:pageBreakBefore w:val="0"/>
        <w:kinsoku/>
        <w:wordWrap/>
        <w:overflowPunct/>
        <w:topLinePunct w:val="0"/>
        <w:bidi w:val="0"/>
        <w:adjustRightInd/>
        <w:snapToGrid/>
        <w:spacing w:before="0" w:beforeLines="0" w:line="360" w:lineRule="auto"/>
        <w:ind w:left="0" w:leftChars="0"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③</w:t>
      </w:r>
      <w:r>
        <w:rPr>
          <w:rFonts w:hint="eastAsia" w:ascii="宋体" w:hAnsi="宋体" w:eastAsia="宋体" w:cs="宋体"/>
          <w:color w:val="000000" w:themeColor="text1"/>
          <w:sz w:val="24"/>
          <w:szCs w:val="24"/>
          <w:highlight w:val="none"/>
          <w14:textFill>
            <w14:solidFill>
              <w14:schemeClr w14:val="tx1"/>
            </w14:solidFill>
          </w14:textFill>
        </w:rPr>
        <w:t>每年每条道路进行一次管道结构性检测,并于检测当年11月底向采购人提供检测报告。</w:t>
      </w:r>
    </w:p>
    <w:p>
      <w:pPr>
        <w:pStyle w:val="131"/>
        <w:pageBreakBefore w:val="0"/>
        <w:kinsoku/>
        <w:wordWrap/>
        <w:overflowPunct/>
        <w:topLinePunct w:val="0"/>
        <w:bidi w:val="0"/>
        <w:adjustRightInd/>
        <w:snapToGrid/>
        <w:spacing w:before="0" w:beforeLines="0" w:line="360" w:lineRule="auto"/>
        <w:ind w:left="0" w:leftChars="0"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④</w:t>
      </w:r>
      <w:r>
        <w:rPr>
          <w:rFonts w:hint="eastAsia" w:ascii="宋体" w:hAnsi="宋体" w:eastAsia="宋体" w:cs="宋体"/>
          <w:color w:val="000000" w:themeColor="text1"/>
          <w:sz w:val="24"/>
          <w:szCs w:val="24"/>
          <w:highlight w:val="none"/>
          <w14:textFill>
            <w14:solidFill>
              <w14:schemeClr w14:val="tx1"/>
            </w14:solidFill>
          </w14:textFill>
        </w:rPr>
        <w:t>对难以判断损坏程度和原因的道路，及时向采购人提出进行特殊检测的建议。</w:t>
      </w:r>
    </w:p>
    <w:p>
      <w:pPr>
        <w:pStyle w:val="131"/>
        <w:pageBreakBefore w:val="0"/>
        <w:kinsoku/>
        <w:wordWrap/>
        <w:overflowPunct/>
        <w:topLinePunct w:val="0"/>
        <w:bidi w:val="0"/>
        <w:adjustRightInd/>
        <w:snapToGrid/>
        <w:spacing w:before="0" w:beforeLines="0" w:line="360" w:lineRule="auto"/>
        <w:ind w:left="0" w:leftChars="0"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表1：路面技术状况评价汇总表</w:t>
      </w:r>
    </w:p>
    <w:tbl>
      <w:tblPr>
        <w:tblStyle w:val="62"/>
        <w:tblW w:w="0" w:type="auto"/>
        <w:jc w:val="center"/>
        <w:tblLayout w:type="fixed"/>
        <w:tblCellMar>
          <w:top w:w="0" w:type="dxa"/>
          <w:left w:w="108" w:type="dxa"/>
          <w:bottom w:w="0" w:type="dxa"/>
          <w:right w:w="108" w:type="dxa"/>
        </w:tblCellMar>
      </w:tblPr>
      <w:tblGrid>
        <w:gridCol w:w="709"/>
        <w:gridCol w:w="1192"/>
        <w:gridCol w:w="1993"/>
        <w:gridCol w:w="1421"/>
        <w:gridCol w:w="1189"/>
        <w:gridCol w:w="980"/>
        <w:gridCol w:w="1189"/>
      </w:tblGrid>
      <w:tr>
        <w:tblPrEx>
          <w:tblCellMar>
            <w:top w:w="0" w:type="dxa"/>
            <w:left w:w="108" w:type="dxa"/>
            <w:bottom w:w="0" w:type="dxa"/>
            <w:right w:w="108" w:type="dxa"/>
          </w:tblCellMar>
        </w:tblPrEx>
        <w:trPr>
          <w:trHeight w:val="589" w:hRule="atLeast"/>
          <w:jc w:val="center"/>
        </w:trPr>
        <w:tc>
          <w:tcPr>
            <w:tcW w:w="709" w:type="dxa"/>
            <w:tcBorders>
              <w:top w:val="single" w:color="auto" w:sz="4" w:space="0"/>
              <w:left w:val="single" w:color="auto" w:sz="4" w:space="0"/>
              <w:bottom w:val="single" w:color="auto" w:sz="4" w:space="0"/>
              <w:right w:val="single" w:color="auto" w:sz="4" w:space="0"/>
            </w:tcBorders>
            <w:noWrap w:val="0"/>
            <w:vAlign w:val="center"/>
          </w:tcPr>
          <w:p>
            <w:pPr>
              <w:pStyle w:val="131"/>
              <w:keepNext w:val="0"/>
              <w:keepLines w:val="0"/>
              <w:pageBreakBefore w:val="0"/>
              <w:widowControl w:val="0"/>
              <w:kinsoku/>
              <w:wordWrap/>
              <w:overflowPunct/>
              <w:topLinePunct w:val="0"/>
              <w:autoSpaceDE/>
              <w:autoSpaceDN/>
              <w:bidi w:val="0"/>
              <w:adjustRightInd/>
              <w:snapToGrid/>
              <w:spacing w:before="0" w:beforeLines="0" w:line="240" w:lineRule="auto"/>
              <w:ind w:left="0" w:leftChars="0" w:firstLine="0" w:firstLineChars="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序号</w:t>
            </w:r>
          </w:p>
        </w:tc>
        <w:tc>
          <w:tcPr>
            <w:tcW w:w="1192" w:type="dxa"/>
            <w:tcBorders>
              <w:top w:val="single" w:color="auto" w:sz="4" w:space="0"/>
              <w:left w:val="nil"/>
              <w:bottom w:val="single" w:color="auto" w:sz="4" w:space="0"/>
              <w:right w:val="single" w:color="auto" w:sz="4" w:space="0"/>
            </w:tcBorders>
            <w:noWrap w:val="0"/>
            <w:vAlign w:val="center"/>
          </w:tcPr>
          <w:p>
            <w:pPr>
              <w:pStyle w:val="131"/>
              <w:keepNext w:val="0"/>
              <w:keepLines w:val="0"/>
              <w:pageBreakBefore w:val="0"/>
              <w:widowControl w:val="0"/>
              <w:kinsoku/>
              <w:wordWrap/>
              <w:overflowPunct/>
              <w:topLinePunct w:val="0"/>
              <w:autoSpaceDE/>
              <w:autoSpaceDN/>
              <w:bidi w:val="0"/>
              <w:adjustRightInd/>
              <w:snapToGrid/>
              <w:spacing w:before="0" w:beforeLines="0" w:line="240" w:lineRule="auto"/>
              <w:ind w:left="0" w:leftChars="0" w:firstLine="0" w:firstLineChars="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道路名称</w:t>
            </w:r>
          </w:p>
        </w:tc>
        <w:tc>
          <w:tcPr>
            <w:tcW w:w="1993" w:type="dxa"/>
            <w:tcBorders>
              <w:top w:val="single" w:color="auto" w:sz="4" w:space="0"/>
              <w:left w:val="nil"/>
              <w:bottom w:val="single" w:color="auto" w:sz="4" w:space="0"/>
              <w:right w:val="single" w:color="auto" w:sz="4" w:space="0"/>
            </w:tcBorders>
            <w:noWrap w:val="0"/>
            <w:vAlign w:val="center"/>
          </w:tcPr>
          <w:p>
            <w:pPr>
              <w:pStyle w:val="131"/>
              <w:keepNext w:val="0"/>
              <w:keepLines w:val="0"/>
              <w:pageBreakBefore w:val="0"/>
              <w:widowControl w:val="0"/>
              <w:kinsoku/>
              <w:wordWrap/>
              <w:overflowPunct/>
              <w:topLinePunct w:val="0"/>
              <w:autoSpaceDE/>
              <w:autoSpaceDN/>
              <w:bidi w:val="0"/>
              <w:adjustRightInd/>
              <w:snapToGrid/>
              <w:spacing w:before="0" w:beforeLines="0" w:line="240" w:lineRule="auto"/>
              <w:ind w:left="0" w:leftChars="0" w:firstLine="0" w:firstLineChars="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检测路段起止点</w:t>
            </w:r>
          </w:p>
        </w:tc>
        <w:tc>
          <w:tcPr>
            <w:tcW w:w="1421" w:type="dxa"/>
            <w:tcBorders>
              <w:top w:val="single" w:color="auto" w:sz="4" w:space="0"/>
              <w:left w:val="nil"/>
              <w:bottom w:val="single" w:color="auto" w:sz="4" w:space="0"/>
              <w:right w:val="single" w:color="auto" w:sz="4" w:space="0"/>
            </w:tcBorders>
            <w:noWrap w:val="0"/>
            <w:vAlign w:val="center"/>
          </w:tcPr>
          <w:p>
            <w:pPr>
              <w:pStyle w:val="131"/>
              <w:keepNext w:val="0"/>
              <w:keepLines w:val="0"/>
              <w:pageBreakBefore w:val="0"/>
              <w:widowControl w:val="0"/>
              <w:kinsoku/>
              <w:wordWrap/>
              <w:overflowPunct/>
              <w:topLinePunct w:val="0"/>
              <w:autoSpaceDE/>
              <w:autoSpaceDN/>
              <w:bidi w:val="0"/>
              <w:adjustRightInd/>
              <w:snapToGrid/>
              <w:spacing w:before="0" w:beforeLines="0" w:line="240" w:lineRule="auto"/>
              <w:ind w:left="0" w:leftChars="0" w:firstLine="0" w:firstLineChars="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路面材料</w:t>
            </w:r>
          </w:p>
        </w:tc>
        <w:tc>
          <w:tcPr>
            <w:tcW w:w="1189" w:type="dxa"/>
            <w:tcBorders>
              <w:top w:val="single" w:color="auto" w:sz="4" w:space="0"/>
              <w:left w:val="nil"/>
              <w:bottom w:val="single" w:color="auto" w:sz="4" w:space="0"/>
              <w:right w:val="single" w:color="auto" w:sz="4" w:space="0"/>
            </w:tcBorders>
            <w:noWrap w:val="0"/>
            <w:vAlign w:val="center"/>
          </w:tcPr>
          <w:p>
            <w:pPr>
              <w:pStyle w:val="131"/>
              <w:keepNext w:val="0"/>
              <w:keepLines w:val="0"/>
              <w:pageBreakBefore w:val="0"/>
              <w:widowControl w:val="0"/>
              <w:kinsoku/>
              <w:wordWrap/>
              <w:overflowPunct/>
              <w:topLinePunct w:val="0"/>
              <w:autoSpaceDE/>
              <w:autoSpaceDN/>
              <w:bidi w:val="0"/>
              <w:adjustRightInd/>
              <w:snapToGrid/>
              <w:spacing w:before="0" w:beforeLines="0" w:line="240" w:lineRule="auto"/>
              <w:ind w:left="0" w:leftChars="0" w:firstLine="0" w:firstLineChars="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检测日期</w:t>
            </w:r>
          </w:p>
        </w:tc>
        <w:tc>
          <w:tcPr>
            <w:tcW w:w="980" w:type="dxa"/>
            <w:tcBorders>
              <w:top w:val="single" w:color="auto" w:sz="4" w:space="0"/>
              <w:left w:val="nil"/>
              <w:bottom w:val="single" w:color="auto" w:sz="4" w:space="0"/>
              <w:right w:val="single" w:color="auto" w:sz="4" w:space="0"/>
            </w:tcBorders>
            <w:noWrap w:val="0"/>
            <w:vAlign w:val="center"/>
          </w:tcPr>
          <w:p>
            <w:pPr>
              <w:pStyle w:val="131"/>
              <w:keepNext w:val="0"/>
              <w:keepLines w:val="0"/>
              <w:pageBreakBefore w:val="0"/>
              <w:widowControl w:val="0"/>
              <w:kinsoku/>
              <w:wordWrap/>
              <w:overflowPunct/>
              <w:topLinePunct w:val="0"/>
              <w:autoSpaceDE/>
              <w:autoSpaceDN/>
              <w:bidi w:val="0"/>
              <w:adjustRightInd/>
              <w:snapToGrid/>
              <w:spacing w:before="0" w:beforeLines="0" w:line="240" w:lineRule="auto"/>
              <w:ind w:left="0" w:leftChars="0" w:firstLine="0" w:firstLineChars="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PCI</w:t>
            </w:r>
          </w:p>
        </w:tc>
        <w:tc>
          <w:tcPr>
            <w:tcW w:w="1189" w:type="dxa"/>
            <w:tcBorders>
              <w:top w:val="single" w:color="auto" w:sz="4" w:space="0"/>
              <w:left w:val="nil"/>
              <w:bottom w:val="single" w:color="auto" w:sz="4" w:space="0"/>
              <w:right w:val="single" w:color="auto" w:sz="4" w:space="0"/>
            </w:tcBorders>
            <w:noWrap w:val="0"/>
            <w:vAlign w:val="center"/>
          </w:tcPr>
          <w:p>
            <w:pPr>
              <w:pStyle w:val="131"/>
              <w:keepNext w:val="0"/>
              <w:keepLines w:val="0"/>
              <w:pageBreakBefore w:val="0"/>
              <w:widowControl w:val="0"/>
              <w:kinsoku/>
              <w:wordWrap/>
              <w:overflowPunct/>
              <w:topLinePunct w:val="0"/>
              <w:autoSpaceDE/>
              <w:autoSpaceDN/>
              <w:bidi w:val="0"/>
              <w:adjustRightInd/>
              <w:snapToGrid/>
              <w:spacing w:before="0" w:beforeLines="0" w:line="240" w:lineRule="auto"/>
              <w:ind w:left="0" w:leftChars="0" w:firstLine="0" w:firstLineChars="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养护对策</w:t>
            </w:r>
          </w:p>
        </w:tc>
      </w:tr>
      <w:tr>
        <w:tblPrEx>
          <w:tblCellMar>
            <w:top w:w="0" w:type="dxa"/>
            <w:left w:w="108" w:type="dxa"/>
            <w:bottom w:w="0" w:type="dxa"/>
            <w:right w:w="108" w:type="dxa"/>
          </w:tblCellMar>
        </w:tblPrEx>
        <w:trPr>
          <w:trHeight w:val="429" w:hRule="atLeast"/>
          <w:jc w:val="center"/>
        </w:trPr>
        <w:tc>
          <w:tcPr>
            <w:tcW w:w="709" w:type="dxa"/>
            <w:tcBorders>
              <w:top w:val="nil"/>
              <w:left w:val="single" w:color="auto" w:sz="4" w:space="0"/>
              <w:bottom w:val="single" w:color="auto" w:sz="4" w:space="0"/>
              <w:right w:val="single" w:color="auto" w:sz="4" w:space="0"/>
            </w:tcBorders>
            <w:noWrap w:val="0"/>
            <w:vAlign w:val="center"/>
          </w:tcPr>
          <w:p>
            <w:pPr>
              <w:pStyle w:val="131"/>
              <w:keepNext w:val="0"/>
              <w:keepLines w:val="0"/>
              <w:pageBreakBefore w:val="0"/>
              <w:widowControl w:val="0"/>
              <w:kinsoku/>
              <w:wordWrap/>
              <w:overflowPunct/>
              <w:topLinePunct w:val="0"/>
              <w:autoSpaceDE/>
              <w:autoSpaceDN/>
              <w:bidi w:val="0"/>
              <w:adjustRightInd/>
              <w:snapToGrid/>
              <w:spacing w:before="0" w:beforeLines="0" w:line="240" w:lineRule="auto"/>
              <w:ind w:left="0" w:leftChars="0" w:firstLine="0" w:firstLineChars="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w:t>
            </w:r>
          </w:p>
        </w:tc>
        <w:tc>
          <w:tcPr>
            <w:tcW w:w="1192" w:type="dxa"/>
            <w:tcBorders>
              <w:top w:val="nil"/>
              <w:left w:val="nil"/>
              <w:bottom w:val="single" w:color="auto" w:sz="4" w:space="0"/>
              <w:right w:val="single" w:color="auto" w:sz="4" w:space="0"/>
            </w:tcBorders>
            <w:noWrap w:val="0"/>
            <w:vAlign w:val="center"/>
          </w:tcPr>
          <w:p>
            <w:pPr>
              <w:pStyle w:val="131"/>
              <w:keepNext w:val="0"/>
              <w:keepLines w:val="0"/>
              <w:pageBreakBefore w:val="0"/>
              <w:widowControl w:val="0"/>
              <w:kinsoku/>
              <w:wordWrap/>
              <w:overflowPunct/>
              <w:topLinePunct w:val="0"/>
              <w:autoSpaceDE/>
              <w:autoSpaceDN/>
              <w:bidi w:val="0"/>
              <w:adjustRightInd/>
              <w:snapToGrid/>
              <w:spacing w:before="0" w:beforeLines="0" w:line="240" w:lineRule="auto"/>
              <w:ind w:left="0" w:leftChars="0" w:firstLine="0" w:firstLineChars="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w:t>
            </w:r>
          </w:p>
        </w:tc>
        <w:tc>
          <w:tcPr>
            <w:tcW w:w="1993" w:type="dxa"/>
            <w:tcBorders>
              <w:top w:val="nil"/>
              <w:left w:val="nil"/>
              <w:bottom w:val="single" w:color="auto" w:sz="4" w:space="0"/>
              <w:right w:val="single" w:color="auto" w:sz="4" w:space="0"/>
            </w:tcBorders>
            <w:noWrap w:val="0"/>
            <w:vAlign w:val="center"/>
          </w:tcPr>
          <w:p>
            <w:pPr>
              <w:pStyle w:val="131"/>
              <w:keepNext w:val="0"/>
              <w:keepLines w:val="0"/>
              <w:pageBreakBefore w:val="0"/>
              <w:widowControl w:val="0"/>
              <w:kinsoku/>
              <w:wordWrap/>
              <w:overflowPunct/>
              <w:topLinePunct w:val="0"/>
              <w:autoSpaceDE/>
              <w:autoSpaceDN/>
              <w:bidi w:val="0"/>
              <w:adjustRightInd/>
              <w:snapToGrid/>
              <w:spacing w:before="0" w:beforeLines="0" w:line="240" w:lineRule="auto"/>
              <w:ind w:left="0" w:leftChars="0" w:firstLine="0" w:firstLineChars="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w:t>
            </w:r>
          </w:p>
        </w:tc>
        <w:tc>
          <w:tcPr>
            <w:tcW w:w="1421" w:type="dxa"/>
            <w:tcBorders>
              <w:top w:val="nil"/>
              <w:left w:val="nil"/>
              <w:bottom w:val="single" w:color="auto" w:sz="4" w:space="0"/>
              <w:right w:val="single" w:color="auto" w:sz="4" w:space="0"/>
            </w:tcBorders>
            <w:noWrap w:val="0"/>
            <w:vAlign w:val="center"/>
          </w:tcPr>
          <w:p>
            <w:pPr>
              <w:pStyle w:val="131"/>
              <w:keepNext w:val="0"/>
              <w:keepLines w:val="0"/>
              <w:pageBreakBefore w:val="0"/>
              <w:widowControl w:val="0"/>
              <w:kinsoku/>
              <w:wordWrap/>
              <w:overflowPunct/>
              <w:topLinePunct w:val="0"/>
              <w:autoSpaceDE/>
              <w:autoSpaceDN/>
              <w:bidi w:val="0"/>
              <w:adjustRightInd/>
              <w:snapToGrid/>
              <w:spacing w:before="0" w:beforeLines="0" w:line="240" w:lineRule="auto"/>
              <w:ind w:left="0" w:leftChars="0" w:firstLine="0" w:firstLineChars="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w:t>
            </w:r>
          </w:p>
        </w:tc>
        <w:tc>
          <w:tcPr>
            <w:tcW w:w="1189" w:type="dxa"/>
            <w:tcBorders>
              <w:top w:val="nil"/>
              <w:left w:val="nil"/>
              <w:bottom w:val="single" w:color="auto" w:sz="4" w:space="0"/>
              <w:right w:val="single" w:color="auto" w:sz="4" w:space="0"/>
            </w:tcBorders>
            <w:noWrap w:val="0"/>
            <w:vAlign w:val="center"/>
          </w:tcPr>
          <w:p>
            <w:pPr>
              <w:pStyle w:val="131"/>
              <w:keepNext w:val="0"/>
              <w:keepLines w:val="0"/>
              <w:pageBreakBefore w:val="0"/>
              <w:widowControl w:val="0"/>
              <w:kinsoku/>
              <w:wordWrap/>
              <w:overflowPunct/>
              <w:topLinePunct w:val="0"/>
              <w:autoSpaceDE/>
              <w:autoSpaceDN/>
              <w:bidi w:val="0"/>
              <w:adjustRightInd/>
              <w:snapToGrid/>
              <w:spacing w:before="0" w:beforeLines="0" w:line="240" w:lineRule="auto"/>
              <w:ind w:left="0" w:leftChars="0" w:firstLine="0" w:firstLineChars="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w:t>
            </w:r>
          </w:p>
        </w:tc>
        <w:tc>
          <w:tcPr>
            <w:tcW w:w="980" w:type="dxa"/>
            <w:tcBorders>
              <w:top w:val="nil"/>
              <w:left w:val="nil"/>
              <w:bottom w:val="single" w:color="auto" w:sz="4" w:space="0"/>
              <w:right w:val="single" w:color="auto" w:sz="4" w:space="0"/>
            </w:tcBorders>
            <w:noWrap w:val="0"/>
            <w:vAlign w:val="center"/>
          </w:tcPr>
          <w:p>
            <w:pPr>
              <w:pStyle w:val="131"/>
              <w:keepNext w:val="0"/>
              <w:keepLines w:val="0"/>
              <w:pageBreakBefore w:val="0"/>
              <w:widowControl w:val="0"/>
              <w:kinsoku/>
              <w:wordWrap/>
              <w:overflowPunct/>
              <w:topLinePunct w:val="0"/>
              <w:autoSpaceDE/>
              <w:autoSpaceDN/>
              <w:bidi w:val="0"/>
              <w:adjustRightInd/>
              <w:snapToGrid/>
              <w:spacing w:before="0" w:beforeLines="0" w:line="240" w:lineRule="auto"/>
              <w:ind w:left="0" w:leftChars="0" w:firstLine="0" w:firstLineChars="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w:t>
            </w:r>
          </w:p>
        </w:tc>
        <w:tc>
          <w:tcPr>
            <w:tcW w:w="1189" w:type="dxa"/>
            <w:tcBorders>
              <w:top w:val="nil"/>
              <w:left w:val="nil"/>
              <w:bottom w:val="single" w:color="auto" w:sz="4" w:space="0"/>
              <w:right w:val="single" w:color="auto" w:sz="4" w:space="0"/>
            </w:tcBorders>
            <w:noWrap w:val="0"/>
            <w:vAlign w:val="center"/>
          </w:tcPr>
          <w:p>
            <w:pPr>
              <w:pStyle w:val="131"/>
              <w:keepNext w:val="0"/>
              <w:keepLines w:val="0"/>
              <w:pageBreakBefore w:val="0"/>
              <w:widowControl w:val="0"/>
              <w:kinsoku/>
              <w:wordWrap/>
              <w:overflowPunct/>
              <w:topLinePunct w:val="0"/>
              <w:autoSpaceDE/>
              <w:autoSpaceDN/>
              <w:bidi w:val="0"/>
              <w:adjustRightInd/>
              <w:snapToGrid/>
              <w:spacing w:before="0" w:beforeLines="0" w:line="240" w:lineRule="auto"/>
              <w:ind w:left="0" w:leftChars="0" w:firstLine="0" w:firstLineChars="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w:t>
            </w:r>
          </w:p>
        </w:tc>
      </w:tr>
      <w:tr>
        <w:tblPrEx>
          <w:tblCellMar>
            <w:top w:w="0" w:type="dxa"/>
            <w:left w:w="108" w:type="dxa"/>
            <w:bottom w:w="0" w:type="dxa"/>
            <w:right w:w="108" w:type="dxa"/>
          </w:tblCellMar>
        </w:tblPrEx>
        <w:trPr>
          <w:trHeight w:val="429" w:hRule="atLeast"/>
          <w:jc w:val="center"/>
        </w:trPr>
        <w:tc>
          <w:tcPr>
            <w:tcW w:w="709" w:type="dxa"/>
            <w:tcBorders>
              <w:top w:val="nil"/>
              <w:left w:val="single" w:color="auto" w:sz="4" w:space="0"/>
              <w:bottom w:val="single" w:color="auto" w:sz="4" w:space="0"/>
              <w:right w:val="single" w:color="auto" w:sz="4" w:space="0"/>
            </w:tcBorders>
            <w:noWrap w:val="0"/>
            <w:vAlign w:val="center"/>
          </w:tcPr>
          <w:p>
            <w:pPr>
              <w:pStyle w:val="131"/>
              <w:keepNext w:val="0"/>
              <w:keepLines w:val="0"/>
              <w:pageBreakBefore w:val="0"/>
              <w:widowControl w:val="0"/>
              <w:kinsoku/>
              <w:wordWrap/>
              <w:overflowPunct/>
              <w:topLinePunct w:val="0"/>
              <w:autoSpaceDE/>
              <w:autoSpaceDN/>
              <w:bidi w:val="0"/>
              <w:adjustRightInd/>
              <w:snapToGrid/>
              <w:spacing w:before="0" w:beforeLines="0" w:line="240" w:lineRule="auto"/>
              <w:ind w:left="0" w:leftChars="0" w:firstLine="0" w:firstLineChars="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w:t>
            </w:r>
          </w:p>
        </w:tc>
        <w:tc>
          <w:tcPr>
            <w:tcW w:w="1192" w:type="dxa"/>
            <w:tcBorders>
              <w:top w:val="nil"/>
              <w:left w:val="nil"/>
              <w:bottom w:val="single" w:color="auto" w:sz="4" w:space="0"/>
              <w:right w:val="single" w:color="auto" w:sz="4" w:space="0"/>
            </w:tcBorders>
            <w:noWrap w:val="0"/>
            <w:vAlign w:val="center"/>
          </w:tcPr>
          <w:p>
            <w:pPr>
              <w:pStyle w:val="131"/>
              <w:keepNext w:val="0"/>
              <w:keepLines w:val="0"/>
              <w:pageBreakBefore w:val="0"/>
              <w:widowControl w:val="0"/>
              <w:kinsoku/>
              <w:wordWrap/>
              <w:overflowPunct/>
              <w:topLinePunct w:val="0"/>
              <w:autoSpaceDE/>
              <w:autoSpaceDN/>
              <w:bidi w:val="0"/>
              <w:adjustRightInd/>
              <w:snapToGrid/>
              <w:spacing w:before="0" w:beforeLines="0" w:line="240" w:lineRule="auto"/>
              <w:ind w:left="0" w:leftChars="0" w:firstLine="0" w:firstLineChars="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w:t>
            </w:r>
          </w:p>
        </w:tc>
        <w:tc>
          <w:tcPr>
            <w:tcW w:w="1993" w:type="dxa"/>
            <w:tcBorders>
              <w:top w:val="nil"/>
              <w:left w:val="nil"/>
              <w:bottom w:val="single" w:color="auto" w:sz="4" w:space="0"/>
              <w:right w:val="single" w:color="auto" w:sz="4" w:space="0"/>
            </w:tcBorders>
            <w:noWrap w:val="0"/>
            <w:vAlign w:val="center"/>
          </w:tcPr>
          <w:p>
            <w:pPr>
              <w:pStyle w:val="131"/>
              <w:keepNext w:val="0"/>
              <w:keepLines w:val="0"/>
              <w:pageBreakBefore w:val="0"/>
              <w:widowControl w:val="0"/>
              <w:kinsoku/>
              <w:wordWrap/>
              <w:overflowPunct/>
              <w:topLinePunct w:val="0"/>
              <w:autoSpaceDE/>
              <w:autoSpaceDN/>
              <w:bidi w:val="0"/>
              <w:adjustRightInd/>
              <w:snapToGrid/>
              <w:spacing w:before="0" w:beforeLines="0" w:line="240" w:lineRule="auto"/>
              <w:ind w:left="0" w:leftChars="0" w:firstLine="0" w:firstLineChars="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w:t>
            </w:r>
          </w:p>
        </w:tc>
        <w:tc>
          <w:tcPr>
            <w:tcW w:w="1421" w:type="dxa"/>
            <w:tcBorders>
              <w:top w:val="nil"/>
              <w:left w:val="nil"/>
              <w:bottom w:val="single" w:color="auto" w:sz="4" w:space="0"/>
              <w:right w:val="single" w:color="auto" w:sz="4" w:space="0"/>
            </w:tcBorders>
            <w:noWrap w:val="0"/>
            <w:vAlign w:val="center"/>
          </w:tcPr>
          <w:p>
            <w:pPr>
              <w:pStyle w:val="131"/>
              <w:keepNext w:val="0"/>
              <w:keepLines w:val="0"/>
              <w:pageBreakBefore w:val="0"/>
              <w:widowControl w:val="0"/>
              <w:kinsoku/>
              <w:wordWrap/>
              <w:overflowPunct/>
              <w:topLinePunct w:val="0"/>
              <w:autoSpaceDE/>
              <w:autoSpaceDN/>
              <w:bidi w:val="0"/>
              <w:adjustRightInd/>
              <w:snapToGrid/>
              <w:spacing w:before="0" w:beforeLines="0" w:line="240" w:lineRule="auto"/>
              <w:ind w:left="0" w:leftChars="0" w:firstLine="0" w:firstLineChars="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w:t>
            </w:r>
          </w:p>
        </w:tc>
        <w:tc>
          <w:tcPr>
            <w:tcW w:w="1189" w:type="dxa"/>
            <w:tcBorders>
              <w:top w:val="nil"/>
              <w:left w:val="nil"/>
              <w:bottom w:val="single" w:color="auto" w:sz="4" w:space="0"/>
              <w:right w:val="single" w:color="auto" w:sz="4" w:space="0"/>
            </w:tcBorders>
            <w:noWrap w:val="0"/>
            <w:vAlign w:val="center"/>
          </w:tcPr>
          <w:p>
            <w:pPr>
              <w:pStyle w:val="131"/>
              <w:keepNext w:val="0"/>
              <w:keepLines w:val="0"/>
              <w:pageBreakBefore w:val="0"/>
              <w:widowControl w:val="0"/>
              <w:kinsoku/>
              <w:wordWrap/>
              <w:overflowPunct/>
              <w:topLinePunct w:val="0"/>
              <w:autoSpaceDE/>
              <w:autoSpaceDN/>
              <w:bidi w:val="0"/>
              <w:adjustRightInd/>
              <w:snapToGrid/>
              <w:spacing w:before="0" w:beforeLines="0" w:line="240" w:lineRule="auto"/>
              <w:ind w:left="0" w:leftChars="0" w:firstLine="0" w:firstLineChars="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w:t>
            </w:r>
          </w:p>
        </w:tc>
        <w:tc>
          <w:tcPr>
            <w:tcW w:w="980" w:type="dxa"/>
            <w:tcBorders>
              <w:top w:val="nil"/>
              <w:left w:val="nil"/>
              <w:bottom w:val="single" w:color="auto" w:sz="4" w:space="0"/>
              <w:right w:val="single" w:color="auto" w:sz="4" w:space="0"/>
            </w:tcBorders>
            <w:noWrap w:val="0"/>
            <w:vAlign w:val="center"/>
          </w:tcPr>
          <w:p>
            <w:pPr>
              <w:pStyle w:val="131"/>
              <w:keepNext w:val="0"/>
              <w:keepLines w:val="0"/>
              <w:pageBreakBefore w:val="0"/>
              <w:widowControl w:val="0"/>
              <w:kinsoku/>
              <w:wordWrap/>
              <w:overflowPunct/>
              <w:topLinePunct w:val="0"/>
              <w:autoSpaceDE/>
              <w:autoSpaceDN/>
              <w:bidi w:val="0"/>
              <w:adjustRightInd/>
              <w:snapToGrid/>
              <w:spacing w:before="0" w:beforeLines="0" w:line="240" w:lineRule="auto"/>
              <w:ind w:left="0" w:leftChars="0" w:firstLine="0" w:firstLineChars="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w:t>
            </w:r>
          </w:p>
        </w:tc>
        <w:tc>
          <w:tcPr>
            <w:tcW w:w="1189" w:type="dxa"/>
            <w:tcBorders>
              <w:top w:val="nil"/>
              <w:left w:val="nil"/>
              <w:bottom w:val="single" w:color="auto" w:sz="4" w:space="0"/>
              <w:right w:val="single" w:color="auto" w:sz="4" w:space="0"/>
            </w:tcBorders>
            <w:noWrap w:val="0"/>
            <w:vAlign w:val="center"/>
          </w:tcPr>
          <w:p>
            <w:pPr>
              <w:pStyle w:val="131"/>
              <w:keepNext w:val="0"/>
              <w:keepLines w:val="0"/>
              <w:pageBreakBefore w:val="0"/>
              <w:widowControl w:val="0"/>
              <w:kinsoku/>
              <w:wordWrap/>
              <w:overflowPunct/>
              <w:topLinePunct w:val="0"/>
              <w:autoSpaceDE/>
              <w:autoSpaceDN/>
              <w:bidi w:val="0"/>
              <w:adjustRightInd/>
              <w:snapToGrid/>
              <w:spacing w:before="0" w:beforeLines="0" w:line="240" w:lineRule="auto"/>
              <w:ind w:left="0" w:leftChars="0" w:firstLine="0" w:firstLineChars="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w:t>
            </w:r>
          </w:p>
        </w:tc>
      </w:tr>
      <w:tr>
        <w:tblPrEx>
          <w:tblCellMar>
            <w:top w:w="0" w:type="dxa"/>
            <w:left w:w="108" w:type="dxa"/>
            <w:bottom w:w="0" w:type="dxa"/>
            <w:right w:w="108" w:type="dxa"/>
          </w:tblCellMar>
        </w:tblPrEx>
        <w:trPr>
          <w:trHeight w:val="429" w:hRule="atLeast"/>
          <w:jc w:val="center"/>
        </w:trPr>
        <w:tc>
          <w:tcPr>
            <w:tcW w:w="709" w:type="dxa"/>
            <w:tcBorders>
              <w:top w:val="nil"/>
              <w:left w:val="single" w:color="auto" w:sz="4" w:space="0"/>
              <w:bottom w:val="single" w:color="auto" w:sz="4" w:space="0"/>
              <w:right w:val="single" w:color="auto" w:sz="4" w:space="0"/>
            </w:tcBorders>
            <w:noWrap w:val="0"/>
            <w:vAlign w:val="center"/>
          </w:tcPr>
          <w:p>
            <w:pPr>
              <w:pStyle w:val="131"/>
              <w:keepNext w:val="0"/>
              <w:keepLines w:val="0"/>
              <w:pageBreakBefore w:val="0"/>
              <w:widowControl w:val="0"/>
              <w:kinsoku/>
              <w:wordWrap/>
              <w:overflowPunct/>
              <w:topLinePunct w:val="0"/>
              <w:autoSpaceDE/>
              <w:autoSpaceDN/>
              <w:bidi w:val="0"/>
              <w:adjustRightInd/>
              <w:snapToGrid/>
              <w:spacing w:before="0" w:beforeLines="0" w:line="240" w:lineRule="auto"/>
              <w:ind w:left="0" w:leftChars="0" w:firstLine="0" w:firstLineChars="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w:t>
            </w:r>
          </w:p>
        </w:tc>
        <w:tc>
          <w:tcPr>
            <w:tcW w:w="1192" w:type="dxa"/>
            <w:tcBorders>
              <w:top w:val="nil"/>
              <w:left w:val="nil"/>
              <w:bottom w:val="single" w:color="auto" w:sz="4" w:space="0"/>
              <w:right w:val="single" w:color="auto" w:sz="4" w:space="0"/>
            </w:tcBorders>
            <w:noWrap w:val="0"/>
            <w:vAlign w:val="center"/>
          </w:tcPr>
          <w:p>
            <w:pPr>
              <w:pStyle w:val="131"/>
              <w:keepNext w:val="0"/>
              <w:keepLines w:val="0"/>
              <w:pageBreakBefore w:val="0"/>
              <w:widowControl w:val="0"/>
              <w:kinsoku/>
              <w:wordWrap/>
              <w:overflowPunct/>
              <w:topLinePunct w:val="0"/>
              <w:autoSpaceDE/>
              <w:autoSpaceDN/>
              <w:bidi w:val="0"/>
              <w:adjustRightInd/>
              <w:snapToGrid/>
              <w:spacing w:before="0" w:beforeLines="0" w:line="240" w:lineRule="auto"/>
              <w:ind w:left="0" w:leftChars="0" w:firstLine="0" w:firstLineChars="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w:t>
            </w:r>
          </w:p>
        </w:tc>
        <w:tc>
          <w:tcPr>
            <w:tcW w:w="1993" w:type="dxa"/>
            <w:tcBorders>
              <w:top w:val="nil"/>
              <w:left w:val="nil"/>
              <w:bottom w:val="single" w:color="auto" w:sz="4" w:space="0"/>
              <w:right w:val="single" w:color="auto" w:sz="4" w:space="0"/>
            </w:tcBorders>
            <w:noWrap w:val="0"/>
            <w:vAlign w:val="center"/>
          </w:tcPr>
          <w:p>
            <w:pPr>
              <w:pStyle w:val="131"/>
              <w:keepNext w:val="0"/>
              <w:keepLines w:val="0"/>
              <w:pageBreakBefore w:val="0"/>
              <w:widowControl w:val="0"/>
              <w:kinsoku/>
              <w:wordWrap/>
              <w:overflowPunct/>
              <w:topLinePunct w:val="0"/>
              <w:autoSpaceDE/>
              <w:autoSpaceDN/>
              <w:bidi w:val="0"/>
              <w:adjustRightInd/>
              <w:snapToGrid/>
              <w:spacing w:before="0" w:beforeLines="0" w:line="240" w:lineRule="auto"/>
              <w:ind w:left="0" w:leftChars="0" w:firstLine="0" w:firstLineChars="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w:t>
            </w:r>
          </w:p>
        </w:tc>
        <w:tc>
          <w:tcPr>
            <w:tcW w:w="1421" w:type="dxa"/>
            <w:tcBorders>
              <w:top w:val="nil"/>
              <w:left w:val="nil"/>
              <w:bottom w:val="single" w:color="auto" w:sz="4" w:space="0"/>
              <w:right w:val="single" w:color="auto" w:sz="4" w:space="0"/>
            </w:tcBorders>
            <w:noWrap w:val="0"/>
            <w:vAlign w:val="center"/>
          </w:tcPr>
          <w:p>
            <w:pPr>
              <w:pStyle w:val="131"/>
              <w:keepNext w:val="0"/>
              <w:keepLines w:val="0"/>
              <w:pageBreakBefore w:val="0"/>
              <w:widowControl w:val="0"/>
              <w:kinsoku/>
              <w:wordWrap/>
              <w:overflowPunct/>
              <w:topLinePunct w:val="0"/>
              <w:autoSpaceDE/>
              <w:autoSpaceDN/>
              <w:bidi w:val="0"/>
              <w:adjustRightInd/>
              <w:snapToGrid/>
              <w:spacing w:before="0" w:beforeLines="0" w:line="240" w:lineRule="auto"/>
              <w:ind w:left="0" w:leftChars="0" w:firstLine="0" w:firstLineChars="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w:t>
            </w:r>
          </w:p>
        </w:tc>
        <w:tc>
          <w:tcPr>
            <w:tcW w:w="1189" w:type="dxa"/>
            <w:tcBorders>
              <w:top w:val="nil"/>
              <w:left w:val="nil"/>
              <w:bottom w:val="single" w:color="auto" w:sz="4" w:space="0"/>
              <w:right w:val="single" w:color="auto" w:sz="4" w:space="0"/>
            </w:tcBorders>
            <w:noWrap w:val="0"/>
            <w:vAlign w:val="center"/>
          </w:tcPr>
          <w:p>
            <w:pPr>
              <w:pStyle w:val="131"/>
              <w:keepNext w:val="0"/>
              <w:keepLines w:val="0"/>
              <w:pageBreakBefore w:val="0"/>
              <w:widowControl w:val="0"/>
              <w:kinsoku/>
              <w:wordWrap/>
              <w:overflowPunct/>
              <w:topLinePunct w:val="0"/>
              <w:autoSpaceDE/>
              <w:autoSpaceDN/>
              <w:bidi w:val="0"/>
              <w:adjustRightInd/>
              <w:snapToGrid/>
              <w:spacing w:before="0" w:beforeLines="0" w:line="240" w:lineRule="auto"/>
              <w:ind w:left="0" w:leftChars="0" w:firstLine="0" w:firstLineChars="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w:t>
            </w:r>
          </w:p>
        </w:tc>
        <w:tc>
          <w:tcPr>
            <w:tcW w:w="980" w:type="dxa"/>
            <w:tcBorders>
              <w:top w:val="nil"/>
              <w:left w:val="nil"/>
              <w:bottom w:val="single" w:color="auto" w:sz="4" w:space="0"/>
              <w:right w:val="single" w:color="auto" w:sz="4" w:space="0"/>
            </w:tcBorders>
            <w:noWrap w:val="0"/>
            <w:vAlign w:val="center"/>
          </w:tcPr>
          <w:p>
            <w:pPr>
              <w:pStyle w:val="131"/>
              <w:keepNext w:val="0"/>
              <w:keepLines w:val="0"/>
              <w:pageBreakBefore w:val="0"/>
              <w:widowControl w:val="0"/>
              <w:kinsoku/>
              <w:wordWrap/>
              <w:overflowPunct/>
              <w:topLinePunct w:val="0"/>
              <w:autoSpaceDE/>
              <w:autoSpaceDN/>
              <w:bidi w:val="0"/>
              <w:adjustRightInd/>
              <w:snapToGrid/>
              <w:spacing w:before="0" w:beforeLines="0" w:line="240" w:lineRule="auto"/>
              <w:ind w:left="0" w:leftChars="0" w:firstLine="0" w:firstLineChars="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w:t>
            </w:r>
          </w:p>
        </w:tc>
        <w:tc>
          <w:tcPr>
            <w:tcW w:w="1189" w:type="dxa"/>
            <w:tcBorders>
              <w:top w:val="nil"/>
              <w:left w:val="nil"/>
              <w:bottom w:val="single" w:color="auto" w:sz="4" w:space="0"/>
              <w:right w:val="single" w:color="auto" w:sz="4" w:space="0"/>
            </w:tcBorders>
            <w:noWrap w:val="0"/>
            <w:vAlign w:val="center"/>
          </w:tcPr>
          <w:p>
            <w:pPr>
              <w:pStyle w:val="131"/>
              <w:keepNext w:val="0"/>
              <w:keepLines w:val="0"/>
              <w:pageBreakBefore w:val="0"/>
              <w:widowControl w:val="0"/>
              <w:kinsoku/>
              <w:wordWrap/>
              <w:overflowPunct/>
              <w:topLinePunct w:val="0"/>
              <w:autoSpaceDE/>
              <w:autoSpaceDN/>
              <w:bidi w:val="0"/>
              <w:adjustRightInd/>
              <w:snapToGrid/>
              <w:spacing w:before="0" w:beforeLines="0" w:line="240" w:lineRule="auto"/>
              <w:ind w:left="0" w:leftChars="0" w:firstLine="0" w:firstLineChars="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w:t>
            </w:r>
          </w:p>
        </w:tc>
      </w:tr>
      <w:tr>
        <w:tblPrEx>
          <w:tblCellMar>
            <w:top w:w="0" w:type="dxa"/>
            <w:left w:w="108" w:type="dxa"/>
            <w:bottom w:w="0" w:type="dxa"/>
            <w:right w:w="108" w:type="dxa"/>
          </w:tblCellMar>
        </w:tblPrEx>
        <w:trPr>
          <w:trHeight w:val="429" w:hRule="atLeast"/>
          <w:jc w:val="center"/>
        </w:trPr>
        <w:tc>
          <w:tcPr>
            <w:tcW w:w="709" w:type="dxa"/>
            <w:tcBorders>
              <w:top w:val="nil"/>
              <w:left w:val="single" w:color="auto" w:sz="4" w:space="0"/>
              <w:bottom w:val="single" w:color="auto" w:sz="4" w:space="0"/>
              <w:right w:val="single" w:color="auto" w:sz="4" w:space="0"/>
            </w:tcBorders>
            <w:noWrap w:val="0"/>
            <w:vAlign w:val="center"/>
          </w:tcPr>
          <w:p>
            <w:pPr>
              <w:pStyle w:val="131"/>
              <w:keepNext w:val="0"/>
              <w:keepLines w:val="0"/>
              <w:pageBreakBefore w:val="0"/>
              <w:widowControl w:val="0"/>
              <w:kinsoku/>
              <w:wordWrap/>
              <w:overflowPunct/>
              <w:topLinePunct w:val="0"/>
              <w:autoSpaceDE/>
              <w:autoSpaceDN/>
              <w:bidi w:val="0"/>
              <w:adjustRightInd/>
              <w:snapToGrid/>
              <w:spacing w:before="0" w:beforeLines="0" w:line="240" w:lineRule="auto"/>
              <w:ind w:left="0" w:leftChars="0" w:firstLine="0" w:firstLineChars="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w:t>
            </w:r>
          </w:p>
        </w:tc>
        <w:tc>
          <w:tcPr>
            <w:tcW w:w="1192" w:type="dxa"/>
            <w:tcBorders>
              <w:top w:val="nil"/>
              <w:left w:val="nil"/>
              <w:bottom w:val="single" w:color="auto" w:sz="4" w:space="0"/>
              <w:right w:val="single" w:color="auto" w:sz="4" w:space="0"/>
            </w:tcBorders>
            <w:noWrap w:val="0"/>
            <w:vAlign w:val="center"/>
          </w:tcPr>
          <w:p>
            <w:pPr>
              <w:pStyle w:val="131"/>
              <w:keepNext w:val="0"/>
              <w:keepLines w:val="0"/>
              <w:pageBreakBefore w:val="0"/>
              <w:widowControl w:val="0"/>
              <w:kinsoku/>
              <w:wordWrap/>
              <w:overflowPunct/>
              <w:topLinePunct w:val="0"/>
              <w:autoSpaceDE/>
              <w:autoSpaceDN/>
              <w:bidi w:val="0"/>
              <w:adjustRightInd/>
              <w:snapToGrid/>
              <w:spacing w:before="0" w:beforeLines="0" w:line="240" w:lineRule="auto"/>
              <w:ind w:left="0" w:leftChars="0" w:firstLine="0" w:firstLineChars="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w:t>
            </w:r>
          </w:p>
        </w:tc>
        <w:tc>
          <w:tcPr>
            <w:tcW w:w="1993" w:type="dxa"/>
            <w:tcBorders>
              <w:top w:val="nil"/>
              <w:left w:val="nil"/>
              <w:bottom w:val="single" w:color="auto" w:sz="4" w:space="0"/>
              <w:right w:val="single" w:color="auto" w:sz="4" w:space="0"/>
            </w:tcBorders>
            <w:noWrap w:val="0"/>
            <w:vAlign w:val="center"/>
          </w:tcPr>
          <w:p>
            <w:pPr>
              <w:pStyle w:val="131"/>
              <w:keepNext w:val="0"/>
              <w:keepLines w:val="0"/>
              <w:pageBreakBefore w:val="0"/>
              <w:widowControl w:val="0"/>
              <w:kinsoku/>
              <w:wordWrap/>
              <w:overflowPunct/>
              <w:topLinePunct w:val="0"/>
              <w:autoSpaceDE/>
              <w:autoSpaceDN/>
              <w:bidi w:val="0"/>
              <w:adjustRightInd/>
              <w:snapToGrid/>
              <w:spacing w:before="0" w:beforeLines="0" w:line="240" w:lineRule="auto"/>
              <w:ind w:left="0" w:leftChars="0" w:firstLine="0" w:firstLineChars="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w:t>
            </w:r>
          </w:p>
        </w:tc>
        <w:tc>
          <w:tcPr>
            <w:tcW w:w="1421" w:type="dxa"/>
            <w:tcBorders>
              <w:top w:val="nil"/>
              <w:left w:val="nil"/>
              <w:bottom w:val="single" w:color="auto" w:sz="4" w:space="0"/>
              <w:right w:val="single" w:color="auto" w:sz="4" w:space="0"/>
            </w:tcBorders>
            <w:noWrap w:val="0"/>
            <w:vAlign w:val="center"/>
          </w:tcPr>
          <w:p>
            <w:pPr>
              <w:pStyle w:val="131"/>
              <w:keepNext w:val="0"/>
              <w:keepLines w:val="0"/>
              <w:pageBreakBefore w:val="0"/>
              <w:widowControl w:val="0"/>
              <w:kinsoku/>
              <w:wordWrap/>
              <w:overflowPunct/>
              <w:topLinePunct w:val="0"/>
              <w:autoSpaceDE/>
              <w:autoSpaceDN/>
              <w:bidi w:val="0"/>
              <w:adjustRightInd/>
              <w:snapToGrid/>
              <w:spacing w:before="0" w:beforeLines="0" w:line="240" w:lineRule="auto"/>
              <w:ind w:left="0" w:leftChars="0" w:firstLine="0" w:firstLineChars="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w:t>
            </w:r>
          </w:p>
        </w:tc>
        <w:tc>
          <w:tcPr>
            <w:tcW w:w="1189" w:type="dxa"/>
            <w:tcBorders>
              <w:top w:val="nil"/>
              <w:left w:val="nil"/>
              <w:bottom w:val="single" w:color="auto" w:sz="4" w:space="0"/>
              <w:right w:val="single" w:color="auto" w:sz="4" w:space="0"/>
            </w:tcBorders>
            <w:noWrap w:val="0"/>
            <w:vAlign w:val="center"/>
          </w:tcPr>
          <w:p>
            <w:pPr>
              <w:pStyle w:val="131"/>
              <w:keepNext w:val="0"/>
              <w:keepLines w:val="0"/>
              <w:pageBreakBefore w:val="0"/>
              <w:widowControl w:val="0"/>
              <w:kinsoku/>
              <w:wordWrap/>
              <w:overflowPunct/>
              <w:topLinePunct w:val="0"/>
              <w:autoSpaceDE/>
              <w:autoSpaceDN/>
              <w:bidi w:val="0"/>
              <w:adjustRightInd/>
              <w:snapToGrid/>
              <w:spacing w:before="0" w:beforeLines="0" w:line="240" w:lineRule="auto"/>
              <w:ind w:left="0" w:leftChars="0" w:firstLine="0" w:firstLineChars="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w:t>
            </w:r>
          </w:p>
        </w:tc>
        <w:tc>
          <w:tcPr>
            <w:tcW w:w="980" w:type="dxa"/>
            <w:tcBorders>
              <w:top w:val="nil"/>
              <w:left w:val="nil"/>
              <w:bottom w:val="single" w:color="auto" w:sz="4" w:space="0"/>
              <w:right w:val="single" w:color="auto" w:sz="4" w:space="0"/>
            </w:tcBorders>
            <w:noWrap w:val="0"/>
            <w:vAlign w:val="center"/>
          </w:tcPr>
          <w:p>
            <w:pPr>
              <w:pStyle w:val="131"/>
              <w:keepNext w:val="0"/>
              <w:keepLines w:val="0"/>
              <w:pageBreakBefore w:val="0"/>
              <w:widowControl w:val="0"/>
              <w:kinsoku/>
              <w:wordWrap/>
              <w:overflowPunct/>
              <w:topLinePunct w:val="0"/>
              <w:autoSpaceDE/>
              <w:autoSpaceDN/>
              <w:bidi w:val="0"/>
              <w:adjustRightInd/>
              <w:snapToGrid/>
              <w:spacing w:before="0" w:beforeLines="0" w:line="240" w:lineRule="auto"/>
              <w:ind w:left="0" w:leftChars="0" w:firstLine="0" w:firstLineChars="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w:t>
            </w:r>
          </w:p>
        </w:tc>
        <w:tc>
          <w:tcPr>
            <w:tcW w:w="1189" w:type="dxa"/>
            <w:tcBorders>
              <w:top w:val="nil"/>
              <w:left w:val="nil"/>
              <w:bottom w:val="single" w:color="auto" w:sz="4" w:space="0"/>
              <w:right w:val="single" w:color="auto" w:sz="4" w:space="0"/>
            </w:tcBorders>
            <w:noWrap w:val="0"/>
            <w:vAlign w:val="center"/>
          </w:tcPr>
          <w:p>
            <w:pPr>
              <w:pStyle w:val="131"/>
              <w:keepNext w:val="0"/>
              <w:keepLines w:val="0"/>
              <w:pageBreakBefore w:val="0"/>
              <w:widowControl w:val="0"/>
              <w:kinsoku/>
              <w:wordWrap/>
              <w:overflowPunct/>
              <w:topLinePunct w:val="0"/>
              <w:autoSpaceDE/>
              <w:autoSpaceDN/>
              <w:bidi w:val="0"/>
              <w:adjustRightInd/>
              <w:snapToGrid/>
              <w:spacing w:before="0" w:beforeLines="0" w:line="240" w:lineRule="auto"/>
              <w:ind w:left="0" w:leftChars="0" w:firstLine="0" w:firstLineChars="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w:t>
            </w:r>
          </w:p>
        </w:tc>
      </w:tr>
      <w:tr>
        <w:tblPrEx>
          <w:tblCellMar>
            <w:top w:w="0" w:type="dxa"/>
            <w:left w:w="108" w:type="dxa"/>
            <w:bottom w:w="0" w:type="dxa"/>
            <w:right w:w="108" w:type="dxa"/>
          </w:tblCellMar>
        </w:tblPrEx>
        <w:trPr>
          <w:trHeight w:val="429" w:hRule="atLeast"/>
          <w:jc w:val="center"/>
        </w:trPr>
        <w:tc>
          <w:tcPr>
            <w:tcW w:w="709" w:type="dxa"/>
            <w:tcBorders>
              <w:top w:val="nil"/>
              <w:left w:val="single" w:color="auto" w:sz="4" w:space="0"/>
              <w:bottom w:val="single" w:color="auto" w:sz="4" w:space="0"/>
              <w:right w:val="single" w:color="auto" w:sz="4" w:space="0"/>
            </w:tcBorders>
            <w:noWrap w:val="0"/>
            <w:vAlign w:val="center"/>
          </w:tcPr>
          <w:p>
            <w:pPr>
              <w:pStyle w:val="131"/>
              <w:keepNext w:val="0"/>
              <w:keepLines w:val="0"/>
              <w:pageBreakBefore w:val="0"/>
              <w:widowControl w:val="0"/>
              <w:kinsoku/>
              <w:wordWrap/>
              <w:overflowPunct/>
              <w:topLinePunct w:val="0"/>
              <w:autoSpaceDE/>
              <w:autoSpaceDN/>
              <w:bidi w:val="0"/>
              <w:adjustRightInd/>
              <w:snapToGrid/>
              <w:spacing w:before="0" w:beforeLines="0" w:line="240" w:lineRule="auto"/>
              <w:ind w:left="0" w:leftChars="0" w:firstLine="0" w:firstLineChars="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w:t>
            </w:r>
          </w:p>
        </w:tc>
        <w:tc>
          <w:tcPr>
            <w:tcW w:w="1192" w:type="dxa"/>
            <w:tcBorders>
              <w:top w:val="nil"/>
              <w:left w:val="nil"/>
              <w:bottom w:val="single" w:color="auto" w:sz="4" w:space="0"/>
              <w:right w:val="single" w:color="auto" w:sz="4" w:space="0"/>
            </w:tcBorders>
            <w:noWrap w:val="0"/>
            <w:vAlign w:val="center"/>
          </w:tcPr>
          <w:p>
            <w:pPr>
              <w:pStyle w:val="131"/>
              <w:keepNext w:val="0"/>
              <w:keepLines w:val="0"/>
              <w:pageBreakBefore w:val="0"/>
              <w:widowControl w:val="0"/>
              <w:kinsoku/>
              <w:wordWrap/>
              <w:overflowPunct/>
              <w:topLinePunct w:val="0"/>
              <w:autoSpaceDE/>
              <w:autoSpaceDN/>
              <w:bidi w:val="0"/>
              <w:adjustRightInd/>
              <w:snapToGrid/>
              <w:spacing w:before="0" w:beforeLines="0" w:line="240" w:lineRule="auto"/>
              <w:ind w:left="0" w:leftChars="0" w:firstLine="0" w:firstLineChars="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w:t>
            </w:r>
          </w:p>
        </w:tc>
        <w:tc>
          <w:tcPr>
            <w:tcW w:w="1993" w:type="dxa"/>
            <w:tcBorders>
              <w:top w:val="nil"/>
              <w:left w:val="nil"/>
              <w:bottom w:val="single" w:color="auto" w:sz="4" w:space="0"/>
              <w:right w:val="single" w:color="auto" w:sz="4" w:space="0"/>
            </w:tcBorders>
            <w:noWrap w:val="0"/>
            <w:vAlign w:val="center"/>
          </w:tcPr>
          <w:p>
            <w:pPr>
              <w:pStyle w:val="131"/>
              <w:keepNext w:val="0"/>
              <w:keepLines w:val="0"/>
              <w:pageBreakBefore w:val="0"/>
              <w:widowControl w:val="0"/>
              <w:kinsoku/>
              <w:wordWrap/>
              <w:overflowPunct/>
              <w:topLinePunct w:val="0"/>
              <w:autoSpaceDE/>
              <w:autoSpaceDN/>
              <w:bidi w:val="0"/>
              <w:adjustRightInd/>
              <w:snapToGrid/>
              <w:spacing w:before="0" w:beforeLines="0" w:line="240" w:lineRule="auto"/>
              <w:ind w:left="0" w:leftChars="0" w:firstLine="0" w:firstLineChars="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w:t>
            </w:r>
          </w:p>
        </w:tc>
        <w:tc>
          <w:tcPr>
            <w:tcW w:w="1421" w:type="dxa"/>
            <w:tcBorders>
              <w:top w:val="nil"/>
              <w:left w:val="nil"/>
              <w:bottom w:val="single" w:color="auto" w:sz="4" w:space="0"/>
              <w:right w:val="single" w:color="auto" w:sz="4" w:space="0"/>
            </w:tcBorders>
            <w:noWrap w:val="0"/>
            <w:vAlign w:val="center"/>
          </w:tcPr>
          <w:p>
            <w:pPr>
              <w:pStyle w:val="131"/>
              <w:keepNext w:val="0"/>
              <w:keepLines w:val="0"/>
              <w:pageBreakBefore w:val="0"/>
              <w:widowControl w:val="0"/>
              <w:kinsoku/>
              <w:wordWrap/>
              <w:overflowPunct/>
              <w:topLinePunct w:val="0"/>
              <w:autoSpaceDE/>
              <w:autoSpaceDN/>
              <w:bidi w:val="0"/>
              <w:adjustRightInd/>
              <w:snapToGrid/>
              <w:spacing w:before="0" w:beforeLines="0" w:line="240" w:lineRule="auto"/>
              <w:ind w:left="0" w:leftChars="0" w:firstLine="0" w:firstLineChars="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w:t>
            </w:r>
          </w:p>
        </w:tc>
        <w:tc>
          <w:tcPr>
            <w:tcW w:w="1189" w:type="dxa"/>
            <w:tcBorders>
              <w:top w:val="nil"/>
              <w:left w:val="nil"/>
              <w:bottom w:val="single" w:color="auto" w:sz="4" w:space="0"/>
              <w:right w:val="single" w:color="auto" w:sz="4" w:space="0"/>
            </w:tcBorders>
            <w:noWrap w:val="0"/>
            <w:vAlign w:val="center"/>
          </w:tcPr>
          <w:p>
            <w:pPr>
              <w:pStyle w:val="131"/>
              <w:keepNext w:val="0"/>
              <w:keepLines w:val="0"/>
              <w:pageBreakBefore w:val="0"/>
              <w:widowControl w:val="0"/>
              <w:kinsoku/>
              <w:wordWrap/>
              <w:overflowPunct/>
              <w:topLinePunct w:val="0"/>
              <w:autoSpaceDE/>
              <w:autoSpaceDN/>
              <w:bidi w:val="0"/>
              <w:adjustRightInd/>
              <w:snapToGrid/>
              <w:spacing w:before="0" w:beforeLines="0" w:line="240" w:lineRule="auto"/>
              <w:ind w:left="0" w:leftChars="0" w:firstLine="0" w:firstLineChars="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w:t>
            </w:r>
          </w:p>
        </w:tc>
        <w:tc>
          <w:tcPr>
            <w:tcW w:w="980" w:type="dxa"/>
            <w:tcBorders>
              <w:top w:val="nil"/>
              <w:left w:val="nil"/>
              <w:bottom w:val="single" w:color="auto" w:sz="4" w:space="0"/>
              <w:right w:val="single" w:color="auto" w:sz="4" w:space="0"/>
            </w:tcBorders>
            <w:noWrap w:val="0"/>
            <w:vAlign w:val="center"/>
          </w:tcPr>
          <w:p>
            <w:pPr>
              <w:pStyle w:val="131"/>
              <w:keepNext w:val="0"/>
              <w:keepLines w:val="0"/>
              <w:pageBreakBefore w:val="0"/>
              <w:widowControl w:val="0"/>
              <w:kinsoku/>
              <w:wordWrap/>
              <w:overflowPunct/>
              <w:topLinePunct w:val="0"/>
              <w:autoSpaceDE/>
              <w:autoSpaceDN/>
              <w:bidi w:val="0"/>
              <w:adjustRightInd/>
              <w:snapToGrid/>
              <w:spacing w:before="0" w:beforeLines="0" w:line="240" w:lineRule="auto"/>
              <w:ind w:left="0" w:leftChars="0" w:firstLine="0" w:firstLineChars="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w:t>
            </w:r>
          </w:p>
        </w:tc>
        <w:tc>
          <w:tcPr>
            <w:tcW w:w="1189" w:type="dxa"/>
            <w:tcBorders>
              <w:top w:val="nil"/>
              <w:left w:val="nil"/>
              <w:bottom w:val="single" w:color="auto" w:sz="4" w:space="0"/>
              <w:right w:val="single" w:color="auto" w:sz="4" w:space="0"/>
            </w:tcBorders>
            <w:noWrap w:val="0"/>
            <w:vAlign w:val="center"/>
          </w:tcPr>
          <w:p>
            <w:pPr>
              <w:pStyle w:val="131"/>
              <w:keepNext w:val="0"/>
              <w:keepLines w:val="0"/>
              <w:pageBreakBefore w:val="0"/>
              <w:widowControl w:val="0"/>
              <w:kinsoku/>
              <w:wordWrap/>
              <w:overflowPunct/>
              <w:topLinePunct w:val="0"/>
              <w:autoSpaceDE/>
              <w:autoSpaceDN/>
              <w:bidi w:val="0"/>
              <w:adjustRightInd/>
              <w:snapToGrid/>
              <w:spacing w:before="0" w:beforeLines="0" w:line="240" w:lineRule="auto"/>
              <w:ind w:left="0" w:leftChars="0" w:firstLine="0" w:firstLineChars="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w:t>
            </w:r>
          </w:p>
        </w:tc>
      </w:tr>
      <w:tr>
        <w:tblPrEx>
          <w:tblCellMar>
            <w:top w:w="0" w:type="dxa"/>
            <w:left w:w="108" w:type="dxa"/>
            <w:bottom w:w="0" w:type="dxa"/>
            <w:right w:w="108" w:type="dxa"/>
          </w:tblCellMar>
        </w:tblPrEx>
        <w:trPr>
          <w:trHeight w:val="429" w:hRule="atLeast"/>
          <w:jc w:val="center"/>
        </w:trPr>
        <w:tc>
          <w:tcPr>
            <w:tcW w:w="709" w:type="dxa"/>
            <w:tcBorders>
              <w:top w:val="nil"/>
              <w:left w:val="single" w:color="auto" w:sz="4" w:space="0"/>
              <w:bottom w:val="single" w:color="auto" w:sz="4" w:space="0"/>
              <w:right w:val="single" w:color="auto" w:sz="4" w:space="0"/>
            </w:tcBorders>
            <w:noWrap w:val="0"/>
            <w:vAlign w:val="center"/>
          </w:tcPr>
          <w:p>
            <w:pPr>
              <w:pStyle w:val="131"/>
              <w:keepNext w:val="0"/>
              <w:keepLines w:val="0"/>
              <w:pageBreakBefore w:val="0"/>
              <w:widowControl w:val="0"/>
              <w:kinsoku/>
              <w:wordWrap/>
              <w:overflowPunct/>
              <w:topLinePunct w:val="0"/>
              <w:autoSpaceDE/>
              <w:autoSpaceDN/>
              <w:bidi w:val="0"/>
              <w:adjustRightInd/>
              <w:snapToGrid/>
              <w:spacing w:before="0" w:beforeLines="0" w:line="240" w:lineRule="auto"/>
              <w:ind w:left="0" w:leftChars="0" w:firstLine="0" w:firstLineChars="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w:t>
            </w:r>
          </w:p>
        </w:tc>
        <w:tc>
          <w:tcPr>
            <w:tcW w:w="1192" w:type="dxa"/>
            <w:tcBorders>
              <w:top w:val="nil"/>
              <w:left w:val="nil"/>
              <w:bottom w:val="single" w:color="auto" w:sz="4" w:space="0"/>
              <w:right w:val="single" w:color="auto" w:sz="4" w:space="0"/>
            </w:tcBorders>
            <w:noWrap w:val="0"/>
            <w:vAlign w:val="center"/>
          </w:tcPr>
          <w:p>
            <w:pPr>
              <w:pStyle w:val="131"/>
              <w:keepNext w:val="0"/>
              <w:keepLines w:val="0"/>
              <w:pageBreakBefore w:val="0"/>
              <w:widowControl w:val="0"/>
              <w:kinsoku/>
              <w:wordWrap/>
              <w:overflowPunct/>
              <w:topLinePunct w:val="0"/>
              <w:autoSpaceDE/>
              <w:autoSpaceDN/>
              <w:bidi w:val="0"/>
              <w:adjustRightInd/>
              <w:snapToGrid/>
              <w:spacing w:before="0" w:beforeLines="0" w:line="240" w:lineRule="auto"/>
              <w:ind w:left="0" w:leftChars="0" w:firstLine="0" w:firstLineChars="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w:t>
            </w:r>
          </w:p>
        </w:tc>
        <w:tc>
          <w:tcPr>
            <w:tcW w:w="1993" w:type="dxa"/>
            <w:tcBorders>
              <w:top w:val="nil"/>
              <w:left w:val="nil"/>
              <w:bottom w:val="single" w:color="auto" w:sz="4" w:space="0"/>
              <w:right w:val="single" w:color="auto" w:sz="4" w:space="0"/>
            </w:tcBorders>
            <w:noWrap w:val="0"/>
            <w:vAlign w:val="center"/>
          </w:tcPr>
          <w:p>
            <w:pPr>
              <w:pStyle w:val="131"/>
              <w:keepNext w:val="0"/>
              <w:keepLines w:val="0"/>
              <w:pageBreakBefore w:val="0"/>
              <w:widowControl w:val="0"/>
              <w:kinsoku/>
              <w:wordWrap/>
              <w:overflowPunct/>
              <w:topLinePunct w:val="0"/>
              <w:autoSpaceDE/>
              <w:autoSpaceDN/>
              <w:bidi w:val="0"/>
              <w:adjustRightInd/>
              <w:snapToGrid/>
              <w:spacing w:before="0" w:beforeLines="0" w:line="240" w:lineRule="auto"/>
              <w:ind w:left="0" w:leftChars="0" w:firstLine="0" w:firstLineChars="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w:t>
            </w:r>
          </w:p>
        </w:tc>
        <w:tc>
          <w:tcPr>
            <w:tcW w:w="1421" w:type="dxa"/>
            <w:tcBorders>
              <w:top w:val="nil"/>
              <w:left w:val="nil"/>
              <w:bottom w:val="single" w:color="auto" w:sz="4" w:space="0"/>
              <w:right w:val="single" w:color="auto" w:sz="4" w:space="0"/>
            </w:tcBorders>
            <w:noWrap w:val="0"/>
            <w:vAlign w:val="center"/>
          </w:tcPr>
          <w:p>
            <w:pPr>
              <w:pStyle w:val="131"/>
              <w:keepNext w:val="0"/>
              <w:keepLines w:val="0"/>
              <w:pageBreakBefore w:val="0"/>
              <w:widowControl w:val="0"/>
              <w:kinsoku/>
              <w:wordWrap/>
              <w:overflowPunct/>
              <w:topLinePunct w:val="0"/>
              <w:autoSpaceDE/>
              <w:autoSpaceDN/>
              <w:bidi w:val="0"/>
              <w:adjustRightInd/>
              <w:snapToGrid/>
              <w:spacing w:before="0" w:beforeLines="0" w:line="240" w:lineRule="auto"/>
              <w:ind w:left="0" w:leftChars="0" w:firstLine="0" w:firstLineChars="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w:t>
            </w:r>
          </w:p>
        </w:tc>
        <w:tc>
          <w:tcPr>
            <w:tcW w:w="1189" w:type="dxa"/>
            <w:tcBorders>
              <w:top w:val="nil"/>
              <w:left w:val="nil"/>
              <w:bottom w:val="single" w:color="auto" w:sz="4" w:space="0"/>
              <w:right w:val="single" w:color="auto" w:sz="4" w:space="0"/>
            </w:tcBorders>
            <w:noWrap w:val="0"/>
            <w:vAlign w:val="center"/>
          </w:tcPr>
          <w:p>
            <w:pPr>
              <w:pStyle w:val="131"/>
              <w:keepNext w:val="0"/>
              <w:keepLines w:val="0"/>
              <w:pageBreakBefore w:val="0"/>
              <w:widowControl w:val="0"/>
              <w:kinsoku/>
              <w:wordWrap/>
              <w:overflowPunct/>
              <w:topLinePunct w:val="0"/>
              <w:autoSpaceDE/>
              <w:autoSpaceDN/>
              <w:bidi w:val="0"/>
              <w:adjustRightInd/>
              <w:snapToGrid/>
              <w:spacing w:before="0" w:beforeLines="0" w:line="240" w:lineRule="auto"/>
              <w:ind w:left="0" w:leftChars="0" w:firstLine="0" w:firstLineChars="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w:t>
            </w:r>
          </w:p>
        </w:tc>
        <w:tc>
          <w:tcPr>
            <w:tcW w:w="980" w:type="dxa"/>
            <w:tcBorders>
              <w:top w:val="nil"/>
              <w:left w:val="nil"/>
              <w:bottom w:val="single" w:color="auto" w:sz="4" w:space="0"/>
              <w:right w:val="single" w:color="auto" w:sz="4" w:space="0"/>
            </w:tcBorders>
            <w:noWrap w:val="0"/>
            <w:vAlign w:val="center"/>
          </w:tcPr>
          <w:p>
            <w:pPr>
              <w:pStyle w:val="131"/>
              <w:keepNext w:val="0"/>
              <w:keepLines w:val="0"/>
              <w:pageBreakBefore w:val="0"/>
              <w:widowControl w:val="0"/>
              <w:kinsoku/>
              <w:wordWrap/>
              <w:overflowPunct/>
              <w:topLinePunct w:val="0"/>
              <w:autoSpaceDE/>
              <w:autoSpaceDN/>
              <w:bidi w:val="0"/>
              <w:adjustRightInd/>
              <w:snapToGrid/>
              <w:spacing w:before="0" w:beforeLines="0" w:line="240" w:lineRule="auto"/>
              <w:ind w:left="0" w:leftChars="0" w:firstLine="0" w:firstLineChars="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w:t>
            </w:r>
          </w:p>
        </w:tc>
        <w:tc>
          <w:tcPr>
            <w:tcW w:w="1189" w:type="dxa"/>
            <w:tcBorders>
              <w:top w:val="nil"/>
              <w:left w:val="nil"/>
              <w:bottom w:val="single" w:color="auto" w:sz="4" w:space="0"/>
              <w:right w:val="single" w:color="auto" w:sz="4" w:space="0"/>
            </w:tcBorders>
            <w:noWrap w:val="0"/>
            <w:vAlign w:val="center"/>
          </w:tcPr>
          <w:p>
            <w:pPr>
              <w:pStyle w:val="131"/>
              <w:keepNext w:val="0"/>
              <w:keepLines w:val="0"/>
              <w:pageBreakBefore w:val="0"/>
              <w:widowControl w:val="0"/>
              <w:kinsoku/>
              <w:wordWrap/>
              <w:overflowPunct/>
              <w:topLinePunct w:val="0"/>
              <w:autoSpaceDE/>
              <w:autoSpaceDN/>
              <w:bidi w:val="0"/>
              <w:adjustRightInd/>
              <w:snapToGrid/>
              <w:spacing w:before="0" w:beforeLines="0" w:line="240" w:lineRule="auto"/>
              <w:ind w:left="0" w:leftChars="0" w:firstLine="0" w:firstLineChars="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w:t>
            </w:r>
          </w:p>
        </w:tc>
      </w:tr>
      <w:tr>
        <w:tblPrEx>
          <w:tblCellMar>
            <w:top w:w="0" w:type="dxa"/>
            <w:left w:w="108" w:type="dxa"/>
            <w:bottom w:w="0" w:type="dxa"/>
            <w:right w:w="108" w:type="dxa"/>
          </w:tblCellMar>
        </w:tblPrEx>
        <w:trPr>
          <w:trHeight w:val="429" w:hRule="atLeast"/>
          <w:jc w:val="center"/>
        </w:trPr>
        <w:tc>
          <w:tcPr>
            <w:tcW w:w="709" w:type="dxa"/>
            <w:tcBorders>
              <w:top w:val="nil"/>
              <w:left w:val="single" w:color="auto" w:sz="4" w:space="0"/>
              <w:bottom w:val="single" w:color="auto" w:sz="4" w:space="0"/>
              <w:right w:val="single" w:color="auto" w:sz="4" w:space="0"/>
            </w:tcBorders>
            <w:noWrap w:val="0"/>
            <w:vAlign w:val="center"/>
          </w:tcPr>
          <w:p>
            <w:pPr>
              <w:pStyle w:val="131"/>
              <w:keepNext w:val="0"/>
              <w:keepLines w:val="0"/>
              <w:pageBreakBefore w:val="0"/>
              <w:widowControl w:val="0"/>
              <w:kinsoku/>
              <w:wordWrap/>
              <w:overflowPunct/>
              <w:topLinePunct w:val="0"/>
              <w:autoSpaceDE/>
              <w:autoSpaceDN/>
              <w:bidi w:val="0"/>
              <w:adjustRightInd/>
              <w:snapToGrid/>
              <w:spacing w:before="0" w:beforeLines="0" w:line="240" w:lineRule="auto"/>
              <w:ind w:left="0" w:leftChars="0" w:firstLine="0" w:firstLineChars="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w:t>
            </w:r>
          </w:p>
        </w:tc>
        <w:tc>
          <w:tcPr>
            <w:tcW w:w="1192" w:type="dxa"/>
            <w:tcBorders>
              <w:top w:val="nil"/>
              <w:left w:val="nil"/>
              <w:bottom w:val="single" w:color="auto" w:sz="4" w:space="0"/>
              <w:right w:val="single" w:color="auto" w:sz="4" w:space="0"/>
            </w:tcBorders>
            <w:noWrap w:val="0"/>
            <w:vAlign w:val="center"/>
          </w:tcPr>
          <w:p>
            <w:pPr>
              <w:pStyle w:val="131"/>
              <w:keepNext w:val="0"/>
              <w:keepLines w:val="0"/>
              <w:pageBreakBefore w:val="0"/>
              <w:widowControl w:val="0"/>
              <w:kinsoku/>
              <w:wordWrap/>
              <w:overflowPunct/>
              <w:topLinePunct w:val="0"/>
              <w:autoSpaceDE/>
              <w:autoSpaceDN/>
              <w:bidi w:val="0"/>
              <w:adjustRightInd/>
              <w:snapToGrid/>
              <w:spacing w:before="0" w:beforeLines="0" w:line="240" w:lineRule="auto"/>
              <w:ind w:left="0" w:leftChars="0" w:firstLine="0" w:firstLineChars="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w:t>
            </w:r>
          </w:p>
        </w:tc>
        <w:tc>
          <w:tcPr>
            <w:tcW w:w="1993" w:type="dxa"/>
            <w:tcBorders>
              <w:top w:val="nil"/>
              <w:left w:val="nil"/>
              <w:bottom w:val="single" w:color="auto" w:sz="4" w:space="0"/>
              <w:right w:val="single" w:color="auto" w:sz="4" w:space="0"/>
            </w:tcBorders>
            <w:noWrap w:val="0"/>
            <w:vAlign w:val="center"/>
          </w:tcPr>
          <w:p>
            <w:pPr>
              <w:pStyle w:val="131"/>
              <w:keepNext w:val="0"/>
              <w:keepLines w:val="0"/>
              <w:pageBreakBefore w:val="0"/>
              <w:widowControl w:val="0"/>
              <w:kinsoku/>
              <w:wordWrap/>
              <w:overflowPunct/>
              <w:topLinePunct w:val="0"/>
              <w:autoSpaceDE/>
              <w:autoSpaceDN/>
              <w:bidi w:val="0"/>
              <w:adjustRightInd/>
              <w:snapToGrid/>
              <w:spacing w:before="0" w:beforeLines="0" w:line="240" w:lineRule="auto"/>
              <w:ind w:left="0" w:leftChars="0" w:firstLine="0" w:firstLineChars="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w:t>
            </w:r>
          </w:p>
        </w:tc>
        <w:tc>
          <w:tcPr>
            <w:tcW w:w="1421" w:type="dxa"/>
            <w:tcBorders>
              <w:top w:val="nil"/>
              <w:left w:val="nil"/>
              <w:bottom w:val="single" w:color="auto" w:sz="4" w:space="0"/>
              <w:right w:val="single" w:color="auto" w:sz="4" w:space="0"/>
            </w:tcBorders>
            <w:noWrap w:val="0"/>
            <w:vAlign w:val="center"/>
          </w:tcPr>
          <w:p>
            <w:pPr>
              <w:pStyle w:val="131"/>
              <w:keepNext w:val="0"/>
              <w:keepLines w:val="0"/>
              <w:pageBreakBefore w:val="0"/>
              <w:widowControl w:val="0"/>
              <w:kinsoku/>
              <w:wordWrap/>
              <w:overflowPunct/>
              <w:topLinePunct w:val="0"/>
              <w:autoSpaceDE/>
              <w:autoSpaceDN/>
              <w:bidi w:val="0"/>
              <w:adjustRightInd/>
              <w:snapToGrid/>
              <w:spacing w:before="0" w:beforeLines="0" w:line="240" w:lineRule="auto"/>
              <w:ind w:left="0" w:leftChars="0" w:firstLine="0" w:firstLineChars="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w:t>
            </w:r>
          </w:p>
        </w:tc>
        <w:tc>
          <w:tcPr>
            <w:tcW w:w="1189" w:type="dxa"/>
            <w:tcBorders>
              <w:top w:val="nil"/>
              <w:left w:val="nil"/>
              <w:bottom w:val="single" w:color="auto" w:sz="4" w:space="0"/>
              <w:right w:val="single" w:color="auto" w:sz="4" w:space="0"/>
            </w:tcBorders>
            <w:noWrap w:val="0"/>
            <w:vAlign w:val="center"/>
          </w:tcPr>
          <w:p>
            <w:pPr>
              <w:pStyle w:val="131"/>
              <w:keepNext w:val="0"/>
              <w:keepLines w:val="0"/>
              <w:pageBreakBefore w:val="0"/>
              <w:widowControl w:val="0"/>
              <w:kinsoku/>
              <w:wordWrap/>
              <w:overflowPunct/>
              <w:topLinePunct w:val="0"/>
              <w:autoSpaceDE/>
              <w:autoSpaceDN/>
              <w:bidi w:val="0"/>
              <w:adjustRightInd/>
              <w:snapToGrid/>
              <w:spacing w:before="0" w:beforeLines="0" w:line="240" w:lineRule="auto"/>
              <w:ind w:left="0" w:leftChars="0" w:firstLine="0" w:firstLineChars="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w:t>
            </w:r>
          </w:p>
        </w:tc>
        <w:tc>
          <w:tcPr>
            <w:tcW w:w="980" w:type="dxa"/>
            <w:tcBorders>
              <w:top w:val="nil"/>
              <w:left w:val="nil"/>
              <w:bottom w:val="single" w:color="auto" w:sz="4" w:space="0"/>
              <w:right w:val="single" w:color="auto" w:sz="4" w:space="0"/>
            </w:tcBorders>
            <w:noWrap w:val="0"/>
            <w:vAlign w:val="center"/>
          </w:tcPr>
          <w:p>
            <w:pPr>
              <w:pStyle w:val="131"/>
              <w:keepNext w:val="0"/>
              <w:keepLines w:val="0"/>
              <w:pageBreakBefore w:val="0"/>
              <w:widowControl w:val="0"/>
              <w:kinsoku/>
              <w:wordWrap/>
              <w:overflowPunct/>
              <w:topLinePunct w:val="0"/>
              <w:autoSpaceDE/>
              <w:autoSpaceDN/>
              <w:bidi w:val="0"/>
              <w:adjustRightInd/>
              <w:snapToGrid/>
              <w:spacing w:before="0" w:beforeLines="0" w:line="240" w:lineRule="auto"/>
              <w:ind w:left="0" w:leftChars="0" w:firstLine="0" w:firstLineChars="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w:t>
            </w:r>
          </w:p>
        </w:tc>
        <w:tc>
          <w:tcPr>
            <w:tcW w:w="1189" w:type="dxa"/>
            <w:tcBorders>
              <w:top w:val="nil"/>
              <w:left w:val="nil"/>
              <w:bottom w:val="single" w:color="auto" w:sz="4" w:space="0"/>
              <w:right w:val="single" w:color="auto" w:sz="4" w:space="0"/>
            </w:tcBorders>
            <w:noWrap w:val="0"/>
            <w:vAlign w:val="center"/>
          </w:tcPr>
          <w:p>
            <w:pPr>
              <w:pStyle w:val="131"/>
              <w:keepNext w:val="0"/>
              <w:keepLines w:val="0"/>
              <w:pageBreakBefore w:val="0"/>
              <w:widowControl w:val="0"/>
              <w:kinsoku/>
              <w:wordWrap/>
              <w:overflowPunct/>
              <w:topLinePunct w:val="0"/>
              <w:autoSpaceDE/>
              <w:autoSpaceDN/>
              <w:bidi w:val="0"/>
              <w:adjustRightInd/>
              <w:snapToGrid/>
              <w:spacing w:before="0" w:beforeLines="0" w:line="240" w:lineRule="auto"/>
              <w:ind w:left="0" w:leftChars="0" w:firstLine="0" w:firstLineChars="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w:t>
            </w:r>
          </w:p>
        </w:tc>
      </w:tr>
    </w:tbl>
    <w:p>
      <w:pPr>
        <w:pStyle w:val="131"/>
        <w:pageBreakBefore w:val="0"/>
        <w:kinsoku/>
        <w:wordWrap/>
        <w:overflowPunct/>
        <w:topLinePunct w:val="0"/>
        <w:bidi w:val="0"/>
        <w:adjustRightInd/>
        <w:snapToGrid/>
        <w:spacing w:before="0" w:beforeLines="0" w:line="360" w:lineRule="auto"/>
        <w:ind w:left="0" w:leftChars="0"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注：表中PCI按照《城镇道路养护技术规范》（CJJ 36-2006）第12页4.5.3-1式计算，养护对策对照《城镇道路养护技术规范》（CJJ 36-2006）第16页表4.6.1及4.6.2填写。</w:t>
      </w:r>
    </w:p>
    <w:p>
      <w:pPr>
        <w:pStyle w:val="131"/>
        <w:pageBreakBefore w:val="0"/>
        <w:kinsoku/>
        <w:wordWrap/>
        <w:overflowPunct/>
        <w:topLinePunct w:val="0"/>
        <w:bidi w:val="0"/>
        <w:adjustRightInd/>
        <w:snapToGrid/>
        <w:spacing w:before="0" w:beforeLines="0" w:line="360" w:lineRule="auto"/>
        <w:ind w:left="0" w:leftChars="0"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p>
    <w:p>
      <w:pPr>
        <w:pStyle w:val="131"/>
        <w:pageBreakBefore w:val="0"/>
        <w:kinsoku/>
        <w:wordWrap/>
        <w:overflowPunct/>
        <w:topLinePunct w:val="0"/>
        <w:bidi w:val="0"/>
        <w:adjustRightInd/>
        <w:snapToGrid/>
        <w:spacing w:before="0" w:beforeLines="0" w:line="360" w:lineRule="auto"/>
        <w:ind w:left="0" w:leftChars="0"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表2：路面行驶质量评价汇总表</w:t>
      </w:r>
    </w:p>
    <w:tbl>
      <w:tblPr>
        <w:tblStyle w:val="62"/>
        <w:tblW w:w="0" w:type="auto"/>
        <w:jc w:val="center"/>
        <w:tblLayout w:type="fixed"/>
        <w:tblCellMar>
          <w:top w:w="0" w:type="dxa"/>
          <w:left w:w="108" w:type="dxa"/>
          <w:bottom w:w="0" w:type="dxa"/>
          <w:right w:w="108" w:type="dxa"/>
        </w:tblCellMar>
      </w:tblPr>
      <w:tblGrid>
        <w:gridCol w:w="807"/>
        <w:gridCol w:w="1393"/>
        <w:gridCol w:w="2010"/>
        <w:gridCol w:w="1497"/>
        <w:gridCol w:w="942"/>
        <w:gridCol w:w="1402"/>
      </w:tblGrid>
      <w:tr>
        <w:tblPrEx>
          <w:tblCellMar>
            <w:top w:w="0" w:type="dxa"/>
            <w:left w:w="108" w:type="dxa"/>
            <w:bottom w:w="0" w:type="dxa"/>
            <w:right w:w="108" w:type="dxa"/>
          </w:tblCellMar>
        </w:tblPrEx>
        <w:trPr>
          <w:trHeight w:val="624" w:hRule="atLeast"/>
          <w:jc w:val="center"/>
        </w:trPr>
        <w:tc>
          <w:tcPr>
            <w:tcW w:w="807" w:type="dxa"/>
            <w:tcBorders>
              <w:top w:val="single" w:color="auto" w:sz="4" w:space="0"/>
              <w:left w:val="single" w:color="auto" w:sz="4" w:space="0"/>
              <w:bottom w:val="single" w:color="auto" w:sz="4" w:space="0"/>
              <w:right w:val="single" w:color="auto" w:sz="4" w:space="0"/>
            </w:tcBorders>
            <w:noWrap w:val="0"/>
            <w:vAlign w:val="center"/>
          </w:tcPr>
          <w:p>
            <w:pPr>
              <w:pStyle w:val="131"/>
              <w:keepNext w:val="0"/>
              <w:keepLines w:val="0"/>
              <w:pageBreakBefore w:val="0"/>
              <w:widowControl w:val="0"/>
              <w:kinsoku/>
              <w:wordWrap/>
              <w:overflowPunct/>
              <w:topLinePunct w:val="0"/>
              <w:autoSpaceDE/>
              <w:autoSpaceDN/>
              <w:bidi w:val="0"/>
              <w:adjustRightInd/>
              <w:snapToGrid/>
              <w:spacing w:before="0" w:beforeLines="0" w:line="240" w:lineRule="auto"/>
              <w:ind w:left="0" w:leftChars="0" w:firstLine="0" w:firstLineChars="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序号</w:t>
            </w:r>
          </w:p>
        </w:tc>
        <w:tc>
          <w:tcPr>
            <w:tcW w:w="1393" w:type="dxa"/>
            <w:tcBorders>
              <w:top w:val="single" w:color="auto" w:sz="4" w:space="0"/>
              <w:left w:val="nil"/>
              <w:bottom w:val="single" w:color="auto" w:sz="4" w:space="0"/>
              <w:right w:val="single" w:color="auto" w:sz="4" w:space="0"/>
            </w:tcBorders>
            <w:noWrap w:val="0"/>
            <w:vAlign w:val="center"/>
          </w:tcPr>
          <w:p>
            <w:pPr>
              <w:pStyle w:val="131"/>
              <w:keepNext w:val="0"/>
              <w:keepLines w:val="0"/>
              <w:pageBreakBefore w:val="0"/>
              <w:widowControl w:val="0"/>
              <w:kinsoku/>
              <w:wordWrap/>
              <w:overflowPunct/>
              <w:topLinePunct w:val="0"/>
              <w:autoSpaceDE/>
              <w:autoSpaceDN/>
              <w:bidi w:val="0"/>
              <w:adjustRightInd/>
              <w:snapToGrid/>
              <w:spacing w:before="0" w:beforeLines="0" w:line="240" w:lineRule="auto"/>
              <w:ind w:left="0" w:leftChars="0" w:firstLine="0" w:firstLineChars="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道路名称</w:t>
            </w:r>
          </w:p>
        </w:tc>
        <w:tc>
          <w:tcPr>
            <w:tcW w:w="2010" w:type="dxa"/>
            <w:tcBorders>
              <w:top w:val="single" w:color="auto" w:sz="4" w:space="0"/>
              <w:left w:val="nil"/>
              <w:bottom w:val="single" w:color="auto" w:sz="4" w:space="0"/>
              <w:right w:val="single" w:color="auto" w:sz="4" w:space="0"/>
            </w:tcBorders>
            <w:noWrap w:val="0"/>
            <w:vAlign w:val="center"/>
          </w:tcPr>
          <w:p>
            <w:pPr>
              <w:pStyle w:val="131"/>
              <w:keepNext w:val="0"/>
              <w:keepLines w:val="0"/>
              <w:pageBreakBefore w:val="0"/>
              <w:widowControl w:val="0"/>
              <w:kinsoku/>
              <w:wordWrap/>
              <w:overflowPunct/>
              <w:topLinePunct w:val="0"/>
              <w:autoSpaceDE/>
              <w:autoSpaceDN/>
              <w:bidi w:val="0"/>
              <w:adjustRightInd/>
              <w:snapToGrid/>
              <w:spacing w:before="0" w:beforeLines="0" w:line="240" w:lineRule="auto"/>
              <w:ind w:left="0" w:leftChars="0" w:firstLine="0" w:firstLineChars="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检测路段起止点</w:t>
            </w:r>
          </w:p>
        </w:tc>
        <w:tc>
          <w:tcPr>
            <w:tcW w:w="1497" w:type="dxa"/>
            <w:tcBorders>
              <w:top w:val="single" w:color="auto" w:sz="4" w:space="0"/>
              <w:left w:val="nil"/>
              <w:bottom w:val="single" w:color="auto" w:sz="4" w:space="0"/>
              <w:right w:val="single" w:color="auto" w:sz="4" w:space="0"/>
            </w:tcBorders>
            <w:noWrap w:val="0"/>
            <w:vAlign w:val="center"/>
          </w:tcPr>
          <w:p>
            <w:pPr>
              <w:pStyle w:val="131"/>
              <w:keepNext w:val="0"/>
              <w:keepLines w:val="0"/>
              <w:pageBreakBefore w:val="0"/>
              <w:widowControl w:val="0"/>
              <w:kinsoku/>
              <w:wordWrap/>
              <w:overflowPunct/>
              <w:topLinePunct w:val="0"/>
              <w:autoSpaceDE/>
              <w:autoSpaceDN/>
              <w:bidi w:val="0"/>
              <w:adjustRightInd/>
              <w:snapToGrid/>
              <w:spacing w:before="0" w:beforeLines="0" w:line="240" w:lineRule="auto"/>
              <w:ind w:left="0" w:leftChars="0" w:firstLine="0" w:firstLineChars="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检测日期</w:t>
            </w:r>
          </w:p>
        </w:tc>
        <w:tc>
          <w:tcPr>
            <w:tcW w:w="942" w:type="dxa"/>
            <w:tcBorders>
              <w:top w:val="single" w:color="auto" w:sz="4" w:space="0"/>
              <w:left w:val="nil"/>
              <w:bottom w:val="single" w:color="auto" w:sz="4" w:space="0"/>
              <w:right w:val="single" w:color="auto" w:sz="4" w:space="0"/>
            </w:tcBorders>
            <w:noWrap w:val="0"/>
            <w:vAlign w:val="center"/>
          </w:tcPr>
          <w:p>
            <w:pPr>
              <w:pStyle w:val="131"/>
              <w:keepNext w:val="0"/>
              <w:keepLines w:val="0"/>
              <w:pageBreakBefore w:val="0"/>
              <w:widowControl w:val="0"/>
              <w:kinsoku/>
              <w:wordWrap/>
              <w:overflowPunct/>
              <w:topLinePunct w:val="0"/>
              <w:autoSpaceDE/>
              <w:autoSpaceDN/>
              <w:bidi w:val="0"/>
              <w:adjustRightInd/>
              <w:snapToGrid/>
              <w:spacing w:before="0" w:beforeLines="0" w:line="240" w:lineRule="auto"/>
              <w:ind w:left="0" w:leftChars="0" w:firstLine="0" w:firstLineChars="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PQI</w:t>
            </w:r>
          </w:p>
        </w:tc>
        <w:tc>
          <w:tcPr>
            <w:tcW w:w="1402" w:type="dxa"/>
            <w:tcBorders>
              <w:top w:val="single" w:color="auto" w:sz="4" w:space="0"/>
              <w:left w:val="nil"/>
              <w:bottom w:val="single" w:color="auto" w:sz="4" w:space="0"/>
              <w:right w:val="single" w:color="auto" w:sz="4" w:space="0"/>
            </w:tcBorders>
            <w:noWrap w:val="0"/>
            <w:vAlign w:val="center"/>
          </w:tcPr>
          <w:p>
            <w:pPr>
              <w:pStyle w:val="131"/>
              <w:keepNext w:val="0"/>
              <w:keepLines w:val="0"/>
              <w:pageBreakBefore w:val="0"/>
              <w:widowControl w:val="0"/>
              <w:kinsoku/>
              <w:wordWrap/>
              <w:overflowPunct/>
              <w:topLinePunct w:val="0"/>
              <w:autoSpaceDE/>
              <w:autoSpaceDN/>
              <w:bidi w:val="0"/>
              <w:adjustRightInd/>
              <w:snapToGrid/>
              <w:spacing w:before="0" w:beforeLines="0" w:line="240" w:lineRule="auto"/>
              <w:ind w:left="0" w:leftChars="0" w:firstLine="0" w:firstLineChars="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养护对策</w:t>
            </w:r>
          </w:p>
        </w:tc>
      </w:tr>
      <w:tr>
        <w:tblPrEx>
          <w:tblCellMar>
            <w:top w:w="0" w:type="dxa"/>
            <w:left w:w="108" w:type="dxa"/>
            <w:bottom w:w="0" w:type="dxa"/>
            <w:right w:w="108" w:type="dxa"/>
          </w:tblCellMar>
        </w:tblPrEx>
        <w:trPr>
          <w:trHeight w:val="454" w:hRule="exact"/>
          <w:jc w:val="center"/>
        </w:trPr>
        <w:tc>
          <w:tcPr>
            <w:tcW w:w="807" w:type="dxa"/>
            <w:tcBorders>
              <w:top w:val="nil"/>
              <w:left w:val="single" w:color="auto" w:sz="4" w:space="0"/>
              <w:bottom w:val="single" w:color="auto" w:sz="4" w:space="0"/>
              <w:right w:val="single" w:color="auto" w:sz="4" w:space="0"/>
            </w:tcBorders>
            <w:noWrap w:val="0"/>
            <w:vAlign w:val="center"/>
          </w:tcPr>
          <w:p>
            <w:pPr>
              <w:pStyle w:val="131"/>
              <w:keepNext w:val="0"/>
              <w:keepLines w:val="0"/>
              <w:pageBreakBefore w:val="0"/>
              <w:widowControl w:val="0"/>
              <w:kinsoku/>
              <w:wordWrap/>
              <w:overflowPunct/>
              <w:topLinePunct w:val="0"/>
              <w:autoSpaceDE/>
              <w:autoSpaceDN/>
              <w:bidi w:val="0"/>
              <w:adjustRightInd/>
              <w:snapToGrid/>
              <w:spacing w:before="0" w:beforeLines="0" w:line="240" w:lineRule="auto"/>
              <w:ind w:left="0" w:leftChars="0" w:firstLine="0" w:firstLineChars="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p>
        </w:tc>
        <w:tc>
          <w:tcPr>
            <w:tcW w:w="1393" w:type="dxa"/>
            <w:tcBorders>
              <w:top w:val="nil"/>
              <w:left w:val="nil"/>
              <w:bottom w:val="single" w:color="auto" w:sz="4" w:space="0"/>
              <w:right w:val="single" w:color="auto" w:sz="4" w:space="0"/>
            </w:tcBorders>
            <w:noWrap w:val="0"/>
            <w:vAlign w:val="center"/>
          </w:tcPr>
          <w:p>
            <w:pPr>
              <w:pStyle w:val="131"/>
              <w:keepNext w:val="0"/>
              <w:keepLines w:val="0"/>
              <w:pageBreakBefore w:val="0"/>
              <w:widowControl w:val="0"/>
              <w:kinsoku/>
              <w:wordWrap/>
              <w:overflowPunct/>
              <w:topLinePunct w:val="0"/>
              <w:autoSpaceDE/>
              <w:autoSpaceDN/>
              <w:bidi w:val="0"/>
              <w:adjustRightInd/>
              <w:snapToGrid/>
              <w:spacing w:before="0" w:beforeLines="0" w:line="240" w:lineRule="auto"/>
              <w:ind w:left="0" w:leftChars="0" w:firstLine="0" w:firstLineChars="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p>
        </w:tc>
        <w:tc>
          <w:tcPr>
            <w:tcW w:w="2010" w:type="dxa"/>
            <w:tcBorders>
              <w:top w:val="nil"/>
              <w:left w:val="nil"/>
              <w:bottom w:val="single" w:color="auto" w:sz="4" w:space="0"/>
              <w:right w:val="single" w:color="auto" w:sz="4" w:space="0"/>
            </w:tcBorders>
            <w:noWrap w:val="0"/>
            <w:vAlign w:val="center"/>
          </w:tcPr>
          <w:p>
            <w:pPr>
              <w:pStyle w:val="131"/>
              <w:keepNext w:val="0"/>
              <w:keepLines w:val="0"/>
              <w:pageBreakBefore w:val="0"/>
              <w:widowControl w:val="0"/>
              <w:kinsoku/>
              <w:wordWrap/>
              <w:overflowPunct/>
              <w:topLinePunct w:val="0"/>
              <w:autoSpaceDE/>
              <w:autoSpaceDN/>
              <w:bidi w:val="0"/>
              <w:adjustRightInd/>
              <w:snapToGrid/>
              <w:spacing w:before="0" w:beforeLines="0" w:line="240" w:lineRule="auto"/>
              <w:ind w:left="0" w:leftChars="0" w:firstLine="0" w:firstLineChars="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p>
        </w:tc>
        <w:tc>
          <w:tcPr>
            <w:tcW w:w="1497" w:type="dxa"/>
            <w:tcBorders>
              <w:top w:val="nil"/>
              <w:left w:val="nil"/>
              <w:bottom w:val="single" w:color="auto" w:sz="4" w:space="0"/>
              <w:right w:val="single" w:color="auto" w:sz="4" w:space="0"/>
            </w:tcBorders>
            <w:noWrap w:val="0"/>
            <w:vAlign w:val="center"/>
          </w:tcPr>
          <w:p>
            <w:pPr>
              <w:pStyle w:val="131"/>
              <w:keepNext w:val="0"/>
              <w:keepLines w:val="0"/>
              <w:pageBreakBefore w:val="0"/>
              <w:widowControl w:val="0"/>
              <w:kinsoku/>
              <w:wordWrap/>
              <w:overflowPunct/>
              <w:topLinePunct w:val="0"/>
              <w:autoSpaceDE/>
              <w:autoSpaceDN/>
              <w:bidi w:val="0"/>
              <w:adjustRightInd/>
              <w:snapToGrid/>
              <w:spacing w:before="0" w:beforeLines="0" w:line="240" w:lineRule="auto"/>
              <w:ind w:left="0" w:leftChars="0" w:firstLine="0" w:firstLineChars="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p>
        </w:tc>
        <w:tc>
          <w:tcPr>
            <w:tcW w:w="942" w:type="dxa"/>
            <w:tcBorders>
              <w:top w:val="nil"/>
              <w:left w:val="nil"/>
              <w:bottom w:val="single" w:color="auto" w:sz="4" w:space="0"/>
              <w:right w:val="single" w:color="auto" w:sz="4" w:space="0"/>
            </w:tcBorders>
            <w:noWrap w:val="0"/>
            <w:vAlign w:val="center"/>
          </w:tcPr>
          <w:p>
            <w:pPr>
              <w:pStyle w:val="131"/>
              <w:keepNext w:val="0"/>
              <w:keepLines w:val="0"/>
              <w:pageBreakBefore w:val="0"/>
              <w:widowControl w:val="0"/>
              <w:kinsoku/>
              <w:wordWrap/>
              <w:overflowPunct/>
              <w:topLinePunct w:val="0"/>
              <w:autoSpaceDE/>
              <w:autoSpaceDN/>
              <w:bidi w:val="0"/>
              <w:adjustRightInd/>
              <w:snapToGrid/>
              <w:spacing w:before="0" w:beforeLines="0" w:line="240" w:lineRule="auto"/>
              <w:ind w:left="0" w:leftChars="0" w:firstLine="0" w:firstLineChars="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p>
        </w:tc>
        <w:tc>
          <w:tcPr>
            <w:tcW w:w="1402" w:type="dxa"/>
            <w:tcBorders>
              <w:top w:val="nil"/>
              <w:left w:val="nil"/>
              <w:bottom w:val="single" w:color="auto" w:sz="4" w:space="0"/>
              <w:right w:val="single" w:color="auto" w:sz="4" w:space="0"/>
            </w:tcBorders>
            <w:noWrap w:val="0"/>
            <w:vAlign w:val="center"/>
          </w:tcPr>
          <w:p>
            <w:pPr>
              <w:pStyle w:val="131"/>
              <w:keepNext w:val="0"/>
              <w:keepLines w:val="0"/>
              <w:pageBreakBefore w:val="0"/>
              <w:widowControl w:val="0"/>
              <w:kinsoku/>
              <w:wordWrap/>
              <w:overflowPunct/>
              <w:topLinePunct w:val="0"/>
              <w:autoSpaceDE/>
              <w:autoSpaceDN/>
              <w:bidi w:val="0"/>
              <w:adjustRightInd/>
              <w:snapToGrid/>
              <w:spacing w:before="0" w:beforeLines="0" w:line="240" w:lineRule="auto"/>
              <w:ind w:left="0" w:leftChars="0" w:firstLine="0" w:firstLineChars="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p>
        </w:tc>
      </w:tr>
      <w:tr>
        <w:tblPrEx>
          <w:tblCellMar>
            <w:top w:w="0" w:type="dxa"/>
            <w:left w:w="108" w:type="dxa"/>
            <w:bottom w:w="0" w:type="dxa"/>
            <w:right w:w="108" w:type="dxa"/>
          </w:tblCellMar>
        </w:tblPrEx>
        <w:trPr>
          <w:trHeight w:val="454" w:hRule="exact"/>
          <w:jc w:val="center"/>
        </w:trPr>
        <w:tc>
          <w:tcPr>
            <w:tcW w:w="807" w:type="dxa"/>
            <w:tcBorders>
              <w:top w:val="nil"/>
              <w:left w:val="single" w:color="auto" w:sz="4" w:space="0"/>
              <w:bottom w:val="single" w:color="auto" w:sz="4" w:space="0"/>
              <w:right w:val="single" w:color="auto" w:sz="4" w:space="0"/>
            </w:tcBorders>
            <w:noWrap w:val="0"/>
            <w:vAlign w:val="center"/>
          </w:tcPr>
          <w:p>
            <w:pPr>
              <w:pStyle w:val="131"/>
              <w:keepNext w:val="0"/>
              <w:keepLines w:val="0"/>
              <w:pageBreakBefore w:val="0"/>
              <w:widowControl w:val="0"/>
              <w:kinsoku/>
              <w:wordWrap/>
              <w:overflowPunct/>
              <w:topLinePunct w:val="0"/>
              <w:autoSpaceDE/>
              <w:autoSpaceDN/>
              <w:bidi w:val="0"/>
              <w:adjustRightInd/>
              <w:snapToGrid/>
              <w:spacing w:before="0" w:beforeLines="0" w:line="240" w:lineRule="auto"/>
              <w:ind w:left="0" w:leftChars="0" w:firstLine="0" w:firstLineChars="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p>
        </w:tc>
        <w:tc>
          <w:tcPr>
            <w:tcW w:w="1393" w:type="dxa"/>
            <w:tcBorders>
              <w:top w:val="nil"/>
              <w:left w:val="nil"/>
              <w:bottom w:val="single" w:color="auto" w:sz="4" w:space="0"/>
              <w:right w:val="single" w:color="auto" w:sz="4" w:space="0"/>
            </w:tcBorders>
            <w:noWrap w:val="0"/>
            <w:vAlign w:val="center"/>
          </w:tcPr>
          <w:p>
            <w:pPr>
              <w:pStyle w:val="131"/>
              <w:keepNext w:val="0"/>
              <w:keepLines w:val="0"/>
              <w:pageBreakBefore w:val="0"/>
              <w:widowControl w:val="0"/>
              <w:kinsoku/>
              <w:wordWrap/>
              <w:overflowPunct/>
              <w:topLinePunct w:val="0"/>
              <w:autoSpaceDE/>
              <w:autoSpaceDN/>
              <w:bidi w:val="0"/>
              <w:adjustRightInd/>
              <w:snapToGrid/>
              <w:spacing w:before="0" w:beforeLines="0" w:line="240" w:lineRule="auto"/>
              <w:ind w:left="0" w:leftChars="0" w:firstLine="0" w:firstLineChars="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p>
        </w:tc>
        <w:tc>
          <w:tcPr>
            <w:tcW w:w="2010" w:type="dxa"/>
            <w:tcBorders>
              <w:top w:val="nil"/>
              <w:left w:val="nil"/>
              <w:bottom w:val="single" w:color="auto" w:sz="4" w:space="0"/>
              <w:right w:val="single" w:color="auto" w:sz="4" w:space="0"/>
            </w:tcBorders>
            <w:noWrap w:val="0"/>
            <w:vAlign w:val="center"/>
          </w:tcPr>
          <w:p>
            <w:pPr>
              <w:pStyle w:val="131"/>
              <w:keepNext w:val="0"/>
              <w:keepLines w:val="0"/>
              <w:pageBreakBefore w:val="0"/>
              <w:widowControl w:val="0"/>
              <w:kinsoku/>
              <w:wordWrap/>
              <w:overflowPunct/>
              <w:topLinePunct w:val="0"/>
              <w:autoSpaceDE/>
              <w:autoSpaceDN/>
              <w:bidi w:val="0"/>
              <w:adjustRightInd/>
              <w:snapToGrid/>
              <w:spacing w:before="0" w:beforeLines="0" w:line="240" w:lineRule="auto"/>
              <w:ind w:left="0" w:leftChars="0" w:firstLine="0" w:firstLineChars="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p>
        </w:tc>
        <w:tc>
          <w:tcPr>
            <w:tcW w:w="1497" w:type="dxa"/>
            <w:tcBorders>
              <w:top w:val="nil"/>
              <w:left w:val="nil"/>
              <w:bottom w:val="single" w:color="auto" w:sz="4" w:space="0"/>
              <w:right w:val="single" w:color="auto" w:sz="4" w:space="0"/>
            </w:tcBorders>
            <w:noWrap w:val="0"/>
            <w:vAlign w:val="center"/>
          </w:tcPr>
          <w:p>
            <w:pPr>
              <w:pStyle w:val="131"/>
              <w:keepNext w:val="0"/>
              <w:keepLines w:val="0"/>
              <w:pageBreakBefore w:val="0"/>
              <w:widowControl w:val="0"/>
              <w:kinsoku/>
              <w:wordWrap/>
              <w:overflowPunct/>
              <w:topLinePunct w:val="0"/>
              <w:autoSpaceDE/>
              <w:autoSpaceDN/>
              <w:bidi w:val="0"/>
              <w:adjustRightInd/>
              <w:snapToGrid/>
              <w:spacing w:before="0" w:beforeLines="0" w:line="240" w:lineRule="auto"/>
              <w:ind w:left="0" w:leftChars="0" w:firstLine="0" w:firstLineChars="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p>
        </w:tc>
        <w:tc>
          <w:tcPr>
            <w:tcW w:w="942" w:type="dxa"/>
            <w:tcBorders>
              <w:top w:val="nil"/>
              <w:left w:val="nil"/>
              <w:bottom w:val="single" w:color="auto" w:sz="4" w:space="0"/>
              <w:right w:val="single" w:color="auto" w:sz="4" w:space="0"/>
            </w:tcBorders>
            <w:noWrap w:val="0"/>
            <w:vAlign w:val="center"/>
          </w:tcPr>
          <w:p>
            <w:pPr>
              <w:pStyle w:val="131"/>
              <w:keepNext w:val="0"/>
              <w:keepLines w:val="0"/>
              <w:pageBreakBefore w:val="0"/>
              <w:widowControl w:val="0"/>
              <w:kinsoku/>
              <w:wordWrap/>
              <w:overflowPunct/>
              <w:topLinePunct w:val="0"/>
              <w:autoSpaceDE/>
              <w:autoSpaceDN/>
              <w:bidi w:val="0"/>
              <w:adjustRightInd/>
              <w:snapToGrid/>
              <w:spacing w:before="0" w:beforeLines="0" w:line="240" w:lineRule="auto"/>
              <w:ind w:left="0" w:leftChars="0" w:firstLine="0" w:firstLineChars="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p>
        </w:tc>
        <w:tc>
          <w:tcPr>
            <w:tcW w:w="1402" w:type="dxa"/>
            <w:tcBorders>
              <w:top w:val="nil"/>
              <w:left w:val="nil"/>
              <w:bottom w:val="single" w:color="auto" w:sz="4" w:space="0"/>
              <w:right w:val="single" w:color="auto" w:sz="4" w:space="0"/>
            </w:tcBorders>
            <w:noWrap w:val="0"/>
            <w:vAlign w:val="center"/>
          </w:tcPr>
          <w:p>
            <w:pPr>
              <w:pStyle w:val="131"/>
              <w:keepNext w:val="0"/>
              <w:keepLines w:val="0"/>
              <w:pageBreakBefore w:val="0"/>
              <w:widowControl w:val="0"/>
              <w:kinsoku/>
              <w:wordWrap/>
              <w:overflowPunct/>
              <w:topLinePunct w:val="0"/>
              <w:autoSpaceDE/>
              <w:autoSpaceDN/>
              <w:bidi w:val="0"/>
              <w:adjustRightInd/>
              <w:snapToGrid/>
              <w:spacing w:before="0" w:beforeLines="0" w:line="240" w:lineRule="auto"/>
              <w:ind w:left="0" w:leftChars="0" w:firstLine="0" w:firstLineChars="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p>
        </w:tc>
      </w:tr>
      <w:tr>
        <w:tblPrEx>
          <w:tblCellMar>
            <w:top w:w="0" w:type="dxa"/>
            <w:left w:w="108" w:type="dxa"/>
            <w:bottom w:w="0" w:type="dxa"/>
            <w:right w:w="108" w:type="dxa"/>
          </w:tblCellMar>
        </w:tblPrEx>
        <w:trPr>
          <w:trHeight w:val="454" w:hRule="exact"/>
          <w:jc w:val="center"/>
        </w:trPr>
        <w:tc>
          <w:tcPr>
            <w:tcW w:w="807" w:type="dxa"/>
            <w:tcBorders>
              <w:top w:val="nil"/>
              <w:left w:val="single" w:color="auto" w:sz="4" w:space="0"/>
              <w:bottom w:val="single" w:color="auto" w:sz="4" w:space="0"/>
              <w:right w:val="single" w:color="auto" w:sz="4" w:space="0"/>
            </w:tcBorders>
            <w:noWrap w:val="0"/>
            <w:vAlign w:val="center"/>
          </w:tcPr>
          <w:p>
            <w:pPr>
              <w:pStyle w:val="131"/>
              <w:keepNext w:val="0"/>
              <w:keepLines w:val="0"/>
              <w:pageBreakBefore w:val="0"/>
              <w:widowControl w:val="0"/>
              <w:kinsoku/>
              <w:wordWrap/>
              <w:overflowPunct/>
              <w:topLinePunct w:val="0"/>
              <w:autoSpaceDE/>
              <w:autoSpaceDN/>
              <w:bidi w:val="0"/>
              <w:adjustRightInd/>
              <w:snapToGrid/>
              <w:spacing w:before="0" w:beforeLines="0" w:line="240" w:lineRule="auto"/>
              <w:ind w:left="0" w:leftChars="0" w:firstLine="0" w:firstLineChars="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p>
        </w:tc>
        <w:tc>
          <w:tcPr>
            <w:tcW w:w="1393" w:type="dxa"/>
            <w:tcBorders>
              <w:top w:val="nil"/>
              <w:left w:val="nil"/>
              <w:bottom w:val="single" w:color="auto" w:sz="4" w:space="0"/>
              <w:right w:val="single" w:color="auto" w:sz="4" w:space="0"/>
            </w:tcBorders>
            <w:noWrap w:val="0"/>
            <w:vAlign w:val="center"/>
          </w:tcPr>
          <w:p>
            <w:pPr>
              <w:pStyle w:val="131"/>
              <w:keepNext w:val="0"/>
              <w:keepLines w:val="0"/>
              <w:pageBreakBefore w:val="0"/>
              <w:widowControl w:val="0"/>
              <w:kinsoku/>
              <w:wordWrap/>
              <w:overflowPunct/>
              <w:topLinePunct w:val="0"/>
              <w:autoSpaceDE/>
              <w:autoSpaceDN/>
              <w:bidi w:val="0"/>
              <w:adjustRightInd/>
              <w:snapToGrid/>
              <w:spacing w:before="0" w:beforeLines="0" w:line="240" w:lineRule="auto"/>
              <w:ind w:left="0" w:leftChars="0" w:firstLine="0" w:firstLineChars="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p>
        </w:tc>
        <w:tc>
          <w:tcPr>
            <w:tcW w:w="2010" w:type="dxa"/>
            <w:tcBorders>
              <w:top w:val="nil"/>
              <w:left w:val="nil"/>
              <w:bottom w:val="single" w:color="auto" w:sz="4" w:space="0"/>
              <w:right w:val="single" w:color="auto" w:sz="4" w:space="0"/>
            </w:tcBorders>
            <w:noWrap w:val="0"/>
            <w:vAlign w:val="center"/>
          </w:tcPr>
          <w:p>
            <w:pPr>
              <w:pStyle w:val="131"/>
              <w:keepNext w:val="0"/>
              <w:keepLines w:val="0"/>
              <w:pageBreakBefore w:val="0"/>
              <w:widowControl w:val="0"/>
              <w:kinsoku/>
              <w:wordWrap/>
              <w:overflowPunct/>
              <w:topLinePunct w:val="0"/>
              <w:autoSpaceDE/>
              <w:autoSpaceDN/>
              <w:bidi w:val="0"/>
              <w:adjustRightInd/>
              <w:snapToGrid/>
              <w:spacing w:before="0" w:beforeLines="0" w:line="240" w:lineRule="auto"/>
              <w:ind w:left="0" w:leftChars="0" w:firstLine="0" w:firstLineChars="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p>
        </w:tc>
        <w:tc>
          <w:tcPr>
            <w:tcW w:w="1497" w:type="dxa"/>
            <w:tcBorders>
              <w:top w:val="nil"/>
              <w:left w:val="nil"/>
              <w:bottom w:val="single" w:color="auto" w:sz="4" w:space="0"/>
              <w:right w:val="single" w:color="auto" w:sz="4" w:space="0"/>
            </w:tcBorders>
            <w:noWrap w:val="0"/>
            <w:vAlign w:val="center"/>
          </w:tcPr>
          <w:p>
            <w:pPr>
              <w:pStyle w:val="131"/>
              <w:keepNext w:val="0"/>
              <w:keepLines w:val="0"/>
              <w:pageBreakBefore w:val="0"/>
              <w:widowControl w:val="0"/>
              <w:kinsoku/>
              <w:wordWrap/>
              <w:overflowPunct/>
              <w:topLinePunct w:val="0"/>
              <w:autoSpaceDE/>
              <w:autoSpaceDN/>
              <w:bidi w:val="0"/>
              <w:adjustRightInd/>
              <w:snapToGrid/>
              <w:spacing w:before="0" w:beforeLines="0" w:line="240" w:lineRule="auto"/>
              <w:ind w:left="0" w:leftChars="0" w:firstLine="0" w:firstLineChars="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p>
        </w:tc>
        <w:tc>
          <w:tcPr>
            <w:tcW w:w="942" w:type="dxa"/>
            <w:tcBorders>
              <w:top w:val="nil"/>
              <w:left w:val="nil"/>
              <w:bottom w:val="single" w:color="auto" w:sz="4" w:space="0"/>
              <w:right w:val="single" w:color="auto" w:sz="4" w:space="0"/>
            </w:tcBorders>
            <w:noWrap w:val="0"/>
            <w:vAlign w:val="center"/>
          </w:tcPr>
          <w:p>
            <w:pPr>
              <w:pStyle w:val="131"/>
              <w:keepNext w:val="0"/>
              <w:keepLines w:val="0"/>
              <w:pageBreakBefore w:val="0"/>
              <w:widowControl w:val="0"/>
              <w:kinsoku/>
              <w:wordWrap/>
              <w:overflowPunct/>
              <w:topLinePunct w:val="0"/>
              <w:autoSpaceDE/>
              <w:autoSpaceDN/>
              <w:bidi w:val="0"/>
              <w:adjustRightInd/>
              <w:snapToGrid/>
              <w:spacing w:before="0" w:beforeLines="0" w:line="240" w:lineRule="auto"/>
              <w:ind w:left="0" w:leftChars="0" w:firstLine="0" w:firstLineChars="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p>
        </w:tc>
        <w:tc>
          <w:tcPr>
            <w:tcW w:w="1402" w:type="dxa"/>
            <w:tcBorders>
              <w:top w:val="nil"/>
              <w:left w:val="nil"/>
              <w:bottom w:val="single" w:color="auto" w:sz="4" w:space="0"/>
              <w:right w:val="single" w:color="auto" w:sz="4" w:space="0"/>
            </w:tcBorders>
            <w:noWrap w:val="0"/>
            <w:vAlign w:val="center"/>
          </w:tcPr>
          <w:p>
            <w:pPr>
              <w:pStyle w:val="131"/>
              <w:keepNext w:val="0"/>
              <w:keepLines w:val="0"/>
              <w:pageBreakBefore w:val="0"/>
              <w:widowControl w:val="0"/>
              <w:kinsoku/>
              <w:wordWrap/>
              <w:overflowPunct/>
              <w:topLinePunct w:val="0"/>
              <w:autoSpaceDE/>
              <w:autoSpaceDN/>
              <w:bidi w:val="0"/>
              <w:adjustRightInd/>
              <w:snapToGrid/>
              <w:spacing w:before="0" w:beforeLines="0" w:line="240" w:lineRule="auto"/>
              <w:ind w:left="0" w:leftChars="0" w:firstLine="0" w:firstLineChars="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p>
        </w:tc>
      </w:tr>
      <w:tr>
        <w:tblPrEx>
          <w:tblCellMar>
            <w:top w:w="0" w:type="dxa"/>
            <w:left w:w="108" w:type="dxa"/>
            <w:bottom w:w="0" w:type="dxa"/>
            <w:right w:w="108" w:type="dxa"/>
          </w:tblCellMar>
        </w:tblPrEx>
        <w:trPr>
          <w:trHeight w:val="454" w:hRule="exact"/>
          <w:jc w:val="center"/>
        </w:trPr>
        <w:tc>
          <w:tcPr>
            <w:tcW w:w="807" w:type="dxa"/>
            <w:tcBorders>
              <w:top w:val="nil"/>
              <w:left w:val="single" w:color="auto" w:sz="4" w:space="0"/>
              <w:bottom w:val="single" w:color="auto" w:sz="4" w:space="0"/>
              <w:right w:val="single" w:color="auto" w:sz="4" w:space="0"/>
            </w:tcBorders>
            <w:noWrap w:val="0"/>
            <w:vAlign w:val="center"/>
          </w:tcPr>
          <w:p>
            <w:pPr>
              <w:pStyle w:val="131"/>
              <w:keepNext w:val="0"/>
              <w:keepLines w:val="0"/>
              <w:pageBreakBefore w:val="0"/>
              <w:widowControl w:val="0"/>
              <w:kinsoku/>
              <w:wordWrap/>
              <w:overflowPunct/>
              <w:topLinePunct w:val="0"/>
              <w:autoSpaceDE/>
              <w:autoSpaceDN/>
              <w:bidi w:val="0"/>
              <w:adjustRightInd/>
              <w:snapToGrid/>
              <w:spacing w:before="0" w:beforeLines="0" w:line="240" w:lineRule="auto"/>
              <w:ind w:left="0" w:leftChars="0" w:firstLine="0" w:firstLineChars="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p>
        </w:tc>
        <w:tc>
          <w:tcPr>
            <w:tcW w:w="1393" w:type="dxa"/>
            <w:tcBorders>
              <w:top w:val="nil"/>
              <w:left w:val="nil"/>
              <w:bottom w:val="single" w:color="auto" w:sz="4" w:space="0"/>
              <w:right w:val="single" w:color="auto" w:sz="4" w:space="0"/>
            </w:tcBorders>
            <w:noWrap w:val="0"/>
            <w:vAlign w:val="center"/>
          </w:tcPr>
          <w:p>
            <w:pPr>
              <w:pStyle w:val="131"/>
              <w:keepNext w:val="0"/>
              <w:keepLines w:val="0"/>
              <w:pageBreakBefore w:val="0"/>
              <w:widowControl w:val="0"/>
              <w:kinsoku/>
              <w:wordWrap/>
              <w:overflowPunct/>
              <w:topLinePunct w:val="0"/>
              <w:autoSpaceDE/>
              <w:autoSpaceDN/>
              <w:bidi w:val="0"/>
              <w:adjustRightInd/>
              <w:snapToGrid/>
              <w:spacing w:before="0" w:beforeLines="0" w:line="240" w:lineRule="auto"/>
              <w:ind w:left="0" w:leftChars="0" w:firstLine="0" w:firstLineChars="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p>
        </w:tc>
        <w:tc>
          <w:tcPr>
            <w:tcW w:w="2010" w:type="dxa"/>
            <w:tcBorders>
              <w:top w:val="nil"/>
              <w:left w:val="nil"/>
              <w:bottom w:val="single" w:color="auto" w:sz="4" w:space="0"/>
              <w:right w:val="single" w:color="auto" w:sz="4" w:space="0"/>
            </w:tcBorders>
            <w:noWrap w:val="0"/>
            <w:vAlign w:val="center"/>
          </w:tcPr>
          <w:p>
            <w:pPr>
              <w:pStyle w:val="131"/>
              <w:keepNext w:val="0"/>
              <w:keepLines w:val="0"/>
              <w:pageBreakBefore w:val="0"/>
              <w:widowControl w:val="0"/>
              <w:kinsoku/>
              <w:wordWrap/>
              <w:overflowPunct/>
              <w:topLinePunct w:val="0"/>
              <w:autoSpaceDE/>
              <w:autoSpaceDN/>
              <w:bidi w:val="0"/>
              <w:adjustRightInd/>
              <w:snapToGrid/>
              <w:spacing w:before="0" w:beforeLines="0" w:line="240" w:lineRule="auto"/>
              <w:ind w:left="0" w:leftChars="0" w:firstLine="0" w:firstLineChars="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p>
        </w:tc>
        <w:tc>
          <w:tcPr>
            <w:tcW w:w="1497" w:type="dxa"/>
            <w:tcBorders>
              <w:top w:val="nil"/>
              <w:left w:val="nil"/>
              <w:bottom w:val="single" w:color="auto" w:sz="4" w:space="0"/>
              <w:right w:val="single" w:color="auto" w:sz="4" w:space="0"/>
            </w:tcBorders>
            <w:noWrap w:val="0"/>
            <w:vAlign w:val="center"/>
          </w:tcPr>
          <w:p>
            <w:pPr>
              <w:pStyle w:val="131"/>
              <w:keepNext w:val="0"/>
              <w:keepLines w:val="0"/>
              <w:pageBreakBefore w:val="0"/>
              <w:widowControl w:val="0"/>
              <w:kinsoku/>
              <w:wordWrap/>
              <w:overflowPunct/>
              <w:topLinePunct w:val="0"/>
              <w:autoSpaceDE/>
              <w:autoSpaceDN/>
              <w:bidi w:val="0"/>
              <w:adjustRightInd/>
              <w:snapToGrid/>
              <w:spacing w:before="0" w:beforeLines="0" w:line="240" w:lineRule="auto"/>
              <w:ind w:left="0" w:leftChars="0" w:firstLine="0" w:firstLineChars="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p>
        </w:tc>
        <w:tc>
          <w:tcPr>
            <w:tcW w:w="942" w:type="dxa"/>
            <w:tcBorders>
              <w:top w:val="nil"/>
              <w:left w:val="nil"/>
              <w:bottom w:val="single" w:color="auto" w:sz="4" w:space="0"/>
              <w:right w:val="single" w:color="auto" w:sz="4" w:space="0"/>
            </w:tcBorders>
            <w:noWrap w:val="0"/>
            <w:vAlign w:val="center"/>
          </w:tcPr>
          <w:p>
            <w:pPr>
              <w:pStyle w:val="131"/>
              <w:keepNext w:val="0"/>
              <w:keepLines w:val="0"/>
              <w:pageBreakBefore w:val="0"/>
              <w:widowControl w:val="0"/>
              <w:kinsoku/>
              <w:wordWrap/>
              <w:overflowPunct/>
              <w:topLinePunct w:val="0"/>
              <w:autoSpaceDE/>
              <w:autoSpaceDN/>
              <w:bidi w:val="0"/>
              <w:adjustRightInd/>
              <w:snapToGrid/>
              <w:spacing w:before="0" w:beforeLines="0" w:line="240" w:lineRule="auto"/>
              <w:ind w:left="0" w:leftChars="0" w:firstLine="0" w:firstLineChars="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p>
        </w:tc>
        <w:tc>
          <w:tcPr>
            <w:tcW w:w="1402" w:type="dxa"/>
            <w:tcBorders>
              <w:top w:val="nil"/>
              <w:left w:val="nil"/>
              <w:bottom w:val="single" w:color="auto" w:sz="4" w:space="0"/>
              <w:right w:val="single" w:color="auto" w:sz="4" w:space="0"/>
            </w:tcBorders>
            <w:noWrap w:val="0"/>
            <w:vAlign w:val="center"/>
          </w:tcPr>
          <w:p>
            <w:pPr>
              <w:pStyle w:val="131"/>
              <w:keepNext w:val="0"/>
              <w:keepLines w:val="0"/>
              <w:pageBreakBefore w:val="0"/>
              <w:widowControl w:val="0"/>
              <w:kinsoku/>
              <w:wordWrap/>
              <w:overflowPunct/>
              <w:topLinePunct w:val="0"/>
              <w:autoSpaceDE/>
              <w:autoSpaceDN/>
              <w:bidi w:val="0"/>
              <w:adjustRightInd/>
              <w:snapToGrid/>
              <w:spacing w:before="0" w:beforeLines="0" w:line="240" w:lineRule="auto"/>
              <w:ind w:left="0" w:leftChars="0" w:firstLine="0" w:firstLineChars="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p>
        </w:tc>
      </w:tr>
      <w:tr>
        <w:tblPrEx>
          <w:tblCellMar>
            <w:top w:w="0" w:type="dxa"/>
            <w:left w:w="108" w:type="dxa"/>
            <w:bottom w:w="0" w:type="dxa"/>
            <w:right w:w="108" w:type="dxa"/>
          </w:tblCellMar>
        </w:tblPrEx>
        <w:trPr>
          <w:trHeight w:val="454" w:hRule="exact"/>
          <w:jc w:val="center"/>
        </w:trPr>
        <w:tc>
          <w:tcPr>
            <w:tcW w:w="807" w:type="dxa"/>
            <w:tcBorders>
              <w:top w:val="nil"/>
              <w:left w:val="single" w:color="auto" w:sz="4" w:space="0"/>
              <w:bottom w:val="single" w:color="auto" w:sz="4" w:space="0"/>
              <w:right w:val="single" w:color="auto" w:sz="4" w:space="0"/>
            </w:tcBorders>
            <w:noWrap w:val="0"/>
            <w:vAlign w:val="center"/>
          </w:tcPr>
          <w:p>
            <w:pPr>
              <w:pStyle w:val="131"/>
              <w:keepNext w:val="0"/>
              <w:keepLines w:val="0"/>
              <w:pageBreakBefore w:val="0"/>
              <w:widowControl w:val="0"/>
              <w:kinsoku/>
              <w:wordWrap/>
              <w:overflowPunct/>
              <w:topLinePunct w:val="0"/>
              <w:autoSpaceDE/>
              <w:autoSpaceDN/>
              <w:bidi w:val="0"/>
              <w:adjustRightInd/>
              <w:snapToGrid/>
              <w:spacing w:before="0" w:beforeLines="0" w:line="240" w:lineRule="auto"/>
              <w:ind w:left="0" w:leftChars="0" w:firstLine="0" w:firstLineChars="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p>
        </w:tc>
        <w:tc>
          <w:tcPr>
            <w:tcW w:w="1393" w:type="dxa"/>
            <w:tcBorders>
              <w:top w:val="nil"/>
              <w:left w:val="nil"/>
              <w:bottom w:val="single" w:color="auto" w:sz="4" w:space="0"/>
              <w:right w:val="single" w:color="auto" w:sz="4" w:space="0"/>
            </w:tcBorders>
            <w:noWrap w:val="0"/>
            <w:vAlign w:val="center"/>
          </w:tcPr>
          <w:p>
            <w:pPr>
              <w:pStyle w:val="131"/>
              <w:keepNext w:val="0"/>
              <w:keepLines w:val="0"/>
              <w:pageBreakBefore w:val="0"/>
              <w:widowControl w:val="0"/>
              <w:kinsoku/>
              <w:wordWrap/>
              <w:overflowPunct/>
              <w:topLinePunct w:val="0"/>
              <w:autoSpaceDE/>
              <w:autoSpaceDN/>
              <w:bidi w:val="0"/>
              <w:adjustRightInd/>
              <w:snapToGrid/>
              <w:spacing w:before="0" w:beforeLines="0" w:line="240" w:lineRule="auto"/>
              <w:ind w:left="0" w:leftChars="0" w:firstLine="0" w:firstLineChars="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p>
        </w:tc>
        <w:tc>
          <w:tcPr>
            <w:tcW w:w="2010" w:type="dxa"/>
            <w:tcBorders>
              <w:top w:val="nil"/>
              <w:left w:val="nil"/>
              <w:bottom w:val="single" w:color="auto" w:sz="4" w:space="0"/>
              <w:right w:val="single" w:color="auto" w:sz="4" w:space="0"/>
            </w:tcBorders>
            <w:noWrap w:val="0"/>
            <w:vAlign w:val="center"/>
          </w:tcPr>
          <w:p>
            <w:pPr>
              <w:pStyle w:val="131"/>
              <w:keepNext w:val="0"/>
              <w:keepLines w:val="0"/>
              <w:pageBreakBefore w:val="0"/>
              <w:widowControl w:val="0"/>
              <w:kinsoku/>
              <w:wordWrap/>
              <w:overflowPunct/>
              <w:topLinePunct w:val="0"/>
              <w:autoSpaceDE/>
              <w:autoSpaceDN/>
              <w:bidi w:val="0"/>
              <w:adjustRightInd/>
              <w:snapToGrid/>
              <w:spacing w:before="0" w:beforeLines="0" w:line="240" w:lineRule="auto"/>
              <w:ind w:left="0" w:leftChars="0" w:firstLine="0" w:firstLineChars="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p>
        </w:tc>
        <w:tc>
          <w:tcPr>
            <w:tcW w:w="1497" w:type="dxa"/>
            <w:tcBorders>
              <w:top w:val="nil"/>
              <w:left w:val="nil"/>
              <w:bottom w:val="single" w:color="auto" w:sz="4" w:space="0"/>
              <w:right w:val="single" w:color="auto" w:sz="4" w:space="0"/>
            </w:tcBorders>
            <w:noWrap w:val="0"/>
            <w:vAlign w:val="center"/>
          </w:tcPr>
          <w:p>
            <w:pPr>
              <w:pStyle w:val="131"/>
              <w:keepNext w:val="0"/>
              <w:keepLines w:val="0"/>
              <w:pageBreakBefore w:val="0"/>
              <w:widowControl w:val="0"/>
              <w:kinsoku/>
              <w:wordWrap/>
              <w:overflowPunct/>
              <w:topLinePunct w:val="0"/>
              <w:autoSpaceDE/>
              <w:autoSpaceDN/>
              <w:bidi w:val="0"/>
              <w:adjustRightInd/>
              <w:snapToGrid/>
              <w:spacing w:before="0" w:beforeLines="0" w:line="240" w:lineRule="auto"/>
              <w:ind w:left="0" w:leftChars="0" w:firstLine="0" w:firstLineChars="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p>
        </w:tc>
        <w:tc>
          <w:tcPr>
            <w:tcW w:w="942" w:type="dxa"/>
            <w:tcBorders>
              <w:top w:val="nil"/>
              <w:left w:val="nil"/>
              <w:bottom w:val="single" w:color="auto" w:sz="4" w:space="0"/>
              <w:right w:val="single" w:color="auto" w:sz="4" w:space="0"/>
            </w:tcBorders>
            <w:noWrap w:val="0"/>
            <w:vAlign w:val="center"/>
          </w:tcPr>
          <w:p>
            <w:pPr>
              <w:pStyle w:val="131"/>
              <w:keepNext w:val="0"/>
              <w:keepLines w:val="0"/>
              <w:pageBreakBefore w:val="0"/>
              <w:widowControl w:val="0"/>
              <w:kinsoku/>
              <w:wordWrap/>
              <w:overflowPunct/>
              <w:topLinePunct w:val="0"/>
              <w:autoSpaceDE/>
              <w:autoSpaceDN/>
              <w:bidi w:val="0"/>
              <w:adjustRightInd/>
              <w:snapToGrid/>
              <w:spacing w:before="0" w:beforeLines="0" w:line="240" w:lineRule="auto"/>
              <w:ind w:left="0" w:leftChars="0" w:firstLine="0" w:firstLineChars="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p>
        </w:tc>
        <w:tc>
          <w:tcPr>
            <w:tcW w:w="1402" w:type="dxa"/>
            <w:tcBorders>
              <w:top w:val="nil"/>
              <w:left w:val="nil"/>
              <w:bottom w:val="single" w:color="auto" w:sz="4" w:space="0"/>
              <w:right w:val="single" w:color="auto" w:sz="4" w:space="0"/>
            </w:tcBorders>
            <w:noWrap w:val="0"/>
            <w:vAlign w:val="center"/>
          </w:tcPr>
          <w:p>
            <w:pPr>
              <w:pStyle w:val="131"/>
              <w:keepNext w:val="0"/>
              <w:keepLines w:val="0"/>
              <w:pageBreakBefore w:val="0"/>
              <w:widowControl w:val="0"/>
              <w:kinsoku/>
              <w:wordWrap/>
              <w:overflowPunct/>
              <w:topLinePunct w:val="0"/>
              <w:autoSpaceDE/>
              <w:autoSpaceDN/>
              <w:bidi w:val="0"/>
              <w:adjustRightInd/>
              <w:snapToGrid/>
              <w:spacing w:before="0" w:beforeLines="0" w:line="240" w:lineRule="auto"/>
              <w:ind w:left="0" w:leftChars="0" w:firstLine="0" w:firstLineChars="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p>
        </w:tc>
      </w:tr>
    </w:tbl>
    <w:p>
      <w:pPr>
        <w:pStyle w:val="131"/>
        <w:pageBreakBefore w:val="0"/>
        <w:kinsoku/>
        <w:wordWrap/>
        <w:overflowPunct/>
        <w:topLinePunct w:val="0"/>
        <w:bidi w:val="0"/>
        <w:adjustRightInd/>
        <w:snapToGrid/>
        <w:spacing w:before="0" w:beforeLines="0" w:line="360" w:lineRule="auto"/>
        <w:ind w:left="0" w:leftChars="0"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w:t>
      </w:r>
      <w:r>
        <w:rPr>
          <w:rFonts w:hint="eastAsia" w:ascii="宋体" w:hAnsi="宋体" w:eastAsia="宋体" w:cs="宋体"/>
          <w:color w:val="000000" w:themeColor="text1"/>
          <w:sz w:val="24"/>
          <w:szCs w:val="24"/>
          <w:highlight w:val="none"/>
          <w14:textFill>
            <w14:solidFill>
              <w14:schemeClr w14:val="tx1"/>
            </w14:solidFill>
          </w14:textFill>
        </w:rPr>
        <w:tab/>
      </w:r>
      <w:r>
        <w:rPr>
          <w:rFonts w:hint="eastAsia" w:ascii="宋体" w:hAnsi="宋体" w:eastAsia="宋体" w:cs="宋体"/>
          <w:color w:val="000000" w:themeColor="text1"/>
          <w:sz w:val="24"/>
          <w:szCs w:val="24"/>
          <w:highlight w:val="none"/>
          <w14:textFill>
            <w14:solidFill>
              <w14:schemeClr w14:val="tx1"/>
            </w14:solidFill>
          </w14:textFill>
        </w:rPr>
        <w:t>注：表中RQI按照《城镇道路养护技术规范》（CJJ 36-2006）第11页4.5.2式计算，养护对策对照《城镇道路养护技术规范》（CJJ 36-2006）第16页表4.6.1及4.6.2填写。</w:t>
      </w:r>
    </w:p>
    <w:p>
      <w:pPr>
        <w:pStyle w:val="131"/>
        <w:pageBreakBefore w:val="0"/>
        <w:kinsoku/>
        <w:wordWrap/>
        <w:overflowPunct/>
        <w:topLinePunct w:val="0"/>
        <w:bidi w:val="0"/>
        <w:adjustRightInd/>
        <w:snapToGrid/>
        <w:spacing w:before="0" w:beforeLines="0" w:line="360" w:lineRule="auto"/>
        <w:ind w:left="0" w:leftChars="0"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（4）</w:t>
      </w:r>
      <w:r>
        <w:rPr>
          <w:rFonts w:hint="eastAsia" w:ascii="宋体" w:hAnsi="宋体" w:eastAsia="宋体" w:cs="宋体"/>
          <w:color w:val="000000" w:themeColor="text1"/>
          <w:sz w:val="24"/>
          <w:szCs w:val="24"/>
          <w:highlight w:val="none"/>
          <w14:textFill>
            <w14:solidFill>
              <w14:schemeClr w14:val="tx1"/>
            </w14:solidFill>
          </w14:textFill>
        </w:rPr>
        <w:t>养护工程：</w:t>
      </w:r>
    </w:p>
    <w:p>
      <w:pPr>
        <w:pStyle w:val="131"/>
        <w:pageBreakBefore w:val="0"/>
        <w:kinsoku/>
        <w:wordWrap/>
        <w:overflowPunct/>
        <w:topLinePunct w:val="0"/>
        <w:bidi w:val="0"/>
        <w:adjustRightInd/>
        <w:snapToGrid/>
        <w:spacing w:before="0" w:beforeLines="0" w:line="360" w:lineRule="auto"/>
        <w:ind w:left="0" w:leftChars="0"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供应商在日常巡检、经常性检查和常规的定期检测、定期维护中，发现设施有明显破损、设备有隐患，应及时进行保养或大面积维修报采购人审核后实施。对道路因不适应现有交通量、载重量增长的需要及结构严重损坏，对排水管道因不适应现有汇水量需要、管材老化及结构严重损坏，需恢复或提高技术等级，从而提高其运行能力的加固、改扩建工程，供应商应专题上报，并经采购人审定后申请立项。</w:t>
      </w:r>
    </w:p>
    <w:p>
      <w:pPr>
        <w:pStyle w:val="131"/>
        <w:pageBreakBefore w:val="0"/>
        <w:kinsoku/>
        <w:wordWrap/>
        <w:overflowPunct/>
        <w:topLinePunct w:val="0"/>
        <w:bidi w:val="0"/>
        <w:adjustRightInd/>
        <w:snapToGrid/>
        <w:spacing w:before="0" w:beforeLines="0" w:line="360" w:lineRule="auto"/>
        <w:ind w:left="0" w:leftChars="0"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（5）</w:t>
      </w:r>
      <w:r>
        <w:rPr>
          <w:rFonts w:hint="eastAsia" w:ascii="宋体" w:hAnsi="宋体" w:eastAsia="宋体" w:cs="宋体"/>
          <w:color w:val="000000" w:themeColor="text1"/>
          <w:sz w:val="24"/>
          <w:szCs w:val="24"/>
          <w:highlight w:val="none"/>
          <w14:textFill>
            <w14:solidFill>
              <w14:schemeClr w14:val="tx1"/>
            </w14:solidFill>
          </w14:textFill>
        </w:rPr>
        <w:t>档案资料：</w:t>
      </w:r>
    </w:p>
    <w:p>
      <w:pPr>
        <w:pStyle w:val="131"/>
        <w:pageBreakBefore w:val="0"/>
        <w:kinsoku/>
        <w:wordWrap/>
        <w:overflowPunct/>
        <w:topLinePunct w:val="0"/>
        <w:bidi w:val="0"/>
        <w:adjustRightInd/>
        <w:snapToGrid/>
        <w:spacing w:before="0" w:beforeLines="0" w:line="360" w:lineRule="auto"/>
        <w:ind w:left="0" w:leftChars="0"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供应商应以一条路为单位建立养护档案，健全日常养护作业记录，认真做好台帐的整理和归档工作，尤其是及时将日常养护、维修、检测、技术状况评价等相关数据及时、准确录入市级监管部门的道路管理系统；应每年11月底将养护档案资料及当年的养护道路的道路定期检测中的常规检测及评价、排水管道CCTV检测报告上报采购人一份。</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themeColor="text1"/>
          <w:spacing w:val="13"/>
          <w:sz w:val="24"/>
          <w:szCs w:val="24"/>
          <w:highlight w:val="none"/>
          <w:lang w:val="en-US" w:eastAsia="zh-CN"/>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（6）</w:t>
      </w:r>
      <w:r>
        <w:rPr>
          <w:rFonts w:hint="eastAsia" w:ascii="宋体" w:hAnsi="宋体" w:eastAsia="宋体" w:cs="宋体"/>
          <w:color w:val="000000" w:themeColor="text1"/>
          <w:spacing w:val="13"/>
          <w:sz w:val="24"/>
          <w:szCs w:val="24"/>
          <w:highlight w:val="none"/>
          <w:lang w:val="en-US" w:eastAsia="zh-CN"/>
          <w14:textFill>
            <w14:solidFill>
              <w14:schemeClr w14:val="tx1"/>
            </w14:solidFill>
          </w14:textFill>
        </w:rPr>
        <w:t>桥梁桥头跳车及伸缩缝养护标准：</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32" w:firstLineChars="200"/>
        <w:jc w:val="left"/>
        <w:textAlignment w:val="auto"/>
        <w:rPr>
          <w:rFonts w:hint="eastAsia" w:ascii="宋体" w:hAnsi="宋体" w:eastAsia="宋体" w:cs="宋体"/>
          <w:color w:val="000000" w:themeColor="text1"/>
          <w:spacing w:val="13"/>
          <w:sz w:val="24"/>
          <w:szCs w:val="24"/>
          <w:highlight w:val="none"/>
          <w:lang w:val="en-US" w:eastAsia="zh-CN"/>
          <w14:textFill>
            <w14:solidFill>
              <w14:schemeClr w14:val="tx1"/>
            </w14:solidFill>
          </w14:textFill>
        </w:rPr>
      </w:pPr>
      <w:r>
        <w:rPr>
          <w:rFonts w:hint="eastAsia" w:ascii="宋体" w:hAnsi="宋体" w:eastAsia="宋体" w:cs="宋体"/>
          <w:color w:val="000000" w:themeColor="text1"/>
          <w:spacing w:val="13"/>
          <w:sz w:val="24"/>
          <w:szCs w:val="24"/>
          <w:highlight w:val="none"/>
          <w:lang w:val="en-US" w:eastAsia="zh-CN"/>
          <w14:textFill>
            <w14:solidFill>
              <w14:schemeClr w14:val="tx1"/>
            </w14:solidFill>
          </w14:textFill>
        </w:rPr>
        <w:t>①“桥头跳车”日常巡查采用桥头跳车法，排查车辆轴距为 2.5m~2.85m，以城镇道路设计车速行驶，对路桥过渡段内各车道桥头行车舒适度进行初排。</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32" w:firstLineChars="200"/>
        <w:jc w:val="left"/>
        <w:textAlignment w:val="auto"/>
        <w:rPr>
          <w:rFonts w:hint="eastAsia" w:ascii="宋体" w:hAnsi="宋体" w:eastAsia="宋体" w:cs="宋体"/>
          <w:color w:val="000000" w:themeColor="text1"/>
          <w:spacing w:val="13"/>
          <w:sz w:val="24"/>
          <w:szCs w:val="24"/>
          <w:highlight w:val="none"/>
          <w:lang w:val="en-US" w:eastAsia="zh-CN"/>
          <w14:textFill>
            <w14:solidFill>
              <w14:schemeClr w14:val="tx1"/>
            </w14:solidFill>
          </w14:textFill>
        </w:rPr>
      </w:pPr>
      <w:r>
        <w:rPr>
          <w:rFonts w:hint="eastAsia" w:ascii="宋体" w:hAnsi="宋体" w:eastAsia="宋体" w:cs="宋体"/>
          <w:color w:val="000000" w:themeColor="text1"/>
          <w:spacing w:val="13"/>
          <w:sz w:val="24"/>
          <w:szCs w:val="24"/>
          <w:highlight w:val="none"/>
          <w:lang w:val="en-US" w:eastAsia="zh-CN"/>
          <w14:textFill>
            <w14:solidFill>
              <w14:schemeClr w14:val="tx1"/>
            </w14:solidFill>
          </w14:textFill>
        </w:rPr>
        <w:t xml:space="preserve">②路面处治措施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32" w:firstLineChars="200"/>
        <w:jc w:val="left"/>
        <w:textAlignment w:val="auto"/>
        <w:rPr>
          <w:rFonts w:hint="eastAsia" w:ascii="宋体" w:hAnsi="宋体" w:eastAsia="宋体" w:cs="宋体"/>
          <w:color w:val="000000" w:themeColor="text1"/>
          <w:spacing w:val="13"/>
          <w:sz w:val="24"/>
          <w:szCs w:val="24"/>
          <w:highlight w:val="none"/>
          <w:lang w:val="en-US" w:eastAsia="zh-CN"/>
          <w14:textFill>
            <w14:solidFill>
              <w14:schemeClr w14:val="tx1"/>
            </w14:solidFill>
          </w14:textFill>
        </w:rPr>
      </w:pPr>
      <w:r>
        <w:rPr>
          <w:rFonts w:hint="eastAsia" w:ascii="宋体" w:hAnsi="宋体" w:eastAsia="宋体" w:cs="宋体"/>
          <w:color w:val="000000" w:themeColor="text1"/>
          <w:spacing w:val="13"/>
          <w:sz w:val="24"/>
          <w:szCs w:val="24"/>
          <w:highlight w:val="none"/>
          <w:lang w:val="en-US" w:eastAsia="zh-CN"/>
          <w14:textFill>
            <w14:solidFill>
              <w14:schemeClr w14:val="tx1"/>
            </w14:solidFill>
          </w14:textFill>
        </w:rPr>
        <w:t>a)对“桥头跳车”病害等级为</w:t>
      </w:r>
      <w:r>
        <w:rPr>
          <w:rFonts w:hint="default" w:ascii="宋体" w:hAnsi="宋体" w:eastAsia="宋体" w:cs="宋体"/>
          <w:color w:val="000000" w:themeColor="text1"/>
          <w:spacing w:val="13"/>
          <w:sz w:val="24"/>
          <w:szCs w:val="24"/>
          <w:highlight w:val="none"/>
          <w:lang w:val="en-US" w:eastAsia="zh-CN"/>
          <w14:textFill>
            <w14:solidFill>
              <w14:schemeClr w14:val="tx1"/>
            </w14:solidFill>
          </w14:textFill>
        </w:rPr>
        <w:t>A</w:t>
      </w:r>
      <w:r>
        <w:rPr>
          <w:rFonts w:hint="eastAsia" w:ascii="宋体" w:hAnsi="宋体" w:eastAsia="宋体" w:cs="宋体"/>
          <w:color w:val="000000" w:themeColor="text1"/>
          <w:spacing w:val="13"/>
          <w:sz w:val="24"/>
          <w:szCs w:val="24"/>
          <w:highlight w:val="none"/>
          <w:lang w:val="en-US" w:eastAsia="zh-CN"/>
          <w14:textFill>
            <w14:solidFill>
              <w14:schemeClr w14:val="tx1"/>
            </w14:solidFill>
          </w14:textFill>
        </w:rPr>
        <w:t>类区域进行定期巡查；对“桥头跳车”病害等级为</w:t>
      </w:r>
      <w:r>
        <w:rPr>
          <w:rFonts w:hint="default" w:ascii="宋体" w:hAnsi="宋体" w:eastAsia="宋体" w:cs="宋体"/>
          <w:color w:val="000000" w:themeColor="text1"/>
          <w:spacing w:val="13"/>
          <w:sz w:val="24"/>
          <w:szCs w:val="24"/>
          <w:highlight w:val="none"/>
          <w:lang w:val="en-US" w:eastAsia="zh-CN"/>
          <w14:textFill>
            <w14:solidFill>
              <w14:schemeClr w14:val="tx1"/>
            </w14:solidFill>
          </w14:textFill>
        </w:rPr>
        <w:t>B</w:t>
      </w:r>
      <w:r>
        <w:rPr>
          <w:rFonts w:hint="eastAsia" w:ascii="宋体" w:hAnsi="宋体" w:eastAsia="宋体" w:cs="宋体"/>
          <w:color w:val="000000" w:themeColor="text1"/>
          <w:spacing w:val="13"/>
          <w:sz w:val="24"/>
          <w:szCs w:val="24"/>
          <w:highlight w:val="none"/>
          <w:lang w:val="en-US" w:eastAsia="zh-CN"/>
          <w14:textFill>
            <w14:solidFill>
              <w14:schemeClr w14:val="tx1"/>
            </w14:solidFill>
          </w14:textFill>
        </w:rPr>
        <w:t>类区域进行路面处治。</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32" w:firstLineChars="200"/>
        <w:jc w:val="left"/>
        <w:textAlignment w:val="auto"/>
        <w:rPr>
          <w:rFonts w:hint="eastAsia" w:ascii="宋体" w:hAnsi="宋体" w:eastAsia="宋体" w:cs="宋体"/>
          <w:color w:val="000000" w:themeColor="text1"/>
          <w:spacing w:val="13"/>
          <w:sz w:val="24"/>
          <w:szCs w:val="24"/>
          <w:highlight w:val="none"/>
          <w:lang w:val="en-US" w:eastAsia="zh-CN"/>
          <w14:textFill>
            <w14:solidFill>
              <w14:schemeClr w14:val="tx1"/>
            </w14:solidFill>
          </w14:textFill>
        </w:rPr>
      </w:pPr>
      <w:r>
        <w:rPr>
          <w:rFonts w:hint="eastAsia" w:ascii="宋体" w:hAnsi="宋体" w:eastAsia="宋体" w:cs="宋体"/>
          <w:color w:val="000000" w:themeColor="text1"/>
          <w:spacing w:val="13"/>
          <w:sz w:val="24"/>
          <w:szCs w:val="24"/>
          <w:highlight w:val="none"/>
          <w:lang w:val="en-US" w:eastAsia="zh-CN"/>
          <w14:textFill>
            <w14:solidFill>
              <w14:schemeClr w14:val="tx1"/>
            </w14:solidFill>
          </w14:textFill>
        </w:rPr>
        <w:t>b)“桥头跳车”病害等级</w:t>
      </w:r>
      <w:r>
        <w:rPr>
          <w:rFonts w:hint="default" w:ascii="宋体" w:hAnsi="宋体" w:eastAsia="宋体" w:cs="宋体"/>
          <w:color w:val="000000" w:themeColor="text1"/>
          <w:spacing w:val="13"/>
          <w:sz w:val="24"/>
          <w:szCs w:val="24"/>
          <w:highlight w:val="none"/>
          <w:lang w:val="en-US" w:eastAsia="zh-CN"/>
          <w14:textFill>
            <w14:solidFill>
              <w14:schemeClr w14:val="tx1"/>
            </w14:solidFill>
          </w14:textFill>
        </w:rPr>
        <w:t>B</w:t>
      </w:r>
      <w:r>
        <w:rPr>
          <w:rFonts w:hint="eastAsia" w:ascii="宋体" w:hAnsi="宋体" w:eastAsia="宋体" w:cs="宋体"/>
          <w:color w:val="000000" w:themeColor="text1"/>
          <w:spacing w:val="13"/>
          <w:sz w:val="24"/>
          <w:szCs w:val="24"/>
          <w:highlight w:val="none"/>
          <w:lang w:val="en-US" w:eastAsia="zh-CN"/>
          <w14:textFill>
            <w14:solidFill>
              <w14:schemeClr w14:val="tx1"/>
            </w14:solidFill>
          </w14:textFill>
        </w:rPr>
        <w:t>类区域处治措施：沥青路面宜采用铣刨罩面处治，处治长度不宜小于</w:t>
      </w:r>
      <w:r>
        <w:rPr>
          <w:rFonts w:hint="default" w:ascii="宋体" w:hAnsi="宋体" w:eastAsia="宋体" w:cs="宋体"/>
          <w:color w:val="000000" w:themeColor="text1"/>
          <w:spacing w:val="13"/>
          <w:sz w:val="24"/>
          <w:szCs w:val="24"/>
          <w:highlight w:val="none"/>
          <w:lang w:val="en-US" w:eastAsia="zh-CN"/>
          <w14:textFill>
            <w14:solidFill>
              <w14:schemeClr w14:val="tx1"/>
            </w14:solidFill>
          </w14:textFill>
        </w:rPr>
        <w:t>25m</w:t>
      </w:r>
      <w:r>
        <w:rPr>
          <w:rFonts w:hint="eastAsia" w:ascii="宋体" w:hAnsi="宋体" w:eastAsia="宋体" w:cs="宋体"/>
          <w:color w:val="000000" w:themeColor="text1"/>
          <w:spacing w:val="13"/>
          <w:sz w:val="24"/>
          <w:szCs w:val="24"/>
          <w:highlight w:val="none"/>
          <w:lang w:val="en-US" w:eastAsia="zh-CN"/>
          <w14:textFill>
            <w14:solidFill>
              <w14:schemeClr w14:val="tx1"/>
            </w14:solidFill>
          </w14:textFill>
        </w:rPr>
        <w:t>，且应满足相邻纵坡差不低于</w:t>
      </w:r>
      <w:r>
        <w:rPr>
          <w:rFonts w:hint="default" w:ascii="宋体" w:hAnsi="宋体" w:eastAsia="宋体" w:cs="宋体"/>
          <w:color w:val="000000" w:themeColor="text1"/>
          <w:spacing w:val="13"/>
          <w:sz w:val="24"/>
          <w:szCs w:val="24"/>
          <w:highlight w:val="none"/>
          <w:lang w:val="en-US" w:eastAsia="zh-CN"/>
          <w14:textFill>
            <w14:solidFill>
              <w14:schemeClr w14:val="tx1"/>
            </w14:solidFill>
          </w14:textFill>
        </w:rPr>
        <w:t>A</w:t>
      </w:r>
      <w:r>
        <w:rPr>
          <w:rFonts w:hint="eastAsia" w:ascii="宋体" w:hAnsi="宋体" w:eastAsia="宋体" w:cs="宋体"/>
          <w:color w:val="000000" w:themeColor="text1"/>
          <w:spacing w:val="13"/>
          <w:sz w:val="24"/>
          <w:szCs w:val="24"/>
          <w:highlight w:val="none"/>
          <w:lang w:val="en-US" w:eastAsia="zh-CN"/>
          <w14:textFill>
            <w14:solidFill>
              <w14:schemeClr w14:val="tx1"/>
            </w14:solidFill>
          </w14:textFill>
        </w:rPr>
        <w:t xml:space="preserve">类的要求；水泥路面可采用特种砂浆处治，处治长度不小于一个板块长度。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32" w:firstLineChars="200"/>
        <w:jc w:val="left"/>
        <w:textAlignment w:val="auto"/>
        <w:rPr>
          <w:rFonts w:hint="eastAsia" w:ascii="宋体" w:hAnsi="宋体" w:eastAsia="宋体" w:cs="宋体"/>
          <w:color w:val="000000" w:themeColor="text1"/>
          <w:spacing w:val="13"/>
          <w:sz w:val="24"/>
          <w:szCs w:val="24"/>
          <w:highlight w:val="none"/>
          <w:lang w:val="en-US" w:eastAsia="zh-CN"/>
          <w14:textFill>
            <w14:solidFill>
              <w14:schemeClr w14:val="tx1"/>
            </w14:solidFill>
          </w14:textFill>
        </w:rPr>
      </w:pPr>
      <w:r>
        <w:rPr>
          <w:rFonts w:hint="eastAsia" w:ascii="宋体" w:hAnsi="宋体" w:eastAsia="宋体" w:cs="宋体"/>
          <w:color w:val="000000" w:themeColor="text1"/>
          <w:spacing w:val="13"/>
          <w:sz w:val="24"/>
          <w:szCs w:val="24"/>
          <w:highlight w:val="none"/>
          <w:lang w:val="en-US" w:eastAsia="zh-CN"/>
          <w14:textFill>
            <w14:solidFill>
              <w14:schemeClr w14:val="tx1"/>
            </w14:solidFill>
          </w14:textFill>
        </w:rPr>
        <w:t xml:space="preserve">c)对横穿管线引起路面起拱处，应调查原管线资料，根据管线埋深情况采用沥青铣刨罩面处理或对管线整体改造以保证路面坡度顺畅。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32" w:firstLineChars="200"/>
        <w:jc w:val="left"/>
        <w:textAlignment w:val="auto"/>
        <w:rPr>
          <w:rFonts w:hint="eastAsia" w:ascii="宋体" w:hAnsi="宋体" w:eastAsia="宋体" w:cs="宋体"/>
          <w:color w:val="000000" w:themeColor="text1"/>
          <w:spacing w:val="13"/>
          <w:sz w:val="24"/>
          <w:szCs w:val="24"/>
          <w:highlight w:val="none"/>
          <w:lang w:val="en-US" w:eastAsia="zh-CN"/>
          <w14:textFill>
            <w14:solidFill>
              <w14:schemeClr w14:val="tx1"/>
            </w14:solidFill>
          </w14:textFill>
        </w:rPr>
      </w:pPr>
      <w:r>
        <w:rPr>
          <w:rFonts w:hint="eastAsia" w:ascii="宋体" w:hAnsi="宋体" w:cs="宋体"/>
          <w:color w:val="000000" w:themeColor="text1"/>
          <w:spacing w:val="13"/>
          <w:sz w:val="24"/>
          <w:szCs w:val="24"/>
          <w:highlight w:val="none"/>
          <w:lang w:val="en-US" w:eastAsia="zh-CN"/>
          <w14:textFill>
            <w14:solidFill>
              <w14:schemeClr w14:val="tx1"/>
            </w14:solidFill>
          </w14:textFill>
        </w:rPr>
        <w:t>③</w:t>
      </w:r>
      <w:r>
        <w:rPr>
          <w:rFonts w:hint="eastAsia" w:ascii="宋体" w:hAnsi="宋体" w:eastAsia="宋体" w:cs="宋体"/>
          <w:color w:val="000000" w:themeColor="text1"/>
          <w:spacing w:val="13"/>
          <w:sz w:val="24"/>
          <w:szCs w:val="24"/>
          <w:highlight w:val="none"/>
          <w:lang w:val="en-US" w:eastAsia="zh-CN"/>
          <w14:textFill>
            <w14:solidFill>
              <w14:schemeClr w14:val="tx1"/>
            </w14:solidFill>
          </w14:textFill>
        </w:rPr>
        <w:t xml:space="preserve">桥梁伸缩缝排查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32" w:firstLineChars="200"/>
        <w:jc w:val="left"/>
        <w:textAlignment w:val="auto"/>
        <w:rPr>
          <w:rFonts w:hint="eastAsia" w:ascii="宋体" w:hAnsi="宋体" w:eastAsia="宋体" w:cs="宋体"/>
          <w:color w:val="000000" w:themeColor="text1"/>
          <w:spacing w:val="13"/>
          <w:sz w:val="24"/>
          <w:szCs w:val="24"/>
          <w:highlight w:val="none"/>
          <w:lang w:val="en-US" w:eastAsia="zh-CN"/>
          <w14:textFill>
            <w14:solidFill>
              <w14:schemeClr w14:val="tx1"/>
            </w14:solidFill>
          </w14:textFill>
        </w:rPr>
      </w:pPr>
      <w:r>
        <w:rPr>
          <w:rFonts w:hint="eastAsia" w:ascii="宋体" w:hAnsi="宋体" w:eastAsia="宋体" w:cs="宋体"/>
          <w:color w:val="000000" w:themeColor="text1"/>
          <w:spacing w:val="13"/>
          <w:sz w:val="24"/>
          <w:szCs w:val="24"/>
          <w:highlight w:val="none"/>
          <w:lang w:val="en-US" w:eastAsia="zh-CN"/>
          <w14:textFill>
            <w14:solidFill>
              <w14:schemeClr w14:val="tx1"/>
            </w14:solidFill>
          </w14:textFill>
        </w:rPr>
        <w:t xml:space="preserve">a)对桥梁伸缩缝装置进行排查，排查内容包括：是否存在相对高差、翘曲、开焊、断裂、脱落、振动、异响等引起跳车的病害。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32" w:firstLineChars="200"/>
        <w:jc w:val="left"/>
        <w:textAlignment w:val="auto"/>
        <w:rPr>
          <w:rFonts w:hint="eastAsia" w:ascii="宋体" w:hAnsi="宋体" w:eastAsia="宋体" w:cs="宋体"/>
          <w:color w:val="000000" w:themeColor="text1"/>
          <w:spacing w:val="13"/>
          <w:sz w:val="24"/>
          <w:szCs w:val="24"/>
          <w:highlight w:val="none"/>
          <w:lang w:val="en-US" w:eastAsia="zh-CN"/>
          <w14:textFill>
            <w14:solidFill>
              <w14:schemeClr w14:val="tx1"/>
            </w14:solidFill>
          </w14:textFill>
        </w:rPr>
      </w:pPr>
      <w:r>
        <w:rPr>
          <w:rFonts w:hint="eastAsia" w:ascii="宋体" w:hAnsi="宋体" w:eastAsia="宋体" w:cs="宋体"/>
          <w:color w:val="000000" w:themeColor="text1"/>
          <w:spacing w:val="13"/>
          <w:sz w:val="24"/>
          <w:szCs w:val="24"/>
          <w:highlight w:val="none"/>
          <w:lang w:val="en-US" w:eastAsia="zh-CN"/>
          <w14:textFill>
            <w14:solidFill>
              <w14:schemeClr w14:val="tx1"/>
            </w14:solidFill>
          </w14:textFill>
        </w:rPr>
        <w:t xml:space="preserve">b)对伸缩缝保护带混凝土进行排查，排查内容包括：是否存在碎裂、松散、坑洞等引起跳车的病害。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32" w:firstLineChars="200"/>
        <w:jc w:val="left"/>
        <w:textAlignment w:val="auto"/>
        <w:rPr>
          <w:rFonts w:hint="eastAsia" w:ascii="宋体" w:hAnsi="宋体" w:eastAsia="宋体" w:cs="宋体"/>
          <w:color w:val="000000" w:themeColor="text1"/>
          <w:spacing w:val="13"/>
          <w:sz w:val="24"/>
          <w:szCs w:val="24"/>
          <w:highlight w:val="none"/>
          <w:lang w:val="en-US" w:eastAsia="zh-CN"/>
          <w14:textFill>
            <w14:solidFill>
              <w14:schemeClr w14:val="tx1"/>
            </w14:solidFill>
          </w14:textFill>
        </w:rPr>
      </w:pPr>
      <w:r>
        <w:rPr>
          <w:rFonts w:hint="eastAsia" w:ascii="宋体" w:hAnsi="宋体" w:eastAsia="宋体" w:cs="宋体"/>
          <w:color w:val="000000" w:themeColor="text1"/>
          <w:spacing w:val="13"/>
          <w:sz w:val="24"/>
          <w:szCs w:val="24"/>
          <w:highlight w:val="none"/>
          <w:lang w:val="en-US" w:eastAsia="zh-CN"/>
          <w14:textFill>
            <w14:solidFill>
              <w14:schemeClr w14:val="tx1"/>
            </w14:solidFill>
          </w14:textFill>
        </w:rPr>
        <w:t xml:space="preserve">c)对于桥梁伸缩缝等其他因素引起的桥头跳车，应根据相关标准进行处治。 </w:t>
      </w:r>
    </w:p>
    <w:p>
      <w:pPr>
        <w:pStyle w:val="131"/>
        <w:keepNext w:val="0"/>
        <w:keepLines w:val="0"/>
        <w:pageBreakBefore w:val="0"/>
        <w:kinsoku/>
        <w:wordWrap/>
        <w:overflowPunct/>
        <w:topLinePunct w:val="0"/>
        <w:autoSpaceDE/>
        <w:autoSpaceDN/>
        <w:bidi w:val="0"/>
        <w:adjustRightInd/>
        <w:snapToGrid/>
        <w:spacing w:before="0" w:line="360" w:lineRule="auto"/>
        <w:ind w:left="0" w:leftChars="0" w:firstLine="532" w:firstLineChars="200"/>
        <w:jc w:val="left"/>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cs="宋体"/>
          <w:color w:val="000000" w:themeColor="text1"/>
          <w:spacing w:val="13"/>
          <w:sz w:val="24"/>
          <w:szCs w:val="24"/>
          <w:highlight w:val="none"/>
          <w:lang w:val="en-US" w:eastAsia="zh-CN"/>
          <w14:textFill>
            <w14:solidFill>
              <w14:schemeClr w14:val="tx1"/>
            </w14:solidFill>
          </w14:textFill>
        </w:rPr>
        <w:t>d</w:t>
      </w:r>
      <w:r>
        <w:rPr>
          <w:rFonts w:hint="eastAsia" w:ascii="宋体" w:hAnsi="宋体" w:eastAsia="宋体" w:cs="宋体"/>
          <w:color w:val="000000" w:themeColor="text1"/>
          <w:spacing w:val="13"/>
          <w:sz w:val="24"/>
          <w:szCs w:val="24"/>
          <w:highlight w:val="none"/>
          <w:lang w:val="en-US" w:eastAsia="zh-CN"/>
          <w14:textFill>
            <w14:solidFill>
              <w14:schemeClr w14:val="tx1"/>
            </w14:solidFill>
          </w14:textFill>
        </w:rPr>
        <w:t>)路桥过渡段养护完成后应达到无桥头跳车现象。</w:t>
      </w:r>
    </w:p>
    <w:p>
      <w:pPr>
        <w:pStyle w:val="131"/>
        <w:pageBreakBefore w:val="0"/>
        <w:kinsoku/>
        <w:wordWrap/>
        <w:overflowPunct/>
        <w:topLinePunct w:val="0"/>
        <w:bidi w:val="0"/>
        <w:adjustRightInd/>
        <w:snapToGrid/>
        <w:spacing w:before="0" w:beforeLines="0" w:line="360" w:lineRule="auto"/>
        <w:ind w:left="0" w:leftChars="0" w:firstLine="480" w:firstLineChars="200"/>
        <w:jc w:val="left"/>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（7）</w:t>
      </w:r>
      <w:r>
        <w:rPr>
          <w:rFonts w:hint="eastAsia" w:ascii="宋体" w:hAnsi="宋体" w:eastAsia="宋体" w:cs="宋体"/>
          <w:snapToGrid w:val="0"/>
          <w:color w:val="000000" w:themeColor="text1"/>
          <w:kern w:val="0"/>
          <w:sz w:val="24"/>
          <w:szCs w:val="24"/>
          <w:highlight w:val="none"/>
          <w:lang w:val="en-US" w:eastAsia="zh-CN" w:bidi="ar"/>
          <w14:textFill>
            <w14:solidFill>
              <w14:schemeClr w14:val="tx1"/>
            </w14:solidFill>
          </w14:textFill>
        </w:rPr>
        <w:t>路桥过渡段巡查包括日常巡查和专项检查</w:t>
      </w:r>
      <w:r>
        <w:rPr>
          <w:rFonts w:hint="eastAsia" w:ascii="宋体" w:hAnsi="宋体" w:eastAsia="宋体" w:cs="宋体"/>
          <w:color w:val="000000" w:themeColor="text1"/>
          <w:spacing w:val="13"/>
          <w:sz w:val="24"/>
          <w:szCs w:val="24"/>
          <w:highlight w:val="none"/>
          <w:lang w:val="en-US" w:eastAsia="zh-CN"/>
          <w14:textFill>
            <w14:solidFill>
              <w14:schemeClr w14:val="tx1"/>
            </w14:solidFill>
          </w14:textFill>
        </w:rPr>
        <w:t>，路桥过渡段最大相邻纵坡差原则上不大于2.0%。</w:t>
      </w:r>
      <w:r>
        <w:rPr>
          <w:rFonts w:hint="eastAsia" w:ascii="宋体" w:hAnsi="宋体" w:eastAsia="宋体" w:cs="宋体"/>
          <w:snapToGrid w:val="0"/>
          <w:color w:val="000000" w:themeColor="text1"/>
          <w:kern w:val="0"/>
          <w:sz w:val="24"/>
          <w:szCs w:val="24"/>
          <w:highlight w:val="none"/>
          <w:lang w:val="en-US" w:eastAsia="zh-CN" w:bidi="ar"/>
          <w14:textFill>
            <w14:solidFill>
              <w14:schemeClr w14:val="tx1"/>
            </w14:solidFill>
          </w14:textFill>
        </w:rPr>
        <w:t>日常巡查按现行规范标准执行，日常巡查初排发现“桥头跳车”病害时，应进行“桥头跳车”病害专项检查。</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32" w:firstLineChars="200"/>
        <w:jc w:val="left"/>
        <w:textAlignment w:val="auto"/>
        <w:rPr>
          <w:rFonts w:hint="eastAsia" w:ascii="宋体" w:hAnsi="宋体" w:eastAsia="宋体" w:cs="宋体"/>
          <w:color w:val="000000" w:themeColor="text1"/>
          <w:spacing w:val="13"/>
          <w:sz w:val="24"/>
          <w:szCs w:val="24"/>
          <w:highlight w:val="none"/>
          <w:lang w:val="en-US" w:eastAsia="zh-CN"/>
          <w14:textFill>
            <w14:solidFill>
              <w14:schemeClr w14:val="tx1"/>
            </w14:solidFill>
          </w14:textFill>
        </w:rPr>
      </w:pPr>
      <w:r>
        <w:rPr>
          <w:rFonts w:hint="eastAsia" w:ascii="宋体" w:hAnsi="宋体" w:eastAsia="宋体" w:cs="宋体"/>
          <w:color w:val="000000" w:themeColor="text1"/>
          <w:spacing w:val="13"/>
          <w:sz w:val="24"/>
          <w:szCs w:val="24"/>
          <w:highlight w:val="none"/>
          <w:lang w:val="en-US" w:eastAsia="zh-CN"/>
          <w14:textFill>
            <w14:solidFill>
              <w14:schemeClr w14:val="tx1"/>
            </w14:solidFill>
          </w14:textFill>
        </w:rPr>
        <w:t>（8）伸缩缝平整度要求：3米尺测量路面最大高差不超过15mm。</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32" w:firstLineChars="200"/>
        <w:jc w:val="left"/>
        <w:textAlignment w:val="auto"/>
        <w:rPr>
          <w:rFonts w:hint="eastAsia" w:ascii="宋体" w:hAnsi="宋体" w:eastAsia="宋体" w:cs="宋体"/>
          <w:color w:val="000000" w:themeColor="text1"/>
          <w:spacing w:val="13"/>
          <w:sz w:val="24"/>
          <w:szCs w:val="24"/>
          <w:highlight w:val="none"/>
          <w:lang w:val="en-US" w:eastAsia="zh-CN"/>
          <w14:textFill>
            <w14:solidFill>
              <w14:schemeClr w14:val="tx1"/>
            </w14:solidFill>
          </w14:textFill>
        </w:rPr>
      </w:pPr>
      <w:r>
        <w:rPr>
          <w:rFonts w:hint="eastAsia" w:ascii="宋体" w:hAnsi="宋体" w:cs="宋体"/>
          <w:color w:val="000000" w:themeColor="text1"/>
          <w:spacing w:val="13"/>
          <w:sz w:val="24"/>
          <w:szCs w:val="24"/>
          <w:highlight w:val="none"/>
          <w:lang w:val="en-US" w:eastAsia="zh-CN"/>
          <w14:textFill>
            <w14:solidFill>
              <w14:schemeClr w14:val="tx1"/>
            </w14:solidFill>
          </w14:textFill>
        </w:rPr>
        <w:t>①</w:t>
      </w:r>
      <w:r>
        <w:rPr>
          <w:rFonts w:hint="eastAsia" w:ascii="宋体" w:hAnsi="宋体" w:eastAsia="宋体" w:cs="宋体"/>
          <w:color w:val="000000" w:themeColor="text1"/>
          <w:spacing w:val="13"/>
          <w:sz w:val="24"/>
          <w:szCs w:val="24"/>
          <w:highlight w:val="none"/>
          <w:lang w:val="en-US" w:eastAsia="zh-CN"/>
          <w14:textFill>
            <w14:solidFill>
              <w14:schemeClr w14:val="tx1"/>
            </w14:solidFill>
          </w14:textFill>
        </w:rPr>
        <w:t xml:space="preserve">桥梁伸缩缝排查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32" w:firstLineChars="200"/>
        <w:jc w:val="left"/>
        <w:textAlignment w:val="auto"/>
        <w:rPr>
          <w:rFonts w:hint="eastAsia" w:ascii="宋体" w:hAnsi="宋体" w:eastAsia="宋体" w:cs="宋体"/>
          <w:color w:val="000000" w:themeColor="text1"/>
          <w:spacing w:val="13"/>
          <w:sz w:val="24"/>
          <w:szCs w:val="24"/>
          <w:highlight w:val="none"/>
          <w:lang w:val="en-US" w:eastAsia="zh-CN"/>
          <w14:textFill>
            <w14:solidFill>
              <w14:schemeClr w14:val="tx1"/>
            </w14:solidFill>
          </w14:textFill>
        </w:rPr>
      </w:pPr>
      <w:r>
        <w:rPr>
          <w:rFonts w:hint="eastAsia" w:ascii="宋体" w:hAnsi="宋体" w:eastAsia="宋体" w:cs="宋体"/>
          <w:color w:val="000000" w:themeColor="text1"/>
          <w:spacing w:val="13"/>
          <w:sz w:val="24"/>
          <w:szCs w:val="24"/>
          <w:highlight w:val="none"/>
          <w:lang w:val="en-US" w:eastAsia="zh-CN"/>
          <w14:textFill>
            <w14:solidFill>
              <w14:schemeClr w14:val="tx1"/>
            </w14:solidFill>
          </w14:textFill>
        </w:rPr>
        <w:t xml:space="preserve">a)对桥梁伸缩缝装置进行排查，排查内容包括：是否存在相对高差、翘曲、开焊、断裂、脱落、振动、异响等引起跳车的病害。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32" w:firstLineChars="200"/>
        <w:jc w:val="left"/>
        <w:textAlignment w:val="auto"/>
        <w:rPr>
          <w:rFonts w:hint="eastAsia" w:ascii="宋体" w:hAnsi="宋体" w:eastAsia="宋体" w:cs="宋体"/>
          <w:color w:val="000000" w:themeColor="text1"/>
          <w:spacing w:val="13"/>
          <w:sz w:val="24"/>
          <w:szCs w:val="24"/>
          <w:highlight w:val="none"/>
          <w:lang w:val="en-US" w:eastAsia="zh-CN"/>
          <w14:textFill>
            <w14:solidFill>
              <w14:schemeClr w14:val="tx1"/>
            </w14:solidFill>
          </w14:textFill>
        </w:rPr>
      </w:pPr>
      <w:r>
        <w:rPr>
          <w:rFonts w:hint="eastAsia" w:ascii="宋体" w:hAnsi="宋体" w:eastAsia="宋体" w:cs="宋体"/>
          <w:color w:val="000000" w:themeColor="text1"/>
          <w:spacing w:val="13"/>
          <w:sz w:val="24"/>
          <w:szCs w:val="24"/>
          <w:highlight w:val="none"/>
          <w:lang w:val="en-US" w:eastAsia="zh-CN"/>
          <w14:textFill>
            <w14:solidFill>
              <w14:schemeClr w14:val="tx1"/>
            </w14:solidFill>
          </w14:textFill>
        </w:rPr>
        <w:t xml:space="preserve">b)对伸缩缝保护带混凝土进行排查，排查内容包括：是否存在碎裂、松散、坑洞等引起跳车的病害。 </w:t>
      </w:r>
    </w:p>
    <w:p>
      <w:pPr>
        <w:pStyle w:val="131"/>
        <w:pageBreakBefore w:val="0"/>
        <w:kinsoku/>
        <w:wordWrap/>
        <w:overflowPunct/>
        <w:topLinePunct w:val="0"/>
        <w:bidi w:val="0"/>
        <w:adjustRightInd/>
        <w:snapToGrid/>
        <w:spacing w:before="0" w:beforeLines="0" w:line="360" w:lineRule="auto"/>
        <w:ind w:left="0" w:leftChars="0"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w:t>
      </w:r>
      <w:r>
        <w:rPr>
          <w:rFonts w:hint="eastAsia" w:ascii="宋体" w:hAnsi="宋体" w:cs="宋体"/>
          <w:color w:val="000000" w:themeColor="text1"/>
          <w:sz w:val="24"/>
          <w:szCs w:val="24"/>
          <w:highlight w:val="none"/>
          <w:lang w:val="en-US" w:eastAsia="zh-CN"/>
          <w14:textFill>
            <w14:solidFill>
              <w14:schemeClr w14:val="tx1"/>
            </w14:solidFill>
          </w14:textFill>
        </w:rPr>
        <w:t>9</w:t>
      </w:r>
      <w:r>
        <w:rPr>
          <w:rFonts w:hint="eastAsia" w:ascii="宋体" w:hAnsi="宋体" w:eastAsia="宋体" w:cs="宋体"/>
          <w:color w:val="000000" w:themeColor="text1"/>
          <w:sz w:val="24"/>
          <w:szCs w:val="24"/>
          <w:highlight w:val="none"/>
          <w:lang w:val="en-US"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其他：</w:t>
      </w:r>
    </w:p>
    <w:p>
      <w:pPr>
        <w:pStyle w:val="131"/>
        <w:pageBreakBefore w:val="0"/>
        <w:kinsoku/>
        <w:wordWrap/>
        <w:overflowPunct/>
        <w:topLinePunct w:val="0"/>
        <w:bidi w:val="0"/>
        <w:adjustRightInd/>
        <w:snapToGrid/>
        <w:spacing w:before="0" w:beforeLines="0" w:line="360" w:lineRule="auto"/>
        <w:ind w:left="0" w:leftChars="0"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①</w:t>
      </w:r>
      <w:r>
        <w:rPr>
          <w:rFonts w:hint="eastAsia" w:ascii="宋体" w:hAnsi="宋体" w:eastAsia="宋体" w:cs="宋体"/>
          <w:color w:val="000000" w:themeColor="text1"/>
          <w:sz w:val="24"/>
          <w:szCs w:val="24"/>
          <w:highlight w:val="none"/>
          <w14:textFill>
            <w14:solidFill>
              <w14:schemeClr w14:val="tx1"/>
            </w14:solidFill>
          </w14:textFill>
        </w:rPr>
        <w:t>针对配套管线、管沟、无产权单位窨井发生下沉、坍塌等情况，对于产权明确的管线、窨井问题（如电力、电信、自来水等），及时报告采购人同时必须通知相应产权单位自行维护、处理；一时无法确定产权单位、存在安全隐患、无产权单位窨井发生下沉、坍塌等情况，供应商应做好临时维护措施，确保行人、车辆安全，同时及时报告采购人。</w:t>
      </w:r>
    </w:p>
    <w:p>
      <w:pPr>
        <w:pStyle w:val="131"/>
        <w:pageBreakBefore w:val="0"/>
        <w:kinsoku/>
        <w:wordWrap/>
        <w:overflowPunct/>
        <w:topLinePunct w:val="0"/>
        <w:bidi w:val="0"/>
        <w:adjustRightInd/>
        <w:snapToGrid/>
        <w:spacing w:before="0" w:beforeLines="0" w:line="360" w:lineRule="auto"/>
        <w:ind w:left="0" w:leftChars="0"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②</w:t>
      </w:r>
      <w:r>
        <w:rPr>
          <w:rFonts w:hint="eastAsia" w:ascii="宋体" w:hAnsi="宋体" w:eastAsia="宋体" w:cs="宋体"/>
          <w:color w:val="000000" w:themeColor="text1"/>
          <w:sz w:val="24"/>
          <w:szCs w:val="24"/>
          <w:highlight w:val="none"/>
          <w14:textFill>
            <w14:solidFill>
              <w14:schemeClr w14:val="tx1"/>
            </w14:solidFill>
          </w14:textFill>
        </w:rPr>
        <w:t>对道路路面标高进行定期复核，以此提供数据对低洼积水状况进行分析。</w:t>
      </w:r>
    </w:p>
    <w:p>
      <w:pPr>
        <w:pStyle w:val="131"/>
        <w:pageBreakBefore w:val="0"/>
        <w:kinsoku/>
        <w:wordWrap/>
        <w:overflowPunct/>
        <w:topLinePunct w:val="0"/>
        <w:bidi w:val="0"/>
        <w:adjustRightInd/>
        <w:snapToGrid/>
        <w:spacing w:before="0" w:beforeLines="0" w:line="360" w:lineRule="auto"/>
        <w:ind w:left="0" w:leftChars="0" w:firstLine="480" w:firstLineChars="200"/>
        <w:jc w:val="left"/>
        <w:textAlignment w:val="auto"/>
        <w:rPr>
          <w:rFonts w:hint="default"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③</w:t>
      </w:r>
      <w:r>
        <w:rPr>
          <w:rFonts w:hint="eastAsia" w:ascii="宋体" w:hAnsi="宋体" w:eastAsia="宋体" w:cs="宋体"/>
          <w:color w:val="000000" w:themeColor="text1"/>
          <w:sz w:val="24"/>
          <w:szCs w:val="24"/>
          <w:highlight w:val="none"/>
          <w14:textFill>
            <w14:solidFill>
              <w14:schemeClr w14:val="tx1"/>
            </w14:solidFill>
          </w14:textFill>
        </w:rPr>
        <w:t>本次</w:t>
      </w:r>
      <w:r>
        <w:rPr>
          <w:rFonts w:hint="eastAsia" w:ascii="宋体" w:hAnsi="宋体" w:eastAsia="宋体" w:cs="宋体"/>
          <w:color w:val="000000" w:themeColor="text1"/>
          <w:sz w:val="24"/>
          <w:szCs w:val="24"/>
          <w:highlight w:val="none"/>
          <w:lang w:eastAsia="zh-CN"/>
          <w14:textFill>
            <w14:solidFill>
              <w14:schemeClr w14:val="tx1"/>
            </w14:solidFill>
          </w14:textFill>
        </w:rPr>
        <w:t>采购</w:t>
      </w:r>
      <w:r>
        <w:rPr>
          <w:rFonts w:hint="eastAsia" w:ascii="宋体" w:hAnsi="宋体" w:eastAsia="宋体" w:cs="宋体"/>
          <w:color w:val="000000" w:themeColor="text1"/>
          <w:sz w:val="24"/>
          <w:szCs w:val="24"/>
          <w:highlight w:val="none"/>
          <w14:textFill>
            <w14:solidFill>
              <w14:schemeClr w14:val="tx1"/>
            </w14:solidFill>
          </w14:textFill>
        </w:rPr>
        <w:t>要求的班组人员、机具设备固定用于本项目，不能与其它标段重复。如发有作业人员、机具在其它道路标段兼职或使用的，采购人有权解除合同。</w:t>
      </w:r>
    </w:p>
    <w:p>
      <w:pPr>
        <w:pStyle w:val="131"/>
        <w:pageBreakBefore w:val="0"/>
        <w:kinsoku/>
        <w:wordWrap/>
        <w:overflowPunct/>
        <w:topLinePunct w:val="0"/>
        <w:bidi w:val="0"/>
        <w:adjustRightInd/>
        <w:snapToGrid/>
        <w:spacing w:before="0" w:beforeLines="0" w:line="360" w:lineRule="auto"/>
        <w:ind w:left="0" w:leftChars="0" w:firstLine="480" w:firstLineChars="200"/>
        <w:jc w:val="left"/>
        <w:textAlignment w:val="auto"/>
        <w:rPr>
          <w:rFonts w:hint="default" w:ascii="宋体" w:hAnsi="宋体" w:eastAsia="宋体" w:cs="宋体"/>
          <w:b w:val="0"/>
          <w:bCs w:val="0"/>
          <w:color w:val="000000" w:themeColor="text1"/>
          <w:sz w:val="24"/>
          <w:szCs w:val="24"/>
          <w:highlight w:val="none"/>
          <w:shd w:val="clear" w:color="FFFFFF" w:fill="D9D9D9"/>
          <w:lang w:val="en-US" w:eastAsia="zh-CN"/>
          <w14:textFill>
            <w14:solidFill>
              <w14:schemeClr w14:val="tx1"/>
            </w14:solidFill>
          </w14:textFill>
        </w:rPr>
      </w:pPr>
      <w:r>
        <w:rPr>
          <w:rFonts w:hint="eastAsia" w:ascii="宋体" w:hAnsi="宋体" w:eastAsia="宋体" w:cs="宋体"/>
          <w:b w:val="0"/>
          <w:bCs w:val="0"/>
          <w:color w:val="000000" w:themeColor="text1"/>
          <w:sz w:val="24"/>
          <w:szCs w:val="24"/>
          <w:highlight w:val="none"/>
          <w:shd w:val="clear" w:color="FFFFFF" w:fill="D9D9D9"/>
          <w:lang w:val="en-US" w:eastAsia="zh-CN"/>
          <w14:textFill>
            <w14:solidFill>
              <w14:schemeClr w14:val="tx1"/>
            </w14:solidFill>
          </w14:textFill>
        </w:rPr>
        <w:t>④</w:t>
      </w:r>
      <w:r>
        <w:rPr>
          <w:rFonts w:hint="eastAsia" w:ascii="宋体" w:hAnsi="宋体" w:cs="宋体"/>
          <w:b w:val="0"/>
          <w:bCs w:val="0"/>
          <w:color w:val="000000" w:themeColor="text1"/>
          <w:sz w:val="24"/>
          <w:szCs w:val="24"/>
          <w:highlight w:val="none"/>
          <w:shd w:val="clear" w:color="FFFFFF" w:fill="D9D9D9"/>
          <w:lang w:val="en-US" w:eastAsia="zh-CN"/>
          <w14:textFill>
            <w14:solidFill>
              <w14:schemeClr w14:val="tx1"/>
            </w14:solidFill>
          </w14:textFill>
        </w:rPr>
        <w:t>供应商需</w:t>
      </w:r>
      <w:r>
        <w:rPr>
          <w:rFonts w:hint="eastAsia" w:ascii="宋体" w:hAnsi="宋体" w:eastAsia="宋体" w:cs="宋体"/>
          <w:b w:val="0"/>
          <w:bCs w:val="0"/>
          <w:color w:val="000000" w:themeColor="text1"/>
          <w:sz w:val="24"/>
          <w:szCs w:val="24"/>
          <w:highlight w:val="none"/>
          <w:shd w:val="clear" w:color="FFFFFF" w:fill="D9D9D9"/>
          <w:lang w:val="en-US" w:eastAsia="zh-CN"/>
          <w14:textFill>
            <w14:solidFill>
              <w14:schemeClr w14:val="tx1"/>
            </w14:solidFill>
          </w14:textFill>
        </w:rPr>
        <w:t>对不符合标准要求的雨水边井全部进行更换。</w:t>
      </w:r>
    </w:p>
    <w:p>
      <w:pPr>
        <w:pageBreakBefore w:val="0"/>
        <w:kinsoku/>
        <w:wordWrap/>
        <w:overflowPunct/>
        <w:topLinePunct w:val="0"/>
        <w:bidi w:val="0"/>
        <w:adjustRightInd/>
        <w:snapToGrid/>
        <w:spacing w:line="360" w:lineRule="auto"/>
        <w:ind w:left="0" w:leftChars="0" w:firstLine="482" w:firstLineChars="200"/>
        <w:jc w:val="left"/>
        <w:textAlignment w:val="auto"/>
        <w:rPr>
          <w:rFonts w:hint="eastAsia" w:ascii="宋体" w:hAnsi="宋体" w:eastAsia="宋体" w:cs="宋体"/>
          <w:b/>
          <w:bCs/>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b/>
          <w:bCs/>
          <w:color w:val="000000" w:themeColor="text1"/>
          <w:kern w:val="2"/>
          <w:sz w:val="24"/>
          <w:szCs w:val="24"/>
          <w:highlight w:val="none"/>
          <w:lang w:val="en-US" w:eastAsia="zh-CN" w:bidi="ar-SA"/>
          <w14:textFill>
            <w14:solidFill>
              <w14:schemeClr w14:val="tx1"/>
            </w14:solidFill>
          </w14:textFill>
        </w:rPr>
        <w:t>4、环卫保洁作业内容</w:t>
      </w:r>
    </w:p>
    <w:p>
      <w:pPr>
        <w:pStyle w:val="131"/>
        <w:pageBreakBefore w:val="0"/>
        <w:kinsoku/>
        <w:wordWrap/>
        <w:overflowPunct/>
        <w:topLinePunct w:val="0"/>
        <w:bidi w:val="0"/>
        <w:adjustRightInd/>
        <w:snapToGrid/>
        <w:spacing w:before="0" w:beforeLines="0" w:line="360" w:lineRule="auto"/>
        <w:ind w:left="0" w:leftChars="0"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1</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按《杭州市人民政府办公厅转发市城管委关于杭州城区整洁度检查考核试行办法的通知》（杭政办函〔2012〕177号）、《杭州市清洁度评价实施办法（2019年度）》中规定的作业标准和指标执行，如市、区相应规范标准有更新，按照最新版本执行。合同范围内道路保洁和垃圾清除要及时到位，按照</w:t>
      </w:r>
      <w:r>
        <w:rPr>
          <w:rFonts w:hint="eastAsia" w:ascii="宋体" w:hAnsi="宋体" w:eastAsia="宋体" w:cs="宋体"/>
          <w:color w:val="000000" w:themeColor="text1"/>
          <w:sz w:val="24"/>
          <w:szCs w:val="24"/>
          <w:highlight w:val="none"/>
          <w:lang w:eastAsia="zh-CN"/>
          <w14:textFill>
            <w14:solidFill>
              <w14:schemeClr w14:val="tx1"/>
            </w14:solidFill>
          </w14:textFill>
        </w:rPr>
        <w:t>采购文件</w:t>
      </w:r>
      <w:r>
        <w:rPr>
          <w:rFonts w:hint="eastAsia" w:ascii="宋体" w:hAnsi="宋体" w:eastAsia="宋体" w:cs="宋体"/>
          <w:color w:val="000000" w:themeColor="text1"/>
          <w:sz w:val="24"/>
          <w:szCs w:val="24"/>
          <w:highlight w:val="none"/>
          <w14:textFill>
            <w14:solidFill>
              <w14:schemeClr w14:val="tx1"/>
            </w14:solidFill>
          </w14:textFill>
        </w:rPr>
        <w:t>要求，配置人员到位，并落实保洁范围。考核标准如有调整，按新规定执行。</w:t>
      </w:r>
    </w:p>
    <w:p>
      <w:pPr>
        <w:pStyle w:val="131"/>
        <w:pageBreakBefore w:val="0"/>
        <w:kinsoku/>
        <w:wordWrap/>
        <w:overflowPunct/>
        <w:topLinePunct w:val="0"/>
        <w:bidi w:val="0"/>
        <w:adjustRightInd/>
        <w:snapToGrid/>
        <w:spacing w:before="0" w:beforeLines="0" w:line="360" w:lineRule="auto"/>
        <w:ind w:left="0" w:leftChars="0" w:firstLine="482" w:firstLineChars="200"/>
        <w:jc w:val="left"/>
        <w:textAlignment w:val="auto"/>
        <w:rPr>
          <w:rFonts w:hint="eastAsia" w:ascii="宋体" w:hAnsi="宋体" w:eastAsia="宋体" w:cs="宋体"/>
          <w:b/>
          <w:bCs/>
          <w:color w:val="000000" w:themeColor="text1"/>
          <w:sz w:val="24"/>
          <w:szCs w:val="24"/>
          <w:highlight w:val="none"/>
          <w:lang w:eastAsia="zh-CN"/>
          <w14:textFill>
            <w14:solidFill>
              <w14:schemeClr w14:val="tx1"/>
            </w14:solidFill>
          </w14:textFill>
        </w:rPr>
      </w:pPr>
      <w:r>
        <w:rPr>
          <w:rFonts w:hint="eastAsia" w:ascii="宋体" w:hAnsi="宋体" w:eastAsia="宋体" w:cs="宋体"/>
          <w:b/>
          <w:bCs/>
          <w:color w:val="000000" w:themeColor="text1"/>
          <w:sz w:val="24"/>
          <w:szCs w:val="24"/>
          <w:highlight w:val="none"/>
          <w:lang w:eastAsia="zh-CN"/>
          <w14:textFill>
            <w14:solidFill>
              <w14:schemeClr w14:val="tx1"/>
            </w14:solidFill>
          </w14:textFill>
        </w:rPr>
        <w:t>（</w:t>
      </w: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2</w:t>
      </w:r>
      <w:r>
        <w:rPr>
          <w:rFonts w:hint="eastAsia" w:ascii="宋体" w:hAnsi="宋体" w:eastAsia="宋体" w:cs="宋体"/>
          <w:b/>
          <w:bCs/>
          <w:color w:val="000000" w:themeColor="text1"/>
          <w:sz w:val="24"/>
          <w:szCs w:val="24"/>
          <w:highlight w:val="none"/>
          <w:lang w:eastAsia="zh-CN"/>
          <w14:textFill>
            <w14:solidFill>
              <w14:schemeClr w14:val="tx1"/>
            </w14:solidFill>
          </w14:textFill>
        </w:rPr>
        <w:t>）</w:t>
      </w:r>
      <w:r>
        <w:rPr>
          <w:rFonts w:hint="eastAsia" w:ascii="宋体" w:hAnsi="宋体" w:eastAsia="宋体" w:cs="宋体"/>
          <w:b/>
          <w:bCs/>
          <w:color w:val="000000" w:themeColor="text1"/>
          <w:sz w:val="24"/>
          <w:szCs w:val="24"/>
          <w:highlight w:val="none"/>
          <w14:textFill>
            <w14:solidFill>
              <w14:schemeClr w14:val="tx1"/>
            </w14:solidFill>
          </w14:textFill>
        </w:rPr>
        <w:t>保洁面积</w:t>
      </w:r>
      <w:r>
        <w:rPr>
          <w:rFonts w:hint="eastAsia" w:ascii="宋体" w:hAnsi="宋体" w:eastAsia="宋体" w:cs="宋体"/>
          <w:b/>
          <w:bCs/>
          <w:color w:val="000000" w:themeColor="text1"/>
          <w:sz w:val="24"/>
          <w:szCs w:val="24"/>
          <w:highlight w:val="none"/>
          <w:lang w:eastAsia="zh-CN"/>
          <w14:textFill>
            <w14:solidFill>
              <w14:schemeClr w14:val="tx1"/>
            </w14:solidFill>
          </w14:textFill>
        </w:rPr>
        <w:t>：</w:t>
      </w:r>
    </w:p>
    <w:p>
      <w:pPr>
        <w:pStyle w:val="131"/>
        <w:pageBreakBefore w:val="0"/>
        <w:kinsoku/>
        <w:wordWrap/>
        <w:overflowPunct/>
        <w:topLinePunct w:val="0"/>
        <w:bidi w:val="0"/>
        <w:adjustRightInd/>
        <w:snapToGrid/>
        <w:spacing w:before="0" w:beforeLines="0" w:line="360" w:lineRule="auto"/>
        <w:ind w:left="0" w:leftChars="0" w:firstLine="482" w:firstLineChars="200"/>
        <w:jc w:val="left"/>
        <w:textAlignment w:val="auto"/>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①“</w:t>
      </w:r>
      <w:r>
        <w:rPr>
          <w:rFonts w:hint="eastAsia" w:ascii="宋体" w:hAnsi="宋体" w:eastAsia="宋体" w:cs="宋体"/>
          <w:b/>
          <w:bCs/>
          <w:color w:val="000000" w:themeColor="text1"/>
          <w:sz w:val="24"/>
          <w:szCs w:val="24"/>
          <w:highlight w:val="none"/>
          <w14:textFill>
            <w14:solidFill>
              <w14:schemeClr w14:val="tx1"/>
            </w14:solidFill>
          </w14:textFill>
        </w:rPr>
        <w:t>标段一</w:t>
      </w: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w:t>
      </w:r>
      <w:r>
        <w:rPr>
          <w:rFonts w:hint="eastAsia" w:ascii="宋体" w:hAnsi="宋体" w:eastAsia="宋体" w:cs="宋体"/>
          <w:b/>
          <w:bCs/>
          <w:color w:val="000000" w:themeColor="text1"/>
          <w:sz w:val="24"/>
          <w:szCs w:val="24"/>
          <w:highlight w:val="none"/>
          <w:lang w:eastAsia="zh-CN"/>
          <w14:textFill>
            <w14:solidFill>
              <w14:schemeClr w14:val="tx1"/>
            </w14:solidFill>
          </w14:textFill>
        </w:rPr>
        <w:t>：</w:t>
      </w: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二类</w:t>
      </w:r>
      <w:r>
        <w:rPr>
          <w:rFonts w:hint="eastAsia" w:ascii="宋体" w:hAnsi="宋体" w:eastAsia="宋体" w:cs="宋体"/>
          <w:b/>
          <w:bCs/>
          <w:color w:val="000000" w:themeColor="text1"/>
          <w:sz w:val="24"/>
          <w:szCs w:val="24"/>
          <w:highlight w:val="none"/>
          <w14:textFill>
            <w14:solidFill>
              <w14:schemeClr w14:val="tx1"/>
            </w14:solidFill>
          </w14:textFill>
        </w:rPr>
        <w:t>16小时道路面积为430469平方米，三类14小时道路面积为192713平方米，合计623182平方米。</w:t>
      </w:r>
    </w:p>
    <w:p>
      <w:pPr>
        <w:pStyle w:val="131"/>
        <w:pageBreakBefore w:val="0"/>
        <w:kinsoku/>
        <w:wordWrap/>
        <w:overflowPunct/>
        <w:topLinePunct w:val="0"/>
        <w:bidi w:val="0"/>
        <w:adjustRightInd/>
        <w:snapToGrid/>
        <w:spacing w:before="0" w:beforeLines="0" w:line="360" w:lineRule="auto"/>
        <w:ind w:left="0" w:leftChars="0" w:firstLine="482" w:firstLineChars="200"/>
        <w:jc w:val="left"/>
        <w:textAlignment w:val="auto"/>
        <w:rPr>
          <w:rFonts w:hint="eastAsia" w:ascii="宋体" w:hAnsi="宋体" w:eastAsia="宋体" w:cs="宋体"/>
          <w:b/>
          <w:bCs/>
          <w:color w:val="000000" w:themeColor="text1"/>
          <w:sz w:val="24"/>
          <w:szCs w:val="24"/>
          <w:highlight w:val="none"/>
          <w:lang w:val="en-US" w:eastAsia="zh-CN"/>
          <w14:textFill>
            <w14:solidFill>
              <w14:schemeClr w14:val="tx1"/>
            </w14:solidFill>
          </w14:textFill>
        </w:rPr>
      </w:pP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②“标项二”：一类18小时道路面积为301004.1平方米；二类</w:t>
      </w:r>
      <w:r>
        <w:rPr>
          <w:rFonts w:hint="eastAsia" w:ascii="宋体" w:hAnsi="宋体" w:eastAsia="宋体" w:cs="宋体"/>
          <w:b/>
          <w:bCs/>
          <w:color w:val="000000" w:themeColor="text1"/>
          <w:sz w:val="24"/>
          <w:szCs w:val="24"/>
          <w:highlight w:val="none"/>
          <w14:textFill>
            <w14:solidFill>
              <w14:schemeClr w14:val="tx1"/>
            </w14:solidFill>
          </w14:textFill>
        </w:rPr>
        <w:t>16小时道路面积为205627.57平方米，三类14小时道路面积为314472.05平方米，合计</w:t>
      </w: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821103.72</w:t>
      </w:r>
      <w:r>
        <w:rPr>
          <w:rFonts w:hint="eastAsia" w:ascii="宋体" w:hAnsi="宋体" w:eastAsia="宋体" w:cs="宋体"/>
          <w:b/>
          <w:bCs/>
          <w:color w:val="000000" w:themeColor="text1"/>
          <w:sz w:val="24"/>
          <w:szCs w:val="24"/>
          <w:highlight w:val="none"/>
          <w14:textFill>
            <w14:solidFill>
              <w14:schemeClr w14:val="tx1"/>
            </w14:solidFill>
          </w14:textFill>
        </w:rPr>
        <w:t>平方米。</w:t>
      </w:r>
    </w:p>
    <w:p>
      <w:pPr>
        <w:pStyle w:val="131"/>
        <w:pageBreakBefore w:val="0"/>
        <w:kinsoku/>
        <w:wordWrap/>
        <w:overflowPunct/>
        <w:topLinePunct w:val="0"/>
        <w:bidi w:val="0"/>
        <w:adjustRightInd/>
        <w:snapToGrid/>
        <w:spacing w:before="0" w:beforeLines="0" w:line="360" w:lineRule="auto"/>
        <w:ind w:left="0" w:leftChars="0"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3</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道路（含绿化）清扫、保洁（含机扫、洒水）必须作业到两边建筑物基石（机扫、洒水到道路侧石），道路岔道、喇叭口清扫向外延伸5米。</w:t>
      </w:r>
    </w:p>
    <w:p>
      <w:pPr>
        <w:pStyle w:val="131"/>
        <w:pageBreakBefore w:val="0"/>
        <w:kinsoku/>
        <w:wordWrap/>
        <w:overflowPunct/>
        <w:topLinePunct w:val="0"/>
        <w:bidi w:val="0"/>
        <w:adjustRightInd/>
        <w:snapToGrid/>
        <w:spacing w:before="0" w:beforeLines="0" w:line="360" w:lineRule="auto"/>
        <w:ind w:left="0" w:leftChars="0"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4</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负责沿线店家的垃圾收运处置工作，沿街道路两侧店家生活垃圾（包括垃圾桶）必须做到不少于一日二次上门处置，并做到即满即清，同时保持道路果壳箱的完好和整洁，做到一日二清二擦洗，无积存垃圾，无明显污迹，外观无残标，发现所保洁范围内垃圾箱、桶损坏或缺损，负责及时修复或增补，并根据管理部门意见设置垃圾桶；发现市政公用设施损坏或缺损，及时与相关部门联系，对不能自主修复的果壳箱应及时上报管理部门。</w:t>
      </w:r>
    </w:p>
    <w:p>
      <w:pPr>
        <w:pStyle w:val="131"/>
        <w:pageBreakBefore w:val="0"/>
        <w:kinsoku/>
        <w:wordWrap/>
        <w:overflowPunct/>
        <w:topLinePunct w:val="0"/>
        <w:bidi w:val="0"/>
        <w:adjustRightInd/>
        <w:snapToGrid/>
        <w:spacing w:before="0" w:beforeLines="0" w:line="360" w:lineRule="auto"/>
        <w:ind w:left="0" w:leftChars="0"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5</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道路沿线交通隔离墩擦洗。</w:t>
      </w:r>
    </w:p>
    <w:p>
      <w:pPr>
        <w:pStyle w:val="131"/>
        <w:pageBreakBefore w:val="0"/>
        <w:kinsoku/>
        <w:wordWrap/>
        <w:overflowPunct/>
        <w:topLinePunct w:val="0"/>
        <w:bidi w:val="0"/>
        <w:adjustRightInd/>
        <w:snapToGrid/>
        <w:spacing w:before="0" w:beforeLines="0" w:line="360" w:lineRule="auto"/>
        <w:ind w:left="0" w:leftChars="0"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6</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做好道路两旁垃圾清运集置点的保洁工作。</w:t>
      </w:r>
    </w:p>
    <w:p>
      <w:pPr>
        <w:pStyle w:val="131"/>
        <w:pageBreakBefore w:val="0"/>
        <w:kinsoku/>
        <w:wordWrap/>
        <w:overflowPunct/>
        <w:topLinePunct w:val="0"/>
        <w:bidi w:val="0"/>
        <w:adjustRightInd/>
        <w:snapToGrid/>
        <w:spacing w:before="0" w:beforeLines="0" w:line="360" w:lineRule="auto"/>
        <w:ind w:left="0" w:leftChars="0"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7</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及时制止偷倒乱倒垃圾行为，道路两侧目测范围内（人行道外边沿5米内）无主垃圾和废土应及时发现并及时清除（量比较大时，应及时上报，经核实量后及时作业）。</w:t>
      </w:r>
    </w:p>
    <w:p>
      <w:pPr>
        <w:pStyle w:val="131"/>
        <w:pageBreakBefore w:val="0"/>
        <w:kinsoku/>
        <w:wordWrap/>
        <w:overflowPunct/>
        <w:topLinePunct w:val="0"/>
        <w:bidi w:val="0"/>
        <w:adjustRightInd/>
        <w:snapToGrid/>
        <w:spacing w:before="0" w:beforeLines="0" w:line="360" w:lineRule="auto"/>
        <w:ind w:left="0" w:leftChars="0"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8</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遇有重大活动或抗台、抗雪等突发事件，必须无条件及时组织力量做好清扫保洁等保障工作，服从采购人的统一指挥。</w:t>
      </w:r>
    </w:p>
    <w:p>
      <w:pPr>
        <w:pStyle w:val="131"/>
        <w:pageBreakBefore w:val="0"/>
        <w:kinsoku/>
        <w:wordWrap/>
        <w:overflowPunct/>
        <w:topLinePunct w:val="0"/>
        <w:bidi w:val="0"/>
        <w:adjustRightInd/>
        <w:snapToGrid/>
        <w:spacing w:before="0" w:beforeLines="0" w:line="360" w:lineRule="auto"/>
        <w:ind w:left="0" w:leftChars="0"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9</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负责做好本合同标项作业范围内的长效管理抄告单、“数字城管”和群众信访、投诉处理件的处理、整改和回复工作。</w:t>
      </w:r>
    </w:p>
    <w:p>
      <w:pPr>
        <w:pStyle w:val="131"/>
        <w:pageBreakBefore w:val="0"/>
        <w:kinsoku/>
        <w:wordWrap/>
        <w:overflowPunct/>
        <w:topLinePunct w:val="0"/>
        <w:bidi w:val="0"/>
        <w:adjustRightInd/>
        <w:snapToGrid/>
        <w:spacing w:before="0" w:beforeLines="0" w:line="360" w:lineRule="auto"/>
        <w:ind w:left="0" w:leftChars="0"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10</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无条件处理经采购人甄别后要求处理的涉及该路段的环境卫生问题。</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宋体" w:hAnsi="宋体" w:eastAsia="宋体" w:cs="宋体"/>
          <w:b w:val="0"/>
          <w:bCs w:val="0"/>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highlight w:val="none"/>
          <w:lang w:val="en-US" w:eastAsia="zh-CN" w:bidi="ar-SA"/>
          <w14:textFill>
            <w14:solidFill>
              <w14:schemeClr w14:val="tx1"/>
            </w14:solidFill>
          </w14:textFill>
        </w:rPr>
        <w:t>（11）加强管理，确保在国家、省、市、区的各项检查中不失责任分。</w:t>
      </w:r>
    </w:p>
    <w:p>
      <w:pPr>
        <w:pageBreakBefore w:val="0"/>
        <w:kinsoku/>
        <w:wordWrap/>
        <w:overflowPunct/>
        <w:topLinePunct w:val="0"/>
        <w:bidi w:val="0"/>
        <w:adjustRightInd/>
        <w:snapToGrid/>
        <w:spacing w:line="360" w:lineRule="auto"/>
        <w:ind w:left="0" w:leftChars="0" w:firstLine="482" w:firstLineChars="200"/>
        <w:jc w:val="left"/>
        <w:textAlignment w:val="auto"/>
        <w:rPr>
          <w:rFonts w:hint="eastAsia" w:ascii="宋体" w:hAnsi="宋体" w:eastAsia="宋体" w:cs="宋体"/>
          <w:b/>
          <w:bCs/>
          <w:color w:val="000000" w:themeColor="text1"/>
          <w:kern w:val="2"/>
          <w:sz w:val="24"/>
          <w:szCs w:val="24"/>
          <w:highlight w:val="none"/>
          <w:lang w:val="en-US" w:eastAsia="zh-CN" w:bidi="ar-SA"/>
          <w14:textFill>
            <w14:solidFill>
              <w14:schemeClr w14:val="tx1"/>
            </w14:solidFill>
          </w14:textFill>
        </w:rPr>
      </w:pPr>
      <w:bookmarkStart w:id="30" w:name="_Toc19172801"/>
      <w:r>
        <w:rPr>
          <w:rFonts w:hint="eastAsia" w:ascii="宋体" w:hAnsi="宋体" w:eastAsia="宋体" w:cs="宋体"/>
          <w:b/>
          <w:bCs/>
          <w:color w:val="000000" w:themeColor="text1"/>
          <w:kern w:val="2"/>
          <w:sz w:val="24"/>
          <w:szCs w:val="24"/>
          <w:highlight w:val="none"/>
          <w:lang w:val="en-US" w:eastAsia="zh-CN" w:bidi="ar-SA"/>
          <w14:textFill>
            <w14:solidFill>
              <w14:schemeClr w14:val="tx1"/>
            </w14:solidFill>
          </w14:textFill>
        </w:rPr>
        <w:t>5、环卫保洁质量要求</w:t>
      </w:r>
      <w:bookmarkEnd w:id="30"/>
    </w:p>
    <w:p>
      <w:pPr>
        <w:pStyle w:val="131"/>
        <w:pageBreakBefore w:val="0"/>
        <w:kinsoku/>
        <w:wordWrap/>
        <w:overflowPunct/>
        <w:topLinePunct w:val="0"/>
        <w:bidi w:val="0"/>
        <w:adjustRightInd/>
        <w:snapToGrid/>
        <w:spacing w:before="0" w:beforeLines="0" w:line="360" w:lineRule="auto"/>
        <w:ind w:left="0" w:leftChars="0"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1</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按《杭州市人民政府办公厅转发市城管委关于杭州城区整洁度检查考核试行办法的通知》（杭政办函〔2012〕177号）、《关于下发实施“清洁城区”“信访投诉”“队伍督查”“城管宣传”等考核办法的通知》（杭城管局</w:t>
      </w:r>
      <w:r>
        <w:rPr>
          <w:rFonts w:hint="eastAsia" w:ascii="宋体" w:hAnsi="宋体" w:eastAsia="宋体" w:cs="宋体"/>
          <w:color w:val="000000" w:themeColor="text1"/>
          <w:sz w:val="24"/>
          <w:szCs w:val="24"/>
          <w:highlight w:val="none"/>
          <w:lang w:val="zh-CN"/>
          <w14:textFill>
            <w14:solidFill>
              <w14:schemeClr w14:val="tx1"/>
            </w14:solidFill>
          </w14:textFill>
        </w:rPr>
        <w:t>〔20</w:t>
      </w:r>
      <w:r>
        <w:rPr>
          <w:rFonts w:hint="eastAsia" w:ascii="宋体" w:hAnsi="宋体" w:eastAsia="宋体" w:cs="宋体"/>
          <w:color w:val="000000" w:themeColor="text1"/>
          <w:sz w:val="24"/>
          <w:szCs w:val="24"/>
          <w:highlight w:val="none"/>
          <w14:textFill>
            <w14:solidFill>
              <w14:schemeClr w14:val="tx1"/>
            </w14:solidFill>
          </w14:textFill>
        </w:rPr>
        <w:t>19</w:t>
      </w:r>
      <w:r>
        <w:rPr>
          <w:rFonts w:hint="eastAsia" w:ascii="宋体" w:hAnsi="宋体" w:eastAsia="宋体" w:cs="宋体"/>
          <w:color w:val="000000" w:themeColor="text1"/>
          <w:sz w:val="24"/>
          <w:szCs w:val="24"/>
          <w:highlight w:val="none"/>
          <w:lang w:val="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49号）明确的相关要求执行，</w:t>
      </w:r>
      <w:r>
        <w:rPr>
          <w:rFonts w:hint="eastAsia" w:ascii="宋体" w:hAnsi="宋体" w:eastAsia="宋体" w:cs="宋体"/>
          <w:color w:val="000000" w:themeColor="text1"/>
          <w:kern w:val="0"/>
          <w:sz w:val="24"/>
          <w:szCs w:val="24"/>
          <w:highlight w:val="none"/>
          <w14:textFill>
            <w14:solidFill>
              <w14:schemeClr w14:val="tx1"/>
            </w14:solidFill>
          </w14:textFill>
        </w:rPr>
        <w:t>如市、区相应规范标准有更新，按照最新版本执行</w:t>
      </w:r>
      <w:r>
        <w:rPr>
          <w:rFonts w:hint="eastAsia" w:ascii="宋体" w:hAnsi="宋体" w:eastAsia="宋体" w:cs="宋体"/>
          <w:color w:val="000000" w:themeColor="text1"/>
          <w:sz w:val="24"/>
          <w:szCs w:val="24"/>
          <w:highlight w:val="none"/>
          <w14:textFill>
            <w14:solidFill>
              <w14:schemeClr w14:val="tx1"/>
            </w14:solidFill>
          </w14:textFill>
        </w:rPr>
        <w:t>。</w:t>
      </w:r>
    </w:p>
    <w:p>
      <w:pPr>
        <w:pStyle w:val="131"/>
        <w:pageBreakBefore w:val="0"/>
        <w:kinsoku/>
        <w:wordWrap/>
        <w:overflowPunct/>
        <w:topLinePunct w:val="0"/>
        <w:bidi w:val="0"/>
        <w:adjustRightInd/>
        <w:snapToGrid/>
        <w:spacing w:before="0" w:beforeLines="0" w:line="360" w:lineRule="auto"/>
        <w:ind w:left="0" w:leftChars="0"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2</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实行道路保洁时间段内不间断巡回保洁，道路清扫采用机械化作业与人工作业相结合方式，快车道必须实行机械化作业。各类道路每日规定时间前完成一遍普扫，慢车道、人行道需安排保洁人员落实全天候巡回保洁。</w:t>
      </w:r>
    </w:p>
    <w:p>
      <w:pPr>
        <w:pStyle w:val="131"/>
        <w:pageBreakBefore w:val="0"/>
        <w:kinsoku/>
        <w:wordWrap/>
        <w:overflowPunct/>
        <w:topLinePunct w:val="0"/>
        <w:bidi w:val="0"/>
        <w:adjustRightInd/>
        <w:snapToGrid/>
        <w:spacing w:before="0" w:beforeLines="0" w:line="360" w:lineRule="auto"/>
        <w:ind w:left="0" w:leftChars="0"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3</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按照规定时间进行巡回保洁，道路清扫采用机扫与人工清扫相结合方式，机扫为主，人工为辅。快、慢车道必须实行机扫，每日不少于3遍，夏季每日不少于4遍。洒水每日一类道路不少于5次，二类道路不少于4次，三类道路不少于4次，夏季每日均不少于6次。清洗每周一类道路不少于2次，二类道路不少于1次，三类道路不少于1次。</w:t>
      </w:r>
    </w:p>
    <w:p>
      <w:pPr>
        <w:pStyle w:val="131"/>
        <w:pageBreakBefore w:val="0"/>
        <w:kinsoku/>
        <w:wordWrap/>
        <w:overflowPunct/>
        <w:topLinePunct w:val="0"/>
        <w:bidi w:val="0"/>
        <w:adjustRightInd/>
        <w:snapToGrid/>
        <w:spacing w:before="0" w:beforeLines="0" w:line="360" w:lineRule="auto"/>
        <w:ind w:left="0" w:leftChars="0"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道路发生严重污染时应第一时间组织冲洗。</w:t>
      </w:r>
    </w:p>
    <w:p>
      <w:pPr>
        <w:pStyle w:val="131"/>
        <w:pageBreakBefore w:val="0"/>
        <w:kinsoku/>
        <w:wordWrap/>
        <w:overflowPunct/>
        <w:topLinePunct w:val="0"/>
        <w:bidi w:val="0"/>
        <w:adjustRightInd/>
        <w:snapToGrid/>
        <w:spacing w:before="0" w:beforeLines="0" w:line="360" w:lineRule="auto"/>
        <w:ind w:left="0" w:leftChars="0" w:firstLine="480" w:firstLineChars="200"/>
        <w:jc w:val="left"/>
        <w:textAlignment w:val="auto"/>
        <w:rPr>
          <w:rFonts w:hint="eastAsia" w:ascii="宋体" w:hAnsi="宋体" w:eastAsia="宋体" w:cs="宋体"/>
          <w:color w:val="000000" w:themeColor="text1"/>
          <w:sz w:val="24"/>
          <w:szCs w:val="24"/>
          <w:highlight w:val="none"/>
          <w:shd w:val="clear" w:color="auto" w:fill="FFFFFF"/>
          <w14:textFill>
            <w14:solidFill>
              <w14:schemeClr w14:val="tx1"/>
            </w14:solidFill>
          </w14:textFill>
        </w:rPr>
      </w:pPr>
      <w:r>
        <w:rPr>
          <w:rFonts w:hint="eastAsia" w:ascii="宋体" w:hAnsi="宋体" w:eastAsia="宋体" w:cs="宋体"/>
          <w:color w:val="000000" w:themeColor="text1"/>
          <w:sz w:val="24"/>
          <w:szCs w:val="24"/>
          <w:highlight w:val="none"/>
          <w:shd w:val="clear" w:color="auto" w:fill="FFFFFF"/>
          <w:lang w:eastAsia="zh-CN"/>
          <w14:textFill>
            <w14:solidFill>
              <w14:schemeClr w14:val="tx1"/>
            </w14:solidFill>
          </w14:textFill>
        </w:rPr>
        <w:t>（</w:t>
      </w:r>
      <w:r>
        <w:rPr>
          <w:rFonts w:hint="eastAsia" w:ascii="宋体" w:hAnsi="宋体" w:eastAsia="宋体" w:cs="宋体"/>
          <w:color w:val="000000" w:themeColor="text1"/>
          <w:sz w:val="24"/>
          <w:szCs w:val="24"/>
          <w:highlight w:val="none"/>
          <w:shd w:val="clear" w:color="auto" w:fill="FFFFFF"/>
          <w:lang w:val="en-US" w:eastAsia="zh-CN"/>
          <w14:textFill>
            <w14:solidFill>
              <w14:schemeClr w14:val="tx1"/>
            </w14:solidFill>
          </w14:textFill>
        </w:rPr>
        <w:t>4</w:t>
      </w:r>
      <w:r>
        <w:rPr>
          <w:rFonts w:hint="eastAsia" w:ascii="宋体" w:hAnsi="宋体" w:eastAsia="宋体" w:cs="宋体"/>
          <w:color w:val="000000" w:themeColor="text1"/>
          <w:sz w:val="24"/>
          <w:szCs w:val="24"/>
          <w:highlight w:val="none"/>
          <w:shd w:val="clear" w:color="auto" w:fill="FFFFFF"/>
          <w:lang w:eastAsia="zh-CN"/>
          <w14:textFill>
            <w14:solidFill>
              <w14:schemeClr w14:val="tx1"/>
            </w14:solidFill>
          </w14:textFill>
        </w:rPr>
        <w:t>）</w:t>
      </w:r>
      <w:r>
        <w:rPr>
          <w:rFonts w:hint="eastAsia" w:ascii="宋体" w:hAnsi="宋体" w:eastAsia="宋体" w:cs="宋体"/>
          <w:color w:val="000000" w:themeColor="text1"/>
          <w:sz w:val="24"/>
          <w:szCs w:val="24"/>
          <w:highlight w:val="none"/>
          <w:shd w:val="clear" w:color="auto" w:fill="FFFFFF"/>
          <w14:textFill>
            <w14:solidFill>
              <w14:schemeClr w14:val="tx1"/>
            </w14:solidFill>
          </w14:textFill>
        </w:rPr>
        <w:t>沿街道路两侧店家生活垃圾（包括垃圾桶）必须做到不少于一日二次上门处理，并做到即满即清；保持果壳箱的整洁完好，做到一日二清二擦洗，无积存垃圾，无明显污迹，外观无残标，原有环卫所设立的240升垃圾桶由垃圾清运处置单位作业，垃圾清运集置点无暴露垃圾。</w:t>
      </w:r>
    </w:p>
    <w:p>
      <w:pPr>
        <w:pStyle w:val="131"/>
        <w:pageBreakBefore w:val="0"/>
        <w:kinsoku/>
        <w:wordWrap/>
        <w:overflowPunct/>
        <w:topLinePunct w:val="0"/>
        <w:bidi w:val="0"/>
        <w:adjustRightInd/>
        <w:snapToGrid/>
        <w:spacing w:before="0" w:beforeLines="0" w:line="360" w:lineRule="auto"/>
        <w:ind w:left="0" w:leftChars="0"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5</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道路垃圾不得反扫、漏扫，垃圾不得扫入窨井、绿地等。</w:t>
      </w:r>
    </w:p>
    <w:p>
      <w:pPr>
        <w:pStyle w:val="131"/>
        <w:pageBreakBefore w:val="0"/>
        <w:kinsoku/>
        <w:wordWrap/>
        <w:overflowPunct/>
        <w:topLinePunct w:val="0"/>
        <w:bidi w:val="0"/>
        <w:adjustRightInd/>
        <w:snapToGrid/>
        <w:spacing w:before="0" w:beforeLines="0" w:line="360" w:lineRule="auto"/>
        <w:ind w:left="0" w:leftChars="0"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6</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清扫专用车整洁无破损、满溢，车厢无吊挂杂物现象，应密闭运输，不得停放在消防栓、公交车站旁、不得压盲道，停放离人行道侧石不超过20厘米，作业完毕后将工具清理干净，停放在规定地点。</w:t>
      </w:r>
    </w:p>
    <w:p>
      <w:pPr>
        <w:pStyle w:val="131"/>
        <w:pageBreakBefore w:val="0"/>
        <w:kinsoku/>
        <w:wordWrap/>
        <w:overflowPunct/>
        <w:topLinePunct w:val="0"/>
        <w:bidi w:val="0"/>
        <w:adjustRightInd/>
        <w:snapToGrid/>
        <w:spacing w:before="0" w:beforeLines="0" w:line="360" w:lineRule="auto"/>
        <w:ind w:left="0" w:leftChars="0"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7</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保洁质量应达到路面、人行道“五无”、“五净”。即“五无”：道路无垃圾、无杂物、无积泥、无积水、无污迹；“五净”：路面干净、绿地和树圈干净，边角侧石干净，雨水井沟眼畅通干净、果壳箱等环卫设施及交通隔离栏（墩）、路灯杆和交通信号杆（2.2米以下部分）干净。</w:t>
      </w:r>
    </w:p>
    <w:p>
      <w:pPr>
        <w:pStyle w:val="131"/>
        <w:pageBreakBefore w:val="0"/>
        <w:kinsoku/>
        <w:wordWrap/>
        <w:overflowPunct/>
        <w:topLinePunct w:val="0"/>
        <w:bidi w:val="0"/>
        <w:adjustRightInd/>
        <w:snapToGrid/>
        <w:spacing w:before="0" w:beforeLines="0" w:line="360" w:lineRule="auto"/>
        <w:ind w:left="0" w:leftChars="0"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8</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清扫垃圾采用专门车辆现场收集，不得焚烧垃圾、树叶，树枝落叶旺季及时清扫干净。</w:t>
      </w:r>
    </w:p>
    <w:p>
      <w:pPr>
        <w:pStyle w:val="131"/>
        <w:pageBreakBefore w:val="0"/>
        <w:kinsoku/>
        <w:wordWrap/>
        <w:overflowPunct/>
        <w:topLinePunct w:val="0"/>
        <w:bidi w:val="0"/>
        <w:adjustRightInd/>
        <w:snapToGrid/>
        <w:spacing w:before="0" w:beforeLines="0" w:line="360" w:lineRule="auto"/>
        <w:ind w:left="0" w:leftChars="0"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9</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遇有重大活动或突发事件，及时组织力量做好清扫保洁等保障工作，并视情况及时启动城市管理保障应急机制，人员必须及时到位（需要集中时的具体位置另行通知），并根据应急命令决定早到和离岗。</w:t>
      </w:r>
    </w:p>
    <w:p>
      <w:pPr>
        <w:pageBreakBefore w:val="0"/>
        <w:kinsoku/>
        <w:wordWrap/>
        <w:overflowPunct/>
        <w:topLinePunct w:val="0"/>
        <w:bidi w:val="0"/>
        <w:adjustRightInd/>
        <w:snapToGrid/>
        <w:spacing w:line="360" w:lineRule="auto"/>
        <w:ind w:left="0" w:leftChars="0" w:firstLine="482" w:firstLineChars="200"/>
        <w:jc w:val="left"/>
        <w:textAlignment w:val="auto"/>
        <w:rPr>
          <w:rFonts w:hint="eastAsia" w:ascii="宋体" w:hAnsi="宋体" w:eastAsia="宋体" w:cs="宋体"/>
          <w:b/>
          <w:bCs/>
          <w:color w:val="000000" w:themeColor="text1"/>
          <w:kern w:val="2"/>
          <w:sz w:val="24"/>
          <w:szCs w:val="24"/>
          <w:highlight w:val="none"/>
          <w:lang w:val="en-US" w:eastAsia="zh-CN" w:bidi="ar-SA"/>
          <w14:textFill>
            <w14:solidFill>
              <w14:schemeClr w14:val="tx1"/>
            </w14:solidFill>
          </w14:textFill>
        </w:rPr>
      </w:pPr>
      <w:bookmarkStart w:id="31" w:name="_Toc19172802"/>
      <w:r>
        <w:rPr>
          <w:rFonts w:hint="eastAsia" w:ascii="宋体" w:hAnsi="宋体" w:eastAsia="宋体" w:cs="宋体"/>
          <w:b/>
          <w:bCs/>
          <w:color w:val="000000" w:themeColor="text1"/>
          <w:kern w:val="2"/>
          <w:sz w:val="24"/>
          <w:szCs w:val="24"/>
          <w:highlight w:val="none"/>
          <w:lang w:val="en-US" w:eastAsia="zh-CN" w:bidi="ar-SA"/>
          <w14:textFill>
            <w14:solidFill>
              <w14:schemeClr w14:val="tx1"/>
            </w14:solidFill>
          </w14:textFill>
        </w:rPr>
        <w:t>6、环卫保洁管理要求</w:t>
      </w:r>
      <w:bookmarkEnd w:id="31"/>
    </w:p>
    <w:p>
      <w:pPr>
        <w:pStyle w:val="131"/>
        <w:pageBreakBefore w:val="0"/>
        <w:kinsoku/>
        <w:wordWrap/>
        <w:overflowPunct/>
        <w:topLinePunct w:val="0"/>
        <w:bidi w:val="0"/>
        <w:adjustRightInd/>
        <w:snapToGrid/>
        <w:spacing w:before="0" w:beforeLines="0" w:line="360" w:lineRule="auto"/>
        <w:ind w:left="0" w:leftChars="0"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1</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按《杭州市人民政府办公厅转发市城管委关于杭州城区整洁度检查考核试行办法的通知》（杭政办函〔2012〕177号）、《关于下发实施“清洁城区”“信访投诉”“队伍督查”“城管宣传”等考核办法的通知》（杭城管局〔2019〕49号）和《关于印发〈杭州市环卫作业人员着装与作业行为规范〉及〈杭州市环卫作业车辆标识与作业管理规范〉的通知》（杭城管委〔2016〕130号）中明确的相关要求执行，</w:t>
      </w:r>
      <w:r>
        <w:rPr>
          <w:rFonts w:hint="eastAsia" w:ascii="宋体" w:hAnsi="宋体" w:eastAsia="宋体" w:cs="宋体"/>
          <w:color w:val="000000" w:themeColor="text1"/>
          <w:kern w:val="0"/>
          <w:sz w:val="24"/>
          <w:szCs w:val="24"/>
          <w:highlight w:val="none"/>
          <w14:textFill>
            <w14:solidFill>
              <w14:schemeClr w14:val="tx1"/>
            </w14:solidFill>
          </w14:textFill>
        </w:rPr>
        <w:t>如市、区相应规范标准有更新，按照最新版本执行</w:t>
      </w:r>
      <w:r>
        <w:rPr>
          <w:rFonts w:hint="eastAsia" w:ascii="宋体" w:hAnsi="宋体" w:eastAsia="宋体" w:cs="宋体"/>
          <w:color w:val="000000" w:themeColor="text1"/>
          <w:sz w:val="24"/>
          <w:szCs w:val="24"/>
          <w:highlight w:val="none"/>
          <w14:textFill>
            <w14:solidFill>
              <w14:schemeClr w14:val="tx1"/>
            </w14:solidFill>
          </w14:textFill>
        </w:rPr>
        <w:t>。</w:t>
      </w:r>
    </w:p>
    <w:p>
      <w:pPr>
        <w:pStyle w:val="131"/>
        <w:pageBreakBefore w:val="0"/>
        <w:kinsoku/>
        <w:wordWrap/>
        <w:overflowPunct/>
        <w:topLinePunct w:val="0"/>
        <w:bidi w:val="0"/>
        <w:adjustRightInd/>
        <w:snapToGrid/>
        <w:spacing w:before="0" w:beforeLines="0" w:line="360" w:lineRule="auto"/>
        <w:ind w:left="0" w:leftChars="0"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2</w:t>
      </w:r>
      <w:r>
        <w:rPr>
          <w:rFonts w:hint="eastAsia" w:ascii="宋体" w:hAnsi="宋体" w:eastAsia="宋体" w:cs="宋体"/>
          <w:color w:val="000000" w:themeColor="text1"/>
          <w:sz w:val="24"/>
          <w:szCs w:val="24"/>
          <w:highlight w:val="none"/>
          <w:lang w:eastAsia="zh-CN"/>
          <w14:textFill>
            <w14:solidFill>
              <w14:schemeClr w14:val="tx1"/>
            </w14:solidFill>
          </w14:textFill>
        </w:rPr>
        <w:t>）供应商</w:t>
      </w:r>
      <w:r>
        <w:rPr>
          <w:rFonts w:hint="eastAsia" w:ascii="宋体" w:hAnsi="宋体" w:eastAsia="宋体" w:cs="宋体"/>
          <w:color w:val="000000" w:themeColor="text1"/>
          <w:sz w:val="24"/>
          <w:szCs w:val="24"/>
          <w:highlight w:val="none"/>
          <w14:textFill>
            <w14:solidFill>
              <w14:schemeClr w14:val="tx1"/>
            </w14:solidFill>
          </w14:textFill>
        </w:rPr>
        <w:t>应加强作业质量管理，做好作业质量自查记录，作业交接班必须在作业现场进行。</w:t>
      </w:r>
    </w:p>
    <w:p>
      <w:pPr>
        <w:pStyle w:val="131"/>
        <w:pageBreakBefore w:val="0"/>
        <w:kinsoku/>
        <w:wordWrap/>
        <w:overflowPunct/>
        <w:topLinePunct w:val="0"/>
        <w:bidi w:val="0"/>
        <w:adjustRightInd/>
        <w:snapToGrid/>
        <w:spacing w:before="0" w:beforeLines="0" w:line="360" w:lineRule="auto"/>
        <w:ind w:left="0" w:leftChars="0"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3</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规范管理，文明作业，自觉接受合同采购人及上级各部门领导的检查和社会监督，对出现的问题要及时整改。</w:t>
      </w:r>
    </w:p>
    <w:p>
      <w:pPr>
        <w:pStyle w:val="131"/>
        <w:pageBreakBefore w:val="0"/>
        <w:kinsoku/>
        <w:wordWrap/>
        <w:overflowPunct/>
        <w:topLinePunct w:val="0"/>
        <w:bidi w:val="0"/>
        <w:adjustRightInd/>
        <w:snapToGrid/>
        <w:spacing w:before="0" w:beforeLines="0" w:line="360" w:lineRule="auto"/>
        <w:ind w:left="0" w:leftChars="0"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4</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作业时应严格遵守劳动纪律，遵守安全操作规程，确保安全，发生各种意外事故由中标单位自行依照法律法规妥善处理。</w:t>
      </w:r>
    </w:p>
    <w:p>
      <w:pPr>
        <w:pStyle w:val="131"/>
        <w:pageBreakBefore w:val="0"/>
        <w:kinsoku/>
        <w:wordWrap/>
        <w:overflowPunct/>
        <w:topLinePunct w:val="0"/>
        <w:bidi w:val="0"/>
        <w:adjustRightInd/>
        <w:snapToGrid/>
        <w:spacing w:before="0" w:beforeLines="0" w:line="360" w:lineRule="auto"/>
        <w:ind w:left="0" w:leftChars="0"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5</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中标单位不得向沿街单位和个人收取任何费用。</w:t>
      </w:r>
    </w:p>
    <w:p>
      <w:pPr>
        <w:pStyle w:val="131"/>
        <w:pageBreakBefore w:val="0"/>
        <w:kinsoku/>
        <w:wordWrap/>
        <w:overflowPunct/>
        <w:topLinePunct w:val="0"/>
        <w:bidi w:val="0"/>
        <w:adjustRightInd/>
        <w:snapToGrid/>
        <w:spacing w:before="0" w:beforeLines="0" w:line="360" w:lineRule="auto"/>
        <w:ind w:left="0" w:leftChars="0"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6</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保持取水栓、果壳箱等设施的整洁完好，承包期间由于管理不善，造成破损的，由中标单位负责赔偿；对不能修复的果壳箱由中标单位负责更换。</w:t>
      </w:r>
    </w:p>
    <w:p>
      <w:pPr>
        <w:pStyle w:val="131"/>
        <w:pageBreakBefore w:val="0"/>
        <w:kinsoku/>
        <w:wordWrap/>
        <w:overflowPunct/>
        <w:topLinePunct w:val="0"/>
        <w:bidi w:val="0"/>
        <w:adjustRightInd/>
        <w:snapToGrid/>
        <w:spacing w:before="0" w:beforeLines="0" w:line="360" w:lineRule="auto"/>
        <w:ind w:left="0" w:leftChars="0"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7</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清扫保洁员上岗须统一着装，佩戴上岗证、穿反光服和戴反光帽，对发现的问题要及时整改。</w:t>
      </w:r>
    </w:p>
    <w:p>
      <w:pPr>
        <w:pStyle w:val="131"/>
        <w:pageBreakBefore w:val="0"/>
        <w:kinsoku/>
        <w:wordWrap/>
        <w:overflowPunct/>
        <w:topLinePunct w:val="0"/>
        <w:bidi w:val="0"/>
        <w:adjustRightInd/>
        <w:snapToGrid/>
        <w:spacing w:before="0" w:beforeLines="0" w:line="360" w:lineRule="auto"/>
        <w:ind w:left="0" w:leftChars="0"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8</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作业时作业车辆应停放适当地点，不影响行人和交通，收工后存放在采购人指定的停车场所进行集中管理，收工后作业工具不得</w:t>
      </w:r>
      <w:r>
        <w:rPr>
          <w:rFonts w:hint="eastAsia" w:ascii="宋体" w:hAnsi="宋体" w:cs="宋体"/>
          <w:color w:val="000000" w:themeColor="text1"/>
          <w:sz w:val="24"/>
          <w:szCs w:val="24"/>
          <w:highlight w:val="none"/>
          <w:lang w:eastAsia="zh-CN"/>
          <w14:textFill>
            <w14:solidFill>
              <w14:schemeClr w14:val="tx1"/>
            </w14:solidFill>
          </w14:textFill>
        </w:rPr>
        <w:t>放置在</w:t>
      </w:r>
      <w:r>
        <w:rPr>
          <w:rFonts w:hint="eastAsia" w:ascii="宋体" w:hAnsi="宋体" w:eastAsia="宋体" w:cs="宋体"/>
          <w:color w:val="000000" w:themeColor="text1"/>
          <w:sz w:val="24"/>
          <w:szCs w:val="24"/>
          <w:highlight w:val="none"/>
          <w14:textFill>
            <w14:solidFill>
              <w14:schemeClr w14:val="tx1"/>
            </w14:solidFill>
          </w14:textFill>
        </w:rPr>
        <w:t>绿化带等位置，放置地点由中标方自行负责。机械作业设备要求为投标路段单独专用的作业车辆。专用作业车辆要有编号，有监督电话、有负责单位、车辆停放自行负责，并按规定安装GPS。</w:t>
      </w:r>
    </w:p>
    <w:p>
      <w:pPr>
        <w:pStyle w:val="131"/>
        <w:pageBreakBefore w:val="0"/>
        <w:kinsoku/>
        <w:wordWrap/>
        <w:overflowPunct/>
        <w:topLinePunct w:val="0"/>
        <w:bidi w:val="0"/>
        <w:adjustRightInd/>
        <w:snapToGrid/>
        <w:spacing w:before="0" w:beforeLines="0" w:line="360" w:lineRule="auto"/>
        <w:ind w:left="0" w:leftChars="0"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9</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遇到乱丢、乱扔、渣土抛洒污染路面等不文明行为及时进行劝阻，并进行市容环卫法规的宣传教育，做到说话文明，以理服人，对不听劝阻造成不良影响的，应及时向合同采购人或有关部门报告。</w:t>
      </w:r>
    </w:p>
    <w:p>
      <w:pPr>
        <w:pStyle w:val="131"/>
        <w:pageBreakBefore w:val="0"/>
        <w:kinsoku/>
        <w:wordWrap/>
        <w:overflowPunct/>
        <w:topLinePunct w:val="0"/>
        <w:bidi w:val="0"/>
        <w:adjustRightInd/>
        <w:snapToGrid/>
        <w:spacing w:before="0" w:beforeLines="0" w:line="360" w:lineRule="auto"/>
        <w:ind w:left="0" w:leftChars="0"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10</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每月25日中标单位向合同采购人提交本月工作情况自查表、有关情况书面报告和下月作业安排计划。</w:t>
      </w:r>
    </w:p>
    <w:p>
      <w:pPr>
        <w:pStyle w:val="131"/>
        <w:pageBreakBefore w:val="0"/>
        <w:kinsoku/>
        <w:wordWrap/>
        <w:overflowPunct/>
        <w:topLinePunct w:val="0"/>
        <w:bidi w:val="0"/>
        <w:adjustRightInd/>
        <w:snapToGrid/>
        <w:spacing w:before="0" w:beforeLines="0" w:line="360" w:lineRule="auto"/>
        <w:ind w:left="0" w:leftChars="0" w:firstLine="480" w:firstLineChars="200"/>
        <w:jc w:val="left"/>
        <w:textAlignment w:val="auto"/>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11</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按照以人为本原则关心职工，严格遵守</w:t>
      </w:r>
      <w:r>
        <w:rPr>
          <w:rFonts w:hint="eastAsia" w:ascii="宋体" w:hAnsi="宋体" w:eastAsia="宋体" w:cs="宋体"/>
          <w:color w:val="000000" w:themeColor="text1"/>
          <w:sz w:val="24"/>
          <w:szCs w:val="24"/>
          <w:highlight w:val="none"/>
          <w:lang w:eastAsia="zh-CN"/>
          <w14:textFill>
            <w14:solidFill>
              <w14:schemeClr w14:val="tx1"/>
            </w14:solidFill>
          </w14:textFill>
        </w:rPr>
        <w:t>《中华人民共和国民法典》</w:t>
      </w:r>
      <w:r>
        <w:rPr>
          <w:rFonts w:hint="eastAsia" w:ascii="宋体" w:hAnsi="宋体" w:eastAsia="宋体" w:cs="宋体"/>
          <w:color w:val="000000" w:themeColor="text1"/>
          <w:sz w:val="24"/>
          <w:szCs w:val="24"/>
          <w:highlight w:val="none"/>
          <w14:textFill>
            <w14:solidFill>
              <w14:schemeClr w14:val="tx1"/>
            </w14:solidFill>
          </w14:textFill>
        </w:rPr>
        <w:t>等法规，保障职工合法权益，不得采用劳务派遣的用工形式。认真贯彻杭政办《浙江省人民政府办公厅关于进一步改善环卫工人工作生活条件促进环卫事业持续健康发展的若干意见》（浙政办发〔2009〕190号）和《杭州市人民政府办公厅关于进一步解决环卫工人实际困难 保障其合法权益的意见》（〔2008〕14号）文件精神，环卫工人工资不得低于杭政办《杭州市人民政府关于调整市区最低工资标准的通知》（杭政函[2021]69号）文件规定的工资标准，必须落实职工劳保福利待遇，为职工缴纳社会保险费（养老保险、医疗保险、失业保险、工伤保险和生育保险）与住房公积金，“五金一险”须在杭州本地缴纳，保障职工休息休假权利，加班必须足额支付加班费，环卫职工的工资、岗位津贴、加班工资等必须确保按月发放。如因违法、违规造成上访或群体性事件的，由中标单位负责处理，并作警告处理。发生意外事件的，需在1小时内通知采购人。如有最新文件按最新文件执行</w:t>
      </w:r>
      <w:r>
        <w:rPr>
          <w:rFonts w:hint="eastAsia" w:ascii="宋体" w:hAnsi="宋体" w:eastAsia="宋体" w:cs="宋体"/>
          <w:color w:val="000000" w:themeColor="text1"/>
          <w:sz w:val="24"/>
          <w:szCs w:val="24"/>
          <w:highlight w:val="none"/>
          <w:lang w:eastAsia="zh-CN"/>
          <w14:textFill>
            <w14:solidFill>
              <w14:schemeClr w14:val="tx1"/>
            </w14:solidFill>
          </w14:textFill>
        </w:rPr>
        <w:t>。</w:t>
      </w:r>
    </w:p>
    <w:p>
      <w:pPr>
        <w:pStyle w:val="131"/>
        <w:pageBreakBefore w:val="0"/>
        <w:kinsoku/>
        <w:wordWrap/>
        <w:overflowPunct/>
        <w:topLinePunct w:val="0"/>
        <w:bidi w:val="0"/>
        <w:adjustRightInd/>
        <w:snapToGrid/>
        <w:spacing w:before="0" w:beforeLines="0" w:line="360" w:lineRule="auto"/>
        <w:ind w:left="0" w:leftChars="0"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12</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作业人员不超过法定退休年龄，作业人员男性不得超过60周岁，女性不得超过50周岁。</w:t>
      </w:r>
    </w:p>
    <w:p>
      <w:pPr>
        <w:pStyle w:val="131"/>
        <w:pageBreakBefore w:val="0"/>
        <w:kinsoku/>
        <w:wordWrap/>
        <w:overflowPunct/>
        <w:topLinePunct w:val="0"/>
        <w:bidi w:val="0"/>
        <w:adjustRightInd/>
        <w:snapToGrid/>
        <w:spacing w:before="0" w:beforeLines="0" w:line="360" w:lineRule="auto"/>
        <w:ind w:left="0" w:leftChars="0"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13</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环卫职工的工资、岗位津贴、加班工资等必须确保按月发放。</w:t>
      </w:r>
      <w:r>
        <w:rPr>
          <w:rFonts w:hint="eastAsia" w:ascii="宋体" w:hAnsi="宋体" w:eastAsia="宋体" w:cs="宋体"/>
          <w:b/>
          <w:bCs/>
          <w:color w:val="000000" w:themeColor="text1"/>
          <w:sz w:val="24"/>
          <w:szCs w:val="24"/>
          <w:highlight w:val="none"/>
          <w14:textFill>
            <w14:solidFill>
              <w14:schemeClr w14:val="tx1"/>
            </w14:solidFill>
          </w14:textFill>
        </w:rPr>
        <w:t>本次</w:t>
      </w:r>
      <w:r>
        <w:rPr>
          <w:rFonts w:hint="eastAsia" w:ascii="宋体" w:hAnsi="宋体" w:eastAsia="宋体" w:cs="宋体"/>
          <w:b/>
          <w:bCs/>
          <w:color w:val="000000" w:themeColor="text1"/>
          <w:sz w:val="24"/>
          <w:szCs w:val="24"/>
          <w:highlight w:val="none"/>
          <w:lang w:eastAsia="zh-CN"/>
          <w14:textFill>
            <w14:solidFill>
              <w14:schemeClr w14:val="tx1"/>
            </w14:solidFill>
          </w14:textFill>
        </w:rPr>
        <w:t>采购</w:t>
      </w: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每个</w:t>
      </w:r>
      <w:r>
        <w:rPr>
          <w:rFonts w:hint="eastAsia" w:ascii="宋体" w:hAnsi="宋体" w:eastAsia="宋体" w:cs="宋体"/>
          <w:b/>
          <w:bCs/>
          <w:color w:val="000000" w:themeColor="text1"/>
          <w:sz w:val="24"/>
          <w:szCs w:val="24"/>
          <w:highlight w:val="none"/>
          <w14:textFill>
            <w14:solidFill>
              <w14:schemeClr w14:val="tx1"/>
            </w14:solidFill>
          </w14:textFill>
        </w:rPr>
        <w:t>项目要求作业期间同一时段内道路保洁作业人数</w:t>
      </w:r>
      <w:r>
        <w:rPr>
          <w:rFonts w:hint="eastAsia" w:ascii="宋体" w:hAnsi="宋体" w:cs="宋体"/>
          <w:b/>
          <w:bCs/>
          <w:color w:val="000000" w:themeColor="text1"/>
          <w:sz w:val="24"/>
          <w:szCs w:val="24"/>
          <w:highlight w:val="none"/>
          <w:lang w:eastAsia="zh-CN"/>
          <w14:textFill>
            <w14:solidFill>
              <w14:schemeClr w14:val="tx1"/>
            </w14:solidFill>
          </w14:textFill>
        </w:rPr>
        <w:t>“</w:t>
      </w:r>
      <w:r>
        <w:rPr>
          <w:rFonts w:hint="eastAsia" w:ascii="宋体" w:hAnsi="宋体" w:cs="宋体"/>
          <w:b/>
          <w:bCs/>
          <w:color w:val="000000" w:themeColor="text1"/>
          <w:sz w:val="24"/>
          <w:szCs w:val="24"/>
          <w:highlight w:val="none"/>
          <w:lang w:val="en-US" w:eastAsia="zh-CN"/>
          <w14:textFill>
            <w14:solidFill>
              <w14:schemeClr w14:val="tx1"/>
            </w14:solidFill>
          </w14:textFill>
        </w:rPr>
        <w:t>标项一</w:t>
      </w:r>
      <w:r>
        <w:rPr>
          <w:rFonts w:hint="eastAsia" w:ascii="宋体" w:hAnsi="宋体" w:cs="宋体"/>
          <w:b/>
          <w:bCs/>
          <w:color w:val="000000" w:themeColor="text1"/>
          <w:sz w:val="24"/>
          <w:szCs w:val="24"/>
          <w:highlight w:val="none"/>
          <w:lang w:eastAsia="zh-CN"/>
          <w14:textFill>
            <w14:solidFill>
              <w14:schemeClr w14:val="tx1"/>
            </w14:solidFill>
          </w14:textFill>
        </w:rPr>
        <w:t>”</w:t>
      </w:r>
      <w:r>
        <w:rPr>
          <w:rFonts w:hint="eastAsia" w:ascii="宋体" w:hAnsi="宋体" w:eastAsia="宋体" w:cs="宋体"/>
          <w:b/>
          <w:bCs/>
          <w:color w:val="000000" w:themeColor="text1"/>
          <w:sz w:val="24"/>
          <w:szCs w:val="24"/>
          <w:highlight w:val="none"/>
          <w14:textFill>
            <w14:solidFill>
              <w14:schemeClr w14:val="tx1"/>
            </w14:solidFill>
          </w14:textFill>
        </w:rPr>
        <w:t>不得少于</w:t>
      </w:r>
      <w:r>
        <w:rPr>
          <w:rFonts w:hint="eastAsia" w:ascii="宋体" w:hAnsi="宋体" w:cs="宋体"/>
          <w:b/>
          <w:bCs/>
          <w:color w:val="000000" w:themeColor="text1"/>
          <w:sz w:val="24"/>
          <w:szCs w:val="24"/>
          <w:highlight w:val="none"/>
          <w:lang w:val="en-US" w:eastAsia="zh-CN"/>
          <w14:textFill>
            <w14:solidFill>
              <w14:schemeClr w14:val="tx1"/>
            </w14:solidFill>
          </w14:textFill>
        </w:rPr>
        <w:t>86人；“标项二”不得少于120人</w:t>
      </w:r>
      <w:r>
        <w:rPr>
          <w:rFonts w:hint="eastAsia" w:ascii="宋体" w:hAnsi="宋体" w:eastAsia="宋体" w:cs="宋体"/>
          <w:color w:val="000000" w:themeColor="text1"/>
          <w:sz w:val="24"/>
          <w:szCs w:val="24"/>
          <w:highlight w:val="none"/>
          <w14:textFill>
            <w14:solidFill>
              <w14:schemeClr w14:val="tx1"/>
            </w14:solidFill>
          </w14:textFill>
        </w:rPr>
        <w:t>。本次招标要求的班组人员、机具设备固定用于本项目，不能与其它标段重复。如发有作业人员、机具在其它道路标段兼职或使用的，采购人有权解除合同。</w:t>
      </w:r>
    </w:p>
    <w:p>
      <w:pPr>
        <w:pStyle w:val="131"/>
        <w:pageBreakBefore w:val="0"/>
        <w:kinsoku/>
        <w:wordWrap/>
        <w:overflowPunct/>
        <w:topLinePunct w:val="0"/>
        <w:bidi w:val="0"/>
        <w:adjustRightInd/>
        <w:snapToGrid/>
        <w:spacing w:before="0" w:beforeLines="0" w:line="360" w:lineRule="auto"/>
        <w:ind w:left="0" w:leftChars="0"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14</w:t>
      </w:r>
      <w:r>
        <w:rPr>
          <w:rFonts w:hint="eastAsia" w:ascii="宋体" w:hAnsi="宋体" w:eastAsia="宋体" w:cs="宋体"/>
          <w:color w:val="000000" w:themeColor="text1"/>
          <w:sz w:val="24"/>
          <w:szCs w:val="24"/>
          <w:highlight w:val="none"/>
          <w:lang w:eastAsia="zh-CN"/>
          <w14:textFill>
            <w14:solidFill>
              <w14:schemeClr w14:val="tx1"/>
            </w14:solidFill>
          </w14:textFill>
        </w:rPr>
        <w:t>）供应商</w:t>
      </w:r>
      <w:r>
        <w:rPr>
          <w:rFonts w:hint="eastAsia" w:ascii="宋体" w:hAnsi="宋体" w:eastAsia="宋体" w:cs="宋体"/>
          <w:color w:val="000000" w:themeColor="text1"/>
          <w:sz w:val="24"/>
          <w:szCs w:val="24"/>
          <w:highlight w:val="none"/>
          <w14:textFill>
            <w14:solidFill>
              <w14:schemeClr w14:val="tx1"/>
            </w14:solidFill>
          </w14:textFill>
        </w:rPr>
        <w:t>不得使用消防栓取水用于环卫作业。</w:t>
      </w:r>
    </w:p>
    <w:p>
      <w:pPr>
        <w:pStyle w:val="131"/>
        <w:pageBreakBefore w:val="0"/>
        <w:kinsoku/>
        <w:wordWrap/>
        <w:overflowPunct/>
        <w:topLinePunct w:val="0"/>
        <w:bidi w:val="0"/>
        <w:adjustRightInd/>
        <w:snapToGrid/>
        <w:spacing w:before="0" w:beforeLines="0" w:line="360" w:lineRule="auto"/>
        <w:ind w:left="0" w:leftChars="0"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15</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建有工会组织，定期召开职工大会。应制定宣贯方案，确定宣贯人员，定时组织环卫行业政策法规的宣贯，做到上情下达、下情上达，保持职工队伍稳定。</w:t>
      </w:r>
    </w:p>
    <w:p>
      <w:pPr>
        <w:pStyle w:val="131"/>
        <w:pageBreakBefore w:val="0"/>
        <w:kinsoku/>
        <w:wordWrap/>
        <w:overflowPunct/>
        <w:topLinePunct w:val="0"/>
        <w:bidi w:val="0"/>
        <w:adjustRightInd/>
        <w:snapToGrid/>
        <w:spacing w:before="0" w:beforeLines="0" w:line="360" w:lineRule="auto"/>
        <w:ind w:left="0" w:leftChars="0"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16</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中标企业要求优先录用原环卫所及原</w:t>
      </w:r>
      <w:r>
        <w:rPr>
          <w:rFonts w:hint="eastAsia" w:ascii="宋体" w:hAnsi="宋体" w:eastAsia="宋体" w:cs="宋体"/>
          <w:color w:val="000000" w:themeColor="text1"/>
          <w:sz w:val="24"/>
          <w:szCs w:val="24"/>
          <w:highlight w:val="none"/>
          <w:lang w:eastAsia="zh-CN"/>
          <w14:textFill>
            <w14:solidFill>
              <w14:schemeClr w14:val="tx1"/>
            </w14:solidFill>
          </w14:textFill>
        </w:rPr>
        <w:t>供应商</w:t>
      </w:r>
      <w:r>
        <w:rPr>
          <w:rFonts w:hint="eastAsia" w:ascii="宋体" w:hAnsi="宋体" w:eastAsia="宋体" w:cs="宋体"/>
          <w:color w:val="000000" w:themeColor="text1"/>
          <w:sz w:val="24"/>
          <w:szCs w:val="24"/>
          <w:highlight w:val="none"/>
          <w14:textFill>
            <w14:solidFill>
              <w14:schemeClr w14:val="tx1"/>
            </w14:solidFill>
          </w14:textFill>
        </w:rPr>
        <w:t>的合同制环卫工人，并保证录用的原合同工在原合同期内：</w:t>
      </w:r>
      <w:r>
        <w:rPr>
          <w:rFonts w:hint="eastAsia" w:ascii="宋体" w:hAnsi="宋体" w:eastAsia="宋体" w:cs="宋体"/>
          <w:color w:val="000000" w:themeColor="text1"/>
          <w:sz w:val="24"/>
          <w:szCs w:val="24"/>
          <w:highlight w:val="none"/>
          <w:lang w:val="en-US" w:eastAsia="zh-CN"/>
          <w14:textFill>
            <w14:solidFill>
              <w14:schemeClr w14:val="tx1"/>
            </w14:solidFill>
          </w14:textFill>
        </w:rPr>
        <w:t>①</w:t>
      </w:r>
      <w:r>
        <w:rPr>
          <w:rFonts w:hint="eastAsia" w:ascii="宋体" w:hAnsi="宋体" w:eastAsia="宋体" w:cs="宋体"/>
          <w:color w:val="000000" w:themeColor="text1"/>
          <w:sz w:val="24"/>
          <w:szCs w:val="24"/>
          <w:highlight w:val="none"/>
          <w14:textFill>
            <w14:solidFill>
              <w14:schemeClr w14:val="tx1"/>
            </w14:solidFill>
          </w14:textFill>
        </w:rPr>
        <w:t>工资待遇不低于原</w:t>
      </w:r>
      <w:r>
        <w:rPr>
          <w:rFonts w:hint="eastAsia" w:ascii="宋体" w:hAnsi="宋体" w:eastAsia="宋体" w:cs="宋体"/>
          <w:color w:val="000000" w:themeColor="text1"/>
          <w:sz w:val="24"/>
          <w:szCs w:val="24"/>
          <w:highlight w:val="none"/>
          <w:lang w:eastAsia="zh-CN"/>
          <w14:textFill>
            <w14:solidFill>
              <w14:schemeClr w14:val="tx1"/>
            </w14:solidFill>
          </w14:textFill>
        </w:rPr>
        <w:t>供应商</w:t>
      </w:r>
      <w:r>
        <w:rPr>
          <w:rFonts w:hint="eastAsia" w:ascii="宋体" w:hAnsi="宋体" w:eastAsia="宋体" w:cs="宋体"/>
          <w:color w:val="000000" w:themeColor="text1"/>
          <w:sz w:val="24"/>
          <w:szCs w:val="24"/>
          <w:highlight w:val="none"/>
          <w14:textFill>
            <w14:solidFill>
              <w14:schemeClr w14:val="tx1"/>
            </w14:solidFill>
          </w14:textFill>
        </w:rPr>
        <w:t>提供的工资待遇；</w:t>
      </w:r>
      <w:r>
        <w:rPr>
          <w:rFonts w:hint="eastAsia" w:ascii="宋体" w:hAnsi="宋体" w:eastAsia="宋体" w:cs="宋体"/>
          <w:color w:val="000000" w:themeColor="text1"/>
          <w:sz w:val="24"/>
          <w:szCs w:val="24"/>
          <w:highlight w:val="none"/>
          <w:lang w:val="en-US" w:eastAsia="zh-CN"/>
          <w14:textFill>
            <w14:solidFill>
              <w14:schemeClr w14:val="tx1"/>
            </w14:solidFill>
          </w14:textFill>
        </w:rPr>
        <w:t>②</w:t>
      </w:r>
      <w:r>
        <w:rPr>
          <w:rFonts w:hint="eastAsia" w:ascii="宋体" w:hAnsi="宋体" w:eastAsia="宋体" w:cs="宋体"/>
          <w:color w:val="000000" w:themeColor="text1"/>
          <w:sz w:val="24"/>
          <w:szCs w:val="24"/>
          <w:highlight w:val="none"/>
          <w14:textFill>
            <w14:solidFill>
              <w14:schemeClr w14:val="tx1"/>
            </w14:solidFill>
          </w14:textFill>
        </w:rPr>
        <w:t>岗位不变；</w:t>
      </w:r>
      <w:r>
        <w:rPr>
          <w:rFonts w:hint="eastAsia" w:ascii="宋体" w:hAnsi="宋体" w:eastAsia="宋体" w:cs="宋体"/>
          <w:color w:val="000000" w:themeColor="text1"/>
          <w:sz w:val="24"/>
          <w:szCs w:val="24"/>
          <w:highlight w:val="none"/>
          <w:lang w:val="en-US" w:eastAsia="zh-CN"/>
          <w14:textFill>
            <w14:solidFill>
              <w14:schemeClr w14:val="tx1"/>
            </w14:solidFill>
          </w14:textFill>
        </w:rPr>
        <w:t>③</w:t>
      </w:r>
      <w:r>
        <w:rPr>
          <w:rFonts w:hint="eastAsia" w:ascii="宋体" w:hAnsi="宋体" w:eastAsia="宋体" w:cs="宋体"/>
          <w:color w:val="000000" w:themeColor="text1"/>
          <w:sz w:val="24"/>
          <w:szCs w:val="24"/>
          <w:highlight w:val="none"/>
          <w14:textFill>
            <w14:solidFill>
              <w14:schemeClr w14:val="tx1"/>
            </w14:solidFill>
          </w14:textFill>
        </w:rPr>
        <w:t>不得无故终止原合同及续签合同，否则按劳动法实行补偿或赔偿（提供书面承诺书）。</w:t>
      </w:r>
    </w:p>
    <w:p>
      <w:pPr>
        <w:pageBreakBefore w:val="0"/>
        <w:kinsoku/>
        <w:wordWrap/>
        <w:overflowPunct/>
        <w:topLinePunct w:val="0"/>
        <w:bidi w:val="0"/>
        <w:adjustRightInd/>
        <w:snapToGrid/>
        <w:spacing w:line="360" w:lineRule="auto"/>
        <w:ind w:left="0" w:leftChars="0" w:firstLine="482" w:firstLineChars="200"/>
        <w:jc w:val="left"/>
        <w:textAlignment w:val="auto"/>
        <w:outlineLvl w:val="0"/>
        <w:rPr>
          <w:rFonts w:hint="eastAsia" w:ascii="宋体" w:hAnsi="宋体" w:eastAsia="宋体" w:cs="宋体"/>
          <w:b/>
          <w:color w:val="000000" w:themeColor="text1"/>
          <w:sz w:val="24"/>
          <w:szCs w:val="24"/>
          <w:highlight w:val="none"/>
          <w14:textFill>
            <w14:solidFill>
              <w14:schemeClr w14:val="tx1"/>
            </w14:solidFill>
          </w14:textFill>
        </w:rPr>
      </w:pPr>
      <w:bookmarkStart w:id="32" w:name="_Toc19172803"/>
      <w:r>
        <w:rPr>
          <w:rFonts w:hint="eastAsia" w:ascii="宋体" w:hAnsi="宋体" w:eastAsia="宋体" w:cs="宋体"/>
          <w:b/>
          <w:bCs/>
          <w:color w:val="000000" w:themeColor="text1"/>
          <w:kern w:val="2"/>
          <w:sz w:val="24"/>
          <w:szCs w:val="24"/>
          <w:highlight w:val="none"/>
          <w:lang w:val="en-US" w:eastAsia="zh-CN" w:bidi="ar-SA"/>
          <w14:textFill>
            <w14:solidFill>
              <w14:schemeClr w14:val="tx1"/>
            </w14:solidFill>
          </w14:textFill>
        </w:rPr>
        <w:t>7、环卫其它要求</w:t>
      </w:r>
      <w:bookmarkEnd w:id="32"/>
    </w:p>
    <w:p>
      <w:pPr>
        <w:pStyle w:val="131"/>
        <w:pageBreakBefore w:val="0"/>
        <w:kinsoku/>
        <w:wordWrap/>
        <w:overflowPunct/>
        <w:topLinePunct w:val="0"/>
        <w:bidi w:val="0"/>
        <w:adjustRightInd/>
        <w:snapToGrid/>
        <w:spacing w:before="0" w:beforeLines="0" w:line="360" w:lineRule="auto"/>
        <w:ind w:left="0" w:leftChars="0"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1</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为提升作业队伍形象，作业人员服装（含帽子、雨披、雨鞋等）和作业车辆按照《关于印发杭州市城管委行业服装统一表示规范的通知》（杭城管委〔2018〕16号）要求进行统一采购，费用由中标单位列支。</w:t>
      </w:r>
    </w:p>
    <w:p>
      <w:pPr>
        <w:pStyle w:val="131"/>
        <w:pageBreakBefore w:val="0"/>
        <w:kinsoku/>
        <w:wordWrap/>
        <w:overflowPunct/>
        <w:topLinePunct w:val="0"/>
        <w:bidi w:val="0"/>
        <w:adjustRightInd/>
        <w:snapToGrid/>
        <w:spacing w:before="0" w:beforeLines="0" w:line="360" w:lineRule="auto"/>
        <w:ind w:left="0" w:leftChars="0"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2</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建立监管、养护、执法三协同管理机制，第一时间发现城市管理“序化、亮化、美化、绿化”问题，发现的问题涉及违法行为的，应及时告知采购人，微机室告知的，纳入清洁度考核；以执法查处为结案标准，通过三协同机制，提高城市管理整体水平。</w:t>
      </w:r>
    </w:p>
    <w:p>
      <w:pPr>
        <w:pStyle w:val="131"/>
        <w:pageBreakBefore w:val="0"/>
        <w:kinsoku/>
        <w:wordWrap/>
        <w:overflowPunct/>
        <w:topLinePunct w:val="0"/>
        <w:bidi w:val="0"/>
        <w:adjustRightInd/>
        <w:snapToGrid/>
        <w:spacing w:before="0" w:beforeLines="0" w:line="360" w:lineRule="auto"/>
        <w:ind w:left="0" w:leftChars="0"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3</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保洁</w:t>
      </w:r>
      <w:r>
        <w:rPr>
          <w:rFonts w:hint="eastAsia" w:ascii="宋体" w:hAnsi="宋体" w:eastAsia="宋体" w:cs="宋体"/>
          <w:color w:val="000000" w:themeColor="text1"/>
          <w:sz w:val="24"/>
          <w:szCs w:val="24"/>
          <w:highlight w:val="none"/>
          <w:lang w:eastAsia="zh-CN"/>
          <w14:textFill>
            <w14:solidFill>
              <w14:schemeClr w14:val="tx1"/>
            </w14:solidFill>
          </w14:textFill>
        </w:rPr>
        <w:t>供应商</w:t>
      </w:r>
      <w:r>
        <w:rPr>
          <w:rFonts w:hint="eastAsia" w:ascii="宋体" w:hAnsi="宋体" w:eastAsia="宋体" w:cs="宋体"/>
          <w:color w:val="000000" w:themeColor="text1"/>
          <w:sz w:val="24"/>
          <w:szCs w:val="24"/>
          <w:highlight w:val="none"/>
          <w14:textFill>
            <w14:solidFill>
              <w14:schemeClr w14:val="tx1"/>
            </w14:solidFill>
          </w14:textFill>
        </w:rPr>
        <w:t>要建立内部诚信管理体系，并定期进行备案或更新，特别是</w:t>
      </w:r>
      <w:r>
        <w:rPr>
          <w:rFonts w:hint="eastAsia" w:ascii="宋体" w:hAnsi="宋体" w:cs="宋体"/>
          <w:color w:val="000000" w:themeColor="text1"/>
          <w:sz w:val="24"/>
          <w:szCs w:val="24"/>
          <w:highlight w:val="none"/>
          <w:lang w:eastAsia="zh-CN"/>
          <w14:textFill>
            <w14:solidFill>
              <w14:schemeClr w14:val="tx1"/>
            </w14:solidFill>
          </w14:textFill>
        </w:rPr>
        <w:t>各</w:t>
      </w:r>
      <w:r>
        <w:rPr>
          <w:rFonts w:hint="eastAsia" w:ascii="宋体" w:hAnsi="宋体" w:eastAsia="宋体" w:cs="宋体"/>
          <w:color w:val="000000" w:themeColor="text1"/>
          <w:sz w:val="24"/>
          <w:szCs w:val="24"/>
          <w:highlight w:val="none"/>
          <w14:textFill>
            <w14:solidFill>
              <w14:schemeClr w14:val="tx1"/>
            </w14:solidFill>
          </w14:textFill>
        </w:rPr>
        <w:t>保洁人员发生链接、诚信、重大安全事故等方面问题，将被记录在案，同时服从采购人诚信管理要求。</w:t>
      </w:r>
    </w:p>
    <w:p>
      <w:pPr>
        <w:pStyle w:val="131"/>
        <w:pageBreakBefore w:val="0"/>
        <w:kinsoku/>
        <w:wordWrap/>
        <w:overflowPunct/>
        <w:topLinePunct w:val="0"/>
        <w:bidi w:val="0"/>
        <w:adjustRightInd/>
        <w:snapToGrid/>
        <w:spacing w:before="0" w:beforeLines="0" w:line="360" w:lineRule="auto"/>
        <w:ind w:left="0" w:leftChars="0"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4</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积极推进洁化三化四分工作：一是在环卫保洁垃圾运输、接驳车内部实行垃圾分类放置，依照统一标准设计改造作业车辆；二是可回收物统一回收至垃圾中转站内，由相关资源化再利用企业进行回收；三是落叶枝条等垃圾人工清扫统一收集，机械化清扫的车场收集，收集完毕后统一堆放，由相关资源化企业利用回收；四是保洁企业内部、各城管驿站内部严格按照垃圾分类要求开展垃圾分类工作及各项分类宣传工作，单位内部分类情况纳入企业诚信体系。</w:t>
      </w:r>
    </w:p>
    <w:p>
      <w:pPr>
        <w:pStyle w:val="8"/>
        <w:pageBreakBefore w:val="0"/>
        <w:kinsoku/>
        <w:wordWrap/>
        <w:overflowPunct/>
        <w:topLinePunct w:val="0"/>
        <w:bidi w:val="0"/>
        <w:adjustRightInd/>
        <w:snapToGrid/>
        <w:spacing w:line="360" w:lineRule="auto"/>
        <w:ind w:left="0" w:leftChars="0" w:firstLine="482" w:firstLineChars="200"/>
        <w:jc w:val="left"/>
        <w:textAlignment w:val="auto"/>
        <w:rPr>
          <w:rFonts w:hint="eastAsia" w:ascii="宋体" w:hAnsi="宋体" w:eastAsia="宋体" w:cs="宋体"/>
          <w:b/>
          <w:bCs/>
          <w:color w:val="000000" w:themeColor="text1"/>
          <w:sz w:val="24"/>
          <w:szCs w:val="24"/>
          <w:highlight w:val="none"/>
          <w:lang w:val="en-US" w:eastAsia="zh-CN"/>
          <w14:textFill>
            <w14:solidFill>
              <w14:schemeClr w14:val="tx1"/>
            </w14:solidFill>
          </w14:textFill>
        </w:rPr>
      </w:pP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三</w:t>
      </w:r>
      <w:r>
        <w:rPr>
          <w:rFonts w:hint="eastAsia" w:ascii="宋体" w:hAnsi="宋体" w:eastAsia="宋体" w:cs="宋体"/>
          <w:b/>
          <w:bCs/>
          <w:color w:val="000000" w:themeColor="text1"/>
          <w:sz w:val="24"/>
          <w:szCs w:val="24"/>
          <w:highlight w:val="none"/>
          <w14:textFill>
            <w14:solidFill>
              <w14:schemeClr w14:val="tx1"/>
            </w14:solidFill>
          </w14:textFill>
        </w:rPr>
        <w:t>、</w:t>
      </w: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项目其他要求</w:t>
      </w:r>
    </w:p>
    <w:p>
      <w:pPr>
        <w:pStyle w:val="8"/>
        <w:pageBreakBefore w:val="0"/>
        <w:kinsoku/>
        <w:wordWrap/>
        <w:overflowPunct/>
        <w:topLinePunct w:val="0"/>
        <w:bidi w:val="0"/>
        <w:adjustRightInd/>
        <w:snapToGrid/>
        <w:spacing w:line="360" w:lineRule="auto"/>
        <w:ind w:left="0" w:leftChars="0" w:firstLine="482" w:firstLineChars="200"/>
        <w:jc w:val="left"/>
        <w:textAlignment w:val="auto"/>
        <w:rPr>
          <w:rFonts w:hint="eastAsia" w:ascii="宋体" w:hAnsi="宋体" w:eastAsia="宋体" w:cs="宋体"/>
          <w:color w:val="000000" w:themeColor="text1"/>
          <w:kern w:val="0"/>
          <w:sz w:val="24"/>
          <w:szCs w:val="24"/>
          <w:highlight w:val="none"/>
          <w:lang w:val="zh-CN"/>
          <w14:textFill>
            <w14:solidFill>
              <w14:schemeClr w14:val="tx1"/>
            </w14:solidFill>
          </w14:textFill>
        </w:rPr>
      </w:pP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1、</w:t>
      </w:r>
      <w:r>
        <w:rPr>
          <w:rFonts w:hint="eastAsia" w:ascii="宋体" w:hAnsi="宋体" w:eastAsia="宋体" w:cs="宋体"/>
          <w:b/>
          <w:bCs/>
          <w:color w:val="000000" w:themeColor="text1"/>
          <w:sz w:val="24"/>
          <w:szCs w:val="24"/>
          <w:highlight w:val="none"/>
          <w:lang w:val="zh-CN"/>
          <w14:textFill>
            <w14:solidFill>
              <w14:schemeClr w14:val="tx1"/>
            </w14:solidFill>
          </w14:textFill>
        </w:rPr>
        <w:t>人员、设备配置：</w:t>
      </w:r>
    </w:p>
    <w:p>
      <w:pPr>
        <w:pageBreakBefore w:val="0"/>
        <w:widowControl/>
        <w:kinsoku/>
        <w:wordWrap/>
        <w:overflowPunct/>
        <w:topLinePunct w:val="0"/>
        <w:bidi w:val="0"/>
        <w:adjustRightInd/>
        <w:snapToGrid/>
        <w:spacing w:line="360" w:lineRule="auto"/>
        <w:ind w:left="0" w:leftChars="0" w:firstLine="480" w:firstLineChars="200"/>
        <w:jc w:val="left"/>
        <w:textAlignment w:val="auto"/>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eastAsia="zh-CN"/>
          <w14:textFill>
            <w14:solidFill>
              <w14:schemeClr w14:val="tx1"/>
            </w14:solidFill>
          </w14:textFill>
        </w:rPr>
        <w:t>（</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1</w:t>
      </w:r>
      <w:r>
        <w:rPr>
          <w:rFonts w:hint="eastAsia" w:ascii="宋体" w:hAnsi="宋体" w:eastAsia="宋体" w:cs="宋体"/>
          <w:color w:val="000000" w:themeColor="text1"/>
          <w:kern w:val="0"/>
          <w:sz w:val="24"/>
          <w:szCs w:val="24"/>
          <w:highlight w:val="none"/>
          <w:lang w:eastAsia="zh-CN"/>
          <w14:textFill>
            <w14:solidFill>
              <w14:schemeClr w14:val="tx1"/>
            </w14:solidFill>
          </w14:textFill>
        </w:rPr>
        <w:t>）</w:t>
      </w:r>
      <w:r>
        <w:rPr>
          <w:rFonts w:hint="eastAsia" w:ascii="宋体" w:hAnsi="宋体" w:eastAsia="宋体" w:cs="宋体"/>
          <w:color w:val="000000" w:themeColor="text1"/>
          <w:kern w:val="0"/>
          <w:sz w:val="24"/>
          <w:szCs w:val="24"/>
          <w:highlight w:val="none"/>
          <w14:textFill>
            <w14:solidFill>
              <w14:schemeClr w14:val="tx1"/>
            </w14:solidFill>
          </w14:textFill>
        </w:rPr>
        <w:t>道路养护班组：</w:t>
      </w:r>
    </w:p>
    <w:p>
      <w:pPr>
        <w:pageBreakBefore w:val="0"/>
        <w:widowControl/>
        <w:kinsoku/>
        <w:wordWrap/>
        <w:overflowPunct/>
        <w:topLinePunct w:val="0"/>
        <w:bidi w:val="0"/>
        <w:adjustRightInd/>
        <w:snapToGrid/>
        <w:spacing w:line="360" w:lineRule="auto"/>
        <w:ind w:left="0" w:leftChars="0" w:firstLine="480" w:firstLineChars="200"/>
        <w:jc w:val="left"/>
        <w:textAlignment w:val="auto"/>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标项一（临丁路）：道路养护按要求配备2个沥青班组人员（每个班组 8 人）、 3 个人行道班组（每个班组  4 人）；</w:t>
      </w:r>
    </w:p>
    <w:p>
      <w:pPr>
        <w:adjustRightInd/>
        <w:spacing w:line="312" w:lineRule="auto"/>
        <w:ind w:firstLine="480" w:firstLineChars="200"/>
        <w:jc w:val="left"/>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标项二（东新路）：道路养护按要求配备2个沥青班组人员（每个班组 8 人）、 3 个人行道班组（每个班组  4 人）。</w:t>
      </w:r>
    </w:p>
    <w:p>
      <w:pPr>
        <w:pageBreakBefore w:val="0"/>
        <w:widowControl/>
        <w:kinsoku/>
        <w:wordWrap/>
        <w:overflowPunct/>
        <w:topLinePunct w:val="0"/>
        <w:bidi w:val="0"/>
        <w:adjustRightInd/>
        <w:snapToGrid/>
        <w:spacing w:line="360" w:lineRule="auto"/>
        <w:ind w:left="0" w:leftChars="0" w:firstLine="480" w:firstLineChars="200"/>
        <w:jc w:val="left"/>
        <w:textAlignment w:val="auto"/>
        <w:rPr>
          <w:rFonts w:hint="eastAsia" w:ascii="宋体" w:hAnsi="宋体" w:eastAsia="宋体" w:cs="宋体"/>
          <w:color w:val="000000" w:themeColor="text1"/>
          <w:kern w:val="2"/>
          <w:sz w:val="24"/>
          <w:szCs w:val="24"/>
          <w:highlight w:val="none"/>
          <w:lang w:val="zh-CN" w:eastAsia="zh-CN" w:bidi="ar-SA"/>
          <w14:textFill>
            <w14:solidFill>
              <w14:schemeClr w14:val="tx1"/>
            </w14:solidFill>
          </w14:textFill>
        </w:rPr>
      </w:pP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（2）投入本项目的设备按要求配备</w:t>
      </w:r>
      <w:r>
        <w:rPr>
          <w:rFonts w:hint="eastAsia" w:ascii="宋体" w:hAnsi="宋体" w:eastAsia="宋体" w:cs="宋体"/>
          <w:color w:val="000000" w:themeColor="text1"/>
          <w:kern w:val="2"/>
          <w:sz w:val="24"/>
          <w:szCs w:val="24"/>
          <w:highlight w:val="none"/>
          <w:lang w:val="zh-CN" w:eastAsia="zh-CN" w:bidi="ar-SA"/>
          <w14:textFill>
            <w14:solidFill>
              <w14:schemeClr w14:val="tx1"/>
            </w14:solidFill>
          </w14:textFill>
        </w:rPr>
        <w:t>。</w:t>
      </w:r>
    </w:p>
    <w:p>
      <w:pPr>
        <w:adjustRightInd/>
        <w:spacing w:line="312" w:lineRule="auto"/>
        <w:ind w:firstLine="480" w:firstLineChars="200"/>
        <w:jc w:val="left"/>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①拟投入本项目每个标项的道路养护基础设备为两辆智慧巡检车</w:t>
      </w:r>
      <w:r>
        <w:rPr>
          <w:rFonts w:hint="eastAsia" w:ascii="宋体" w:hAnsi="宋体" w:cs="宋体"/>
          <w:color w:val="000000" w:themeColor="text1"/>
          <w:kern w:val="2"/>
          <w:sz w:val="24"/>
          <w:szCs w:val="24"/>
          <w:highlight w:val="none"/>
          <w:lang w:val="en-US" w:eastAsia="zh-CN" w:bidi="ar-SA"/>
          <w14:textFill>
            <w14:solidFill>
              <w14:schemeClr w14:val="tx1"/>
            </w14:solidFill>
          </w14:textFill>
        </w:rPr>
        <w:t>且数据接入“智慧市政”系统、</w:t>
      </w: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压路机、摊铺机、铣刨机、沥青保温车、装载车（货车）且必须为自有。供应商在投标时承诺的基础设备和以外的额外设备</w:t>
      </w:r>
      <w:r>
        <w:rPr>
          <w:rFonts w:hint="eastAsia" w:ascii="宋体" w:hAnsi="宋体" w:eastAsia="宋体" w:cs="宋体"/>
          <w:color w:val="000000" w:themeColor="text1"/>
          <w:kern w:val="2"/>
          <w:sz w:val="24"/>
          <w:szCs w:val="24"/>
          <w:highlight w:val="none"/>
          <w:lang w:val="zh-CN" w:eastAsia="zh-CN" w:bidi="ar-SA"/>
          <w14:textFill>
            <w14:solidFill>
              <w14:schemeClr w14:val="tx1"/>
            </w14:solidFill>
          </w14:textFill>
        </w:rPr>
        <w:t>需固定为本项目服务（</w:t>
      </w: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基础+额外</w:t>
      </w:r>
      <w:r>
        <w:rPr>
          <w:rFonts w:hint="eastAsia" w:ascii="宋体" w:hAnsi="宋体" w:eastAsia="宋体" w:cs="宋体"/>
          <w:color w:val="000000" w:themeColor="text1"/>
          <w:kern w:val="2"/>
          <w:sz w:val="24"/>
          <w:szCs w:val="24"/>
          <w:highlight w:val="none"/>
          <w:lang w:val="zh-CN" w:eastAsia="zh-CN" w:bidi="ar-SA"/>
          <w14:textFill>
            <w14:solidFill>
              <w14:schemeClr w14:val="tx1"/>
            </w14:solidFill>
          </w14:textFill>
        </w:rPr>
        <w:t>）。若养护单位需调整、更换车辆设备，必须经区级管理部门同意后，方可调整，同时向市级监管部门备案。</w:t>
      </w:r>
    </w:p>
    <w:p>
      <w:pPr>
        <w:adjustRightInd/>
        <w:spacing w:line="312" w:lineRule="auto"/>
        <w:ind w:firstLine="480" w:firstLineChars="200"/>
        <w:jc w:val="left"/>
        <w:rPr>
          <w:rFonts w:hint="eastAsia" w:ascii="宋体" w:hAnsi="宋体" w:eastAsia="宋体" w:cs="宋体"/>
          <w:color w:val="000000" w:themeColor="text1"/>
          <w:kern w:val="2"/>
          <w:sz w:val="24"/>
          <w:szCs w:val="24"/>
          <w:highlight w:val="none"/>
          <w:lang w:val="zh-CN" w:eastAsia="zh-CN" w:bidi="ar-SA"/>
          <w14:textFill>
            <w14:solidFill>
              <w14:schemeClr w14:val="tx1"/>
            </w14:solidFill>
          </w14:textFill>
        </w:rPr>
      </w:pP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②</w:t>
      </w:r>
      <w:r>
        <w:rPr>
          <w:rFonts w:hint="eastAsia" w:ascii="宋体" w:hAnsi="宋体" w:eastAsia="宋体" w:cs="宋体"/>
          <w:color w:val="000000" w:themeColor="text1"/>
          <w:kern w:val="2"/>
          <w:sz w:val="24"/>
          <w:szCs w:val="24"/>
          <w:highlight w:val="none"/>
          <w:lang w:val="zh-CN" w:eastAsia="zh-CN" w:bidi="ar-SA"/>
          <w14:textFill>
            <w14:solidFill>
              <w14:schemeClr w14:val="tx1"/>
            </w14:solidFill>
          </w14:textFill>
        </w:rPr>
        <w:t>环卫保洁设备</w:t>
      </w:r>
    </w:p>
    <w:p>
      <w:pPr>
        <w:adjustRightInd/>
        <w:spacing w:line="312" w:lineRule="auto"/>
        <w:ind w:firstLine="480" w:firstLineChars="200"/>
        <w:jc w:val="left"/>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4"/>
          <w:szCs w:val="24"/>
          <w:highlight w:val="none"/>
          <w:lang w:val="zh-CN" w:eastAsia="zh-CN" w:bidi="ar-SA"/>
          <w14:textFill>
            <w14:solidFill>
              <w14:schemeClr w14:val="tx1"/>
            </w14:solidFill>
          </w14:textFill>
        </w:rPr>
        <w:t>拟投入本项目</w:t>
      </w: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每个标项的环卫保洁基础设备为机扫车2辆/洒水车2辆/高压清洗车1辆/三合一洗扫吸车1辆/双向护栏擦（清）洗车1辆/机动车道巡回保洁皮卡车（行驶证上的使用性质为工程抢（救）险）3辆且必须为自有。供应商在投标时承诺的基础设备和以外的额外设备</w:t>
      </w:r>
      <w:r>
        <w:rPr>
          <w:rFonts w:hint="eastAsia" w:ascii="宋体" w:hAnsi="宋体" w:eastAsia="宋体" w:cs="宋体"/>
          <w:color w:val="000000" w:themeColor="text1"/>
          <w:kern w:val="2"/>
          <w:sz w:val="24"/>
          <w:szCs w:val="24"/>
          <w:highlight w:val="none"/>
          <w:lang w:val="zh-CN" w:eastAsia="zh-CN" w:bidi="ar-SA"/>
          <w14:textFill>
            <w14:solidFill>
              <w14:schemeClr w14:val="tx1"/>
            </w14:solidFill>
          </w14:textFill>
        </w:rPr>
        <w:t>需固定为本项目服务（</w:t>
      </w: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基础+额外</w:t>
      </w:r>
      <w:r>
        <w:rPr>
          <w:rFonts w:hint="eastAsia" w:ascii="宋体" w:hAnsi="宋体" w:eastAsia="宋体" w:cs="宋体"/>
          <w:color w:val="000000" w:themeColor="text1"/>
          <w:kern w:val="2"/>
          <w:sz w:val="24"/>
          <w:szCs w:val="24"/>
          <w:highlight w:val="none"/>
          <w:lang w:val="zh-CN" w:eastAsia="zh-CN" w:bidi="ar-SA"/>
          <w14:textFill>
            <w14:solidFill>
              <w14:schemeClr w14:val="tx1"/>
            </w14:solidFill>
          </w14:textFill>
        </w:rPr>
        <w:t>）。</w:t>
      </w:r>
    </w:p>
    <w:p>
      <w:pPr>
        <w:pageBreakBefore w:val="0"/>
        <w:kinsoku/>
        <w:wordWrap/>
        <w:overflowPunct/>
        <w:topLinePunct w:val="0"/>
        <w:bidi w:val="0"/>
        <w:adjustRightInd/>
        <w:snapToGrid/>
        <w:spacing w:line="360" w:lineRule="auto"/>
        <w:ind w:left="0" w:leftChars="0" w:firstLine="482" w:firstLineChars="200"/>
        <w:jc w:val="left"/>
        <w:textAlignment w:val="auto"/>
        <w:rPr>
          <w:rFonts w:hint="eastAsia"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2、</w:t>
      </w:r>
      <w:r>
        <w:rPr>
          <w:rFonts w:hint="eastAsia" w:ascii="宋体" w:hAnsi="宋体" w:eastAsia="宋体" w:cs="宋体"/>
          <w:b/>
          <w:bCs/>
          <w:color w:val="000000" w:themeColor="text1"/>
          <w:sz w:val="24"/>
          <w:szCs w:val="24"/>
          <w:highlight w:val="none"/>
          <w:lang w:val="zh-CN"/>
          <w14:textFill>
            <w14:solidFill>
              <w14:schemeClr w14:val="tx1"/>
            </w14:solidFill>
          </w14:textFill>
        </w:rPr>
        <w:t>应急保障措施：</w:t>
      </w:r>
    </w:p>
    <w:p>
      <w:pPr>
        <w:pageBreakBefore w:val="0"/>
        <w:widowControl/>
        <w:kinsoku/>
        <w:wordWrap/>
        <w:overflowPunct/>
        <w:topLinePunct w:val="0"/>
        <w:bidi w:val="0"/>
        <w:adjustRightInd/>
        <w:snapToGrid/>
        <w:spacing w:line="360" w:lineRule="auto"/>
        <w:ind w:left="0" w:leftChars="0" w:firstLine="480" w:firstLineChars="200"/>
        <w:jc w:val="left"/>
        <w:textAlignment w:val="auto"/>
        <w:rPr>
          <w:rFonts w:hint="eastAsia" w:ascii="宋体" w:hAnsi="宋体" w:eastAsia="宋体" w:cs="宋体"/>
          <w:color w:val="000000" w:themeColor="text1"/>
          <w:kern w:val="0"/>
          <w:sz w:val="24"/>
          <w:szCs w:val="24"/>
          <w:highlight w:val="none"/>
          <w:lang w:val="zh-CN"/>
          <w14:textFill>
            <w14:solidFill>
              <w14:schemeClr w14:val="tx1"/>
            </w14:solidFill>
          </w14:textFill>
        </w:rPr>
      </w:pPr>
      <w:r>
        <w:rPr>
          <w:rFonts w:hint="eastAsia" w:ascii="宋体" w:hAnsi="宋体" w:eastAsia="宋体" w:cs="宋体"/>
          <w:color w:val="000000" w:themeColor="text1"/>
          <w:kern w:val="0"/>
          <w:sz w:val="24"/>
          <w:szCs w:val="24"/>
          <w:highlight w:val="none"/>
          <w:lang w:val="zh-CN"/>
          <w14:textFill>
            <w14:solidFill>
              <w14:schemeClr w14:val="tx1"/>
            </w14:solidFill>
          </w14:textFill>
        </w:rPr>
        <w:t>防汛防台、抗雪防冻、突发事件应急处理及重大活动保障等服务。</w:t>
      </w:r>
    </w:p>
    <w:p>
      <w:pPr>
        <w:pStyle w:val="6"/>
        <w:pageBreakBefore w:val="0"/>
        <w:kinsoku/>
        <w:wordWrap/>
        <w:overflowPunct/>
        <w:topLinePunct w:val="0"/>
        <w:bidi w:val="0"/>
        <w:adjustRightInd/>
        <w:snapToGrid/>
        <w:spacing w:line="360" w:lineRule="auto"/>
        <w:ind w:left="0" w:leftChars="0" w:firstLine="482" w:firstLineChars="200"/>
        <w:jc w:val="left"/>
        <w:textAlignment w:val="auto"/>
        <w:rPr>
          <w:rFonts w:hint="eastAsia" w:ascii="宋体" w:hAnsi="宋体" w:eastAsia="宋体" w:cs="宋体"/>
          <w:snapToGrid w:val="0"/>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3、</w:t>
      </w:r>
      <w:r>
        <w:rPr>
          <w:rFonts w:hint="eastAsia" w:ascii="宋体" w:hAnsi="宋体" w:eastAsia="宋体" w:cs="宋体"/>
          <w:snapToGrid w:val="0"/>
          <w:color w:val="000000" w:themeColor="text1"/>
          <w:sz w:val="24"/>
          <w:szCs w:val="24"/>
          <w:highlight w:val="none"/>
          <w14:textFill>
            <w14:solidFill>
              <w14:schemeClr w14:val="tx1"/>
            </w14:solidFill>
          </w14:textFill>
        </w:rPr>
        <w:t>验收方式</w:t>
      </w:r>
    </w:p>
    <w:p>
      <w:pPr>
        <w:pageBreakBefore w:val="0"/>
        <w:widowControl/>
        <w:kinsoku/>
        <w:wordWrap/>
        <w:overflowPunct/>
        <w:topLinePunct w:val="0"/>
        <w:bidi w:val="0"/>
        <w:adjustRightInd/>
        <w:snapToGrid/>
        <w:spacing w:line="360" w:lineRule="auto"/>
        <w:ind w:left="0" w:leftChars="0" w:firstLine="480" w:firstLineChars="200"/>
        <w:jc w:val="left"/>
        <w:textAlignment w:val="auto"/>
        <w:rPr>
          <w:rFonts w:hint="eastAsia" w:ascii="宋体" w:hAnsi="宋体" w:eastAsia="宋体" w:cs="宋体"/>
          <w:color w:val="000000" w:themeColor="text1"/>
          <w:kern w:val="0"/>
          <w:sz w:val="24"/>
          <w:szCs w:val="24"/>
          <w:highlight w:val="none"/>
          <w:lang w:val="zh-CN"/>
          <w14:textFill>
            <w14:solidFill>
              <w14:schemeClr w14:val="tx1"/>
            </w14:solidFill>
          </w14:textFill>
        </w:rPr>
      </w:pPr>
      <w:r>
        <w:rPr>
          <w:rFonts w:hint="eastAsia" w:ascii="宋体" w:hAnsi="宋体" w:eastAsia="宋体" w:cs="宋体"/>
          <w:color w:val="000000" w:themeColor="text1"/>
          <w:kern w:val="0"/>
          <w:sz w:val="24"/>
          <w:szCs w:val="24"/>
          <w:highlight w:val="none"/>
          <w:lang w:val="zh-CN"/>
          <w14:textFill>
            <w14:solidFill>
              <w14:schemeClr w14:val="tx1"/>
            </w14:solidFill>
          </w14:textFill>
        </w:rPr>
        <w:t>按照《杭州市政府采购履约验收暂行办法》（杭财采监〔2019〕10号）文件规定，做好履约验收相关工作，检测成果需达到国家相关验收标准。若一次验收不通过，再次验收产生的费用由供应商承担。</w:t>
      </w:r>
    </w:p>
    <w:p>
      <w:pPr>
        <w:pageBreakBefore w:val="0"/>
        <w:kinsoku/>
        <w:wordWrap/>
        <w:overflowPunct/>
        <w:topLinePunct w:val="0"/>
        <w:bidi w:val="0"/>
        <w:adjustRightInd/>
        <w:snapToGrid/>
        <w:spacing w:line="360" w:lineRule="auto"/>
        <w:ind w:left="0" w:leftChars="0" w:firstLine="482" w:firstLineChars="200"/>
        <w:jc w:val="left"/>
        <w:textAlignment w:val="auto"/>
        <w:rPr>
          <w:rFonts w:hint="eastAsia" w:ascii="宋体" w:hAnsi="宋体" w:eastAsia="宋体" w:cs="宋体"/>
          <w:b/>
          <w:bCs/>
          <w:color w:val="000000" w:themeColor="text1"/>
          <w:sz w:val="24"/>
          <w:szCs w:val="24"/>
          <w:highlight w:val="none"/>
          <w:lang w:val="zh-CN"/>
          <w14:textFill>
            <w14:solidFill>
              <w14:schemeClr w14:val="tx1"/>
            </w14:solidFill>
          </w14:textFill>
        </w:rPr>
      </w:pP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4、雨（污）水检查井盖的日常管理工作</w:t>
      </w:r>
    </w:p>
    <w:p>
      <w:pPr>
        <w:pageBreakBefore w:val="0"/>
        <w:widowControl/>
        <w:kinsoku/>
        <w:wordWrap/>
        <w:overflowPunct/>
        <w:topLinePunct w:val="0"/>
        <w:bidi w:val="0"/>
        <w:adjustRightInd/>
        <w:snapToGrid/>
        <w:spacing w:line="360" w:lineRule="auto"/>
        <w:ind w:left="0" w:leftChars="0" w:firstLine="480" w:firstLineChars="200"/>
        <w:jc w:val="left"/>
        <w:textAlignment w:val="auto"/>
        <w:rPr>
          <w:rFonts w:hint="eastAsia" w:ascii="宋体" w:hAnsi="宋体" w:eastAsia="宋体" w:cs="宋体"/>
          <w:color w:val="000000" w:themeColor="text1"/>
          <w:kern w:val="0"/>
          <w:sz w:val="24"/>
          <w:szCs w:val="24"/>
          <w:highlight w:val="none"/>
          <w:lang w:val="zh-CN"/>
          <w14:textFill>
            <w14:solidFill>
              <w14:schemeClr w14:val="tx1"/>
            </w14:solidFill>
          </w14:textFill>
        </w:rPr>
      </w:pPr>
      <w:r>
        <w:rPr>
          <w:rFonts w:hint="eastAsia" w:ascii="宋体" w:hAnsi="宋体" w:eastAsia="宋体" w:cs="宋体"/>
          <w:color w:val="000000" w:themeColor="text1"/>
          <w:kern w:val="0"/>
          <w:sz w:val="24"/>
          <w:szCs w:val="24"/>
          <w:highlight w:val="none"/>
          <w:lang w:val="zh-CN"/>
          <w14:textFill>
            <w14:solidFill>
              <w14:schemeClr w14:val="tx1"/>
            </w14:solidFill>
          </w14:textFill>
        </w:rPr>
        <w:t>1、承担养护范围内的雨（污）水检查井盖的日常管理工作(包括窨井盖补盖工作)。对养护范围内的其他窨井盖，如接到举报或发现窨井盖缺失，应在1小时内用备用井盖覆盖，确保行人、车辆安全，再查找产权单位；</w:t>
      </w:r>
      <w:bookmarkStart w:id="33" w:name="_Hlk117694529"/>
      <w:r>
        <w:rPr>
          <w:rFonts w:hint="eastAsia" w:ascii="宋体" w:hAnsi="宋体" w:eastAsia="宋体" w:cs="宋体"/>
          <w:color w:val="000000" w:themeColor="text1"/>
          <w:kern w:val="0"/>
          <w:sz w:val="24"/>
          <w:szCs w:val="24"/>
          <w:highlight w:val="none"/>
          <w:lang w:val="zh-CN"/>
          <w14:textFill>
            <w14:solidFill>
              <w14:schemeClr w14:val="tx1"/>
            </w14:solidFill>
          </w14:textFill>
        </w:rPr>
        <w:t>对道路上确认无主认领、存在安全隐患的检查井予以填埋</w:t>
      </w:r>
      <w:bookmarkEnd w:id="33"/>
      <w:r>
        <w:rPr>
          <w:rFonts w:hint="eastAsia" w:ascii="宋体" w:hAnsi="宋体" w:eastAsia="宋体" w:cs="宋体"/>
          <w:color w:val="000000" w:themeColor="text1"/>
          <w:kern w:val="0"/>
          <w:sz w:val="24"/>
          <w:szCs w:val="24"/>
          <w:highlight w:val="none"/>
          <w:lang w:val="zh-CN"/>
          <w14:textFill>
            <w14:solidFill>
              <w14:schemeClr w14:val="tx1"/>
            </w14:solidFill>
          </w14:textFill>
        </w:rPr>
        <w:t>；其余按《杭州市地下管线盖板管理办法》及有关文件、规定执行。</w:t>
      </w:r>
    </w:p>
    <w:p>
      <w:pPr>
        <w:pageBreakBefore w:val="0"/>
        <w:widowControl/>
        <w:kinsoku/>
        <w:wordWrap/>
        <w:overflowPunct/>
        <w:topLinePunct w:val="0"/>
        <w:bidi w:val="0"/>
        <w:adjustRightInd/>
        <w:snapToGrid/>
        <w:spacing w:line="360" w:lineRule="auto"/>
        <w:ind w:left="0" w:leftChars="0" w:firstLine="480" w:firstLineChars="200"/>
        <w:jc w:val="left"/>
        <w:textAlignment w:val="auto"/>
        <w:rPr>
          <w:rFonts w:hint="eastAsia" w:ascii="宋体" w:hAnsi="宋体" w:eastAsia="宋体" w:cs="宋体"/>
          <w:color w:val="000000" w:themeColor="text1"/>
          <w:kern w:val="0"/>
          <w:sz w:val="24"/>
          <w:szCs w:val="24"/>
          <w:highlight w:val="none"/>
          <w:lang w:val="zh-CN"/>
          <w14:textFill>
            <w14:solidFill>
              <w14:schemeClr w14:val="tx1"/>
            </w14:solidFill>
          </w14:textFill>
        </w:rPr>
      </w:pPr>
      <w:r>
        <w:rPr>
          <w:rFonts w:hint="eastAsia" w:ascii="宋体" w:hAnsi="宋体" w:eastAsia="宋体" w:cs="宋体"/>
          <w:color w:val="000000" w:themeColor="text1"/>
          <w:kern w:val="0"/>
          <w:sz w:val="24"/>
          <w:szCs w:val="24"/>
          <w:highlight w:val="none"/>
          <w:lang w:val="zh-CN"/>
          <w14:textFill>
            <w14:solidFill>
              <w14:schemeClr w14:val="tx1"/>
            </w14:solidFill>
          </w14:textFill>
        </w:rPr>
        <w:t>2、为进一步保障职工合法权益，按照《关于进一步落实好城管一线职工待遇的通知》（杭城管局〔2019〕103号）文件精神，落实职工待遇，在投标文件中须明确对职工工资、福利待遇等到位情况的要求，若出现集体上访事件，对中标单位作出相应处罚。</w:t>
      </w:r>
    </w:p>
    <w:p>
      <w:pPr>
        <w:pageBreakBefore w:val="0"/>
        <w:widowControl/>
        <w:kinsoku/>
        <w:wordWrap/>
        <w:overflowPunct/>
        <w:topLinePunct w:val="0"/>
        <w:bidi w:val="0"/>
        <w:adjustRightInd/>
        <w:snapToGrid/>
        <w:spacing w:line="360" w:lineRule="auto"/>
        <w:ind w:left="0" w:leftChars="0" w:firstLine="480" w:firstLineChars="200"/>
        <w:jc w:val="left"/>
        <w:textAlignment w:val="auto"/>
        <w:rPr>
          <w:rFonts w:hint="eastAsia" w:ascii="宋体" w:hAnsi="宋体" w:eastAsia="宋体" w:cs="宋体"/>
          <w:snapToGrid w:val="0"/>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3、</w:t>
      </w:r>
      <w:r>
        <w:rPr>
          <w:rFonts w:hint="eastAsia" w:ascii="宋体" w:hAnsi="宋体" w:eastAsia="宋体" w:cs="宋体"/>
          <w:snapToGrid w:val="0"/>
          <w:color w:val="000000" w:themeColor="text1"/>
          <w:sz w:val="24"/>
          <w:szCs w:val="24"/>
          <w:highlight w:val="none"/>
          <w14:textFill>
            <w14:solidFill>
              <w14:schemeClr w14:val="tx1"/>
            </w14:solidFill>
          </w14:textFill>
        </w:rPr>
        <w:t>城市桥梁护栏升级改造、桥头跳车整治要满足省市标准要求。</w:t>
      </w:r>
    </w:p>
    <w:p>
      <w:pPr>
        <w:pageBreakBefore w:val="0"/>
        <w:kinsoku/>
        <w:wordWrap/>
        <w:overflowPunct/>
        <w:topLinePunct w:val="0"/>
        <w:bidi w:val="0"/>
        <w:adjustRightInd/>
        <w:snapToGrid/>
        <w:spacing w:line="360" w:lineRule="auto"/>
        <w:ind w:left="0" w:leftChars="0" w:firstLine="482" w:firstLineChars="200"/>
        <w:jc w:val="left"/>
        <w:textAlignment w:val="auto"/>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四、</w:t>
      </w:r>
      <w:r>
        <w:rPr>
          <w:rFonts w:hint="eastAsia" w:ascii="宋体" w:hAnsi="宋体" w:eastAsia="宋体" w:cs="宋体"/>
          <w:b/>
          <w:bCs/>
          <w:color w:val="000000" w:themeColor="text1"/>
          <w:sz w:val="24"/>
          <w:szCs w:val="24"/>
          <w:highlight w:val="none"/>
          <w14:textFill>
            <w14:solidFill>
              <w14:schemeClr w14:val="tx1"/>
            </w14:solidFill>
          </w14:textFill>
        </w:rPr>
        <w:t>商务要求</w:t>
      </w:r>
    </w:p>
    <w:p>
      <w:pPr>
        <w:pageBreakBefore w:val="0"/>
        <w:kinsoku/>
        <w:wordWrap/>
        <w:overflowPunct/>
        <w:topLinePunct w:val="0"/>
        <w:bidi w:val="0"/>
        <w:adjustRightInd/>
        <w:snapToGrid/>
        <w:spacing w:line="360" w:lineRule="auto"/>
        <w:ind w:left="0" w:leftChars="0" w:firstLine="482"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1</w:t>
      </w:r>
      <w:r>
        <w:rPr>
          <w:rFonts w:hint="eastAsia" w:ascii="宋体" w:hAnsi="宋体" w:eastAsia="宋体" w:cs="宋体"/>
          <w:b/>
          <w:bCs/>
          <w:color w:val="000000" w:themeColor="text1"/>
          <w:sz w:val="24"/>
          <w:szCs w:val="24"/>
          <w:highlight w:val="none"/>
          <w14:textFill>
            <w14:solidFill>
              <w14:schemeClr w14:val="tx1"/>
            </w14:solidFill>
          </w14:textFill>
        </w:rPr>
        <w:t>、报价要求</w:t>
      </w:r>
    </w:p>
    <w:p>
      <w:pPr>
        <w:pStyle w:val="2"/>
        <w:pageBreakBefore w:val="0"/>
        <w:kinsoku/>
        <w:wordWrap/>
        <w:overflowPunct/>
        <w:topLinePunct w:val="0"/>
        <w:bidi w:val="0"/>
        <w:adjustRightInd/>
        <w:snapToGrid/>
        <w:spacing w:line="360" w:lineRule="auto"/>
        <w:ind w:left="0" w:leftChars="0" w:firstLine="482" w:firstLineChars="200"/>
        <w:jc w:val="left"/>
        <w:textAlignment w:val="auto"/>
        <w:rPr>
          <w:rFonts w:hint="eastAsia" w:ascii="宋体" w:hAnsi="宋体" w:eastAsia="宋体" w:cs="宋体"/>
          <w:b/>
          <w:bCs/>
          <w:color w:val="000000" w:themeColor="text1"/>
          <w:sz w:val="24"/>
          <w:szCs w:val="24"/>
          <w:highlight w:val="none"/>
          <w:u w:val="single"/>
          <w:lang w:val="en-US"/>
          <w14:textFill>
            <w14:solidFill>
              <w14:schemeClr w14:val="tx1"/>
            </w14:solidFill>
          </w14:textFill>
        </w:rPr>
      </w:pPr>
      <w:r>
        <w:rPr>
          <w:rFonts w:hint="eastAsia" w:ascii="宋体" w:hAnsi="宋体" w:eastAsia="宋体" w:cs="宋体"/>
          <w:b/>
          <w:bCs/>
          <w:color w:val="000000" w:themeColor="text1"/>
          <w:sz w:val="24"/>
          <w:szCs w:val="24"/>
          <w:highlight w:val="none"/>
          <w:u w:val="single"/>
          <w:lang w:val="en-US"/>
          <w14:textFill>
            <w14:solidFill>
              <w14:schemeClr w14:val="tx1"/>
            </w14:solidFill>
          </w14:textFill>
        </w:rPr>
        <w:t>▲报价应包括为完成本项目内容可能发生的全部费用及</w:t>
      </w:r>
      <w:r>
        <w:rPr>
          <w:rFonts w:hint="eastAsia" w:ascii="宋体" w:hAnsi="宋体" w:eastAsia="宋体" w:cs="宋体"/>
          <w:b/>
          <w:bCs/>
          <w:color w:val="000000" w:themeColor="text1"/>
          <w:sz w:val="24"/>
          <w:szCs w:val="24"/>
          <w:highlight w:val="none"/>
          <w:u w:val="single"/>
          <w:lang w:val="en-US" w:eastAsia="zh-CN"/>
          <w14:textFill>
            <w14:solidFill>
              <w14:schemeClr w14:val="tx1"/>
            </w14:solidFill>
          </w14:textFill>
        </w:rPr>
        <w:t>供应商</w:t>
      </w:r>
      <w:r>
        <w:rPr>
          <w:rFonts w:hint="eastAsia" w:ascii="宋体" w:hAnsi="宋体" w:eastAsia="宋体" w:cs="宋体"/>
          <w:b/>
          <w:bCs/>
          <w:color w:val="000000" w:themeColor="text1"/>
          <w:sz w:val="24"/>
          <w:szCs w:val="24"/>
          <w:highlight w:val="none"/>
          <w:u w:val="single"/>
          <w:lang w:val="en-US"/>
          <w14:textFill>
            <w14:solidFill>
              <w14:schemeClr w14:val="tx1"/>
            </w14:solidFill>
          </w14:textFill>
        </w:rPr>
        <w:t>的利润和应交纳的税金等（包括人员工资、各种社会保险费、机械及工具、办公费、设备使用费、后续服务费、售后服务费等等）。所有与本次项目相关的费用均在合同总价中考虑，甲方不再承担任何费用。</w:t>
      </w:r>
    </w:p>
    <w:p>
      <w:pPr>
        <w:pStyle w:val="2"/>
        <w:pageBreakBefore w:val="0"/>
        <w:kinsoku/>
        <w:wordWrap/>
        <w:overflowPunct/>
        <w:topLinePunct w:val="0"/>
        <w:bidi w:val="0"/>
        <w:adjustRightInd/>
        <w:snapToGrid/>
        <w:spacing w:line="360" w:lineRule="auto"/>
        <w:ind w:left="0" w:leftChars="0" w:firstLine="482" w:firstLineChars="200"/>
        <w:jc w:val="left"/>
        <w:textAlignment w:val="auto"/>
        <w:rPr>
          <w:rFonts w:hint="eastAsia" w:ascii="宋体" w:hAnsi="宋体" w:eastAsia="宋体" w:cs="宋体"/>
          <w:b/>
          <w:bCs/>
          <w:color w:val="000000" w:themeColor="text1"/>
          <w:sz w:val="24"/>
          <w:szCs w:val="24"/>
          <w:highlight w:val="none"/>
          <w:u w:val="single"/>
          <w:lang w:val="en-US"/>
          <w14:textFill>
            <w14:solidFill>
              <w14:schemeClr w14:val="tx1"/>
            </w14:solidFill>
          </w14:textFill>
        </w:rPr>
      </w:pPr>
      <w:r>
        <w:rPr>
          <w:rFonts w:hint="eastAsia" w:ascii="宋体" w:hAnsi="宋体" w:eastAsia="宋体" w:cs="宋体"/>
          <w:b/>
          <w:bCs/>
          <w:color w:val="000000" w:themeColor="text1"/>
          <w:sz w:val="24"/>
          <w:szCs w:val="24"/>
          <w:highlight w:val="none"/>
          <w:u w:val="single"/>
          <w:lang w:val="en-US"/>
          <w14:textFill>
            <w14:solidFill>
              <w14:schemeClr w14:val="tx1"/>
            </w14:solidFill>
          </w14:textFill>
        </w:rPr>
        <w:t>▲人员工资不得低于《杭州市人民政府关于调整市区最低工资标准的通知》杭政函〔2021〕69号的最低工资标准。必须落实职工劳保福利待遇，并按时缴纳社会保险费（养老保险、医疗保险、失业保险、工伤保险和生育保险）；为签订一年以上劳动合同制职工缴纳住房公积金。“五险一金”及意外伤害险等必须缴纳在杭州本地，保障职工休息休假权利。</w:t>
      </w:r>
      <w:r>
        <w:rPr>
          <w:rFonts w:hint="eastAsia" w:ascii="宋体" w:hAnsi="宋体" w:eastAsia="宋体" w:cs="宋体"/>
          <w:b/>
          <w:bCs/>
          <w:color w:val="000000" w:themeColor="text1"/>
          <w:sz w:val="24"/>
          <w:szCs w:val="24"/>
          <w:highlight w:val="none"/>
          <w:u w:val="single"/>
          <w:lang w:val="en-US" w:eastAsia="zh-CN"/>
          <w14:textFill>
            <w14:solidFill>
              <w14:schemeClr w14:val="tx1"/>
            </w14:solidFill>
          </w14:textFill>
        </w:rPr>
        <w:t>合同履约期间如有最新文件规定按最新文件执行，供应商</w:t>
      </w:r>
      <w:r>
        <w:rPr>
          <w:rFonts w:hint="eastAsia" w:ascii="宋体" w:hAnsi="宋体" w:eastAsia="宋体" w:cs="宋体"/>
          <w:b/>
          <w:bCs/>
          <w:color w:val="000000" w:themeColor="text1"/>
          <w:sz w:val="24"/>
          <w:szCs w:val="24"/>
          <w:highlight w:val="none"/>
          <w:u w:val="single"/>
          <w:lang w:val="en-US"/>
          <w14:textFill>
            <w14:solidFill>
              <w14:schemeClr w14:val="tx1"/>
            </w14:solidFill>
          </w14:textFill>
        </w:rPr>
        <w:t>充分考虑最低工资调整因素。</w:t>
      </w:r>
    </w:p>
    <w:p>
      <w:pPr>
        <w:pStyle w:val="2"/>
        <w:pageBreakBefore w:val="0"/>
        <w:kinsoku/>
        <w:wordWrap/>
        <w:overflowPunct/>
        <w:topLinePunct w:val="0"/>
        <w:bidi w:val="0"/>
        <w:adjustRightInd/>
        <w:snapToGrid/>
        <w:spacing w:line="360" w:lineRule="auto"/>
        <w:ind w:left="0" w:leftChars="0" w:firstLine="482" w:firstLineChars="200"/>
        <w:jc w:val="left"/>
        <w:textAlignment w:val="auto"/>
        <w:rPr>
          <w:rFonts w:hint="eastAsia" w:ascii="宋体" w:hAnsi="宋体" w:eastAsia="宋体" w:cs="宋体"/>
          <w:b/>
          <w:bCs/>
          <w:color w:val="000000" w:themeColor="text1"/>
          <w:sz w:val="24"/>
          <w:szCs w:val="24"/>
          <w:highlight w:val="none"/>
          <w:u w:val="single"/>
          <w:lang w:val="en-US"/>
          <w14:textFill>
            <w14:solidFill>
              <w14:schemeClr w14:val="tx1"/>
            </w14:solidFill>
          </w14:textFill>
        </w:rPr>
      </w:pPr>
      <w:r>
        <w:rPr>
          <w:rFonts w:hint="eastAsia" w:ascii="宋体" w:hAnsi="宋体" w:eastAsia="宋体" w:cs="宋体"/>
          <w:b/>
          <w:bCs/>
          <w:color w:val="000000" w:themeColor="text1"/>
          <w:sz w:val="24"/>
          <w:szCs w:val="24"/>
          <w:highlight w:val="none"/>
          <w:u w:val="single"/>
          <w:lang w:val="en-US"/>
          <w14:textFill>
            <w14:solidFill>
              <w14:schemeClr w14:val="tx1"/>
            </w14:solidFill>
          </w14:textFill>
        </w:rPr>
        <w:t>▲本次报价为人民币价。</w:t>
      </w:r>
    </w:p>
    <w:p>
      <w:pPr>
        <w:pageBreakBefore w:val="0"/>
        <w:kinsoku/>
        <w:wordWrap/>
        <w:overflowPunct/>
        <w:topLinePunct w:val="0"/>
        <w:bidi w:val="0"/>
        <w:adjustRightInd/>
        <w:snapToGrid/>
        <w:spacing w:line="360" w:lineRule="auto"/>
        <w:ind w:left="0" w:leftChars="0" w:firstLine="482" w:firstLineChars="200"/>
        <w:jc w:val="left"/>
        <w:textAlignment w:val="auto"/>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五</w:t>
      </w:r>
      <w:r>
        <w:rPr>
          <w:rFonts w:hint="eastAsia" w:ascii="宋体" w:hAnsi="宋体" w:eastAsia="宋体" w:cs="宋体"/>
          <w:b/>
          <w:bCs/>
          <w:color w:val="000000" w:themeColor="text1"/>
          <w:sz w:val="24"/>
          <w:szCs w:val="24"/>
          <w:highlight w:val="none"/>
          <w14:textFill>
            <w14:solidFill>
              <w14:schemeClr w14:val="tx1"/>
            </w14:solidFill>
          </w14:textFill>
        </w:rPr>
        <w:t>、签订合同</w:t>
      </w:r>
    </w:p>
    <w:p>
      <w:pPr>
        <w:pageBreakBefore w:val="0"/>
        <w:kinsoku/>
        <w:wordWrap/>
        <w:overflowPunct/>
        <w:topLinePunct w:val="0"/>
        <w:bidi w:val="0"/>
        <w:adjustRightInd/>
        <w:snapToGrid/>
        <w:spacing w:line="360" w:lineRule="auto"/>
        <w:ind w:left="0" w:leftChars="0" w:firstLine="482" w:firstLineChars="200"/>
        <w:jc w:val="left"/>
        <w:textAlignment w:val="auto"/>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u w:val="single"/>
          <w14:textFill>
            <w14:solidFill>
              <w14:schemeClr w14:val="tx1"/>
            </w14:solidFill>
          </w14:textFill>
        </w:rPr>
        <w:t>▲本项目合同甲方为杭州市拱墅区综合行政执法局，乙方为中标人，合同款支付给乙方。</w:t>
      </w:r>
    </w:p>
    <w:p>
      <w:pPr>
        <w:pageBreakBefore w:val="0"/>
        <w:kinsoku/>
        <w:wordWrap/>
        <w:overflowPunct/>
        <w:topLinePunct w:val="0"/>
        <w:bidi w:val="0"/>
        <w:adjustRightInd/>
        <w:snapToGrid/>
        <w:spacing w:line="360" w:lineRule="auto"/>
        <w:ind w:left="0" w:leftChars="0" w:firstLine="482" w:firstLineChars="200"/>
        <w:jc w:val="left"/>
        <w:textAlignment w:val="auto"/>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六</w:t>
      </w:r>
      <w:r>
        <w:rPr>
          <w:rFonts w:hint="eastAsia" w:ascii="宋体" w:hAnsi="宋体" w:eastAsia="宋体" w:cs="宋体"/>
          <w:b/>
          <w:bCs/>
          <w:color w:val="000000" w:themeColor="text1"/>
          <w:sz w:val="24"/>
          <w:szCs w:val="24"/>
          <w:highlight w:val="none"/>
          <w14:textFill>
            <w14:solidFill>
              <w14:schemeClr w14:val="tx1"/>
            </w14:solidFill>
          </w14:textFill>
        </w:rPr>
        <w:t>、履约保证金交纳</w:t>
      </w:r>
    </w:p>
    <w:p>
      <w:pPr>
        <w:pageBreakBefore w:val="0"/>
        <w:kinsoku/>
        <w:wordWrap/>
        <w:overflowPunct/>
        <w:topLinePunct w:val="0"/>
        <w:bidi w:val="0"/>
        <w:adjustRightInd/>
        <w:snapToGrid/>
        <w:spacing w:line="360" w:lineRule="auto"/>
        <w:ind w:left="0" w:leftChars="0" w:firstLine="482" w:firstLineChars="200"/>
        <w:jc w:val="left"/>
        <w:textAlignment w:val="auto"/>
        <w:rPr>
          <w:rFonts w:hint="eastAsia" w:ascii="宋体" w:hAnsi="宋体" w:eastAsia="宋体" w:cs="宋体"/>
          <w:b/>
          <w:bCs/>
          <w:color w:val="000000" w:themeColor="text1"/>
          <w:sz w:val="24"/>
          <w:szCs w:val="24"/>
          <w:highlight w:val="none"/>
          <w:u w:val="single"/>
          <w14:textFill>
            <w14:solidFill>
              <w14:schemeClr w14:val="tx1"/>
            </w14:solidFill>
          </w14:textFill>
        </w:rPr>
      </w:pPr>
      <w:r>
        <w:rPr>
          <w:rFonts w:hint="eastAsia" w:ascii="宋体" w:hAnsi="宋体" w:cs="宋体"/>
          <w:b/>
          <w:bCs/>
          <w:color w:val="000000" w:themeColor="text1"/>
          <w:sz w:val="24"/>
          <w:szCs w:val="24"/>
          <w:highlight w:val="none"/>
          <w:u w:val="single"/>
          <w:lang w:val="en-US" w:eastAsia="zh-CN"/>
          <w14:textFill>
            <w14:solidFill>
              <w14:schemeClr w14:val="tx1"/>
            </w14:solidFill>
          </w14:textFill>
        </w:rPr>
        <w:t>本项目不用缴纳履约保证金</w:t>
      </w:r>
      <w:r>
        <w:rPr>
          <w:rFonts w:hint="eastAsia" w:ascii="宋体" w:hAnsi="宋体" w:eastAsia="宋体" w:cs="宋体"/>
          <w:b/>
          <w:bCs/>
          <w:color w:val="000000" w:themeColor="text1"/>
          <w:sz w:val="24"/>
          <w:szCs w:val="24"/>
          <w:highlight w:val="none"/>
          <w:u w:val="single"/>
          <w14:textFill>
            <w14:solidFill>
              <w14:schemeClr w14:val="tx1"/>
            </w14:solidFill>
          </w14:textFill>
        </w:rPr>
        <w:t>。</w:t>
      </w:r>
    </w:p>
    <w:p>
      <w:pPr>
        <w:pageBreakBefore w:val="0"/>
        <w:kinsoku/>
        <w:wordWrap/>
        <w:overflowPunct/>
        <w:topLinePunct w:val="0"/>
        <w:bidi w:val="0"/>
        <w:adjustRightInd/>
        <w:snapToGrid/>
        <w:spacing w:line="360" w:lineRule="auto"/>
        <w:ind w:left="0" w:leftChars="0" w:firstLine="482" w:firstLineChars="200"/>
        <w:jc w:val="left"/>
        <w:textAlignment w:val="auto"/>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五</w:t>
      </w:r>
      <w:r>
        <w:rPr>
          <w:rFonts w:hint="eastAsia" w:ascii="宋体" w:hAnsi="宋体" w:eastAsia="宋体" w:cs="宋体"/>
          <w:b/>
          <w:bCs/>
          <w:color w:val="000000" w:themeColor="text1"/>
          <w:sz w:val="24"/>
          <w:szCs w:val="24"/>
          <w:highlight w:val="none"/>
          <w14:textFill>
            <w14:solidFill>
              <w14:schemeClr w14:val="tx1"/>
            </w14:solidFill>
          </w14:textFill>
        </w:rPr>
        <w:t>、付款条件</w:t>
      </w:r>
    </w:p>
    <w:p>
      <w:pPr>
        <w:pageBreakBefore w:val="0"/>
        <w:kinsoku/>
        <w:wordWrap/>
        <w:overflowPunct/>
        <w:topLinePunct w:val="0"/>
        <w:bidi w:val="0"/>
        <w:adjustRightInd/>
        <w:snapToGrid/>
        <w:spacing w:line="360" w:lineRule="auto"/>
        <w:ind w:left="0" w:leftChars="0" w:firstLine="482" w:firstLineChars="200"/>
        <w:jc w:val="left"/>
        <w:textAlignment w:val="auto"/>
        <w:rPr>
          <w:rFonts w:hint="eastAsia" w:ascii="宋体" w:hAnsi="宋体" w:eastAsia="宋体" w:cs="宋体"/>
          <w:b/>
          <w:bCs/>
          <w:color w:val="000000" w:themeColor="text1"/>
          <w:sz w:val="24"/>
          <w:szCs w:val="24"/>
          <w:highlight w:val="none"/>
          <w:u w:val="single"/>
          <w14:textFill>
            <w14:solidFill>
              <w14:schemeClr w14:val="tx1"/>
            </w14:solidFill>
          </w14:textFill>
        </w:rPr>
      </w:pPr>
      <w:r>
        <w:rPr>
          <w:rFonts w:hint="eastAsia" w:ascii="宋体" w:hAnsi="宋体" w:eastAsia="宋体" w:cs="宋体"/>
          <w:b/>
          <w:bCs/>
          <w:color w:val="000000" w:themeColor="text1"/>
          <w:sz w:val="24"/>
          <w:szCs w:val="24"/>
          <w:highlight w:val="none"/>
          <w:u w:val="single"/>
          <w14:textFill>
            <w14:solidFill>
              <w14:schemeClr w14:val="tx1"/>
            </w14:solidFill>
          </w14:textFill>
        </w:rPr>
        <w:t>养护经费按照合同签订后甲方支付单年合同金额的20%作为预付款，预付款抵扣第一季度款项，后续每季度末按考核的月实得平均数的80%予以支付。</w:t>
      </w:r>
    </w:p>
    <w:p>
      <w:pPr>
        <w:pageBreakBefore w:val="0"/>
        <w:kinsoku/>
        <w:wordWrap/>
        <w:overflowPunct/>
        <w:topLinePunct w:val="0"/>
        <w:bidi w:val="0"/>
        <w:adjustRightInd/>
        <w:snapToGrid/>
        <w:spacing w:line="360" w:lineRule="auto"/>
        <w:ind w:left="0" w:leftChars="0" w:firstLine="482" w:firstLineChars="200"/>
        <w:jc w:val="left"/>
        <w:textAlignment w:val="auto"/>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七</w:t>
      </w:r>
      <w:r>
        <w:rPr>
          <w:rFonts w:hint="eastAsia" w:ascii="宋体" w:hAnsi="宋体" w:eastAsia="宋体" w:cs="宋体"/>
          <w:b/>
          <w:bCs/>
          <w:color w:val="000000" w:themeColor="text1"/>
          <w:sz w:val="24"/>
          <w:szCs w:val="24"/>
          <w:highlight w:val="none"/>
          <w14:textFill>
            <w14:solidFill>
              <w14:schemeClr w14:val="tx1"/>
            </w14:solidFill>
          </w14:textFill>
        </w:rPr>
        <w:t>、其他内容</w:t>
      </w:r>
    </w:p>
    <w:p>
      <w:pPr>
        <w:pageBreakBefore w:val="0"/>
        <w:kinsoku/>
        <w:wordWrap/>
        <w:overflowPunct/>
        <w:topLinePunct w:val="0"/>
        <w:bidi w:val="0"/>
        <w:adjustRightInd/>
        <w:snapToGrid/>
        <w:spacing w:line="360" w:lineRule="auto"/>
        <w:ind w:left="0" w:leftChars="0"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本项目是否有属于节能产品品目清单内政府强制采购产品：【</w:t>
      </w:r>
      <w:r>
        <w:rPr>
          <w:rFonts w:hint="eastAsia" w:ascii="宋体" w:hAnsi="宋体" w:eastAsia="宋体" w:cs="宋体"/>
          <w:b/>
          <w:bCs/>
          <w:color w:val="000000" w:themeColor="text1"/>
          <w:sz w:val="24"/>
          <w:szCs w:val="24"/>
          <w:highlight w:val="none"/>
          <w:u w:val="single"/>
          <w14:textFill>
            <w14:solidFill>
              <w14:schemeClr w14:val="tx1"/>
            </w14:solidFill>
          </w14:textFill>
        </w:rPr>
        <w:t>否</w:t>
      </w:r>
      <w:r>
        <w:rPr>
          <w:rFonts w:hint="eastAsia" w:ascii="宋体" w:hAnsi="宋体" w:eastAsia="宋体" w:cs="宋体"/>
          <w:color w:val="000000" w:themeColor="text1"/>
          <w:sz w:val="24"/>
          <w:szCs w:val="24"/>
          <w:highlight w:val="none"/>
          <w14:textFill>
            <w14:solidFill>
              <w14:schemeClr w14:val="tx1"/>
            </w14:solidFill>
          </w14:textFill>
        </w:rPr>
        <w:t>】。</w:t>
      </w:r>
    </w:p>
    <w:p>
      <w:pPr>
        <w:pageBreakBefore w:val="0"/>
        <w:kinsoku/>
        <w:wordWrap/>
        <w:overflowPunct/>
        <w:topLinePunct w:val="0"/>
        <w:bidi w:val="0"/>
        <w:adjustRightInd/>
        <w:snapToGrid/>
        <w:spacing w:line="360" w:lineRule="auto"/>
        <w:ind w:left="0" w:leftChars="0" w:firstLine="482" w:firstLineChars="200"/>
        <w:jc w:val="left"/>
        <w:textAlignment w:val="auto"/>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八</w:t>
      </w:r>
      <w:r>
        <w:rPr>
          <w:rFonts w:hint="eastAsia" w:ascii="宋体" w:hAnsi="宋体" w:eastAsia="宋体" w:cs="宋体"/>
          <w:b/>
          <w:bCs/>
          <w:color w:val="000000" w:themeColor="text1"/>
          <w:sz w:val="24"/>
          <w:szCs w:val="24"/>
          <w:highlight w:val="none"/>
          <w14:textFill>
            <w14:solidFill>
              <w14:schemeClr w14:val="tx1"/>
            </w14:solidFill>
          </w14:textFill>
        </w:rPr>
        <w:t>、分包和转包</w:t>
      </w:r>
    </w:p>
    <w:p>
      <w:pPr>
        <w:pageBreakBefore w:val="0"/>
        <w:kinsoku/>
        <w:wordWrap/>
        <w:overflowPunct/>
        <w:topLinePunct w:val="0"/>
        <w:bidi w:val="0"/>
        <w:adjustRightInd/>
        <w:snapToGrid/>
        <w:spacing w:line="360" w:lineRule="auto"/>
        <w:ind w:left="0" w:leftChars="0"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w:t>
      </w:r>
      <w:r>
        <w:rPr>
          <w:rFonts w:hint="eastAsia" w:ascii="宋体" w:hAnsi="宋体" w:eastAsia="宋体" w:cs="宋体"/>
          <w:b/>
          <w:bCs/>
          <w:color w:val="000000" w:themeColor="text1"/>
          <w:sz w:val="24"/>
          <w:szCs w:val="24"/>
          <w:highlight w:val="none"/>
          <w:u w:val="single"/>
          <w14:textFill>
            <w14:solidFill>
              <w14:schemeClr w14:val="tx1"/>
            </w14:solidFill>
          </w14:textFill>
        </w:rPr>
        <w:t>本项目内容不得转包：供应商不得将本合同标的转包由其他单位承担；</w:t>
      </w:r>
    </w:p>
    <w:p>
      <w:pPr>
        <w:pageBreakBefore w:val="0"/>
        <w:kinsoku/>
        <w:wordWrap/>
        <w:overflowPunct/>
        <w:topLinePunct w:val="0"/>
        <w:bidi w:val="0"/>
        <w:adjustRightInd/>
        <w:snapToGrid/>
        <w:spacing w:line="360" w:lineRule="auto"/>
        <w:ind w:left="0" w:leftChars="0" w:firstLine="480" w:firstLineChars="200"/>
        <w:jc w:val="left"/>
        <w:textAlignment w:val="auto"/>
        <w:rPr>
          <w:rFonts w:hint="eastAsia" w:ascii="宋体" w:hAnsi="宋体" w:eastAsia="宋体" w:cs="宋体"/>
          <w:b/>
          <w:bCs/>
          <w:color w:val="000000" w:themeColor="text1"/>
          <w:sz w:val="24"/>
          <w:szCs w:val="24"/>
          <w:highlight w:val="none"/>
          <w:u w:val="singl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w:t>
      </w:r>
      <w:r>
        <w:rPr>
          <w:rFonts w:hint="eastAsia" w:ascii="宋体" w:hAnsi="宋体" w:eastAsia="宋体" w:cs="宋体"/>
          <w:b/>
          <w:bCs/>
          <w:color w:val="000000" w:themeColor="text1"/>
          <w:sz w:val="24"/>
          <w:szCs w:val="24"/>
          <w:highlight w:val="none"/>
          <w:u w:val="single"/>
          <w14:textFill>
            <w14:solidFill>
              <w14:schemeClr w14:val="tx1"/>
            </w14:solidFill>
          </w14:textFill>
        </w:rPr>
        <w:t>本项目内容允许分包：详见采购文件前附表所示。</w:t>
      </w:r>
    </w:p>
    <w:p>
      <w:pPr>
        <w:pageBreakBefore w:val="0"/>
        <w:kinsoku/>
        <w:wordWrap/>
        <w:overflowPunct/>
        <w:topLinePunct w:val="0"/>
        <w:bidi w:val="0"/>
        <w:adjustRightInd/>
        <w:snapToGrid/>
        <w:spacing w:line="360" w:lineRule="auto"/>
        <w:ind w:left="0" w:leftChars="0"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w:t>
      </w:r>
      <w:r>
        <w:rPr>
          <w:rFonts w:hint="eastAsia" w:ascii="宋体" w:hAnsi="宋体" w:eastAsia="宋体" w:cs="宋体"/>
          <w:b/>
          <w:bCs/>
          <w:color w:val="000000" w:themeColor="text1"/>
          <w:sz w:val="24"/>
          <w:szCs w:val="24"/>
          <w:highlight w:val="none"/>
          <w:u w:val="single"/>
          <w14:textFill>
            <w14:solidFill>
              <w14:schemeClr w14:val="tx1"/>
            </w14:solidFill>
          </w14:textFill>
        </w:rPr>
        <w:t>享受《政府采购促进中小企业发展管理办法》的通知（财库〔2020〕46号）的规定扶持政策获得政府采购合同的，小微企业不得将合同分包给大中型企业，中型企业不得将合同分包给大型企业；</w:t>
      </w:r>
    </w:p>
    <w:p>
      <w:pPr>
        <w:pageBreakBefore w:val="0"/>
        <w:kinsoku/>
        <w:wordWrap/>
        <w:overflowPunct/>
        <w:topLinePunct w:val="0"/>
        <w:bidi w:val="0"/>
        <w:adjustRightInd/>
        <w:snapToGrid/>
        <w:spacing w:line="360" w:lineRule="auto"/>
        <w:ind w:left="0" w:leftChars="0"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w:t>
      </w:r>
      <w:r>
        <w:rPr>
          <w:rFonts w:hint="eastAsia" w:ascii="宋体" w:hAnsi="宋体" w:eastAsia="宋体" w:cs="宋体"/>
          <w:b/>
          <w:bCs/>
          <w:color w:val="000000" w:themeColor="text1"/>
          <w:sz w:val="24"/>
          <w:szCs w:val="24"/>
          <w:highlight w:val="none"/>
          <w:u w:val="single"/>
          <w14:textFill>
            <w14:solidFill>
              <w14:schemeClr w14:val="tx1"/>
            </w14:solidFill>
          </w14:textFill>
        </w:rPr>
        <w:t>如有违反以上情形，采购人有权解除合同，并追究中标人的违约责任。</w:t>
      </w:r>
    </w:p>
    <w:p>
      <w:pPr>
        <w:pageBreakBefore w:val="0"/>
        <w:kinsoku/>
        <w:wordWrap/>
        <w:overflowPunct/>
        <w:topLinePunct w:val="0"/>
        <w:bidi w:val="0"/>
        <w:adjustRightInd/>
        <w:snapToGrid/>
        <w:spacing w:line="360" w:lineRule="auto"/>
        <w:ind w:left="0" w:leftChars="0" w:firstLine="482" w:firstLineChars="200"/>
        <w:jc w:val="left"/>
        <w:textAlignment w:val="auto"/>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cs="宋体"/>
          <w:b/>
          <w:bCs/>
          <w:color w:val="000000" w:themeColor="text1"/>
          <w:sz w:val="24"/>
          <w:szCs w:val="24"/>
          <w:highlight w:val="none"/>
          <w:lang w:val="en-US" w:eastAsia="zh-CN"/>
          <w14:textFill>
            <w14:solidFill>
              <w14:schemeClr w14:val="tx1"/>
            </w14:solidFill>
          </w14:textFill>
        </w:rPr>
        <w:t>九</w:t>
      </w: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w:t>
      </w:r>
      <w:r>
        <w:rPr>
          <w:rFonts w:hint="eastAsia" w:ascii="宋体" w:hAnsi="宋体" w:eastAsia="宋体" w:cs="宋体"/>
          <w:b/>
          <w:bCs/>
          <w:color w:val="000000" w:themeColor="text1"/>
          <w:sz w:val="24"/>
          <w:szCs w:val="24"/>
          <w:highlight w:val="none"/>
          <w14:textFill>
            <w14:solidFill>
              <w14:schemeClr w14:val="tx1"/>
            </w14:solidFill>
          </w14:textFill>
        </w:rPr>
        <w:t>实质性要求</w:t>
      </w:r>
    </w:p>
    <w:p>
      <w:pPr>
        <w:pageBreakBefore w:val="0"/>
        <w:kinsoku/>
        <w:wordWrap/>
        <w:overflowPunct/>
        <w:topLinePunct w:val="0"/>
        <w:bidi w:val="0"/>
        <w:adjustRightInd/>
        <w:snapToGrid/>
        <w:spacing w:line="360" w:lineRule="auto"/>
        <w:ind w:left="0" w:leftChars="0"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采购文件</w:t>
      </w:r>
      <w:r>
        <w:rPr>
          <w:rFonts w:hint="eastAsia" w:ascii="宋体" w:hAnsi="宋体" w:eastAsia="宋体" w:cs="宋体"/>
          <w:color w:val="000000" w:themeColor="text1"/>
          <w:sz w:val="24"/>
          <w:szCs w:val="24"/>
          <w:highlight w:val="none"/>
          <w14:textFill>
            <w14:solidFill>
              <w14:schemeClr w14:val="tx1"/>
            </w14:solidFill>
          </w14:textFill>
        </w:rPr>
        <w:t>中所有带▲的内容是采购人提出的实质性要求，投标文件响应内容若不满足实质性要求，该投标文件将被评标委员会认定为无效。</w:t>
      </w:r>
    </w:p>
    <w:p>
      <w:pPr>
        <w:spacing w:line="360" w:lineRule="auto"/>
        <w:jc w:val="center"/>
        <w:outlineLvl w:val="0"/>
        <w:rPr>
          <w:rFonts w:hint="eastAsia" w:ascii="宋体" w:hAnsi="宋体" w:eastAsia="宋体" w:cs="宋体"/>
          <w:b/>
          <w:color w:val="000000" w:themeColor="text1"/>
          <w:sz w:val="36"/>
          <w:szCs w:val="36"/>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br w:type="page"/>
      </w:r>
      <w:r>
        <w:rPr>
          <w:rFonts w:hint="eastAsia" w:ascii="宋体" w:hAnsi="宋体" w:eastAsia="宋体" w:cs="宋体"/>
          <w:b/>
          <w:color w:val="000000" w:themeColor="text1"/>
          <w:sz w:val="36"/>
          <w:szCs w:val="36"/>
          <w:highlight w:val="none"/>
          <w14:textFill>
            <w14:solidFill>
              <w14:schemeClr w14:val="tx1"/>
            </w14:solidFill>
          </w14:textFill>
        </w:rPr>
        <w:t xml:space="preserve">第四部分   </w:t>
      </w:r>
      <w:bookmarkStart w:id="34" w:name="_Toc184312118"/>
      <w:bookmarkEnd w:id="34"/>
      <w:bookmarkStart w:id="35" w:name="_Toc184313242"/>
      <w:bookmarkEnd w:id="35"/>
      <w:bookmarkStart w:id="36" w:name="_Toc184308052"/>
      <w:bookmarkEnd w:id="36"/>
      <w:bookmarkStart w:id="37" w:name="_Toc184310309"/>
      <w:bookmarkEnd w:id="37"/>
      <w:bookmarkStart w:id="38" w:name="_Toc184310314"/>
      <w:bookmarkEnd w:id="38"/>
      <w:bookmarkStart w:id="39" w:name="_Toc184312074"/>
      <w:bookmarkEnd w:id="39"/>
      <w:bookmarkStart w:id="40" w:name="_Toc184313264"/>
      <w:bookmarkEnd w:id="40"/>
      <w:bookmarkStart w:id="41" w:name="_Toc184313281"/>
      <w:bookmarkEnd w:id="41"/>
      <w:bookmarkStart w:id="42" w:name="_Toc184310302"/>
      <w:bookmarkEnd w:id="42"/>
      <w:bookmarkStart w:id="43" w:name="_Toc184310299"/>
      <w:bookmarkEnd w:id="43"/>
      <w:bookmarkStart w:id="44" w:name="_Toc184308072"/>
      <w:bookmarkEnd w:id="44"/>
      <w:bookmarkStart w:id="45" w:name="_Toc184314416"/>
      <w:bookmarkEnd w:id="45"/>
      <w:bookmarkStart w:id="46" w:name="_Toc184312123"/>
      <w:bookmarkEnd w:id="46"/>
      <w:bookmarkStart w:id="47" w:name="_Toc184312082"/>
      <w:bookmarkEnd w:id="47"/>
      <w:bookmarkStart w:id="48" w:name="_Toc184314429"/>
      <w:bookmarkEnd w:id="48"/>
      <w:bookmarkStart w:id="49" w:name="_Toc184313238"/>
      <w:bookmarkEnd w:id="49"/>
      <w:bookmarkStart w:id="50" w:name="_Toc184310341"/>
      <w:bookmarkEnd w:id="50"/>
      <w:bookmarkStart w:id="51" w:name="_Toc184312089"/>
      <w:bookmarkEnd w:id="51"/>
      <w:bookmarkStart w:id="52" w:name="_Toc184310283"/>
      <w:bookmarkEnd w:id="52"/>
      <w:bookmarkStart w:id="53" w:name="_Toc184312132"/>
      <w:bookmarkEnd w:id="53"/>
      <w:bookmarkStart w:id="54" w:name="_Toc184308088"/>
      <w:bookmarkEnd w:id="54"/>
      <w:bookmarkStart w:id="55" w:name="_Toc184313253"/>
      <w:bookmarkEnd w:id="55"/>
      <w:bookmarkStart w:id="56" w:name="_Toc184312102"/>
      <w:bookmarkEnd w:id="56"/>
      <w:bookmarkStart w:id="57" w:name="_Toc184314477"/>
      <w:bookmarkEnd w:id="57"/>
      <w:bookmarkStart w:id="58" w:name="_Toc184313297"/>
      <w:bookmarkEnd w:id="58"/>
      <w:bookmarkStart w:id="59" w:name="_Toc184308055"/>
      <w:bookmarkEnd w:id="59"/>
      <w:bookmarkStart w:id="60" w:name="_Toc184313303"/>
      <w:bookmarkEnd w:id="60"/>
      <w:bookmarkStart w:id="61" w:name="_Toc184308059"/>
      <w:bookmarkEnd w:id="61"/>
      <w:bookmarkStart w:id="62" w:name="_Toc184313285"/>
      <w:bookmarkEnd w:id="62"/>
      <w:bookmarkStart w:id="63" w:name="_Toc184312100"/>
      <w:bookmarkEnd w:id="63"/>
      <w:bookmarkStart w:id="64" w:name="_Toc184314432"/>
      <w:bookmarkEnd w:id="64"/>
      <w:bookmarkStart w:id="65" w:name="_Toc184313277"/>
      <w:bookmarkEnd w:id="65"/>
      <w:bookmarkStart w:id="66" w:name="_Toc184313254"/>
      <w:bookmarkEnd w:id="66"/>
      <w:bookmarkStart w:id="67" w:name="_Toc184313275"/>
      <w:bookmarkEnd w:id="67"/>
      <w:bookmarkStart w:id="68" w:name="_Toc184308075"/>
      <w:bookmarkEnd w:id="68"/>
      <w:bookmarkStart w:id="69" w:name="_Toc184308077"/>
      <w:bookmarkEnd w:id="69"/>
      <w:bookmarkStart w:id="70" w:name="_Toc184308095"/>
      <w:bookmarkEnd w:id="70"/>
      <w:bookmarkStart w:id="71" w:name="_Toc184313247"/>
      <w:bookmarkEnd w:id="71"/>
      <w:bookmarkStart w:id="72" w:name="_Toc184312109"/>
      <w:bookmarkEnd w:id="72"/>
      <w:bookmarkStart w:id="73" w:name="_Toc184312127"/>
      <w:bookmarkEnd w:id="73"/>
      <w:bookmarkStart w:id="74" w:name="_Toc184313293"/>
      <w:bookmarkEnd w:id="74"/>
      <w:bookmarkStart w:id="75" w:name="_Toc184310307"/>
      <w:bookmarkEnd w:id="75"/>
      <w:bookmarkStart w:id="76" w:name="_Toc184314437"/>
      <w:bookmarkEnd w:id="76"/>
      <w:bookmarkStart w:id="77" w:name="_Toc184308098"/>
      <w:bookmarkEnd w:id="77"/>
      <w:bookmarkStart w:id="78" w:name="_Toc184313296"/>
      <w:bookmarkEnd w:id="78"/>
      <w:bookmarkStart w:id="79" w:name="_Toc184308107"/>
      <w:bookmarkEnd w:id="79"/>
      <w:bookmarkStart w:id="80" w:name="_Toc184314431"/>
      <w:bookmarkEnd w:id="80"/>
      <w:bookmarkStart w:id="81" w:name="_Toc184312068"/>
      <w:bookmarkEnd w:id="81"/>
      <w:bookmarkStart w:id="82" w:name="_Toc184310291"/>
      <w:bookmarkEnd w:id="82"/>
      <w:bookmarkStart w:id="83" w:name="_Toc184312116"/>
      <w:bookmarkEnd w:id="83"/>
      <w:bookmarkStart w:id="84" w:name="_Toc184314438"/>
      <w:bookmarkEnd w:id="84"/>
      <w:bookmarkStart w:id="85" w:name="_Toc184313250"/>
      <w:bookmarkEnd w:id="85"/>
      <w:bookmarkStart w:id="86" w:name="_Toc184310272"/>
      <w:bookmarkEnd w:id="86"/>
      <w:bookmarkStart w:id="87" w:name="_Toc184313280"/>
      <w:bookmarkEnd w:id="87"/>
      <w:bookmarkStart w:id="88" w:name="_Toc184312124"/>
      <w:bookmarkEnd w:id="88"/>
      <w:bookmarkStart w:id="89" w:name="_Toc184310284"/>
      <w:bookmarkEnd w:id="89"/>
      <w:bookmarkStart w:id="90" w:name="_Toc184310339"/>
      <w:bookmarkEnd w:id="90"/>
      <w:bookmarkStart w:id="91" w:name="_Toc184312083"/>
      <w:bookmarkEnd w:id="91"/>
      <w:bookmarkStart w:id="92" w:name="_Toc184310273"/>
      <w:bookmarkEnd w:id="92"/>
      <w:bookmarkStart w:id="93" w:name="_Toc184312105"/>
      <w:bookmarkEnd w:id="93"/>
      <w:bookmarkStart w:id="94" w:name="_Toc184310308"/>
      <w:bookmarkEnd w:id="94"/>
      <w:bookmarkStart w:id="95" w:name="_Toc184313271"/>
      <w:bookmarkEnd w:id="95"/>
      <w:bookmarkStart w:id="96" w:name="_Toc184313308"/>
      <w:bookmarkEnd w:id="96"/>
      <w:bookmarkStart w:id="97" w:name="_Toc184314481"/>
      <w:bookmarkEnd w:id="97"/>
      <w:bookmarkStart w:id="98" w:name="_Toc184314413"/>
      <w:bookmarkEnd w:id="98"/>
      <w:bookmarkStart w:id="99" w:name="_Toc184314410"/>
      <w:bookmarkEnd w:id="99"/>
      <w:bookmarkStart w:id="100" w:name="_Toc184312126"/>
      <w:bookmarkEnd w:id="100"/>
      <w:bookmarkStart w:id="101" w:name="_Toc184312133"/>
      <w:bookmarkEnd w:id="101"/>
      <w:bookmarkStart w:id="102" w:name="_Toc184310334"/>
      <w:bookmarkEnd w:id="102"/>
      <w:bookmarkStart w:id="103" w:name="_Toc184308039"/>
      <w:bookmarkEnd w:id="103"/>
      <w:bookmarkStart w:id="104" w:name="_Toc184312079"/>
      <w:bookmarkEnd w:id="104"/>
      <w:bookmarkStart w:id="105" w:name="_Toc184308074"/>
      <w:bookmarkEnd w:id="105"/>
      <w:bookmarkStart w:id="106" w:name="_Toc184313249"/>
      <w:bookmarkEnd w:id="106"/>
      <w:bookmarkStart w:id="107" w:name="_Toc184314469"/>
      <w:bookmarkEnd w:id="107"/>
      <w:bookmarkStart w:id="108" w:name="_Toc184314480"/>
      <w:bookmarkEnd w:id="108"/>
      <w:bookmarkStart w:id="109" w:name="_Toc184313255"/>
      <w:bookmarkEnd w:id="109"/>
      <w:bookmarkStart w:id="110" w:name="_Toc184314476"/>
      <w:bookmarkEnd w:id="110"/>
      <w:bookmarkStart w:id="111" w:name="_Toc184314428"/>
      <w:bookmarkEnd w:id="111"/>
      <w:bookmarkStart w:id="112" w:name="_Toc184312076"/>
      <w:bookmarkEnd w:id="112"/>
      <w:bookmarkStart w:id="113" w:name="_Toc184310325"/>
      <w:bookmarkEnd w:id="113"/>
      <w:bookmarkStart w:id="114" w:name="_Toc184314467"/>
      <w:bookmarkEnd w:id="114"/>
      <w:bookmarkStart w:id="115" w:name="_Toc184313241"/>
      <w:bookmarkEnd w:id="115"/>
      <w:bookmarkStart w:id="116" w:name="_Toc184314454"/>
      <w:bookmarkEnd w:id="116"/>
      <w:bookmarkStart w:id="117" w:name="_Toc184312075"/>
      <w:bookmarkEnd w:id="117"/>
      <w:bookmarkStart w:id="118" w:name="_Toc184314479"/>
      <w:bookmarkEnd w:id="118"/>
      <w:bookmarkStart w:id="119" w:name="_Toc184310303"/>
      <w:bookmarkEnd w:id="119"/>
      <w:bookmarkStart w:id="120" w:name="_Toc184308069"/>
      <w:bookmarkEnd w:id="120"/>
      <w:bookmarkStart w:id="121" w:name="_Toc184314458"/>
      <w:bookmarkEnd w:id="121"/>
      <w:bookmarkStart w:id="122" w:name="_Toc184310336"/>
      <w:bookmarkEnd w:id="122"/>
      <w:bookmarkStart w:id="123" w:name="_Toc184314446"/>
      <w:bookmarkEnd w:id="123"/>
      <w:bookmarkStart w:id="124" w:name="_Toc184310338"/>
      <w:bookmarkEnd w:id="124"/>
      <w:bookmarkStart w:id="125" w:name="_Toc184313298"/>
      <w:bookmarkEnd w:id="125"/>
      <w:bookmarkStart w:id="126" w:name="_Toc184312129"/>
      <w:bookmarkEnd w:id="126"/>
      <w:bookmarkStart w:id="127" w:name="_Toc184314415"/>
      <w:bookmarkEnd w:id="127"/>
      <w:bookmarkStart w:id="128" w:name="_Toc184313291"/>
      <w:bookmarkEnd w:id="128"/>
      <w:bookmarkStart w:id="129" w:name="_Toc184314411"/>
      <w:bookmarkEnd w:id="129"/>
      <w:bookmarkStart w:id="130" w:name="_Toc184314435"/>
      <w:bookmarkEnd w:id="130"/>
      <w:bookmarkStart w:id="131" w:name="_Toc184314418"/>
      <w:bookmarkEnd w:id="131"/>
      <w:bookmarkStart w:id="132" w:name="_Toc184308042"/>
      <w:bookmarkEnd w:id="132"/>
      <w:bookmarkStart w:id="133" w:name="_Toc184314452"/>
      <w:bookmarkEnd w:id="133"/>
      <w:bookmarkStart w:id="134" w:name="_Toc184308044"/>
      <w:bookmarkEnd w:id="134"/>
      <w:bookmarkStart w:id="135" w:name="_Toc184313288"/>
      <w:bookmarkEnd w:id="135"/>
      <w:bookmarkStart w:id="136" w:name="_Toc184313294"/>
      <w:bookmarkEnd w:id="136"/>
      <w:bookmarkStart w:id="137" w:name="_Toc184308053"/>
      <w:bookmarkEnd w:id="137"/>
      <w:bookmarkStart w:id="138" w:name="_Toc184314451"/>
      <w:bookmarkEnd w:id="138"/>
      <w:bookmarkStart w:id="139" w:name="_Toc184310300"/>
      <w:bookmarkEnd w:id="139"/>
      <w:bookmarkStart w:id="140" w:name="_Toc184313246"/>
      <w:bookmarkEnd w:id="140"/>
      <w:bookmarkStart w:id="141" w:name="_Toc184312073"/>
      <w:bookmarkEnd w:id="141"/>
      <w:bookmarkStart w:id="142" w:name="_Toc184312110"/>
      <w:bookmarkEnd w:id="142"/>
      <w:bookmarkStart w:id="143" w:name="_Toc184308056"/>
      <w:bookmarkEnd w:id="143"/>
      <w:bookmarkStart w:id="144" w:name="_Toc184310286"/>
      <w:bookmarkEnd w:id="144"/>
      <w:bookmarkStart w:id="145" w:name="_Toc184310282"/>
      <w:bookmarkEnd w:id="145"/>
      <w:bookmarkStart w:id="146" w:name="_Toc184310298"/>
      <w:bookmarkEnd w:id="146"/>
      <w:bookmarkStart w:id="147" w:name="_Toc184308060"/>
      <w:bookmarkEnd w:id="147"/>
      <w:bookmarkStart w:id="148" w:name="_Toc184312115"/>
      <w:bookmarkEnd w:id="148"/>
      <w:bookmarkStart w:id="149" w:name="_Toc184308051"/>
      <w:bookmarkEnd w:id="149"/>
      <w:bookmarkStart w:id="150" w:name="_Toc184310327"/>
      <w:bookmarkEnd w:id="150"/>
      <w:bookmarkStart w:id="151" w:name="_Toc184314439"/>
      <w:bookmarkEnd w:id="151"/>
      <w:bookmarkStart w:id="152" w:name="_Toc184310319"/>
      <w:bookmarkEnd w:id="152"/>
      <w:bookmarkStart w:id="153" w:name="_Toc184313290"/>
      <w:bookmarkEnd w:id="153"/>
      <w:bookmarkStart w:id="154" w:name="_Toc184308066"/>
      <w:bookmarkEnd w:id="154"/>
      <w:bookmarkStart w:id="155" w:name="_Toc184314421"/>
      <w:bookmarkEnd w:id="155"/>
      <w:bookmarkStart w:id="156" w:name="_Toc184314472"/>
      <w:bookmarkEnd w:id="156"/>
      <w:bookmarkStart w:id="157" w:name="_Toc184308043"/>
      <w:bookmarkEnd w:id="157"/>
      <w:bookmarkStart w:id="158" w:name="_Toc184314422"/>
      <w:bookmarkEnd w:id="158"/>
      <w:bookmarkStart w:id="159" w:name="_Toc184312131"/>
      <w:bookmarkEnd w:id="159"/>
      <w:bookmarkStart w:id="160" w:name="_Toc184313267"/>
      <w:bookmarkEnd w:id="160"/>
      <w:bookmarkStart w:id="161" w:name="_Toc184312134"/>
      <w:bookmarkEnd w:id="161"/>
      <w:bookmarkStart w:id="162" w:name="_Toc184310340"/>
      <w:bookmarkEnd w:id="162"/>
      <w:bookmarkStart w:id="163" w:name="_Toc184310324"/>
      <w:bookmarkEnd w:id="163"/>
      <w:bookmarkStart w:id="164" w:name="_Toc184313278"/>
      <w:bookmarkEnd w:id="164"/>
      <w:bookmarkStart w:id="165" w:name="_Toc184314456"/>
      <w:bookmarkEnd w:id="165"/>
      <w:bookmarkStart w:id="166" w:name="_Toc184313309"/>
      <w:bookmarkEnd w:id="166"/>
      <w:bookmarkStart w:id="167" w:name="_Toc184308036"/>
      <w:bookmarkEnd w:id="167"/>
      <w:bookmarkStart w:id="168" w:name="_Toc184312087"/>
      <w:bookmarkEnd w:id="168"/>
      <w:bookmarkStart w:id="169" w:name="_Toc184312107"/>
      <w:bookmarkEnd w:id="169"/>
      <w:bookmarkStart w:id="170" w:name="_Toc184312094"/>
      <w:bookmarkEnd w:id="170"/>
      <w:bookmarkStart w:id="171" w:name="_Toc184314455"/>
      <w:bookmarkEnd w:id="171"/>
      <w:bookmarkStart w:id="172" w:name="_Toc184312103"/>
      <w:bookmarkEnd w:id="172"/>
      <w:bookmarkStart w:id="173" w:name="_Toc184308054"/>
      <w:bookmarkEnd w:id="173"/>
      <w:bookmarkStart w:id="174" w:name="_Toc184310331"/>
      <w:bookmarkEnd w:id="174"/>
      <w:bookmarkStart w:id="175" w:name="_Toc184313257"/>
      <w:bookmarkEnd w:id="175"/>
      <w:bookmarkStart w:id="176" w:name="_Toc184313302"/>
      <w:bookmarkEnd w:id="176"/>
      <w:bookmarkStart w:id="177" w:name="_Toc184310295"/>
      <w:bookmarkEnd w:id="177"/>
      <w:bookmarkStart w:id="178" w:name="_Toc184312072"/>
      <w:bookmarkEnd w:id="178"/>
      <w:bookmarkStart w:id="179" w:name="_Toc184313310"/>
      <w:bookmarkEnd w:id="179"/>
      <w:bookmarkStart w:id="180" w:name="_Toc184310313"/>
      <w:bookmarkEnd w:id="180"/>
      <w:bookmarkStart w:id="181" w:name="_Toc184310274"/>
      <w:bookmarkEnd w:id="181"/>
      <w:bookmarkStart w:id="182" w:name="_Toc184313243"/>
      <w:bookmarkEnd w:id="182"/>
      <w:bookmarkStart w:id="183" w:name="_Toc184312078"/>
      <w:bookmarkEnd w:id="183"/>
      <w:bookmarkStart w:id="184" w:name="_Toc184313301"/>
      <w:bookmarkEnd w:id="184"/>
      <w:bookmarkStart w:id="185" w:name="_Toc184314444"/>
      <w:bookmarkEnd w:id="185"/>
      <w:bookmarkStart w:id="186" w:name="_Toc184310329"/>
      <w:bookmarkEnd w:id="186"/>
      <w:bookmarkStart w:id="187" w:name="_Toc184313263"/>
      <w:bookmarkEnd w:id="187"/>
      <w:bookmarkStart w:id="188" w:name="_Toc184312106"/>
      <w:bookmarkEnd w:id="188"/>
      <w:bookmarkStart w:id="189" w:name="_Toc184308063"/>
      <w:bookmarkEnd w:id="189"/>
      <w:bookmarkStart w:id="190" w:name="_Toc184308040"/>
      <w:bookmarkEnd w:id="190"/>
      <w:bookmarkStart w:id="191" w:name="_Toc184312119"/>
      <w:bookmarkEnd w:id="191"/>
      <w:bookmarkStart w:id="192" w:name="_Toc184310315"/>
      <w:bookmarkEnd w:id="192"/>
      <w:bookmarkStart w:id="193" w:name="_Toc184313283"/>
      <w:bookmarkEnd w:id="193"/>
      <w:bookmarkStart w:id="194" w:name="_Toc184314424"/>
      <w:bookmarkEnd w:id="194"/>
      <w:bookmarkStart w:id="195" w:name="_Toc184314427"/>
      <w:bookmarkEnd w:id="195"/>
      <w:bookmarkStart w:id="196" w:name="_Toc184308073"/>
      <w:bookmarkEnd w:id="196"/>
      <w:bookmarkStart w:id="197" w:name="_Toc184310277"/>
      <w:bookmarkEnd w:id="197"/>
      <w:bookmarkStart w:id="198" w:name="_Toc184312090"/>
      <w:bookmarkEnd w:id="198"/>
      <w:bookmarkStart w:id="199" w:name="_Toc184310279"/>
      <w:bookmarkEnd w:id="199"/>
      <w:bookmarkStart w:id="200" w:name="_Toc184313286"/>
      <w:bookmarkEnd w:id="200"/>
      <w:bookmarkStart w:id="201" w:name="_Toc184308108"/>
      <w:bookmarkEnd w:id="201"/>
      <w:bookmarkStart w:id="202" w:name="_Toc184308068"/>
      <w:bookmarkEnd w:id="202"/>
      <w:bookmarkStart w:id="203" w:name="_Toc184308093"/>
      <w:bookmarkEnd w:id="203"/>
      <w:bookmarkStart w:id="204" w:name="_Toc184310304"/>
      <w:bookmarkEnd w:id="204"/>
      <w:bookmarkStart w:id="205" w:name="_Toc184310323"/>
      <w:bookmarkEnd w:id="205"/>
      <w:bookmarkStart w:id="206" w:name="_Toc184313269"/>
      <w:bookmarkEnd w:id="206"/>
      <w:bookmarkStart w:id="207" w:name="_Toc184310320"/>
      <w:bookmarkEnd w:id="207"/>
      <w:bookmarkStart w:id="208" w:name="_Toc184314450"/>
      <w:bookmarkEnd w:id="208"/>
      <w:bookmarkStart w:id="209" w:name="_Toc184312130"/>
      <w:bookmarkEnd w:id="209"/>
      <w:bookmarkStart w:id="210" w:name="_Toc184312088"/>
      <w:bookmarkEnd w:id="210"/>
      <w:bookmarkStart w:id="211" w:name="_Toc184314478"/>
      <w:bookmarkEnd w:id="211"/>
      <w:bookmarkStart w:id="212" w:name="_Toc184308047"/>
      <w:bookmarkEnd w:id="212"/>
      <w:bookmarkStart w:id="213" w:name="_Toc184310343"/>
      <w:bookmarkEnd w:id="213"/>
      <w:bookmarkStart w:id="214" w:name="_Toc184313306"/>
      <w:bookmarkEnd w:id="214"/>
      <w:bookmarkStart w:id="215" w:name="_Toc184312093"/>
      <w:bookmarkEnd w:id="215"/>
      <w:bookmarkStart w:id="216" w:name="_Toc184310278"/>
      <w:bookmarkEnd w:id="216"/>
      <w:bookmarkStart w:id="217" w:name="_Toc184313282"/>
      <w:bookmarkEnd w:id="217"/>
      <w:bookmarkStart w:id="218" w:name="_Toc184308102"/>
      <w:bookmarkEnd w:id="218"/>
      <w:bookmarkStart w:id="219" w:name="_Toc184313251"/>
      <w:bookmarkEnd w:id="219"/>
      <w:bookmarkStart w:id="220" w:name="_Toc184314426"/>
      <w:bookmarkEnd w:id="220"/>
      <w:bookmarkStart w:id="221" w:name="_Toc184312098"/>
      <w:bookmarkEnd w:id="221"/>
      <w:bookmarkStart w:id="222" w:name="_Toc184314417"/>
      <w:bookmarkEnd w:id="222"/>
      <w:bookmarkStart w:id="223" w:name="_Toc184313244"/>
      <w:bookmarkEnd w:id="223"/>
      <w:bookmarkStart w:id="224" w:name="_Toc184312086"/>
      <w:bookmarkEnd w:id="224"/>
      <w:bookmarkStart w:id="225" w:name="_Toc184308094"/>
      <w:bookmarkEnd w:id="225"/>
      <w:bookmarkStart w:id="226" w:name="_Toc184310305"/>
      <w:bookmarkEnd w:id="226"/>
      <w:bookmarkStart w:id="227" w:name="_Toc184308103"/>
      <w:bookmarkEnd w:id="227"/>
      <w:bookmarkStart w:id="228" w:name="_Toc184312096"/>
      <w:bookmarkEnd w:id="228"/>
      <w:bookmarkStart w:id="229" w:name="_Toc184314462"/>
      <w:bookmarkEnd w:id="229"/>
      <w:bookmarkStart w:id="230" w:name="_Toc184310333"/>
      <w:bookmarkEnd w:id="230"/>
      <w:bookmarkStart w:id="231" w:name="_Toc184308100"/>
      <w:bookmarkEnd w:id="231"/>
      <w:bookmarkStart w:id="232" w:name="_Toc184314464"/>
      <w:bookmarkEnd w:id="232"/>
      <w:bookmarkStart w:id="233" w:name="_Toc184314423"/>
      <w:bookmarkEnd w:id="233"/>
      <w:bookmarkStart w:id="234" w:name="_Toc184312108"/>
      <w:bookmarkEnd w:id="234"/>
      <w:bookmarkStart w:id="235" w:name="_Toc184312081"/>
      <w:bookmarkEnd w:id="235"/>
      <w:bookmarkStart w:id="236" w:name="_Toc184308101"/>
      <w:bookmarkEnd w:id="236"/>
      <w:bookmarkStart w:id="237" w:name="_Toc184312080"/>
      <w:bookmarkEnd w:id="237"/>
      <w:bookmarkStart w:id="238" w:name="_Toc184308085"/>
      <w:bookmarkEnd w:id="238"/>
      <w:bookmarkStart w:id="239" w:name="_Toc184308062"/>
      <w:bookmarkEnd w:id="239"/>
      <w:bookmarkStart w:id="240" w:name="_Toc184312069"/>
      <w:bookmarkEnd w:id="240"/>
      <w:bookmarkStart w:id="241" w:name="_Toc184308046"/>
      <w:bookmarkEnd w:id="241"/>
      <w:bookmarkStart w:id="242" w:name="_Toc184314442"/>
      <w:bookmarkEnd w:id="242"/>
      <w:bookmarkStart w:id="243" w:name="_Toc184312117"/>
      <w:bookmarkEnd w:id="243"/>
      <w:bookmarkStart w:id="244" w:name="_Toc184312125"/>
      <w:bookmarkEnd w:id="244"/>
      <w:bookmarkStart w:id="245" w:name="_Toc184313268"/>
      <w:bookmarkEnd w:id="245"/>
      <w:bookmarkStart w:id="246" w:name="_Toc184314414"/>
      <w:bookmarkEnd w:id="246"/>
      <w:bookmarkStart w:id="247" w:name="_Toc184308097"/>
      <w:bookmarkEnd w:id="247"/>
      <w:bookmarkStart w:id="248" w:name="_Toc184314433"/>
      <w:bookmarkEnd w:id="248"/>
      <w:bookmarkStart w:id="249" w:name="_Toc184310321"/>
      <w:bookmarkEnd w:id="249"/>
      <w:bookmarkStart w:id="250" w:name="_Toc184314474"/>
      <w:bookmarkEnd w:id="250"/>
      <w:bookmarkStart w:id="251" w:name="_Toc184313300"/>
      <w:bookmarkEnd w:id="251"/>
      <w:bookmarkStart w:id="252" w:name="_Toc184313299"/>
      <w:bookmarkEnd w:id="252"/>
      <w:bookmarkStart w:id="253" w:name="_Toc184314448"/>
      <w:bookmarkEnd w:id="253"/>
      <w:bookmarkStart w:id="254" w:name="_Toc184310322"/>
      <w:bookmarkEnd w:id="254"/>
      <w:bookmarkStart w:id="255" w:name="_Toc184314460"/>
      <w:bookmarkEnd w:id="255"/>
      <w:bookmarkStart w:id="256" w:name="_Toc184310292"/>
      <w:bookmarkEnd w:id="256"/>
      <w:bookmarkStart w:id="257" w:name="_Toc184313252"/>
      <w:bookmarkEnd w:id="257"/>
      <w:bookmarkStart w:id="258" w:name="_Toc184308081"/>
      <w:bookmarkEnd w:id="258"/>
      <w:bookmarkStart w:id="259" w:name="_Toc184314449"/>
      <w:bookmarkEnd w:id="259"/>
      <w:bookmarkStart w:id="260" w:name="_Toc184310285"/>
      <w:bookmarkEnd w:id="260"/>
      <w:bookmarkStart w:id="261" w:name="_Toc184310310"/>
      <w:bookmarkEnd w:id="261"/>
      <w:bookmarkStart w:id="262" w:name="_Toc184314471"/>
      <w:bookmarkEnd w:id="262"/>
      <w:bookmarkStart w:id="263" w:name="_Toc184314436"/>
      <w:bookmarkEnd w:id="263"/>
      <w:bookmarkStart w:id="264" w:name="_Toc184310306"/>
      <w:bookmarkEnd w:id="264"/>
      <w:bookmarkStart w:id="265" w:name="_Toc184308061"/>
      <w:bookmarkEnd w:id="265"/>
      <w:bookmarkStart w:id="266" w:name="_Toc184313259"/>
      <w:bookmarkEnd w:id="266"/>
      <w:bookmarkStart w:id="267" w:name="_Toc184310332"/>
      <w:bookmarkEnd w:id="267"/>
      <w:bookmarkStart w:id="268" w:name="_Toc184312104"/>
      <w:bookmarkEnd w:id="268"/>
      <w:bookmarkStart w:id="269" w:name="_Toc184308091"/>
      <w:bookmarkEnd w:id="269"/>
      <w:bookmarkStart w:id="270" w:name="_Toc184308083"/>
      <w:bookmarkEnd w:id="270"/>
      <w:bookmarkStart w:id="271" w:name="_Toc184312111"/>
      <w:bookmarkEnd w:id="271"/>
      <w:bookmarkStart w:id="272" w:name="_Toc184310316"/>
      <w:bookmarkEnd w:id="272"/>
      <w:bookmarkStart w:id="273" w:name="_Toc184308057"/>
      <w:bookmarkEnd w:id="273"/>
      <w:bookmarkStart w:id="274" w:name="_Toc184312138"/>
      <w:bookmarkEnd w:id="274"/>
      <w:bookmarkStart w:id="275" w:name="_Toc184312085"/>
      <w:bookmarkEnd w:id="275"/>
      <w:bookmarkStart w:id="276" w:name="_Toc184314473"/>
      <w:bookmarkEnd w:id="276"/>
      <w:bookmarkStart w:id="277" w:name="_Toc184308045"/>
      <w:bookmarkEnd w:id="277"/>
      <w:bookmarkStart w:id="278" w:name="_Toc184313256"/>
      <w:bookmarkEnd w:id="278"/>
      <w:bookmarkStart w:id="279" w:name="_Toc184308048"/>
      <w:bookmarkEnd w:id="279"/>
      <w:bookmarkStart w:id="280" w:name="_Toc184308079"/>
      <w:bookmarkEnd w:id="280"/>
      <w:bookmarkStart w:id="281" w:name="_Toc184310281"/>
      <w:bookmarkEnd w:id="281"/>
      <w:bookmarkStart w:id="282" w:name="_Toc184313284"/>
      <w:bookmarkEnd w:id="282"/>
      <w:bookmarkStart w:id="283" w:name="_Toc184308104"/>
      <w:bookmarkEnd w:id="283"/>
      <w:bookmarkStart w:id="284" w:name="_Toc184313265"/>
      <w:bookmarkEnd w:id="284"/>
      <w:bookmarkStart w:id="285" w:name="_Toc184313245"/>
      <w:bookmarkEnd w:id="285"/>
      <w:bookmarkStart w:id="286" w:name="_Toc184313305"/>
      <w:bookmarkEnd w:id="286"/>
      <w:bookmarkStart w:id="287" w:name="_Toc184308099"/>
      <w:bookmarkEnd w:id="287"/>
      <w:bookmarkStart w:id="288" w:name="_Toc184312097"/>
      <w:bookmarkEnd w:id="288"/>
      <w:bookmarkStart w:id="289" w:name="_Toc184313276"/>
      <w:bookmarkEnd w:id="289"/>
      <w:bookmarkStart w:id="290" w:name="_Toc184313266"/>
      <w:bookmarkEnd w:id="290"/>
      <w:bookmarkStart w:id="291" w:name="_Toc184308038"/>
      <w:bookmarkEnd w:id="291"/>
      <w:bookmarkStart w:id="292" w:name="_Toc184308096"/>
      <w:bookmarkEnd w:id="292"/>
      <w:bookmarkStart w:id="293" w:name="_Toc184308106"/>
      <w:bookmarkEnd w:id="293"/>
      <w:bookmarkStart w:id="294" w:name="_Toc184313304"/>
      <w:bookmarkEnd w:id="294"/>
      <w:bookmarkStart w:id="295" w:name="_Toc184310335"/>
      <w:bookmarkEnd w:id="295"/>
      <w:bookmarkStart w:id="296" w:name="_Toc184312120"/>
      <w:bookmarkEnd w:id="296"/>
      <w:bookmarkStart w:id="297" w:name="_Toc184310289"/>
      <w:bookmarkEnd w:id="297"/>
      <w:bookmarkStart w:id="298" w:name="_Toc184313274"/>
      <w:bookmarkEnd w:id="298"/>
      <w:bookmarkStart w:id="299" w:name="_Toc184310296"/>
      <w:bookmarkEnd w:id="299"/>
      <w:bookmarkStart w:id="300" w:name="_Toc184308064"/>
      <w:bookmarkEnd w:id="300"/>
      <w:bookmarkStart w:id="301" w:name="_Toc184313289"/>
      <w:bookmarkEnd w:id="301"/>
      <w:bookmarkStart w:id="302" w:name="_Toc184314430"/>
      <w:bookmarkEnd w:id="302"/>
      <w:bookmarkStart w:id="303" w:name="_Toc184314419"/>
      <w:bookmarkEnd w:id="303"/>
      <w:bookmarkStart w:id="304" w:name="_Toc184312101"/>
      <w:bookmarkEnd w:id="304"/>
      <w:bookmarkStart w:id="305" w:name="_Toc184314453"/>
      <w:bookmarkEnd w:id="305"/>
      <w:bookmarkStart w:id="306" w:name="_Toc184313261"/>
      <w:bookmarkEnd w:id="306"/>
      <w:bookmarkStart w:id="307" w:name="_Toc184310276"/>
      <w:bookmarkEnd w:id="307"/>
      <w:bookmarkStart w:id="308" w:name="_Toc184308082"/>
      <w:bookmarkEnd w:id="308"/>
      <w:bookmarkStart w:id="309" w:name="_Toc184308067"/>
      <w:bookmarkEnd w:id="309"/>
      <w:bookmarkStart w:id="310" w:name="_Toc184308071"/>
      <w:bookmarkEnd w:id="310"/>
      <w:bookmarkStart w:id="311" w:name="_Toc184314441"/>
      <w:bookmarkEnd w:id="311"/>
      <w:bookmarkStart w:id="312" w:name="_Toc184313292"/>
      <w:bookmarkEnd w:id="312"/>
      <w:bookmarkStart w:id="313" w:name="_Toc184313270"/>
      <w:bookmarkEnd w:id="313"/>
      <w:bookmarkStart w:id="314" w:name="_Toc184310288"/>
      <w:bookmarkEnd w:id="314"/>
      <w:bookmarkStart w:id="315" w:name="_Toc184310294"/>
      <w:bookmarkEnd w:id="315"/>
      <w:bookmarkStart w:id="316" w:name="_Toc184308105"/>
      <w:bookmarkEnd w:id="316"/>
      <w:bookmarkStart w:id="317" w:name="_Toc184312121"/>
      <w:bookmarkEnd w:id="317"/>
      <w:bookmarkStart w:id="318" w:name="_Toc184312128"/>
      <w:bookmarkEnd w:id="318"/>
      <w:bookmarkStart w:id="319" w:name="_Toc184312114"/>
      <w:bookmarkEnd w:id="319"/>
      <w:bookmarkStart w:id="320" w:name="_Toc184314470"/>
      <w:bookmarkEnd w:id="320"/>
      <w:bookmarkStart w:id="321" w:name="_Toc184314443"/>
      <w:bookmarkEnd w:id="321"/>
      <w:bookmarkStart w:id="322" w:name="_Toc184313273"/>
      <w:bookmarkEnd w:id="322"/>
      <w:bookmarkStart w:id="323" w:name="_Toc184314465"/>
      <w:bookmarkEnd w:id="323"/>
      <w:bookmarkStart w:id="324" w:name="_Toc184314482"/>
      <w:bookmarkEnd w:id="324"/>
      <w:bookmarkStart w:id="325" w:name="_Toc184310317"/>
      <w:bookmarkEnd w:id="325"/>
      <w:bookmarkStart w:id="326" w:name="_Toc184314457"/>
      <w:bookmarkEnd w:id="326"/>
      <w:bookmarkStart w:id="327" w:name="_Toc184314461"/>
      <w:bookmarkEnd w:id="327"/>
      <w:bookmarkStart w:id="328" w:name="_Toc184314447"/>
      <w:bookmarkEnd w:id="328"/>
      <w:bookmarkStart w:id="329" w:name="_Toc184312137"/>
      <w:bookmarkEnd w:id="329"/>
      <w:bookmarkStart w:id="330" w:name="_Toc184312077"/>
      <w:bookmarkEnd w:id="330"/>
      <w:bookmarkStart w:id="331" w:name="_Toc184312084"/>
      <w:bookmarkEnd w:id="331"/>
      <w:bookmarkStart w:id="332" w:name="_Toc184308092"/>
      <w:bookmarkEnd w:id="332"/>
      <w:bookmarkStart w:id="333" w:name="_Toc184308089"/>
      <w:bookmarkEnd w:id="333"/>
      <w:bookmarkStart w:id="334" w:name="_Toc184313262"/>
      <w:bookmarkEnd w:id="334"/>
      <w:bookmarkStart w:id="335" w:name="_Toc184314468"/>
      <w:bookmarkEnd w:id="335"/>
      <w:bookmarkStart w:id="336" w:name="_Toc184310280"/>
      <w:bookmarkEnd w:id="336"/>
      <w:bookmarkStart w:id="337" w:name="_Toc184312071"/>
      <w:bookmarkEnd w:id="337"/>
      <w:bookmarkStart w:id="338" w:name="_Toc184308076"/>
      <w:bookmarkEnd w:id="338"/>
      <w:bookmarkStart w:id="339" w:name="_Toc184314445"/>
      <w:bookmarkEnd w:id="339"/>
      <w:bookmarkStart w:id="340" w:name="_Toc184314440"/>
      <w:bookmarkEnd w:id="340"/>
      <w:bookmarkStart w:id="341" w:name="_Toc184313258"/>
      <w:bookmarkEnd w:id="341"/>
      <w:bookmarkStart w:id="342" w:name="_Toc184313279"/>
      <w:bookmarkEnd w:id="342"/>
      <w:bookmarkStart w:id="343" w:name="_Toc184312095"/>
      <w:bookmarkEnd w:id="343"/>
      <w:bookmarkStart w:id="344" w:name="_Toc184313260"/>
      <w:bookmarkEnd w:id="344"/>
      <w:bookmarkStart w:id="345" w:name="_Toc184310344"/>
      <w:bookmarkEnd w:id="345"/>
      <w:bookmarkStart w:id="346" w:name="_Toc184310318"/>
      <w:bookmarkEnd w:id="346"/>
      <w:bookmarkStart w:id="347" w:name="_Toc184310311"/>
      <w:bookmarkEnd w:id="347"/>
      <w:bookmarkStart w:id="348" w:name="_Toc184308058"/>
      <w:bookmarkEnd w:id="348"/>
      <w:bookmarkStart w:id="349" w:name="_Toc184310287"/>
      <w:bookmarkEnd w:id="349"/>
      <w:bookmarkStart w:id="350" w:name="_Toc184308078"/>
      <w:bookmarkEnd w:id="350"/>
      <w:bookmarkStart w:id="351" w:name="_Toc184310330"/>
      <w:bookmarkEnd w:id="351"/>
      <w:bookmarkStart w:id="352" w:name="_Toc184308041"/>
      <w:bookmarkEnd w:id="352"/>
      <w:bookmarkStart w:id="353" w:name="_Toc184308090"/>
      <w:bookmarkEnd w:id="353"/>
      <w:bookmarkStart w:id="354" w:name="_Toc184314459"/>
      <w:bookmarkEnd w:id="354"/>
      <w:bookmarkStart w:id="355" w:name="_Toc184313307"/>
      <w:bookmarkEnd w:id="355"/>
      <w:bookmarkStart w:id="356" w:name="_Toc184313287"/>
      <w:bookmarkEnd w:id="356"/>
      <w:bookmarkStart w:id="357" w:name="_Toc184312091"/>
      <w:bookmarkEnd w:id="357"/>
      <w:bookmarkStart w:id="358" w:name="_Toc184313240"/>
      <w:bookmarkEnd w:id="358"/>
      <w:bookmarkStart w:id="359" w:name="_Toc184314463"/>
      <w:bookmarkEnd w:id="359"/>
      <w:bookmarkStart w:id="360" w:name="_Toc184310290"/>
      <w:bookmarkEnd w:id="360"/>
      <w:bookmarkStart w:id="361" w:name="_Toc184313272"/>
      <w:bookmarkEnd w:id="361"/>
      <w:bookmarkStart w:id="362" w:name="_Toc184310293"/>
      <w:bookmarkEnd w:id="362"/>
      <w:bookmarkStart w:id="363" w:name="_Toc184314425"/>
      <w:bookmarkEnd w:id="363"/>
      <w:bookmarkStart w:id="364" w:name="_Toc184312067"/>
      <w:bookmarkEnd w:id="364"/>
      <w:bookmarkStart w:id="365" w:name="_Toc184308087"/>
      <w:bookmarkEnd w:id="365"/>
      <w:bookmarkStart w:id="366" w:name="_Toc184308084"/>
      <w:bookmarkEnd w:id="366"/>
      <w:bookmarkStart w:id="367" w:name="_Toc184310301"/>
      <w:bookmarkEnd w:id="367"/>
      <w:bookmarkStart w:id="368" w:name="_Toc184312135"/>
      <w:bookmarkEnd w:id="368"/>
      <w:bookmarkStart w:id="369" w:name="_Toc184310342"/>
      <w:bookmarkEnd w:id="369"/>
      <w:bookmarkStart w:id="370" w:name="_Toc184308037"/>
      <w:bookmarkEnd w:id="370"/>
      <w:bookmarkStart w:id="371" w:name="_Toc184308070"/>
      <w:bookmarkEnd w:id="371"/>
      <w:bookmarkStart w:id="372" w:name="_Toc184314475"/>
      <w:bookmarkEnd w:id="372"/>
      <w:bookmarkStart w:id="373" w:name="_Toc184314434"/>
      <w:bookmarkEnd w:id="373"/>
      <w:bookmarkStart w:id="374" w:name="_Toc184313239"/>
      <w:bookmarkEnd w:id="374"/>
      <w:bookmarkStart w:id="375" w:name="_Toc184312113"/>
      <w:bookmarkEnd w:id="375"/>
      <w:bookmarkStart w:id="376" w:name="_Toc184310326"/>
      <w:bookmarkEnd w:id="376"/>
      <w:bookmarkStart w:id="377" w:name="_Toc184312099"/>
      <w:bookmarkEnd w:id="377"/>
      <w:bookmarkStart w:id="378" w:name="_Toc184310337"/>
      <w:bookmarkEnd w:id="378"/>
      <w:bookmarkStart w:id="379" w:name="_Toc184313248"/>
      <w:bookmarkEnd w:id="379"/>
      <w:bookmarkStart w:id="380" w:name="_Toc184310275"/>
      <w:bookmarkEnd w:id="380"/>
      <w:bookmarkStart w:id="381" w:name="_Toc184308086"/>
      <w:bookmarkEnd w:id="381"/>
      <w:bookmarkStart w:id="382" w:name="_Toc184310328"/>
      <w:bookmarkEnd w:id="382"/>
      <w:bookmarkStart w:id="383" w:name="_Toc184312139"/>
      <w:bookmarkEnd w:id="383"/>
      <w:bookmarkStart w:id="384" w:name="_Toc184312112"/>
      <w:bookmarkEnd w:id="384"/>
      <w:bookmarkStart w:id="385" w:name="_Toc184308049"/>
      <w:bookmarkEnd w:id="385"/>
      <w:bookmarkStart w:id="386" w:name="_Toc184308080"/>
      <w:bookmarkEnd w:id="386"/>
      <w:bookmarkStart w:id="387" w:name="_Toc184313295"/>
      <w:bookmarkEnd w:id="387"/>
      <w:bookmarkStart w:id="388" w:name="_Toc184310297"/>
      <w:bookmarkEnd w:id="388"/>
      <w:bookmarkStart w:id="389" w:name="_Toc184310312"/>
      <w:bookmarkEnd w:id="389"/>
      <w:bookmarkStart w:id="390" w:name="_Toc184308065"/>
      <w:bookmarkEnd w:id="390"/>
      <w:bookmarkStart w:id="391" w:name="_Toc184308050"/>
      <w:bookmarkEnd w:id="391"/>
      <w:bookmarkStart w:id="392" w:name="_Toc184312070"/>
      <w:bookmarkEnd w:id="392"/>
      <w:bookmarkStart w:id="393" w:name="_Toc184314466"/>
      <w:bookmarkEnd w:id="393"/>
      <w:bookmarkStart w:id="394" w:name="_Toc184312136"/>
      <w:bookmarkEnd w:id="394"/>
      <w:bookmarkStart w:id="395" w:name="_Toc184314412"/>
      <w:bookmarkEnd w:id="395"/>
      <w:bookmarkStart w:id="396" w:name="_Toc184314420"/>
      <w:bookmarkEnd w:id="396"/>
      <w:bookmarkStart w:id="397" w:name="_Toc184312092"/>
      <w:bookmarkEnd w:id="397"/>
      <w:bookmarkStart w:id="398" w:name="_Toc184312122"/>
      <w:bookmarkEnd w:id="398"/>
      <w:r>
        <w:rPr>
          <w:rFonts w:hint="eastAsia" w:ascii="宋体" w:hAnsi="宋体" w:eastAsia="宋体" w:cs="宋体"/>
          <w:b/>
          <w:color w:val="000000" w:themeColor="text1"/>
          <w:sz w:val="36"/>
          <w:szCs w:val="36"/>
          <w:highlight w:val="none"/>
          <w14:textFill>
            <w14:solidFill>
              <w14:schemeClr w14:val="tx1"/>
            </w14:solidFill>
          </w14:textFill>
        </w:rPr>
        <w:t>评标办法</w:t>
      </w:r>
    </w:p>
    <w:p>
      <w:pPr>
        <w:snapToGrid w:val="0"/>
        <w:spacing w:line="360" w:lineRule="auto"/>
        <w:jc w:val="center"/>
        <w:rPr>
          <w:rFonts w:hint="eastAsia" w:ascii="宋体" w:hAnsi="宋体" w:eastAsia="宋体" w:cs="宋体"/>
          <w:b/>
          <w:color w:val="000000" w:themeColor="text1"/>
          <w:sz w:val="32"/>
          <w:szCs w:val="20"/>
          <w:highlight w:val="none"/>
          <w14:textFill>
            <w14:solidFill>
              <w14:schemeClr w14:val="tx1"/>
            </w14:solidFill>
          </w14:textFill>
        </w:rPr>
      </w:pPr>
      <w:r>
        <w:rPr>
          <w:rFonts w:hint="eastAsia" w:ascii="宋体" w:hAnsi="宋体" w:eastAsia="宋体" w:cs="宋体"/>
          <w:b/>
          <w:color w:val="000000" w:themeColor="text1"/>
          <w:sz w:val="32"/>
          <w:szCs w:val="20"/>
          <w:highlight w:val="none"/>
          <w14:textFill>
            <w14:solidFill>
              <w14:schemeClr w14:val="tx1"/>
            </w14:solidFill>
          </w14:textFill>
        </w:rPr>
        <w:t>评标办法前附表</w:t>
      </w:r>
    </w:p>
    <w:tbl>
      <w:tblPr>
        <w:tblStyle w:val="62"/>
        <w:tblW w:w="9930" w:type="dxa"/>
        <w:tblInd w:w="-6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5"/>
        <w:gridCol w:w="6200"/>
        <w:gridCol w:w="784"/>
        <w:gridCol w:w="1133"/>
        <w:gridCol w:w="10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noWrap w:val="0"/>
            <w:vAlign w:val="center"/>
          </w:tcPr>
          <w:p>
            <w:pPr>
              <w:adjustRightInd/>
              <w:spacing w:line="312" w:lineRule="auto"/>
              <w:jc w:val="center"/>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序号</w:t>
            </w:r>
          </w:p>
        </w:tc>
        <w:tc>
          <w:tcPr>
            <w:tcW w:w="6200" w:type="dxa"/>
            <w:noWrap w:val="0"/>
            <w:vAlign w:val="center"/>
          </w:tcPr>
          <w:p>
            <w:pPr>
              <w:adjustRightInd/>
              <w:spacing w:line="312" w:lineRule="auto"/>
              <w:jc w:val="center"/>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评标标准</w:t>
            </w:r>
          </w:p>
        </w:tc>
        <w:tc>
          <w:tcPr>
            <w:tcW w:w="784" w:type="dxa"/>
            <w:noWrap w:val="0"/>
            <w:vAlign w:val="center"/>
          </w:tcPr>
          <w:p>
            <w:pPr>
              <w:adjustRightInd/>
              <w:spacing w:line="312" w:lineRule="auto"/>
              <w:jc w:val="center"/>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权重</w:t>
            </w:r>
          </w:p>
        </w:tc>
        <w:tc>
          <w:tcPr>
            <w:tcW w:w="1133" w:type="dxa"/>
            <w:noWrap w:val="0"/>
            <w:vAlign w:val="center"/>
          </w:tcPr>
          <w:p>
            <w:pPr>
              <w:adjustRightInd/>
              <w:jc w:val="center"/>
              <w:rPr>
                <w:rFonts w:hint="eastAsia" w:ascii="宋体" w:hAnsi="宋体" w:cs="宋体"/>
                <w:bCs/>
                <w:color w:val="000000" w:themeColor="text1"/>
                <w:sz w:val="24"/>
                <w:highlight w:val="none"/>
                <w14:textFill>
                  <w14:solidFill>
                    <w14:schemeClr w14:val="tx1"/>
                  </w14:solidFill>
                </w14:textFill>
              </w:rPr>
            </w:pPr>
            <w:r>
              <w:rPr>
                <w:rFonts w:hint="eastAsia" w:ascii="宋体" w:hAnsi="宋体" w:cs="宋体"/>
                <w:bCs/>
                <w:color w:val="000000" w:themeColor="text1"/>
                <w:sz w:val="22"/>
                <w:szCs w:val="22"/>
                <w:highlight w:val="none"/>
                <w14:textFill>
                  <w14:solidFill>
                    <w14:schemeClr w14:val="tx1"/>
                  </w14:solidFill>
                </w14:textFill>
              </w:rPr>
              <w:t>主观分/客观分属性</w:t>
            </w:r>
          </w:p>
        </w:tc>
        <w:tc>
          <w:tcPr>
            <w:tcW w:w="1078" w:type="dxa"/>
            <w:noWrap w:val="0"/>
            <w:vAlign w:val="top"/>
          </w:tcPr>
          <w:p>
            <w:pPr>
              <w:adjustRightInd/>
              <w:spacing w:line="312" w:lineRule="auto"/>
              <w:jc w:val="center"/>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bCs/>
                <w:color w:val="000000" w:themeColor="text1"/>
                <w:sz w:val="16"/>
                <w:szCs w:val="16"/>
                <w:highlight w:val="none"/>
                <w14:textFill>
                  <w14:solidFill>
                    <w14:schemeClr w14:val="tx1"/>
                  </w14:solidFill>
                </w14:textFill>
              </w:rPr>
              <w:t>投标文件中评标标准相应的商务技术资料目录*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noWrap w:val="0"/>
            <w:vAlign w:val="center"/>
          </w:tcPr>
          <w:p>
            <w:pPr>
              <w:adjustRightInd/>
              <w:spacing w:line="312" w:lineRule="auto"/>
              <w:jc w:val="center"/>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w:t>
            </w:r>
          </w:p>
        </w:tc>
        <w:tc>
          <w:tcPr>
            <w:tcW w:w="6200" w:type="dxa"/>
            <w:noWrap w:val="0"/>
            <w:vAlign w:val="center"/>
          </w:tcPr>
          <w:p>
            <w:pPr>
              <w:adjustRightInd/>
              <w:spacing w:line="312" w:lineRule="auto"/>
              <w:jc w:val="left"/>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供应商具有有效的质量管理体系认证、环境管理体系认证、职业健康管理体系认证证书，三个全部提供的得3分；缺一项的，扣1分，扣完为止。（证明材料：认证证书并加盖公章，未完整提供证明材料或证书不在有效期内的不得分）</w:t>
            </w:r>
          </w:p>
        </w:tc>
        <w:tc>
          <w:tcPr>
            <w:tcW w:w="784" w:type="dxa"/>
            <w:noWrap w:val="0"/>
            <w:vAlign w:val="center"/>
          </w:tcPr>
          <w:p>
            <w:pPr>
              <w:adjustRightInd/>
              <w:spacing w:line="312" w:lineRule="auto"/>
              <w:jc w:val="center"/>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w:t>
            </w:r>
          </w:p>
        </w:tc>
        <w:tc>
          <w:tcPr>
            <w:tcW w:w="1133" w:type="dxa"/>
            <w:noWrap w:val="0"/>
            <w:vAlign w:val="center"/>
          </w:tcPr>
          <w:p>
            <w:pPr>
              <w:adjustRightInd/>
              <w:spacing w:line="312" w:lineRule="auto"/>
              <w:jc w:val="center"/>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bCs/>
                <w:color w:val="000000" w:themeColor="text1"/>
                <w:sz w:val="24"/>
                <w:highlight w:val="none"/>
                <w14:textFill>
                  <w14:solidFill>
                    <w14:schemeClr w14:val="tx1"/>
                  </w14:solidFill>
                </w14:textFill>
              </w:rPr>
              <w:t>客观分</w:t>
            </w:r>
          </w:p>
        </w:tc>
        <w:tc>
          <w:tcPr>
            <w:tcW w:w="1078" w:type="dxa"/>
            <w:noWrap w:val="0"/>
            <w:vAlign w:val="center"/>
          </w:tcPr>
          <w:p>
            <w:pPr>
              <w:adjustRightInd/>
              <w:spacing w:line="312" w:lineRule="auto"/>
              <w:jc w:val="center"/>
              <w:rPr>
                <w:rFonts w:hint="eastAsia" w:ascii="宋体" w:hAnsi="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noWrap w:val="0"/>
            <w:vAlign w:val="center"/>
          </w:tcPr>
          <w:p>
            <w:pPr>
              <w:adjustRightInd/>
              <w:spacing w:line="312" w:lineRule="auto"/>
              <w:jc w:val="center"/>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w:t>
            </w:r>
          </w:p>
        </w:tc>
        <w:tc>
          <w:tcPr>
            <w:tcW w:w="6200" w:type="dxa"/>
            <w:noWrap w:val="0"/>
            <w:vAlign w:val="top"/>
          </w:tcPr>
          <w:p>
            <w:pPr>
              <w:adjustRightInd/>
              <w:spacing w:line="312" w:lineRule="auto"/>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供应商自2020年1月1日至今（以合同签订时间为准）完成过类似综合养护服务（</w:t>
            </w:r>
            <w:r>
              <w:rPr>
                <w:rFonts w:hint="eastAsia" w:ascii="宋体" w:hAnsi="宋体" w:cs="宋体"/>
                <w:color w:val="000000" w:themeColor="text1"/>
                <w:sz w:val="24"/>
                <w:highlight w:val="none"/>
                <w:lang w:val="en-US" w:eastAsia="zh-CN"/>
                <w14:textFill>
                  <w14:solidFill>
                    <w14:schemeClr w14:val="tx1"/>
                  </w14:solidFill>
                </w14:textFill>
              </w:rPr>
              <w:t>同时含</w:t>
            </w:r>
            <w:r>
              <w:rPr>
                <w:rFonts w:hint="eastAsia" w:ascii="宋体" w:hAnsi="宋体" w:cs="宋体"/>
                <w:color w:val="000000" w:themeColor="text1"/>
                <w:sz w:val="24"/>
                <w:highlight w:val="none"/>
                <w14:textFill>
                  <w14:solidFill>
                    <w14:schemeClr w14:val="tx1"/>
                  </w14:solidFill>
                </w14:textFill>
              </w:rPr>
              <w:t>道路养护</w:t>
            </w:r>
            <w:r>
              <w:rPr>
                <w:rFonts w:hint="eastAsia" w:ascii="宋体" w:hAnsi="宋体" w:cs="宋体"/>
                <w:color w:val="000000" w:themeColor="text1"/>
                <w:sz w:val="24"/>
                <w:highlight w:val="none"/>
                <w:lang w:val="en-US" w:eastAsia="zh-CN"/>
                <w14:textFill>
                  <w14:solidFill>
                    <w14:schemeClr w14:val="tx1"/>
                  </w14:solidFill>
                </w14:textFill>
              </w:rPr>
              <w:t>和</w:t>
            </w:r>
            <w:r>
              <w:rPr>
                <w:rFonts w:hint="eastAsia" w:ascii="宋体" w:hAnsi="宋体" w:cs="宋体"/>
                <w:color w:val="000000" w:themeColor="text1"/>
                <w:sz w:val="24"/>
                <w:highlight w:val="none"/>
                <w14:textFill>
                  <w14:solidFill>
                    <w14:schemeClr w14:val="tx1"/>
                  </w14:solidFill>
                </w14:textFill>
              </w:rPr>
              <w:t>环卫保洁</w:t>
            </w:r>
            <w:r>
              <w:rPr>
                <w:rFonts w:hint="eastAsia" w:ascii="宋体" w:hAnsi="宋体" w:cs="宋体"/>
                <w:color w:val="000000" w:themeColor="text1"/>
                <w:sz w:val="24"/>
                <w:highlight w:val="none"/>
                <w:lang w:val="en-US" w:eastAsia="zh-CN"/>
                <w14:textFill>
                  <w14:solidFill>
                    <w14:schemeClr w14:val="tx1"/>
                  </w14:solidFill>
                </w14:textFill>
              </w:rPr>
              <w:t>工作内容</w:t>
            </w:r>
            <w:r>
              <w:rPr>
                <w:rFonts w:hint="eastAsia" w:ascii="宋体" w:hAnsi="宋体" w:cs="宋体"/>
                <w:color w:val="000000" w:themeColor="text1"/>
                <w:sz w:val="24"/>
                <w:highlight w:val="none"/>
                <w14:textFill>
                  <w14:solidFill>
                    <w14:schemeClr w14:val="tx1"/>
                  </w14:solidFill>
                </w14:textFill>
              </w:rPr>
              <w:t>）业绩的，每个业绩得0.5分，最高1.5分。</w:t>
            </w:r>
          </w:p>
          <w:p>
            <w:pPr>
              <w:adjustRightInd/>
              <w:spacing w:line="312" w:lineRule="auto"/>
              <w:jc w:val="left"/>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证明材料：提供合同复印件并加盖公章，合同内容无法体现的须另行提供业主证明材料，</w:t>
            </w:r>
            <w:r>
              <w:rPr>
                <w:rFonts w:hint="eastAsia" w:ascii="宋体" w:hAnsi="宋体" w:cs="宋体"/>
                <w:color w:val="000000" w:themeColor="text1"/>
                <w:sz w:val="24"/>
                <w:highlight w:val="none"/>
                <w:lang w:val="zh-CN"/>
                <w14:textFill>
                  <w14:solidFill>
                    <w14:schemeClr w14:val="tx1"/>
                  </w14:solidFill>
                </w14:textFill>
              </w:rPr>
              <w:t>未提供的不得分，原件备查。</w:t>
            </w:r>
          </w:p>
        </w:tc>
        <w:tc>
          <w:tcPr>
            <w:tcW w:w="784" w:type="dxa"/>
            <w:noWrap w:val="0"/>
            <w:vAlign w:val="center"/>
          </w:tcPr>
          <w:p>
            <w:pPr>
              <w:adjustRightInd/>
              <w:spacing w:line="312" w:lineRule="auto"/>
              <w:jc w:val="center"/>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1.5</w:t>
            </w:r>
          </w:p>
        </w:tc>
        <w:tc>
          <w:tcPr>
            <w:tcW w:w="1133" w:type="dxa"/>
            <w:noWrap w:val="0"/>
            <w:vAlign w:val="center"/>
          </w:tcPr>
          <w:p>
            <w:pPr>
              <w:adjustRightInd/>
              <w:spacing w:line="312" w:lineRule="auto"/>
              <w:jc w:val="center"/>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bCs/>
                <w:color w:val="000000" w:themeColor="text1"/>
                <w:sz w:val="24"/>
                <w:highlight w:val="none"/>
                <w14:textFill>
                  <w14:solidFill>
                    <w14:schemeClr w14:val="tx1"/>
                  </w14:solidFill>
                </w14:textFill>
              </w:rPr>
              <w:t>客观分</w:t>
            </w:r>
          </w:p>
        </w:tc>
        <w:tc>
          <w:tcPr>
            <w:tcW w:w="1078" w:type="dxa"/>
            <w:noWrap w:val="0"/>
            <w:vAlign w:val="top"/>
          </w:tcPr>
          <w:p>
            <w:pPr>
              <w:adjustRightInd/>
              <w:spacing w:line="312" w:lineRule="auto"/>
              <w:jc w:val="left"/>
              <w:rPr>
                <w:rFonts w:hint="eastAsia" w:ascii="宋体" w:hAnsi="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noWrap w:val="0"/>
            <w:vAlign w:val="center"/>
          </w:tcPr>
          <w:p>
            <w:pPr>
              <w:adjustRightInd/>
              <w:spacing w:line="312" w:lineRule="auto"/>
              <w:jc w:val="center"/>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w:t>
            </w:r>
          </w:p>
        </w:tc>
        <w:tc>
          <w:tcPr>
            <w:tcW w:w="6200" w:type="dxa"/>
            <w:noWrap w:val="0"/>
            <w:vAlign w:val="top"/>
          </w:tcPr>
          <w:p>
            <w:pPr>
              <w:pStyle w:val="34"/>
              <w:adjustRightInd/>
              <w:spacing w:line="312" w:lineRule="auto"/>
              <w:rPr>
                <w:rFonts w:hint="eastAsia" w:hAnsi="宋体" w:cs="宋体"/>
                <w:snapToGrid/>
                <w:color w:val="000000" w:themeColor="text1"/>
                <w:sz w:val="24"/>
                <w:szCs w:val="24"/>
                <w:highlight w:val="none"/>
                <w14:textFill>
                  <w14:solidFill>
                    <w14:schemeClr w14:val="tx1"/>
                  </w14:solidFill>
                </w14:textFill>
              </w:rPr>
            </w:pPr>
            <w:r>
              <w:rPr>
                <w:rFonts w:hint="eastAsia" w:hAnsi="宋体" w:cs="宋体"/>
                <w:snapToGrid/>
                <w:color w:val="000000" w:themeColor="text1"/>
                <w:sz w:val="24"/>
                <w:szCs w:val="24"/>
                <w:highlight w:val="none"/>
                <w14:textFill>
                  <w14:solidFill>
                    <w14:schemeClr w14:val="tx1"/>
                  </w14:solidFill>
                </w14:textFill>
              </w:rPr>
              <w:t>项目负责人、管理人员情况：</w:t>
            </w:r>
          </w:p>
          <w:p>
            <w:pPr>
              <w:pStyle w:val="34"/>
              <w:adjustRightInd/>
              <w:spacing w:line="312" w:lineRule="auto"/>
              <w:rPr>
                <w:rFonts w:hint="eastAsia" w:hAnsi="宋体" w:cs="宋体"/>
                <w:snapToGrid/>
                <w:color w:val="000000" w:themeColor="text1"/>
                <w:sz w:val="24"/>
                <w:szCs w:val="24"/>
                <w:highlight w:val="none"/>
                <w14:textFill>
                  <w14:solidFill>
                    <w14:schemeClr w14:val="tx1"/>
                  </w14:solidFill>
                </w14:textFill>
              </w:rPr>
            </w:pPr>
            <w:r>
              <w:rPr>
                <w:rFonts w:hint="eastAsia" w:hAnsi="宋体" w:cs="宋体"/>
                <w:snapToGrid/>
                <w:color w:val="000000" w:themeColor="text1"/>
                <w:sz w:val="24"/>
                <w:szCs w:val="24"/>
                <w:highlight w:val="none"/>
                <w14:textFill>
                  <w14:solidFill>
                    <w14:schemeClr w14:val="tx1"/>
                  </w14:solidFill>
                </w14:textFill>
              </w:rPr>
              <w:t>（1）项目负责人：具备市政类工程师及以上职称，并本科及以上学历的得1分；（一个职位不可兼任）。证明材料：相关职称证书和学历证书和近一个月的社保缴纳证明并</w:t>
            </w:r>
            <w:r>
              <w:rPr>
                <w:rFonts w:hint="eastAsia" w:hAnsi="宋体" w:cs="宋体"/>
                <w:snapToGrid/>
                <w:color w:val="000000" w:themeColor="text1"/>
                <w:sz w:val="24"/>
                <w:szCs w:val="24"/>
                <w:highlight w:val="none"/>
                <w:lang w:val="zh-CN"/>
                <w14:textFill>
                  <w14:solidFill>
                    <w14:schemeClr w14:val="tx1"/>
                  </w14:solidFill>
                </w14:textFill>
              </w:rPr>
              <w:t>加盖公章，未提供的不得分。</w:t>
            </w:r>
          </w:p>
          <w:p>
            <w:pPr>
              <w:pStyle w:val="34"/>
              <w:adjustRightInd/>
              <w:spacing w:line="312" w:lineRule="auto"/>
              <w:rPr>
                <w:rFonts w:hint="eastAsia" w:hAnsi="宋体" w:cs="宋体"/>
                <w:snapToGrid/>
                <w:color w:val="000000" w:themeColor="text1"/>
                <w:sz w:val="24"/>
                <w:szCs w:val="24"/>
                <w:highlight w:val="none"/>
                <w14:textFill>
                  <w14:solidFill>
                    <w14:schemeClr w14:val="tx1"/>
                  </w14:solidFill>
                </w14:textFill>
              </w:rPr>
            </w:pPr>
            <w:r>
              <w:rPr>
                <w:rFonts w:hint="eastAsia" w:hAnsi="宋体" w:cs="宋体"/>
                <w:snapToGrid/>
                <w:color w:val="000000" w:themeColor="text1"/>
                <w:sz w:val="24"/>
                <w:szCs w:val="24"/>
                <w:highlight w:val="none"/>
                <w14:textFill>
                  <w14:solidFill>
                    <w14:schemeClr w14:val="tx1"/>
                  </w14:solidFill>
                </w14:textFill>
              </w:rPr>
              <w:t>（2）项目技术负责人：具备市政类工程师及以上职称，并本科及以上学历的得1分；（一个职位不可兼任）。证明材料：相关职称证书和学历证书和近一个月的社保缴纳证明并加盖公章，未提供的不得分。</w:t>
            </w:r>
          </w:p>
          <w:p>
            <w:pPr>
              <w:adjustRightInd/>
              <w:spacing w:line="312" w:lineRule="auto"/>
              <w:jc w:val="left"/>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项目组实施管理人员：①养护管理人员安排，技术负责人、道路养护项目主管、保洁主管、专职安全员、巡查主管等管理人员（≥5人）配备明确的得1分；②项目组管理人员要有较高的文化的素质（大专及以上学历）、技术能力的得1分（人员中至少4人有中级及以上职称证书，每少一人扣0.25分，扣完为止。证明材料：相关职称证书和学历证书和近一个月的社保缴纳证明并加盖公章，未提供的不得分。</w:t>
            </w:r>
          </w:p>
        </w:tc>
        <w:tc>
          <w:tcPr>
            <w:tcW w:w="784" w:type="dxa"/>
            <w:noWrap w:val="0"/>
            <w:vAlign w:val="center"/>
          </w:tcPr>
          <w:p>
            <w:pPr>
              <w:adjustRightInd/>
              <w:spacing w:line="312" w:lineRule="auto"/>
              <w:jc w:val="center"/>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4</w:t>
            </w:r>
          </w:p>
        </w:tc>
        <w:tc>
          <w:tcPr>
            <w:tcW w:w="1133" w:type="dxa"/>
            <w:noWrap w:val="0"/>
            <w:vAlign w:val="center"/>
          </w:tcPr>
          <w:p>
            <w:pPr>
              <w:adjustRightInd/>
              <w:spacing w:line="312" w:lineRule="auto"/>
              <w:jc w:val="center"/>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bCs/>
                <w:color w:val="000000" w:themeColor="text1"/>
                <w:sz w:val="24"/>
                <w:highlight w:val="none"/>
                <w14:textFill>
                  <w14:solidFill>
                    <w14:schemeClr w14:val="tx1"/>
                  </w14:solidFill>
                </w14:textFill>
              </w:rPr>
              <w:t>客观分</w:t>
            </w:r>
          </w:p>
        </w:tc>
        <w:tc>
          <w:tcPr>
            <w:tcW w:w="1078" w:type="dxa"/>
            <w:noWrap w:val="0"/>
            <w:vAlign w:val="top"/>
          </w:tcPr>
          <w:p>
            <w:pPr>
              <w:adjustRightInd/>
              <w:spacing w:line="312" w:lineRule="auto"/>
              <w:jc w:val="left"/>
              <w:rPr>
                <w:rFonts w:hint="eastAsia" w:ascii="宋体" w:hAnsi="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noWrap w:val="0"/>
            <w:vAlign w:val="center"/>
          </w:tcPr>
          <w:p>
            <w:pPr>
              <w:adjustRightInd/>
              <w:spacing w:line="312" w:lineRule="auto"/>
              <w:jc w:val="center"/>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4</w:t>
            </w:r>
          </w:p>
        </w:tc>
        <w:tc>
          <w:tcPr>
            <w:tcW w:w="6200" w:type="dxa"/>
            <w:noWrap w:val="0"/>
            <w:vAlign w:val="top"/>
          </w:tcPr>
          <w:p>
            <w:pPr>
              <w:adjustRightInd/>
              <w:spacing w:line="312" w:lineRule="auto"/>
              <w:jc w:val="left"/>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14:textFill>
                  <w14:solidFill>
                    <w14:schemeClr w14:val="tx1"/>
                  </w14:solidFill>
                </w14:textFill>
              </w:rPr>
              <w:t>标项一（临丁路）：</w:t>
            </w:r>
            <w:r>
              <w:rPr>
                <w:rFonts w:hint="eastAsia" w:ascii="宋体" w:hAnsi="宋体" w:cs="宋体"/>
                <w:color w:val="000000" w:themeColor="text1"/>
                <w:sz w:val="24"/>
                <w:highlight w:val="none"/>
                <w14:textFill>
                  <w14:solidFill>
                    <w14:schemeClr w14:val="tx1"/>
                  </w14:solidFill>
                </w14:textFill>
              </w:rPr>
              <w:t>项目作业人员情况（0-4分）：</w:t>
            </w:r>
          </w:p>
          <w:p>
            <w:pPr>
              <w:adjustRightInd/>
              <w:spacing w:line="312" w:lineRule="auto"/>
              <w:jc w:val="left"/>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作业人员数量充足，配置合理，投入本项目的班组人员需固定并提供固定用于本标项的承诺函：</w:t>
            </w:r>
          </w:p>
          <w:p>
            <w:pPr>
              <w:adjustRightInd/>
              <w:spacing w:line="312" w:lineRule="auto"/>
              <w:jc w:val="left"/>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（1）市政养护至少配备</w:t>
            </w:r>
            <w:r>
              <w:rPr>
                <w:rFonts w:hint="eastAsia" w:ascii="宋体" w:hAnsi="宋体" w:cs="宋体"/>
                <w:color w:val="000000" w:themeColor="text1"/>
                <w:sz w:val="24"/>
                <w:highlight w:val="none"/>
                <w:u w:val="single"/>
                <w14:textFill>
                  <w14:solidFill>
                    <w14:schemeClr w14:val="tx1"/>
                  </w14:solidFill>
                </w14:textFill>
              </w:rPr>
              <w:t xml:space="preserve">  2 </w:t>
            </w:r>
            <w:r>
              <w:rPr>
                <w:rFonts w:hint="eastAsia" w:ascii="宋体" w:hAnsi="宋体" w:cs="宋体"/>
                <w:color w:val="000000" w:themeColor="text1"/>
                <w:sz w:val="24"/>
                <w:highlight w:val="none"/>
                <w14:textFill>
                  <w14:solidFill>
                    <w14:schemeClr w14:val="tx1"/>
                  </w14:solidFill>
                </w14:textFill>
              </w:rPr>
              <w:t>个沥青班组人员（每个班组</w:t>
            </w:r>
            <w:r>
              <w:rPr>
                <w:rFonts w:hint="eastAsia" w:ascii="宋体" w:hAnsi="宋体" w:cs="宋体"/>
                <w:color w:val="000000" w:themeColor="text1"/>
                <w:sz w:val="24"/>
                <w:highlight w:val="none"/>
                <w:u w:val="single"/>
                <w14:textFill>
                  <w14:solidFill>
                    <w14:schemeClr w14:val="tx1"/>
                  </w14:solidFill>
                </w14:textFill>
              </w:rPr>
              <w:t xml:space="preserve"> 8  </w:t>
            </w:r>
            <w:r>
              <w:rPr>
                <w:rFonts w:hint="eastAsia" w:ascii="宋体" w:hAnsi="宋体" w:cs="宋体"/>
                <w:color w:val="000000" w:themeColor="text1"/>
                <w:sz w:val="24"/>
                <w:highlight w:val="none"/>
                <w14:textFill>
                  <w14:solidFill>
                    <w14:schemeClr w14:val="tx1"/>
                  </w14:solidFill>
                </w14:textFill>
              </w:rPr>
              <w:t>人）、</w:t>
            </w:r>
            <w:r>
              <w:rPr>
                <w:rFonts w:hint="eastAsia" w:ascii="宋体" w:hAnsi="宋体" w:cs="宋体"/>
                <w:color w:val="000000" w:themeColor="text1"/>
                <w:sz w:val="24"/>
                <w:highlight w:val="none"/>
                <w:u w:val="single"/>
                <w14:textFill>
                  <w14:solidFill>
                    <w14:schemeClr w14:val="tx1"/>
                  </w14:solidFill>
                </w14:textFill>
              </w:rPr>
              <w:t xml:space="preserve"> 3  </w:t>
            </w:r>
            <w:r>
              <w:rPr>
                <w:rFonts w:hint="eastAsia" w:ascii="宋体" w:hAnsi="宋体" w:cs="宋体"/>
                <w:color w:val="000000" w:themeColor="text1"/>
                <w:sz w:val="24"/>
                <w:highlight w:val="none"/>
                <w14:textFill>
                  <w14:solidFill>
                    <w14:schemeClr w14:val="tx1"/>
                  </w14:solidFill>
                </w14:textFill>
              </w:rPr>
              <w:t>个人行道班组（每个班组</w:t>
            </w:r>
            <w:r>
              <w:rPr>
                <w:rFonts w:hint="eastAsia" w:ascii="宋体" w:hAnsi="宋体" w:cs="宋体"/>
                <w:color w:val="000000" w:themeColor="text1"/>
                <w:sz w:val="24"/>
                <w:highlight w:val="none"/>
                <w:u w:val="single"/>
                <w14:textFill>
                  <w14:solidFill>
                    <w14:schemeClr w14:val="tx1"/>
                  </w14:solidFill>
                </w14:textFill>
              </w:rPr>
              <w:t xml:space="preserve">  4 </w:t>
            </w:r>
            <w:r>
              <w:rPr>
                <w:rFonts w:hint="eastAsia" w:ascii="宋体" w:hAnsi="宋体" w:cs="宋体"/>
                <w:color w:val="000000" w:themeColor="text1"/>
                <w:sz w:val="24"/>
                <w:highlight w:val="none"/>
                <w14:textFill>
                  <w14:solidFill>
                    <w14:schemeClr w14:val="tx1"/>
                  </w14:solidFill>
                </w14:textFill>
              </w:rPr>
              <w:t>人），不少于此项要求并提供固定用于本标项的承诺函的得2分。不足或未提供承诺函的不得分。</w:t>
            </w:r>
          </w:p>
          <w:p>
            <w:pPr>
              <w:numPr>
                <w:ilvl w:val="0"/>
                <w:numId w:val="2"/>
              </w:numPr>
              <w:adjustRightInd/>
              <w:spacing w:line="312" w:lineRule="auto"/>
              <w:jc w:val="left"/>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环卫保洁配备人数不少于</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u w:val="single"/>
                <w:lang w:val="en-US" w:eastAsia="zh-CN"/>
                <w14:textFill>
                  <w14:solidFill>
                    <w14:schemeClr w14:val="tx1"/>
                  </w14:solidFill>
                </w14:textFill>
              </w:rPr>
              <w:t>86</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人，满足此项要求并提供固定用于本标项的承诺函的得2分。不足或未提供承诺函的不得分。</w:t>
            </w:r>
          </w:p>
          <w:p>
            <w:pPr>
              <w:adjustRightInd/>
              <w:spacing w:line="312" w:lineRule="auto"/>
              <w:jc w:val="left"/>
              <w:rPr>
                <w:color w:val="000000" w:themeColor="text1"/>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以上两项证明材料：需提供人员花名册（</w:t>
            </w:r>
            <w:r>
              <w:rPr>
                <w:rFonts w:hint="eastAsia" w:ascii="宋体" w:hAnsi="宋体" w:cs="宋体"/>
                <w:color w:val="000000" w:themeColor="text1"/>
                <w:sz w:val="24"/>
                <w:highlight w:val="none"/>
                <w:lang w:eastAsia="zh-CN"/>
                <w14:textFill>
                  <w14:solidFill>
                    <w14:schemeClr w14:val="tx1"/>
                  </w14:solidFill>
                </w14:textFill>
              </w:rPr>
              <w:t>含身份</w:t>
            </w:r>
            <w:r>
              <w:rPr>
                <w:rFonts w:hint="eastAsia" w:ascii="宋体" w:hAnsi="宋体" w:cs="宋体"/>
                <w:color w:val="000000" w:themeColor="text1"/>
                <w:sz w:val="24"/>
                <w:highlight w:val="none"/>
                <w:lang w:val="en-US" w:eastAsia="zh-CN"/>
                <w14:textFill>
                  <w14:solidFill>
                    <w14:schemeClr w14:val="tx1"/>
                  </w14:solidFill>
                </w14:textFill>
              </w:rPr>
              <w:t>证</w:t>
            </w:r>
            <w:r>
              <w:rPr>
                <w:rFonts w:hint="eastAsia" w:ascii="宋体" w:hAnsi="宋体" w:cs="宋体"/>
                <w:color w:val="000000" w:themeColor="text1"/>
                <w:sz w:val="24"/>
                <w:highlight w:val="none"/>
                <w:lang w:eastAsia="zh-CN"/>
                <w14:textFill>
                  <w14:solidFill>
                    <w14:schemeClr w14:val="tx1"/>
                  </w14:solidFill>
                </w14:textFill>
              </w:rPr>
              <w:t>号</w:t>
            </w:r>
            <w:r>
              <w:rPr>
                <w:rFonts w:hint="eastAsia" w:ascii="宋体" w:hAnsi="宋体" w:cs="宋体"/>
                <w:color w:val="000000" w:themeColor="text1"/>
                <w:sz w:val="24"/>
                <w:highlight w:val="none"/>
                <w14:textFill>
                  <w14:solidFill>
                    <w14:schemeClr w14:val="tx1"/>
                  </w14:solidFill>
                </w14:textFill>
              </w:rPr>
              <w:t>）及提供近一个月社保证明，社保由劳务公司缴纳的劳务派遣员工，还需提供用人单位与劳务公司签订的劳务派遣协议、劳动合同复印件，未能提供或提供不完整的不得分。）</w:t>
            </w:r>
          </w:p>
          <w:p>
            <w:pPr>
              <w:adjustRightInd/>
              <w:spacing w:line="312" w:lineRule="auto"/>
              <w:jc w:val="left"/>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14:textFill>
                  <w14:solidFill>
                    <w14:schemeClr w14:val="tx1"/>
                  </w14:solidFill>
                </w14:textFill>
              </w:rPr>
              <w:t>标项二（东新路）：</w:t>
            </w:r>
            <w:r>
              <w:rPr>
                <w:rFonts w:hint="eastAsia" w:ascii="宋体" w:hAnsi="宋体" w:cs="宋体"/>
                <w:color w:val="000000" w:themeColor="text1"/>
                <w:sz w:val="24"/>
                <w:highlight w:val="none"/>
                <w14:textFill>
                  <w14:solidFill>
                    <w14:schemeClr w14:val="tx1"/>
                  </w14:solidFill>
                </w14:textFill>
              </w:rPr>
              <w:t>项目作业人员情况（0-4分）：</w:t>
            </w:r>
          </w:p>
          <w:p>
            <w:pPr>
              <w:adjustRightInd/>
              <w:spacing w:line="312" w:lineRule="auto"/>
              <w:jc w:val="left"/>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作业人员数量充足，配置合理，投入本项目的班组人员需固定并提供固定用于本标项的承诺函：</w:t>
            </w:r>
          </w:p>
          <w:p>
            <w:pPr>
              <w:adjustRightInd/>
              <w:spacing w:line="312" w:lineRule="auto"/>
              <w:jc w:val="left"/>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（1）市政养护至少配备</w:t>
            </w:r>
            <w:r>
              <w:rPr>
                <w:rFonts w:hint="eastAsia" w:ascii="宋体" w:hAnsi="宋体" w:cs="宋体"/>
                <w:color w:val="000000" w:themeColor="text1"/>
                <w:sz w:val="24"/>
                <w:highlight w:val="none"/>
                <w:u w:val="single"/>
                <w14:textFill>
                  <w14:solidFill>
                    <w14:schemeClr w14:val="tx1"/>
                  </w14:solidFill>
                </w14:textFill>
              </w:rPr>
              <w:t xml:space="preserve">  2 </w:t>
            </w:r>
            <w:r>
              <w:rPr>
                <w:rFonts w:hint="eastAsia" w:ascii="宋体" w:hAnsi="宋体" w:cs="宋体"/>
                <w:color w:val="000000" w:themeColor="text1"/>
                <w:sz w:val="24"/>
                <w:highlight w:val="none"/>
                <w14:textFill>
                  <w14:solidFill>
                    <w14:schemeClr w14:val="tx1"/>
                  </w14:solidFill>
                </w14:textFill>
              </w:rPr>
              <w:t>个沥青班组人员（每个班组</w:t>
            </w:r>
            <w:r>
              <w:rPr>
                <w:rFonts w:hint="eastAsia" w:ascii="宋体" w:hAnsi="宋体" w:cs="宋体"/>
                <w:color w:val="000000" w:themeColor="text1"/>
                <w:sz w:val="24"/>
                <w:highlight w:val="none"/>
                <w:u w:val="single"/>
                <w14:textFill>
                  <w14:solidFill>
                    <w14:schemeClr w14:val="tx1"/>
                  </w14:solidFill>
                </w14:textFill>
              </w:rPr>
              <w:t xml:space="preserve">8   </w:t>
            </w:r>
            <w:r>
              <w:rPr>
                <w:rFonts w:hint="eastAsia" w:ascii="宋体" w:hAnsi="宋体" w:cs="宋体"/>
                <w:color w:val="000000" w:themeColor="text1"/>
                <w:sz w:val="24"/>
                <w:highlight w:val="none"/>
                <w14:textFill>
                  <w14:solidFill>
                    <w14:schemeClr w14:val="tx1"/>
                  </w14:solidFill>
                </w14:textFill>
              </w:rPr>
              <w:t>人）、</w:t>
            </w:r>
            <w:r>
              <w:rPr>
                <w:rFonts w:hint="eastAsia" w:ascii="宋体" w:hAnsi="宋体" w:cs="宋体"/>
                <w:color w:val="000000" w:themeColor="text1"/>
                <w:sz w:val="24"/>
                <w:highlight w:val="none"/>
                <w:u w:val="single"/>
                <w14:textFill>
                  <w14:solidFill>
                    <w14:schemeClr w14:val="tx1"/>
                  </w14:solidFill>
                </w14:textFill>
              </w:rPr>
              <w:t xml:space="preserve">  3 </w:t>
            </w:r>
            <w:r>
              <w:rPr>
                <w:rFonts w:hint="eastAsia" w:ascii="宋体" w:hAnsi="宋体" w:cs="宋体"/>
                <w:color w:val="000000" w:themeColor="text1"/>
                <w:sz w:val="24"/>
                <w:highlight w:val="none"/>
                <w14:textFill>
                  <w14:solidFill>
                    <w14:schemeClr w14:val="tx1"/>
                  </w14:solidFill>
                </w14:textFill>
              </w:rPr>
              <w:t>个人行道班组（每个班组</w:t>
            </w:r>
            <w:r>
              <w:rPr>
                <w:rFonts w:hint="eastAsia" w:ascii="宋体" w:hAnsi="宋体" w:cs="宋体"/>
                <w:color w:val="000000" w:themeColor="text1"/>
                <w:sz w:val="24"/>
                <w:highlight w:val="none"/>
                <w:u w:val="single"/>
                <w14:textFill>
                  <w14:solidFill>
                    <w14:schemeClr w14:val="tx1"/>
                  </w14:solidFill>
                </w14:textFill>
              </w:rPr>
              <w:t xml:space="preserve">  4 </w:t>
            </w:r>
            <w:r>
              <w:rPr>
                <w:rFonts w:hint="eastAsia" w:ascii="宋体" w:hAnsi="宋体" w:cs="宋体"/>
                <w:color w:val="000000" w:themeColor="text1"/>
                <w:sz w:val="24"/>
                <w:highlight w:val="none"/>
                <w14:textFill>
                  <w14:solidFill>
                    <w14:schemeClr w14:val="tx1"/>
                  </w14:solidFill>
                </w14:textFill>
              </w:rPr>
              <w:t>人），不少于此项要求并提供固定用于本标项的承诺函的得2分。不足或未提供承诺函的不得分。</w:t>
            </w:r>
          </w:p>
          <w:p>
            <w:pPr>
              <w:numPr>
                <w:numId w:val="0"/>
              </w:numPr>
              <w:adjustRightInd/>
              <w:spacing w:line="312" w:lineRule="auto"/>
              <w:jc w:val="left"/>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lang w:eastAsia="zh-CN"/>
                <w14:textFill>
                  <w14:solidFill>
                    <w14:schemeClr w14:val="tx1"/>
                  </w14:solidFill>
                </w14:textFill>
              </w:rPr>
              <w:t>（</w:t>
            </w:r>
            <w:r>
              <w:rPr>
                <w:rFonts w:hint="eastAsia" w:ascii="宋体" w:hAnsi="宋体" w:cs="宋体"/>
                <w:color w:val="000000" w:themeColor="text1"/>
                <w:sz w:val="24"/>
                <w:highlight w:val="none"/>
                <w:lang w:val="en-US" w:eastAsia="zh-CN"/>
                <w14:textFill>
                  <w14:solidFill>
                    <w14:schemeClr w14:val="tx1"/>
                  </w14:solidFill>
                </w14:textFill>
              </w:rPr>
              <w:t>2</w:t>
            </w:r>
            <w:r>
              <w:rPr>
                <w:rFonts w:hint="eastAsia" w:ascii="宋体" w:hAnsi="宋体" w:cs="宋体"/>
                <w:color w:val="000000" w:themeColor="text1"/>
                <w:sz w:val="24"/>
                <w:highlight w:val="none"/>
                <w:lang w:eastAsia="zh-CN"/>
                <w14:textFill>
                  <w14:solidFill>
                    <w14:schemeClr w14:val="tx1"/>
                  </w14:solidFill>
                </w14:textFill>
              </w:rPr>
              <w:t>）</w:t>
            </w:r>
            <w:r>
              <w:rPr>
                <w:rFonts w:hint="eastAsia" w:ascii="宋体" w:hAnsi="宋体" w:cs="宋体"/>
                <w:color w:val="000000" w:themeColor="text1"/>
                <w:sz w:val="24"/>
                <w:highlight w:val="none"/>
                <w14:textFill>
                  <w14:solidFill>
                    <w14:schemeClr w14:val="tx1"/>
                  </w14:solidFill>
                </w14:textFill>
              </w:rPr>
              <w:t>环卫保洁配备人数不少于</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u w:val="single"/>
                <w:lang w:val="en-US" w:eastAsia="zh-CN"/>
                <w14:textFill>
                  <w14:solidFill>
                    <w14:schemeClr w14:val="tx1"/>
                  </w14:solidFill>
                </w14:textFill>
              </w:rPr>
              <w:t>120</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人，满足此项要求并提供固定用于本标项的承诺函的得2分。不足或未提供承诺函的不得分。</w:t>
            </w:r>
          </w:p>
          <w:p>
            <w:pPr>
              <w:adjustRightInd/>
              <w:spacing w:line="312" w:lineRule="auto"/>
              <w:jc w:val="left"/>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以上两项证明材料：需提供人员花名册（含身份证号）及提供近一个月社保证明，社保由劳务公司缴纳的劳务派遣员工，还需提供用人单位与劳务公司签订的劳务派遣协议、劳动合同复印件，未能提供或提供不完整的不得分。）</w:t>
            </w:r>
          </w:p>
        </w:tc>
        <w:tc>
          <w:tcPr>
            <w:tcW w:w="784" w:type="dxa"/>
            <w:noWrap w:val="0"/>
            <w:vAlign w:val="center"/>
          </w:tcPr>
          <w:p>
            <w:pPr>
              <w:adjustRightInd/>
              <w:spacing w:line="312" w:lineRule="auto"/>
              <w:jc w:val="center"/>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4</w:t>
            </w:r>
          </w:p>
        </w:tc>
        <w:tc>
          <w:tcPr>
            <w:tcW w:w="1133" w:type="dxa"/>
            <w:noWrap w:val="0"/>
            <w:vAlign w:val="center"/>
          </w:tcPr>
          <w:p>
            <w:pPr>
              <w:adjustRightInd/>
              <w:spacing w:line="312" w:lineRule="auto"/>
              <w:jc w:val="center"/>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bCs/>
                <w:color w:val="000000" w:themeColor="text1"/>
                <w:sz w:val="24"/>
                <w:highlight w:val="none"/>
                <w14:textFill>
                  <w14:solidFill>
                    <w14:schemeClr w14:val="tx1"/>
                  </w14:solidFill>
                </w14:textFill>
              </w:rPr>
              <w:t>客观分</w:t>
            </w:r>
          </w:p>
        </w:tc>
        <w:tc>
          <w:tcPr>
            <w:tcW w:w="1078" w:type="dxa"/>
            <w:noWrap w:val="0"/>
            <w:vAlign w:val="top"/>
          </w:tcPr>
          <w:p>
            <w:pPr>
              <w:adjustRightInd/>
              <w:spacing w:line="312" w:lineRule="auto"/>
              <w:jc w:val="left"/>
              <w:rPr>
                <w:rFonts w:hint="eastAsia" w:ascii="宋体" w:hAnsi="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3" w:hRule="atLeast"/>
        </w:trPr>
        <w:tc>
          <w:tcPr>
            <w:tcW w:w="735" w:type="dxa"/>
            <w:noWrap w:val="0"/>
            <w:vAlign w:val="center"/>
          </w:tcPr>
          <w:p>
            <w:pPr>
              <w:pStyle w:val="61"/>
              <w:spacing w:after="0" w:line="312" w:lineRule="auto"/>
              <w:ind w:left="0" w:leftChars="0" w:firstLine="0" w:firstLineChars="0"/>
              <w:jc w:val="center"/>
              <w:rPr>
                <w:rFonts w:hint="eastAsia" w:cs="宋体"/>
                <w:color w:val="000000" w:themeColor="text1"/>
                <w:sz w:val="24"/>
                <w:highlight w:val="none"/>
                <w14:textFill>
                  <w14:solidFill>
                    <w14:schemeClr w14:val="tx1"/>
                  </w14:solidFill>
                </w14:textFill>
              </w:rPr>
            </w:pPr>
            <w:r>
              <w:rPr>
                <w:rFonts w:hint="eastAsia" w:cs="宋体"/>
                <w:color w:val="000000" w:themeColor="text1"/>
                <w:sz w:val="24"/>
                <w:highlight w:val="none"/>
                <w14:textFill>
                  <w14:solidFill>
                    <w14:schemeClr w14:val="tx1"/>
                  </w14:solidFill>
                </w14:textFill>
              </w:rPr>
              <w:t>5</w:t>
            </w:r>
          </w:p>
        </w:tc>
        <w:tc>
          <w:tcPr>
            <w:tcW w:w="6200" w:type="dxa"/>
            <w:noWrap w:val="0"/>
            <w:vAlign w:val="top"/>
          </w:tcPr>
          <w:p>
            <w:pPr>
              <w:keepNext w:val="0"/>
              <w:keepLines w:val="0"/>
              <w:pageBreakBefore w:val="0"/>
              <w:kinsoku/>
              <w:wordWrap/>
              <w:overflowPunct/>
              <w:topLinePunct w:val="0"/>
              <w:autoSpaceDE/>
              <w:autoSpaceDN/>
              <w:bidi w:val="0"/>
              <w:adjustRightInd/>
              <w:snapToGrid/>
              <w:spacing w:line="312" w:lineRule="auto"/>
              <w:jc w:val="left"/>
              <w:textAlignment w:val="auto"/>
              <w:rPr>
                <w:rFonts w:hint="eastAsia" w:ascii="宋体" w:hAnsi="宋体" w:eastAsia="宋体" w:cs="宋体"/>
                <w:snapToGrid/>
                <w:color w:val="000000" w:themeColor="text1"/>
                <w:kern w:val="2"/>
                <w:sz w:val="24"/>
                <w:szCs w:val="24"/>
                <w:highlight w:val="none"/>
                <w:shd w:val="clear"/>
                <w:lang w:val="en-US" w:eastAsia="zh-CN" w:bidi="ar-SA"/>
                <w14:textFill>
                  <w14:solidFill>
                    <w14:schemeClr w14:val="tx1"/>
                  </w14:solidFill>
                </w14:textFill>
              </w:rPr>
            </w:pPr>
            <w:r>
              <w:rPr>
                <w:rFonts w:hint="eastAsia" w:ascii="宋体" w:hAnsi="宋体" w:eastAsia="宋体" w:cs="宋体"/>
                <w:snapToGrid/>
                <w:color w:val="000000" w:themeColor="text1"/>
                <w:kern w:val="2"/>
                <w:sz w:val="24"/>
                <w:szCs w:val="24"/>
                <w:highlight w:val="none"/>
                <w:shd w:val="clear"/>
                <w:lang w:val="en-US" w:eastAsia="zh-CN" w:bidi="ar-SA"/>
                <w14:textFill>
                  <w14:solidFill>
                    <w14:schemeClr w14:val="tx1"/>
                  </w14:solidFill>
                </w14:textFill>
              </w:rPr>
              <w:t>沥青混凝土供应情况：</w:t>
            </w:r>
          </w:p>
          <w:p>
            <w:pPr>
              <w:keepNext w:val="0"/>
              <w:keepLines w:val="0"/>
              <w:pageBreakBefore w:val="0"/>
              <w:kinsoku/>
              <w:wordWrap/>
              <w:overflowPunct/>
              <w:topLinePunct w:val="0"/>
              <w:autoSpaceDE/>
              <w:autoSpaceDN/>
              <w:bidi w:val="0"/>
              <w:adjustRightInd/>
              <w:snapToGrid/>
              <w:spacing w:line="312" w:lineRule="auto"/>
              <w:jc w:val="left"/>
              <w:textAlignment w:val="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snapToGrid/>
                <w:color w:val="000000" w:themeColor="text1"/>
                <w:kern w:val="2"/>
                <w:sz w:val="24"/>
                <w:szCs w:val="24"/>
                <w:highlight w:val="none"/>
                <w:shd w:val="clear"/>
                <w:lang w:val="en-US" w:eastAsia="zh-CN" w:bidi="ar-SA"/>
                <w14:textFill>
                  <w14:solidFill>
                    <w14:schemeClr w14:val="tx1"/>
                  </w14:solidFill>
                </w14:textFill>
              </w:rPr>
              <w:t>供应商或供应商全资子公司（可共同经营）具有保障本项目沥青供应的沥青砼生产企业，自有的得6分，合作企业的得3分。(证明材料：自有的以营业执照和政府批复为准，二者缺一不可；合作企业以营业执照、合作协议为准，二者缺一不可）。</w:t>
            </w:r>
          </w:p>
        </w:tc>
        <w:tc>
          <w:tcPr>
            <w:tcW w:w="784" w:type="dxa"/>
            <w:noWrap w:val="0"/>
            <w:vAlign w:val="center"/>
          </w:tcPr>
          <w:p>
            <w:pPr>
              <w:adjustRightInd/>
              <w:spacing w:line="312" w:lineRule="auto"/>
              <w:jc w:val="center"/>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6</w:t>
            </w:r>
          </w:p>
        </w:tc>
        <w:tc>
          <w:tcPr>
            <w:tcW w:w="1133" w:type="dxa"/>
            <w:noWrap w:val="0"/>
            <w:vAlign w:val="center"/>
          </w:tcPr>
          <w:p>
            <w:pPr>
              <w:adjustRightInd/>
              <w:spacing w:line="312" w:lineRule="auto"/>
              <w:jc w:val="center"/>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客观分</w:t>
            </w:r>
          </w:p>
        </w:tc>
        <w:tc>
          <w:tcPr>
            <w:tcW w:w="1078" w:type="dxa"/>
            <w:noWrap w:val="0"/>
            <w:vAlign w:val="top"/>
          </w:tcPr>
          <w:p>
            <w:pPr>
              <w:adjustRightInd/>
              <w:spacing w:line="312" w:lineRule="auto"/>
              <w:jc w:val="left"/>
              <w:rPr>
                <w:rFonts w:hint="eastAsia" w:ascii="宋体" w:hAnsi="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noWrap w:val="0"/>
            <w:vAlign w:val="center"/>
          </w:tcPr>
          <w:p>
            <w:pPr>
              <w:pStyle w:val="61"/>
              <w:spacing w:after="0" w:line="312" w:lineRule="auto"/>
              <w:ind w:left="0" w:leftChars="0" w:firstLine="0" w:firstLineChars="0"/>
              <w:jc w:val="center"/>
              <w:rPr>
                <w:rFonts w:hint="eastAsia" w:cs="宋体"/>
                <w:color w:val="000000" w:themeColor="text1"/>
                <w:sz w:val="24"/>
                <w:highlight w:val="none"/>
                <w14:textFill>
                  <w14:solidFill>
                    <w14:schemeClr w14:val="tx1"/>
                  </w14:solidFill>
                </w14:textFill>
              </w:rPr>
            </w:pPr>
          </w:p>
          <w:p>
            <w:pPr>
              <w:pStyle w:val="61"/>
              <w:spacing w:after="0" w:line="312" w:lineRule="auto"/>
              <w:ind w:left="0" w:leftChars="0" w:firstLine="0" w:firstLineChars="0"/>
              <w:jc w:val="center"/>
              <w:rPr>
                <w:rFonts w:hint="eastAsia" w:cs="宋体"/>
                <w:color w:val="000000" w:themeColor="text1"/>
                <w:sz w:val="24"/>
                <w:highlight w:val="none"/>
                <w14:textFill>
                  <w14:solidFill>
                    <w14:schemeClr w14:val="tx1"/>
                  </w14:solidFill>
                </w14:textFill>
              </w:rPr>
            </w:pPr>
          </w:p>
          <w:p>
            <w:pPr>
              <w:pStyle w:val="61"/>
              <w:spacing w:after="0" w:line="312" w:lineRule="auto"/>
              <w:ind w:left="0" w:leftChars="0" w:firstLine="0" w:firstLineChars="0"/>
              <w:jc w:val="center"/>
              <w:rPr>
                <w:rFonts w:cs="宋体"/>
                <w:color w:val="000000" w:themeColor="text1"/>
                <w:sz w:val="24"/>
                <w:highlight w:val="none"/>
                <w14:textFill>
                  <w14:solidFill>
                    <w14:schemeClr w14:val="tx1"/>
                  </w14:solidFill>
                </w14:textFill>
              </w:rPr>
            </w:pPr>
            <w:r>
              <w:rPr>
                <w:rFonts w:hint="eastAsia" w:cs="宋体"/>
                <w:color w:val="000000" w:themeColor="text1"/>
                <w:sz w:val="24"/>
                <w:highlight w:val="none"/>
                <w14:textFill>
                  <w14:solidFill>
                    <w14:schemeClr w14:val="tx1"/>
                  </w14:solidFill>
                </w14:textFill>
              </w:rPr>
              <w:t>6</w:t>
            </w:r>
          </w:p>
        </w:tc>
        <w:tc>
          <w:tcPr>
            <w:tcW w:w="6200" w:type="dxa"/>
            <w:noWrap w:val="0"/>
            <w:vAlign w:val="top"/>
          </w:tcPr>
          <w:p>
            <w:pPr>
              <w:keepNext w:val="0"/>
              <w:keepLines w:val="0"/>
              <w:pageBreakBefore w:val="0"/>
              <w:widowControl/>
              <w:kinsoku/>
              <w:wordWrap/>
              <w:overflowPunct/>
              <w:topLinePunct w:val="0"/>
              <w:autoSpaceDE/>
              <w:autoSpaceDN/>
              <w:bidi w:val="0"/>
              <w:adjustRightInd/>
              <w:snapToGrid/>
              <w:spacing w:line="312" w:lineRule="auto"/>
              <w:ind w:left="0" w:leftChars="0"/>
              <w:jc w:val="left"/>
              <w:textAlignment w:val="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snapToGrid/>
                <w:color w:val="000000" w:themeColor="text1"/>
                <w:kern w:val="2"/>
                <w:sz w:val="24"/>
                <w:szCs w:val="24"/>
                <w:highlight w:val="none"/>
                <w:lang w:val="en-US" w:eastAsia="zh-CN" w:bidi="ar-SA"/>
                <w14:textFill>
                  <w14:solidFill>
                    <w14:schemeClr w14:val="tx1"/>
                  </w14:solidFill>
                </w14:textFill>
              </w:rPr>
              <w:t>项目养护基地情况（自有或租赁）：供应商有本项目实施相匹配的养护基地，占地面积小于5000（不含）大于500（含）平方米，并距离项目服务范围不超过20KM，自有的得1分，租赁的得0.5分；占地面积大于5000（含）平方米及以上的，并距离项目服务范围不超过20KM，自有的得3分，租赁的得1.5分（0-3分）。提供证明材料：自有须提供以下两种材料中任意一种：①自有的提供不动产权证明，租赁的另增加提供租赁协议或合同；②有相关政府部门的使用场地及管理备忘录）。</w:t>
            </w:r>
          </w:p>
        </w:tc>
        <w:tc>
          <w:tcPr>
            <w:tcW w:w="784" w:type="dxa"/>
            <w:noWrap w:val="0"/>
            <w:vAlign w:val="center"/>
          </w:tcPr>
          <w:p>
            <w:pPr>
              <w:adjustRightInd/>
              <w:spacing w:line="312" w:lineRule="auto"/>
              <w:jc w:val="center"/>
              <w:rPr>
                <w:rFonts w:hint="eastAsia" w:ascii="宋体" w:hAnsi="宋体" w:cs="宋体"/>
                <w:color w:val="000000" w:themeColor="text1"/>
                <w:sz w:val="24"/>
                <w:highlight w:val="none"/>
                <w14:textFill>
                  <w14:solidFill>
                    <w14:schemeClr w14:val="tx1"/>
                  </w14:solidFill>
                </w14:textFill>
              </w:rPr>
            </w:pPr>
          </w:p>
          <w:p>
            <w:pPr>
              <w:adjustRightInd/>
              <w:spacing w:line="312" w:lineRule="auto"/>
              <w:jc w:val="center"/>
              <w:rPr>
                <w:rFonts w:hint="eastAsia" w:ascii="宋体" w:hAnsi="宋体" w:cs="宋体"/>
                <w:color w:val="000000" w:themeColor="text1"/>
                <w:sz w:val="24"/>
                <w:highlight w:val="none"/>
                <w14:textFill>
                  <w14:solidFill>
                    <w14:schemeClr w14:val="tx1"/>
                  </w14:solidFill>
                </w14:textFill>
              </w:rPr>
            </w:pPr>
          </w:p>
          <w:p>
            <w:pPr>
              <w:adjustRightInd/>
              <w:spacing w:line="312"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w:t>
            </w:r>
          </w:p>
        </w:tc>
        <w:tc>
          <w:tcPr>
            <w:tcW w:w="1133" w:type="dxa"/>
            <w:noWrap w:val="0"/>
            <w:vAlign w:val="center"/>
          </w:tcPr>
          <w:p>
            <w:pPr>
              <w:adjustRightInd/>
              <w:spacing w:line="312" w:lineRule="auto"/>
              <w:jc w:val="center"/>
              <w:rPr>
                <w:rFonts w:hint="eastAsia" w:ascii="宋体" w:hAnsi="宋体" w:cs="宋体"/>
                <w:color w:val="000000" w:themeColor="text1"/>
                <w:sz w:val="24"/>
                <w:highlight w:val="none"/>
                <w14:textFill>
                  <w14:solidFill>
                    <w14:schemeClr w14:val="tx1"/>
                  </w14:solidFill>
                </w14:textFill>
              </w:rPr>
            </w:pPr>
          </w:p>
        </w:tc>
        <w:tc>
          <w:tcPr>
            <w:tcW w:w="1078" w:type="dxa"/>
            <w:noWrap w:val="0"/>
            <w:vAlign w:val="top"/>
          </w:tcPr>
          <w:p>
            <w:pPr>
              <w:adjustRightInd/>
              <w:spacing w:line="312" w:lineRule="auto"/>
              <w:jc w:val="left"/>
              <w:rPr>
                <w:rFonts w:hint="eastAsia" w:ascii="宋体" w:hAnsi="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noWrap w:val="0"/>
            <w:vAlign w:val="center"/>
          </w:tcPr>
          <w:p>
            <w:pPr>
              <w:pStyle w:val="61"/>
              <w:spacing w:after="0" w:line="312" w:lineRule="auto"/>
              <w:ind w:left="0" w:leftChars="0" w:firstLine="0" w:firstLineChars="0"/>
              <w:jc w:val="center"/>
              <w:rPr>
                <w:rFonts w:hint="eastAsia" w:cs="宋体"/>
                <w:color w:val="000000" w:themeColor="text1"/>
                <w:sz w:val="24"/>
                <w:highlight w:val="none"/>
                <w14:textFill>
                  <w14:solidFill>
                    <w14:schemeClr w14:val="tx1"/>
                  </w14:solidFill>
                </w14:textFill>
              </w:rPr>
            </w:pPr>
            <w:r>
              <w:rPr>
                <w:rFonts w:hint="eastAsia" w:cs="宋体"/>
                <w:color w:val="000000" w:themeColor="text1"/>
                <w:sz w:val="24"/>
                <w:highlight w:val="none"/>
                <w14:textFill>
                  <w14:solidFill>
                    <w14:schemeClr w14:val="tx1"/>
                  </w14:solidFill>
                </w14:textFill>
              </w:rPr>
              <w:t>7</w:t>
            </w:r>
          </w:p>
        </w:tc>
        <w:tc>
          <w:tcPr>
            <w:tcW w:w="6200" w:type="dxa"/>
            <w:noWrap w:val="0"/>
            <w:vAlign w:val="top"/>
          </w:tcPr>
          <w:p>
            <w:pPr>
              <w:adjustRightInd/>
              <w:spacing w:line="312" w:lineRule="auto"/>
              <w:jc w:val="left"/>
              <w:rPr>
                <w:rFonts w:hint="eastAsia" w:ascii="宋体" w:hAnsi="宋体" w:cs="宋体"/>
                <w:b/>
                <w:bCs/>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14:textFill>
                  <w14:solidFill>
                    <w14:schemeClr w14:val="tx1"/>
                  </w14:solidFill>
                </w14:textFill>
              </w:rPr>
              <w:t>标项一/标项二（临丁路/东新路）：</w:t>
            </w:r>
          </w:p>
          <w:p>
            <w:pPr>
              <w:adjustRightInd/>
              <w:spacing w:line="312" w:lineRule="auto"/>
              <w:jc w:val="left"/>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投入本项目的设备情况（自有或租赁；投标时还未上牌的车辆自中标公告发布之日起7个工作日内完成上牌）：</w:t>
            </w:r>
          </w:p>
          <w:p>
            <w:pPr>
              <w:adjustRightInd/>
              <w:spacing w:line="312" w:lineRule="auto"/>
              <w:jc w:val="left"/>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（1）道路养护基础设备</w:t>
            </w:r>
            <w:r>
              <w:rPr>
                <w:rFonts w:hint="eastAsia" w:ascii="宋体" w:hAnsi="宋体" w:cs="宋体"/>
                <w:color w:val="000000" w:themeColor="text1"/>
                <w:sz w:val="24"/>
                <w:highlight w:val="none"/>
                <w:lang w:eastAsia="zh-CN"/>
                <w14:textFill>
                  <w14:solidFill>
                    <w14:schemeClr w14:val="tx1"/>
                  </w14:solidFill>
                </w14:textFill>
              </w:rPr>
              <w:t>（</w:t>
            </w:r>
            <w:r>
              <w:rPr>
                <w:rFonts w:hint="eastAsia" w:ascii="宋体" w:hAnsi="宋体" w:cs="宋体"/>
                <w:color w:val="000000" w:themeColor="text1"/>
                <w:sz w:val="24"/>
                <w:highlight w:val="none"/>
                <w:lang w:val="en-US" w:eastAsia="zh-CN"/>
                <w14:textFill>
                  <w14:solidFill>
                    <w14:schemeClr w14:val="tx1"/>
                  </w14:solidFill>
                </w14:textFill>
              </w:rPr>
              <w:t>须</w:t>
            </w:r>
            <w:r>
              <w:rPr>
                <w:rFonts w:hint="eastAsia" w:ascii="宋体" w:hAnsi="宋体" w:cs="宋体"/>
                <w:color w:val="000000" w:themeColor="text1"/>
                <w:sz w:val="24"/>
                <w:highlight w:val="none"/>
                <w14:textFill>
                  <w14:solidFill>
                    <w14:schemeClr w14:val="tx1"/>
                  </w14:solidFill>
                </w14:textFill>
              </w:rPr>
              <w:t>自有</w:t>
            </w:r>
            <w:r>
              <w:rPr>
                <w:rFonts w:hint="eastAsia" w:ascii="宋体" w:hAnsi="宋体" w:cs="宋体"/>
                <w:color w:val="000000" w:themeColor="text1"/>
                <w:sz w:val="24"/>
                <w:highlight w:val="none"/>
                <w:lang w:eastAsia="zh-CN"/>
                <w14:textFill>
                  <w14:solidFill>
                    <w14:schemeClr w14:val="tx1"/>
                  </w14:solidFill>
                </w14:textFill>
              </w:rPr>
              <w:t>）</w:t>
            </w:r>
            <w:r>
              <w:rPr>
                <w:rFonts w:hint="eastAsia" w:ascii="宋体" w:hAnsi="宋体" w:cs="宋体"/>
                <w:color w:val="000000" w:themeColor="text1"/>
                <w:sz w:val="24"/>
                <w:highlight w:val="none"/>
                <w14:textFill>
                  <w14:solidFill>
                    <w14:schemeClr w14:val="tx1"/>
                  </w14:solidFill>
                </w14:textFill>
              </w:rPr>
              <w:t>：拟投入本项目的设备需满足采购需求的车辆设备要求（要求的基础设备为：</w:t>
            </w:r>
            <w:r>
              <w:rPr>
                <w:rFonts w:hint="eastAsia" w:ascii="宋体" w:hAnsi="宋体" w:eastAsia="宋体" w:cs="宋体"/>
                <w:color w:val="000000" w:themeColor="text1"/>
                <w:kern w:val="2"/>
                <w:sz w:val="24"/>
                <w:szCs w:val="24"/>
                <w:highlight w:val="none"/>
                <w:u w:val="single"/>
                <w:lang w:val="en-US" w:eastAsia="zh-CN" w:bidi="ar-SA"/>
                <w14:textFill>
                  <w14:solidFill>
                    <w14:schemeClr w14:val="tx1"/>
                  </w14:solidFill>
                </w14:textFill>
              </w:rPr>
              <w:t>两辆智慧巡检车</w:t>
            </w:r>
            <w:r>
              <w:rPr>
                <w:rFonts w:hint="eastAsia" w:ascii="宋体" w:hAnsi="宋体" w:cs="宋体"/>
                <w:color w:val="000000" w:themeColor="text1"/>
                <w:kern w:val="2"/>
                <w:sz w:val="24"/>
                <w:szCs w:val="24"/>
                <w:highlight w:val="none"/>
                <w:u w:val="single"/>
                <w:lang w:val="en-US" w:eastAsia="zh-CN" w:bidi="ar-SA"/>
                <w14:textFill>
                  <w14:solidFill>
                    <w14:schemeClr w14:val="tx1"/>
                  </w14:solidFill>
                </w14:textFill>
              </w:rPr>
              <w:t>且数据接入“智慧市政”系统、</w:t>
            </w:r>
            <w:r>
              <w:rPr>
                <w:rFonts w:hint="eastAsia" w:ascii="宋体" w:hAnsi="宋体" w:cs="宋体"/>
                <w:color w:val="000000" w:themeColor="text1"/>
                <w:sz w:val="24"/>
                <w:highlight w:val="none"/>
                <w:u w:val="single"/>
                <w14:textFill>
                  <w14:solidFill>
                    <w14:schemeClr w14:val="tx1"/>
                  </w14:solidFill>
                </w14:textFill>
              </w:rPr>
              <w:t>压路机、摊铺机、铣刨机、沥青保温车、装载车（货车）</w:t>
            </w:r>
            <w:r>
              <w:rPr>
                <w:rFonts w:hint="eastAsia" w:ascii="宋体" w:hAnsi="宋体" w:cs="宋体"/>
                <w:color w:val="000000" w:themeColor="text1"/>
                <w:sz w:val="24"/>
                <w:highlight w:val="none"/>
                <w14:textFill>
                  <w14:solidFill>
                    <w14:schemeClr w14:val="tx1"/>
                  </w14:solidFill>
                </w14:textFill>
              </w:rPr>
              <w:t>且必须为自有），每提供1种类型设备得1分，最高得</w:t>
            </w:r>
            <w:r>
              <w:rPr>
                <w:rFonts w:hint="eastAsia" w:ascii="宋体" w:hAnsi="宋体" w:cs="宋体"/>
                <w:color w:val="000000" w:themeColor="text1"/>
                <w:sz w:val="24"/>
                <w:highlight w:val="none"/>
                <w:lang w:val="en-US" w:eastAsia="zh-CN"/>
                <w14:textFill>
                  <w14:solidFill>
                    <w14:schemeClr w14:val="tx1"/>
                  </w14:solidFill>
                </w14:textFill>
              </w:rPr>
              <w:t>6</w:t>
            </w:r>
            <w:r>
              <w:rPr>
                <w:rFonts w:hint="eastAsia" w:ascii="宋体" w:hAnsi="宋体" w:cs="宋体"/>
                <w:color w:val="000000" w:themeColor="text1"/>
                <w:sz w:val="24"/>
                <w:highlight w:val="none"/>
                <w14:textFill>
                  <w14:solidFill>
                    <w14:schemeClr w14:val="tx1"/>
                  </w14:solidFill>
                </w14:textFill>
              </w:rPr>
              <w:t>分。</w:t>
            </w:r>
            <w:r>
              <w:rPr>
                <w:rFonts w:hint="eastAsia" w:ascii="宋体" w:hAnsi="宋体" w:cs="宋体"/>
                <w:color w:val="000000" w:themeColor="text1"/>
                <w:sz w:val="24"/>
                <w:highlight w:val="none"/>
                <w14:textFill>
                  <w14:solidFill>
                    <w14:schemeClr w14:val="tx1"/>
                  </w14:solidFill>
                </w14:textFill>
              </w:rPr>
              <w:t>证明材料：须提供以下两种材料中任意一种：①自有的须提供购置发票和清晰可见得设备全景外观照片和是车辆的还须提供车辆行驶证；②政府划拨的须提供资产划拨单和清晰可见得设备全景外观照片和是车辆的还须提供车辆行驶证（0-</w:t>
            </w:r>
            <w:r>
              <w:rPr>
                <w:rFonts w:hint="eastAsia" w:ascii="宋体" w:hAnsi="宋体" w:cs="宋体"/>
                <w:color w:val="000000" w:themeColor="text1"/>
                <w:sz w:val="24"/>
                <w:highlight w:val="none"/>
                <w:lang w:val="en-US" w:eastAsia="zh-CN"/>
                <w14:textFill>
                  <w14:solidFill>
                    <w14:schemeClr w14:val="tx1"/>
                  </w14:solidFill>
                </w14:textFill>
              </w:rPr>
              <w:t>6</w:t>
            </w:r>
            <w:r>
              <w:rPr>
                <w:rFonts w:hint="eastAsia" w:ascii="宋体" w:hAnsi="宋体" w:cs="宋体"/>
                <w:color w:val="000000" w:themeColor="text1"/>
                <w:sz w:val="24"/>
                <w:highlight w:val="none"/>
                <w14:textFill>
                  <w14:solidFill>
                    <w14:schemeClr w14:val="tx1"/>
                  </w14:solidFill>
                </w14:textFill>
              </w:rPr>
              <w:t>分）。</w:t>
            </w:r>
          </w:p>
          <w:p>
            <w:pPr>
              <w:adjustRightInd/>
              <w:spacing w:line="312" w:lineRule="auto"/>
              <w:jc w:val="left"/>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（2）拟投入本项目的设备在满足采购需求车辆设备的基础上（要求的基础设备为：</w:t>
            </w: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两辆智慧巡检车</w:t>
            </w:r>
            <w:r>
              <w:rPr>
                <w:rFonts w:hint="eastAsia" w:ascii="宋体" w:hAnsi="宋体" w:cs="宋体"/>
                <w:color w:val="000000" w:themeColor="text1"/>
                <w:kern w:val="2"/>
                <w:sz w:val="24"/>
                <w:szCs w:val="24"/>
                <w:highlight w:val="none"/>
                <w:lang w:val="en-US" w:eastAsia="zh-CN" w:bidi="ar-SA"/>
                <w14:textFill>
                  <w14:solidFill>
                    <w14:schemeClr w14:val="tx1"/>
                  </w14:solidFill>
                </w14:textFill>
              </w:rPr>
              <w:t>且数据接入“智慧市政”系统、</w:t>
            </w:r>
            <w:r>
              <w:rPr>
                <w:rFonts w:hint="eastAsia" w:ascii="宋体" w:hAnsi="宋体" w:cs="宋体"/>
                <w:color w:val="000000" w:themeColor="text1"/>
                <w:sz w:val="24"/>
                <w:highlight w:val="none"/>
                <w14:textFill>
                  <w14:solidFill>
                    <w14:schemeClr w14:val="tx1"/>
                  </w14:solidFill>
                </w14:textFill>
              </w:rPr>
              <w:t>压路机、摊铺机、铣刨机、沥青保温车、装载车且必须为自有）：每增加下水道管道疏通车、吸污车、登高作业车、灌缝机、CCTV检测车（仪）等机械设备，每提供一种类型的设备车辆得1分，最高得5分。证明材料：须提供以下两种材料中任意一种：①自有（基础设备必须为自有）的须提供购置发票和清晰可见得设备全景外观照片和是车辆的还须提供车辆行驶证</w:t>
            </w:r>
            <w:r>
              <w:rPr>
                <w:rFonts w:hint="eastAsia" w:ascii="宋体" w:hAnsi="宋体" w:cs="宋体"/>
                <w:color w:val="000000" w:themeColor="text1"/>
                <w:sz w:val="24"/>
                <w:highlight w:val="none"/>
                <w:lang w:eastAsia="zh-CN"/>
                <w14:textFill>
                  <w14:solidFill>
                    <w14:schemeClr w14:val="tx1"/>
                  </w14:solidFill>
                </w14:textFill>
              </w:rPr>
              <w:t>，租赁</w:t>
            </w:r>
            <w:r>
              <w:rPr>
                <w:rFonts w:hint="eastAsia" w:ascii="宋体" w:hAnsi="宋体" w:cs="宋体"/>
                <w:color w:val="000000" w:themeColor="text1"/>
                <w:sz w:val="24"/>
                <w:highlight w:val="none"/>
                <w14:textFill>
                  <w14:solidFill>
                    <w14:schemeClr w14:val="tx1"/>
                  </w14:solidFill>
                </w14:textFill>
              </w:rPr>
              <w:t>（</w:t>
            </w:r>
            <w:r>
              <w:rPr>
                <w:rFonts w:hint="eastAsia" w:ascii="宋体" w:hAnsi="宋体" w:cs="宋体"/>
                <w:color w:val="000000" w:themeColor="text1"/>
                <w:sz w:val="24"/>
                <w:highlight w:val="none"/>
                <w:lang w:val="en-US" w:eastAsia="zh-CN"/>
                <w14:textFill>
                  <w14:solidFill>
                    <w14:schemeClr w14:val="tx1"/>
                  </w14:solidFill>
                </w14:textFill>
              </w:rPr>
              <w:t>增加设备可以为租赁</w:t>
            </w:r>
            <w:r>
              <w:rPr>
                <w:rFonts w:hint="eastAsia" w:ascii="宋体" w:hAnsi="宋体" w:cs="宋体"/>
                <w:color w:val="000000" w:themeColor="text1"/>
                <w:sz w:val="24"/>
                <w:highlight w:val="none"/>
                <w14:textFill>
                  <w14:solidFill>
                    <w14:schemeClr w14:val="tx1"/>
                  </w14:solidFill>
                </w14:textFill>
              </w:rPr>
              <w:t>）</w:t>
            </w:r>
            <w:r>
              <w:rPr>
                <w:rFonts w:hint="eastAsia" w:ascii="宋体" w:hAnsi="宋体" w:cs="宋体"/>
                <w:color w:val="000000" w:themeColor="text1"/>
                <w:sz w:val="24"/>
                <w:highlight w:val="none"/>
                <w:lang w:eastAsia="zh-CN"/>
                <w14:textFill>
                  <w14:solidFill>
                    <w14:schemeClr w14:val="tx1"/>
                  </w14:solidFill>
                </w14:textFill>
              </w:rPr>
              <w:t>的另增加提供租赁协议或合同</w:t>
            </w:r>
            <w:r>
              <w:rPr>
                <w:rFonts w:hint="eastAsia" w:ascii="宋体" w:hAnsi="宋体" w:cs="宋体"/>
                <w:color w:val="000000" w:themeColor="text1"/>
                <w:sz w:val="24"/>
                <w:highlight w:val="none"/>
                <w14:textFill>
                  <w14:solidFill>
                    <w14:schemeClr w14:val="tx1"/>
                  </w14:solidFill>
                </w14:textFill>
              </w:rPr>
              <w:t>；②政府划拨的须提供资产划拨单和清晰可见得设备全景外观照片和是车辆的还须提供车辆行驶证（0-5分）。</w:t>
            </w:r>
          </w:p>
          <w:p>
            <w:pPr>
              <w:adjustRightInd/>
              <w:spacing w:line="312" w:lineRule="auto"/>
              <w:jc w:val="left"/>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w:t>
            </w:r>
            <w:r>
              <w:rPr>
                <w:rFonts w:hint="eastAsia" w:ascii="宋体" w:hAnsi="宋体" w:cs="宋体"/>
                <w:color w:val="000000" w:themeColor="text1"/>
                <w:sz w:val="24"/>
                <w:highlight w:val="none"/>
                <w:lang w:eastAsia="zh-CN"/>
                <w14:textFill>
                  <w14:solidFill>
                    <w14:schemeClr w14:val="tx1"/>
                  </w14:solidFill>
                </w14:textFill>
              </w:rPr>
              <w:t>（</w:t>
            </w:r>
            <w:r>
              <w:rPr>
                <w:rFonts w:hint="eastAsia" w:ascii="宋体" w:hAnsi="宋体" w:cs="宋体"/>
                <w:color w:val="000000" w:themeColor="text1"/>
                <w:sz w:val="24"/>
                <w:highlight w:val="none"/>
                <w:lang w:val="en-US" w:eastAsia="zh-CN"/>
                <w14:textFill>
                  <w14:solidFill>
                    <w14:schemeClr w14:val="tx1"/>
                  </w14:solidFill>
                </w14:textFill>
              </w:rPr>
              <w:t>须</w:t>
            </w:r>
            <w:r>
              <w:rPr>
                <w:rFonts w:hint="eastAsia" w:ascii="宋体" w:hAnsi="宋体" w:cs="宋体"/>
                <w:color w:val="000000" w:themeColor="text1"/>
                <w:sz w:val="24"/>
                <w:highlight w:val="none"/>
                <w14:textFill>
                  <w14:solidFill>
                    <w14:schemeClr w14:val="tx1"/>
                  </w14:solidFill>
                </w14:textFill>
              </w:rPr>
              <w:t>自有</w:t>
            </w:r>
            <w:r>
              <w:rPr>
                <w:rFonts w:hint="eastAsia" w:ascii="宋体" w:hAnsi="宋体" w:cs="宋体"/>
                <w:color w:val="000000" w:themeColor="text1"/>
                <w:sz w:val="24"/>
                <w:highlight w:val="none"/>
                <w:lang w:eastAsia="zh-CN"/>
                <w14:textFill>
                  <w14:solidFill>
                    <w14:schemeClr w14:val="tx1"/>
                  </w14:solidFill>
                </w14:textFill>
              </w:rPr>
              <w:t>）</w:t>
            </w:r>
            <w:r>
              <w:rPr>
                <w:rFonts w:hint="eastAsia" w:ascii="宋体" w:hAnsi="宋体" w:cs="宋体"/>
                <w:color w:val="000000" w:themeColor="text1"/>
                <w:sz w:val="24"/>
                <w:highlight w:val="none"/>
                <w14:textFill>
                  <w14:solidFill>
                    <w14:schemeClr w14:val="tx1"/>
                  </w14:solidFill>
                </w14:textFill>
              </w:rPr>
              <w:t>供应商具有沥青热再生路面养护车的，得2分。证明材料：须提供以下两种材料中任意一种：①自有的须提供购置发票和清晰可见得设备全景外观照片和车辆行驶证或采购合同；②政府划拨的须提供资产划拨单和清晰可见得设备全景外观照片和车辆还须提供车辆行驶证（0-2分）。</w:t>
            </w:r>
          </w:p>
          <w:p>
            <w:pPr>
              <w:adjustRightInd/>
              <w:spacing w:line="312" w:lineRule="auto"/>
              <w:jc w:val="left"/>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（4）环卫保洁设备：拟投入本项目的设备在满足采购需求车辆设备的基础上（要求的基础设备为：</w:t>
            </w:r>
            <w:r>
              <w:rPr>
                <w:rFonts w:hint="eastAsia" w:ascii="宋体" w:hAnsi="宋体" w:cs="宋体"/>
                <w:snapToGrid/>
                <w:color w:val="000000" w:themeColor="text1"/>
                <w:kern w:val="2"/>
                <w:sz w:val="24"/>
                <w:szCs w:val="24"/>
                <w:highlight w:val="none"/>
                <w:u w:val="single"/>
                <w:lang w:val="en-US" w:eastAsia="zh-CN" w:bidi="ar-SA"/>
                <w14:textFill>
                  <w14:solidFill>
                    <w14:schemeClr w14:val="tx1"/>
                  </w14:solidFill>
                </w14:textFill>
              </w:rPr>
              <w:t>机扫车2辆/洒水车2辆/高压清洗车1辆/三合一洗扫吸车1辆/护栏擦（清）洗车1辆/机动车道巡回保洁皮卡车（行驶证上的使用性质为工程抢（救）险）3辆且</w:t>
            </w:r>
            <w:r>
              <w:rPr>
                <w:rFonts w:hint="eastAsia" w:ascii="宋体" w:hAnsi="宋体" w:cs="宋体"/>
                <w:snapToGrid/>
                <w:color w:val="000000" w:themeColor="text1"/>
                <w:kern w:val="2"/>
                <w:sz w:val="24"/>
                <w:szCs w:val="24"/>
                <w:highlight w:val="none"/>
                <w:lang w:val="en-US" w:eastAsia="zh-CN" w:bidi="ar-SA"/>
                <w14:textFill>
                  <w14:solidFill>
                    <w14:schemeClr w14:val="tx1"/>
                  </w14:solidFill>
                </w14:textFill>
              </w:rPr>
              <w:t>必须为自有）</w:t>
            </w:r>
            <w:r>
              <w:rPr>
                <w:rFonts w:hint="eastAsia" w:ascii="宋体" w:hAnsi="宋体" w:eastAsia="宋体" w:cs="宋体"/>
                <w:snapToGrid/>
                <w:color w:val="000000" w:themeColor="text1"/>
                <w:kern w:val="2"/>
                <w:sz w:val="24"/>
                <w:szCs w:val="24"/>
                <w:highlight w:val="none"/>
                <w:lang w:val="en-US" w:eastAsia="zh-CN" w:bidi="ar-SA"/>
                <w14:textFill>
                  <w14:solidFill>
                    <w14:schemeClr w14:val="tx1"/>
                  </w14:solidFill>
                </w14:textFill>
              </w:rPr>
              <w:t>：每增加总质量18T及以上洗扫车</w:t>
            </w:r>
            <w:r>
              <w:rPr>
                <w:rFonts w:hint="eastAsia" w:ascii="宋体" w:hAnsi="宋体" w:cs="宋体"/>
                <w:snapToGrid/>
                <w:color w:val="000000" w:themeColor="text1"/>
                <w:kern w:val="2"/>
                <w:sz w:val="24"/>
                <w:szCs w:val="24"/>
                <w:highlight w:val="none"/>
                <w:lang w:val="en-US" w:eastAsia="zh-CN" w:bidi="ar-SA"/>
                <w14:textFill>
                  <w14:solidFill>
                    <w14:schemeClr w14:val="tx1"/>
                  </w14:solidFill>
                </w14:textFill>
              </w:rPr>
              <w:t>（三位一体洗扫车或三合一洗扫车）</w:t>
            </w:r>
            <w:r>
              <w:rPr>
                <w:rFonts w:hint="eastAsia" w:ascii="宋体" w:hAnsi="宋体" w:eastAsia="宋体" w:cs="宋体"/>
                <w:snapToGrid/>
                <w:color w:val="000000" w:themeColor="text1"/>
                <w:kern w:val="2"/>
                <w:sz w:val="24"/>
                <w:szCs w:val="24"/>
                <w:highlight w:val="none"/>
                <w:lang w:val="en-US" w:eastAsia="zh-CN" w:bidi="ar-SA"/>
                <w14:textFill>
                  <w14:solidFill>
                    <w14:schemeClr w14:val="tx1"/>
                  </w14:solidFill>
                </w14:textFill>
              </w:rPr>
              <w:t>、总质量18T及以上高压清洗车、抑尘车</w:t>
            </w:r>
            <w:r>
              <w:rPr>
                <w:rFonts w:hint="eastAsia" w:ascii="宋体" w:hAnsi="宋体" w:cs="宋体"/>
                <w:snapToGrid/>
                <w:color w:val="000000" w:themeColor="text1"/>
                <w:kern w:val="2"/>
                <w:sz w:val="24"/>
                <w:szCs w:val="24"/>
                <w:highlight w:val="none"/>
                <w:lang w:val="en-US" w:eastAsia="zh-CN" w:bidi="ar-SA"/>
                <w14:textFill>
                  <w14:solidFill>
                    <w14:schemeClr w14:val="tx1"/>
                  </w14:solidFill>
                </w14:textFill>
              </w:rPr>
              <w:t>（或雾炮车）</w:t>
            </w:r>
            <w:r>
              <w:rPr>
                <w:rFonts w:hint="eastAsia" w:ascii="宋体" w:hAnsi="宋体" w:eastAsia="宋体" w:cs="宋体"/>
                <w:snapToGrid/>
                <w:color w:val="000000" w:themeColor="text1"/>
                <w:kern w:val="2"/>
                <w:sz w:val="24"/>
                <w:szCs w:val="24"/>
                <w:highlight w:val="none"/>
                <w:lang w:val="en-US" w:eastAsia="zh-CN" w:bidi="ar-SA"/>
                <w14:textFill>
                  <w14:solidFill>
                    <w14:schemeClr w14:val="tx1"/>
                  </w14:solidFill>
                </w14:textFill>
              </w:rPr>
              <w:t>，</w:t>
            </w:r>
            <w:r>
              <w:rPr>
                <w:rFonts w:hint="eastAsia" w:ascii="宋体" w:hAnsi="宋体" w:cs="宋体"/>
                <w:color w:val="000000" w:themeColor="text1"/>
                <w:sz w:val="24"/>
                <w:highlight w:val="none"/>
                <w14:textFill>
                  <w14:solidFill>
                    <w14:schemeClr w14:val="tx1"/>
                  </w14:solidFill>
                </w14:textFill>
              </w:rPr>
              <w:t>每提供1种类型设备得1分，最高得3分；以上设备中</w:t>
            </w:r>
            <w:r>
              <w:rPr>
                <w:rFonts w:hint="eastAsia" w:ascii="宋体" w:hAnsi="宋体" w:cs="宋体"/>
                <w:color w:val="000000" w:themeColor="text1"/>
                <w:sz w:val="24"/>
                <w:highlight w:val="none"/>
                <w:lang w:eastAsia="zh-CN"/>
                <w14:textFill>
                  <w14:solidFill>
                    <w14:schemeClr w14:val="tx1"/>
                  </w14:solidFill>
                </w14:textFill>
              </w:rPr>
              <w:t>（基础</w:t>
            </w:r>
            <w:r>
              <w:rPr>
                <w:rFonts w:hint="eastAsia" w:ascii="宋体" w:hAnsi="宋体" w:cs="宋体"/>
                <w:color w:val="000000" w:themeColor="text1"/>
                <w:sz w:val="24"/>
                <w:highlight w:val="none"/>
                <w:lang w:val="en-US" w:eastAsia="zh-CN"/>
                <w14:textFill>
                  <w14:solidFill>
                    <w14:schemeClr w14:val="tx1"/>
                  </w14:solidFill>
                </w14:textFill>
              </w:rPr>
              <w:t>+额外</w:t>
            </w:r>
            <w:r>
              <w:rPr>
                <w:rFonts w:hint="eastAsia" w:ascii="宋体" w:hAnsi="宋体" w:cs="宋体"/>
                <w:color w:val="000000" w:themeColor="text1"/>
                <w:sz w:val="24"/>
                <w:highlight w:val="none"/>
                <w:lang w:eastAsia="zh-CN"/>
                <w14:textFill>
                  <w14:solidFill>
                    <w14:schemeClr w14:val="tx1"/>
                  </w14:solidFill>
                </w14:textFill>
              </w:rPr>
              <w:t>）</w:t>
            </w:r>
            <w:r>
              <w:rPr>
                <w:rFonts w:hint="eastAsia" w:ascii="宋体" w:hAnsi="宋体" w:cs="宋体"/>
                <w:color w:val="000000" w:themeColor="text1"/>
                <w:sz w:val="24"/>
                <w:highlight w:val="none"/>
                <w14:textFill>
                  <w14:solidFill>
                    <w14:schemeClr w14:val="tx1"/>
                  </w14:solidFill>
                </w14:textFill>
              </w:rPr>
              <w:t>提供纯电动新能源车的，每提供1辆再额外加0.5分，最高加</w:t>
            </w:r>
            <w:r>
              <w:rPr>
                <w:rFonts w:hint="eastAsia" w:ascii="宋体" w:hAnsi="宋体" w:cs="宋体"/>
                <w:color w:val="000000" w:themeColor="text1"/>
                <w:sz w:val="24"/>
                <w:highlight w:val="none"/>
                <w:lang w:val="en-US" w:eastAsia="zh-CN"/>
                <w14:textFill>
                  <w14:solidFill>
                    <w14:schemeClr w14:val="tx1"/>
                  </w14:solidFill>
                </w14:textFill>
              </w:rPr>
              <w:t>2</w:t>
            </w:r>
            <w:r>
              <w:rPr>
                <w:rFonts w:hint="eastAsia" w:ascii="宋体" w:hAnsi="宋体" w:cs="宋体"/>
                <w:color w:val="000000" w:themeColor="text1"/>
                <w:sz w:val="24"/>
                <w:highlight w:val="none"/>
                <w14:textFill>
                  <w14:solidFill>
                    <w14:schemeClr w14:val="tx1"/>
                  </w14:solidFill>
                </w14:textFill>
              </w:rPr>
              <w:t>分。证明材料：须提供以下两种材料中任意一种：①自有（基础设备必须为自有）的须提供购置发票和清晰可见得设备全景外观照片和是车辆的还须提供车辆行驶证，租赁（</w:t>
            </w:r>
            <w:r>
              <w:rPr>
                <w:rFonts w:hint="eastAsia" w:ascii="宋体" w:hAnsi="宋体" w:cs="宋体"/>
                <w:color w:val="000000" w:themeColor="text1"/>
                <w:sz w:val="24"/>
                <w:highlight w:val="none"/>
                <w:lang w:val="en-US" w:eastAsia="zh-CN"/>
                <w14:textFill>
                  <w14:solidFill>
                    <w14:schemeClr w14:val="tx1"/>
                  </w14:solidFill>
                </w14:textFill>
              </w:rPr>
              <w:t>增加设备可以为租赁</w:t>
            </w:r>
            <w:r>
              <w:rPr>
                <w:rFonts w:hint="eastAsia" w:ascii="宋体" w:hAnsi="宋体" w:cs="宋体"/>
                <w:color w:val="000000" w:themeColor="text1"/>
                <w:sz w:val="24"/>
                <w:highlight w:val="none"/>
                <w14:textFill>
                  <w14:solidFill>
                    <w14:schemeClr w14:val="tx1"/>
                  </w14:solidFill>
                </w14:textFill>
              </w:rPr>
              <w:t>）的另增加提供租赁协议或合同；②政府划拨的须提供资产划拨单和清晰可见得设备全景外观照片和是车辆的还须提供车辆行驶证（0-</w:t>
            </w:r>
            <w:r>
              <w:rPr>
                <w:rFonts w:hint="eastAsia" w:ascii="宋体" w:hAnsi="宋体" w:cs="宋体"/>
                <w:color w:val="000000" w:themeColor="text1"/>
                <w:sz w:val="24"/>
                <w:highlight w:val="none"/>
                <w:lang w:val="en-US" w:eastAsia="zh-CN"/>
                <w14:textFill>
                  <w14:solidFill>
                    <w14:schemeClr w14:val="tx1"/>
                  </w14:solidFill>
                </w14:textFill>
              </w:rPr>
              <w:t>5</w:t>
            </w:r>
            <w:r>
              <w:rPr>
                <w:rFonts w:hint="eastAsia" w:ascii="宋体" w:hAnsi="宋体" w:cs="宋体"/>
                <w:color w:val="000000" w:themeColor="text1"/>
                <w:sz w:val="24"/>
                <w:highlight w:val="none"/>
                <w14:textFill>
                  <w14:solidFill>
                    <w14:schemeClr w14:val="tx1"/>
                  </w14:solidFill>
                </w14:textFill>
              </w:rPr>
              <w:t>分）。</w:t>
            </w:r>
            <w:r>
              <w:rPr>
                <w:rFonts w:hint="eastAsia" w:ascii="宋体" w:hAnsi="宋体" w:cs="宋体"/>
                <w:color w:val="000000" w:themeColor="text1"/>
                <w:sz w:val="24"/>
                <w:highlight w:val="none"/>
                <w:lang w:val="en-US" w:eastAsia="zh-CN"/>
                <w14:textFill>
                  <w14:solidFill>
                    <w14:schemeClr w14:val="tx1"/>
                  </w14:solidFill>
                </w14:textFill>
              </w:rPr>
              <w:t>注：</w:t>
            </w:r>
            <w:r>
              <w:rPr>
                <w:rFonts w:hint="eastAsia" w:ascii="宋体" w:hAnsi="宋体" w:cs="宋体"/>
                <w:color w:val="000000" w:themeColor="text1"/>
                <w:sz w:val="24"/>
                <w:highlight w:val="none"/>
                <w14:textFill>
                  <w14:solidFill>
                    <w14:schemeClr w14:val="tx1"/>
                  </w14:solidFill>
                </w14:textFill>
              </w:rPr>
              <w:t>提供承诺中标后新增或更新的车辆必须全部为新能源车，不提供承诺书的该项不得分。</w:t>
            </w:r>
          </w:p>
          <w:p>
            <w:pPr>
              <w:adjustRightInd/>
              <w:spacing w:line="312" w:lineRule="auto"/>
              <w:jc w:val="left"/>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（5）</w:t>
            </w:r>
            <w:r>
              <w:rPr>
                <w:rFonts w:hint="eastAsia" w:ascii="宋体" w:hAnsi="宋体" w:eastAsia="宋体" w:cs="宋体"/>
                <w:snapToGrid/>
                <w:color w:val="000000" w:themeColor="text1"/>
                <w:kern w:val="2"/>
                <w:sz w:val="24"/>
                <w:szCs w:val="24"/>
                <w:highlight w:val="none"/>
                <w:lang w:val="en-US" w:eastAsia="zh-CN" w:bidi="ar-SA"/>
                <w14:textFill>
                  <w14:solidFill>
                    <w14:schemeClr w14:val="tx1"/>
                  </w14:solidFill>
                </w14:textFill>
              </w:rPr>
              <w:t>拟投入本项目的非机动车道保洁设备在满足采购需求车辆设备的基础上</w:t>
            </w:r>
            <w:r>
              <w:rPr>
                <w:rFonts w:hint="eastAsia" w:ascii="宋体" w:hAnsi="宋体" w:cs="宋体"/>
                <w:snapToGrid/>
                <w:color w:val="000000" w:themeColor="text1"/>
                <w:kern w:val="2"/>
                <w:sz w:val="24"/>
                <w:szCs w:val="24"/>
                <w:highlight w:val="none"/>
                <w:lang w:val="en-US" w:eastAsia="zh-CN" w:bidi="ar-SA"/>
                <w14:textFill>
                  <w14:solidFill>
                    <w14:schemeClr w14:val="tx1"/>
                  </w14:solidFill>
                </w14:textFill>
              </w:rPr>
              <w:t>（要求的基础设备为：</w:t>
            </w:r>
            <w:r>
              <w:rPr>
                <w:rFonts w:hint="eastAsia" w:ascii="宋体" w:hAnsi="宋体" w:cs="宋体"/>
                <w:snapToGrid/>
                <w:color w:val="000000" w:themeColor="text1"/>
                <w:kern w:val="2"/>
                <w:sz w:val="24"/>
                <w:szCs w:val="24"/>
                <w:highlight w:val="none"/>
                <w:u w:val="single"/>
                <w:lang w:val="en-US" w:eastAsia="zh-CN" w:bidi="ar-SA"/>
                <w14:textFill>
                  <w14:solidFill>
                    <w14:schemeClr w14:val="tx1"/>
                  </w14:solidFill>
                </w14:textFill>
              </w:rPr>
              <w:t>油污冲洗车2辆/电动高压冲洗车3辆/巡回保洁车或电动快保车3辆</w:t>
            </w:r>
            <w:r>
              <w:rPr>
                <w:rFonts w:hint="eastAsia" w:ascii="宋体" w:hAnsi="宋体" w:cs="宋体"/>
                <w:snapToGrid/>
                <w:color w:val="000000" w:themeColor="text1"/>
                <w:kern w:val="2"/>
                <w:sz w:val="24"/>
                <w:szCs w:val="24"/>
                <w:highlight w:val="none"/>
                <w:lang w:val="en-US" w:eastAsia="zh-CN" w:bidi="ar-SA"/>
                <w14:textFill>
                  <w14:solidFill>
                    <w14:schemeClr w14:val="tx1"/>
                  </w14:solidFill>
                </w14:textFill>
              </w:rPr>
              <w:t>且必须为自有）</w:t>
            </w:r>
            <w:r>
              <w:rPr>
                <w:rFonts w:hint="eastAsia" w:ascii="宋体" w:hAnsi="宋体" w:eastAsia="宋体" w:cs="宋体"/>
                <w:snapToGrid/>
                <w:color w:val="000000" w:themeColor="text1"/>
                <w:kern w:val="2"/>
                <w:sz w:val="24"/>
                <w:szCs w:val="24"/>
                <w:highlight w:val="none"/>
                <w:lang w:val="en-US" w:eastAsia="zh-CN" w:bidi="ar-SA"/>
                <w14:textFill>
                  <w14:solidFill>
                    <w14:schemeClr w14:val="tx1"/>
                  </w14:solidFill>
                </w14:textFill>
              </w:rPr>
              <w:t>：每增加小型扫路车</w:t>
            </w:r>
            <w:r>
              <w:rPr>
                <w:rFonts w:hint="eastAsia" w:ascii="宋体" w:hAnsi="宋体" w:cs="宋体"/>
                <w:snapToGrid/>
                <w:color w:val="000000" w:themeColor="text1"/>
                <w:kern w:val="2"/>
                <w:sz w:val="24"/>
                <w:szCs w:val="24"/>
                <w:highlight w:val="none"/>
                <w:lang w:val="en-US" w:eastAsia="zh-CN" w:bidi="ar-SA"/>
                <w14:textFill>
                  <w14:solidFill>
                    <w14:schemeClr w14:val="tx1"/>
                  </w14:solidFill>
                </w14:textFill>
              </w:rPr>
              <w:t>（</w:t>
            </w:r>
            <w:r>
              <w:rPr>
                <w:rFonts w:hint="eastAsia" w:ascii="宋体" w:hAnsi="宋体"/>
                <w:color w:val="000000" w:themeColor="text1"/>
                <w:kern w:val="24"/>
                <w:sz w:val="24"/>
                <w:highlight w:val="none"/>
                <w14:textFill>
                  <w14:solidFill>
                    <w14:schemeClr w14:val="tx1"/>
                  </w14:solidFill>
                </w14:textFill>
              </w:rPr>
              <w:t>新能源锂电池电动机扫车，且可吸储路面清扫垃圾设计容量400升以上</w:t>
            </w:r>
            <w:r>
              <w:rPr>
                <w:rFonts w:hint="eastAsia" w:ascii="宋体" w:hAnsi="宋体" w:cs="宋体"/>
                <w:snapToGrid/>
                <w:color w:val="000000" w:themeColor="text1"/>
                <w:kern w:val="2"/>
                <w:sz w:val="24"/>
                <w:szCs w:val="24"/>
                <w:highlight w:val="none"/>
                <w:lang w:val="en-US" w:eastAsia="zh-CN" w:bidi="ar-SA"/>
                <w14:textFill>
                  <w14:solidFill>
                    <w14:schemeClr w14:val="tx1"/>
                  </w14:solidFill>
                </w14:textFill>
              </w:rPr>
              <w:t>）</w:t>
            </w:r>
            <w:r>
              <w:rPr>
                <w:rFonts w:hint="eastAsia" w:ascii="宋体" w:hAnsi="宋体" w:eastAsia="宋体" w:cs="宋体"/>
                <w:snapToGrid/>
                <w:color w:val="000000" w:themeColor="text1"/>
                <w:kern w:val="2"/>
                <w:sz w:val="24"/>
                <w:szCs w:val="24"/>
                <w:highlight w:val="none"/>
                <w:lang w:val="en-US" w:eastAsia="zh-CN" w:bidi="ar-SA"/>
                <w14:textFill>
                  <w14:solidFill>
                    <w14:schemeClr w14:val="tx1"/>
                  </w14:solidFill>
                </w14:textFill>
              </w:rPr>
              <w:t>、电动巡回保洁车的，每提供1种类型设备得1分，最高得2分。</w:t>
            </w:r>
            <w:r>
              <w:rPr>
                <w:rFonts w:hint="eastAsia" w:ascii="宋体" w:hAnsi="宋体" w:cs="宋体"/>
                <w:color w:val="000000" w:themeColor="text1"/>
                <w:sz w:val="24"/>
                <w:highlight w:val="none"/>
                <w14:textFill>
                  <w14:solidFill>
                    <w14:schemeClr w14:val="tx1"/>
                  </w14:solidFill>
                </w14:textFill>
              </w:rPr>
              <w:t>证明材料：须提供以下两种材料中任意一种：①自有（基础设备必须为自有）的须提供购置发票和清晰可见得设备全景外观照片和是车辆的还须提供车辆行驶证，租赁（</w:t>
            </w:r>
            <w:r>
              <w:rPr>
                <w:rFonts w:hint="eastAsia" w:ascii="宋体" w:hAnsi="宋体" w:cs="宋体"/>
                <w:color w:val="000000" w:themeColor="text1"/>
                <w:sz w:val="24"/>
                <w:highlight w:val="none"/>
                <w:lang w:val="en-US" w:eastAsia="zh-CN"/>
                <w14:textFill>
                  <w14:solidFill>
                    <w14:schemeClr w14:val="tx1"/>
                  </w14:solidFill>
                </w14:textFill>
              </w:rPr>
              <w:t>增加设备可以为租赁</w:t>
            </w:r>
            <w:r>
              <w:rPr>
                <w:rFonts w:hint="eastAsia" w:ascii="宋体" w:hAnsi="宋体" w:cs="宋体"/>
                <w:color w:val="000000" w:themeColor="text1"/>
                <w:sz w:val="24"/>
                <w:highlight w:val="none"/>
                <w14:textFill>
                  <w14:solidFill>
                    <w14:schemeClr w14:val="tx1"/>
                  </w14:solidFill>
                </w14:textFill>
              </w:rPr>
              <w:t>）的另增加提供租赁协议或合同；②政府划拨的须提供资产划拨单和清晰可见得设备全景外观照片和是车辆的还须提供车辆行驶证（0-</w:t>
            </w:r>
            <w:r>
              <w:rPr>
                <w:rFonts w:hint="eastAsia" w:ascii="宋体" w:hAnsi="宋体" w:cs="宋体"/>
                <w:color w:val="000000" w:themeColor="text1"/>
                <w:sz w:val="24"/>
                <w:highlight w:val="none"/>
                <w:lang w:val="en-US" w:eastAsia="zh-CN"/>
                <w14:textFill>
                  <w14:solidFill>
                    <w14:schemeClr w14:val="tx1"/>
                  </w14:solidFill>
                </w14:textFill>
              </w:rPr>
              <w:t>2</w:t>
            </w:r>
            <w:r>
              <w:rPr>
                <w:rFonts w:hint="eastAsia" w:ascii="宋体" w:hAnsi="宋体" w:cs="宋体"/>
                <w:color w:val="000000" w:themeColor="text1"/>
                <w:sz w:val="24"/>
                <w:highlight w:val="none"/>
                <w14:textFill>
                  <w14:solidFill>
                    <w14:schemeClr w14:val="tx1"/>
                  </w14:solidFill>
                </w14:textFill>
              </w:rPr>
              <w:t>分）。</w:t>
            </w:r>
          </w:p>
          <w:p>
            <w:pPr>
              <w:adjustRightInd/>
              <w:spacing w:line="312" w:lineRule="auto"/>
              <w:jc w:val="left"/>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（6）</w:t>
            </w:r>
            <w:r>
              <w:rPr>
                <w:rFonts w:hint="eastAsia" w:ascii="宋体" w:hAnsi="宋体" w:cs="宋体"/>
                <w:color w:val="000000" w:themeColor="text1"/>
                <w:sz w:val="24"/>
                <w:highlight w:val="none"/>
                <w:lang w:eastAsia="zh-CN"/>
                <w14:textFill>
                  <w14:solidFill>
                    <w14:schemeClr w14:val="tx1"/>
                  </w14:solidFill>
                </w14:textFill>
              </w:rPr>
              <w:t>（</w:t>
            </w:r>
            <w:r>
              <w:rPr>
                <w:rFonts w:hint="eastAsia" w:ascii="宋体" w:hAnsi="宋体" w:cs="宋体"/>
                <w:color w:val="000000" w:themeColor="text1"/>
                <w:sz w:val="24"/>
                <w:highlight w:val="none"/>
                <w:lang w:val="en-US" w:eastAsia="zh-CN"/>
                <w14:textFill>
                  <w14:solidFill>
                    <w14:schemeClr w14:val="tx1"/>
                  </w14:solidFill>
                </w14:textFill>
              </w:rPr>
              <w:t>须</w:t>
            </w:r>
            <w:r>
              <w:rPr>
                <w:rFonts w:hint="eastAsia" w:ascii="宋体" w:hAnsi="宋体" w:cs="宋体"/>
                <w:color w:val="000000" w:themeColor="text1"/>
                <w:sz w:val="24"/>
                <w:highlight w:val="none"/>
                <w14:textFill>
                  <w14:solidFill>
                    <w14:schemeClr w14:val="tx1"/>
                  </w14:solidFill>
                </w14:textFill>
              </w:rPr>
              <w:t>自有</w:t>
            </w:r>
            <w:r>
              <w:rPr>
                <w:rFonts w:hint="eastAsia" w:ascii="宋体" w:hAnsi="宋体" w:cs="宋体"/>
                <w:color w:val="000000" w:themeColor="text1"/>
                <w:sz w:val="24"/>
                <w:highlight w:val="none"/>
                <w:lang w:eastAsia="zh-CN"/>
                <w14:textFill>
                  <w14:solidFill>
                    <w14:schemeClr w14:val="tx1"/>
                  </w14:solidFill>
                </w14:textFill>
              </w:rPr>
              <w:t>）</w:t>
            </w:r>
            <w:r>
              <w:rPr>
                <w:rFonts w:hint="eastAsia" w:ascii="宋体" w:hAnsi="宋体" w:cs="宋体"/>
                <w:color w:val="000000" w:themeColor="text1"/>
                <w:sz w:val="24"/>
                <w:highlight w:val="none"/>
                <w14:textFill>
                  <w14:solidFill>
                    <w14:schemeClr w14:val="tx1"/>
                  </w14:solidFill>
                </w14:textFill>
              </w:rPr>
              <w:t>拟投入本项目的应急抢险设备在满足采购需求车辆设备的基础上（要求的基础设备为：</w:t>
            </w:r>
            <w:r>
              <w:rPr>
                <w:rFonts w:hint="eastAsia" w:ascii="宋体" w:hAnsi="宋体" w:eastAsia="宋体" w:cs="宋体"/>
                <w:color w:val="000000" w:themeColor="text1"/>
                <w:kern w:val="2"/>
                <w:sz w:val="24"/>
                <w:szCs w:val="24"/>
                <w:highlight w:val="none"/>
                <w:u w:val="single"/>
                <w:lang w:val="en-US" w:eastAsia="zh-CN" w:bidi="ar-SA"/>
                <w14:textFill>
                  <w14:solidFill>
                    <w14:schemeClr w14:val="tx1"/>
                  </w14:solidFill>
                </w14:textFill>
              </w:rPr>
              <w:t>两辆智慧巡检车</w:t>
            </w:r>
            <w:r>
              <w:rPr>
                <w:rFonts w:hint="eastAsia" w:ascii="宋体" w:hAnsi="宋体" w:cs="宋体"/>
                <w:color w:val="000000" w:themeColor="text1"/>
                <w:kern w:val="2"/>
                <w:sz w:val="24"/>
                <w:szCs w:val="24"/>
                <w:highlight w:val="none"/>
                <w:u w:val="single"/>
                <w:lang w:val="en-US" w:eastAsia="zh-CN" w:bidi="ar-SA"/>
                <w14:textFill>
                  <w14:solidFill>
                    <w14:schemeClr w14:val="tx1"/>
                  </w14:solidFill>
                </w14:textFill>
              </w:rPr>
              <w:t>且数据接入“智慧市政”系统、</w:t>
            </w:r>
            <w:r>
              <w:rPr>
                <w:rFonts w:hint="eastAsia" w:ascii="宋体" w:hAnsi="宋体" w:cs="宋体"/>
                <w:color w:val="000000" w:themeColor="text1"/>
                <w:sz w:val="24"/>
                <w:highlight w:val="none"/>
                <w:u w:val="single"/>
                <w14:textFill>
                  <w14:solidFill>
                    <w14:schemeClr w14:val="tx1"/>
                  </w14:solidFill>
                </w14:textFill>
              </w:rPr>
              <w:t>压路机、摊铺机、铣刨机、沥青保温车、装载车（货车）</w:t>
            </w:r>
            <w:r>
              <w:rPr>
                <w:rFonts w:hint="eastAsia" w:ascii="宋体" w:hAnsi="宋体" w:cs="宋体"/>
                <w:color w:val="000000" w:themeColor="text1"/>
                <w:sz w:val="24"/>
                <w:highlight w:val="none"/>
                <w14:textFill>
                  <w14:solidFill>
                    <w14:schemeClr w14:val="tx1"/>
                  </w14:solidFill>
                </w14:textFill>
              </w:rPr>
              <w:t>且必须为自有）：每增加除雪设备（如除雪车、加装扫雪头的装载机等）1辆的得1分；有桥梁检测车或车载式三维探地雷达（须含配套检测车）的得2分；有大功率排水泵车，总排水量≥1500m³/h的得3分。证明材料：须提供以下两种材料中任意一种：①自有的须提供购置发票和清晰可见得设备全景外观照片和是车辆的还须提供车辆行驶证；②政府划拨的须提供资产划拨单和清晰可见得设备全景外观照片和是车辆的还须提供车辆行驶证（0-6分）。</w:t>
            </w:r>
          </w:p>
          <w:p>
            <w:pPr>
              <w:adjustRightInd/>
              <w:spacing w:line="312" w:lineRule="auto"/>
              <w:jc w:val="left"/>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（7）</w:t>
            </w:r>
            <w:r>
              <w:rPr>
                <w:rFonts w:hint="eastAsia" w:ascii="宋体" w:hAnsi="宋体" w:cs="宋体"/>
                <w:color w:val="000000" w:themeColor="text1"/>
                <w:sz w:val="24"/>
                <w:highlight w:val="none"/>
                <w:lang w:eastAsia="zh-CN"/>
                <w14:textFill>
                  <w14:solidFill>
                    <w14:schemeClr w14:val="tx1"/>
                  </w14:solidFill>
                </w14:textFill>
              </w:rPr>
              <w:t>（</w:t>
            </w:r>
            <w:r>
              <w:rPr>
                <w:rFonts w:hint="eastAsia" w:ascii="宋体" w:hAnsi="宋体" w:cs="宋体"/>
                <w:color w:val="000000" w:themeColor="text1"/>
                <w:sz w:val="24"/>
                <w:highlight w:val="none"/>
                <w:lang w:val="en-US" w:eastAsia="zh-CN"/>
                <w14:textFill>
                  <w14:solidFill>
                    <w14:schemeClr w14:val="tx1"/>
                  </w14:solidFill>
                </w14:textFill>
              </w:rPr>
              <w:t>须</w:t>
            </w:r>
            <w:r>
              <w:rPr>
                <w:rFonts w:hint="eastAsia" w:ascii="宋体" w:hAnsi="宋体" w:cs="宋体"/>
                <w:color w:val="000000" w:themeColor="text1"/>
                <w:sz w:val="24"/>
                <w:highlight w:val="none"/>
                <w14:textFill>
                  <w14:solidFill>
                    <w14:schemeClr w14:val="tx1"/>
                  </w14:solidFill>
                </w14:textFill>
              </w:rPr>
              <w:t>自有</w:t>
            </w:r>
            <w:r>
              <w:rPr>
                <w:rFonts w:hint="eastAsia" w:ascii="宋体" w:hAnsi="宋体" w:cs="宋体"/>
                <w:color w:val="000000" w:themeColor="text1"/>
                <w:sz w:val="24"/>
                <w:highlight w:val="none"/>
                <w:lang w:eastAsia="zh-CN"/>
                <w14:textFill>
                  <w14:solidFill>
                    <w14:schemeClr w14:val="tx1"/>
                  </w14:solidFill>
                </w14:textFill>
              </w:rPr>
              <w:t>）</w:t>
            </w:r>
            <w:r>
              <w:rPr>
                <w:rFonts w:hint="eastAsia" w:ascii="宋体" w:hAnsi="宋体" w:cs="宋体"/>
                <w:color w:val="000000" w:themeColor="text1"/>
                <w:sz w:val="24"/>
                <w:highlight w:val="none"/>
                <w14:textFill>
                  <w14:solidFill>
                    <w14:schemeClr w14:val="tx1"/>
                  </w14:solidFill>
                </w14:textFill>
              </w:rPr>
              <w:t>为确保汛期及冬季应急保障的快速反应需求，拟投入本项目的应急保障的工程救险在满足采购需求车辆设备的基础上（要求的基础设备为：</w:t>
            </w:r>
            <w:r>
              <w:rPr>
                <w:rFonts w:hint="eastAsia" w:ascii="宋体" w:hAnsi="宋体" w:eastAsia="宋体" w:cs="宋体"/>
                <w:color w:val="000000" w:themeColor="text1"/>
                <w:kern w:val="2"/>
                <w:sz w:val="24"/>
                <w:szCs w:val="24"/>
                <w:highlight w:val="none"/>
                <w:u w:val="single"/>
                <w:lang w:val="en-US" w:eastAsia="zh-CN" w:bidi="ar-SA"/>
                <w14:textFill>
                  <w14:solidFill>
                    <w14:schemeClr w14:val="tx1"/>
                  </w14:solidFill>
                </w14:textFill>
              </w:rPr>
              <w:t>两辆智慧巡检车</w:t>
            </w:r>
            <w:r>
              <w:rPr>
                <w:rFonts w:hint="eastAsia" w:ascii="宋体" w:hAnsi="宋体" w:cs="宋体"/>
                <w:color w:val="000000" w:themeColor="text1"/>
                <w:kern w:val="2"/>
                <w:sz w:val="24"/>
                <w:szCs w:val="24"/>
                <w:highlight w:val="none"/>
                <w:u w:val="single"/>
                <w:lang w:val="en-US" w:eastAsia="zh-CN" w:bidi="ar-SA"/>
                <w14:textFill>
                  <w14:solidFill>
                    <w14:schemeClr w14:val="tx1"/>
                  </w14:solidFill>
                </w14:textFill>
              </w:rPr>
              <w:t>且数据接入“智慧市政”系统、</w:t>
            </w:r>
            <w:r>
              <w:rPr>
                <w:rFonts w:hint="eastAsia" w:ascii="宋体" w:hAnsi="宋体" w:cs="宋体"/>
                <w:color w:val="000000" w:themeColor="text1"/>
                <w:sz w:val="24"/>
                <w:highlight w:val="none"/>
                <w:u w:val="single"/>
                <w14:textFill>
                  <w14:solidFill>
                    <w14:schemeClr w14:val="tx1"/>
                  </w14:solidFill>
                </w14:textFill>
              </w:rPr>
              <w:t>压路机、摊铺机、铣刨机、沥青保温车、装载车（货车）</w:t>
            </w:r>
            <w:r>
              <w:rPr>
                <w:rFonts w:hint="eastAsia" w:ascii="宋体" w:hAnsi="宋体" w:cs="宋体"/>
                <w:color w:val="000000" w:themeColor="text1"/>
                <w:sz w:val="24"/>
                <w:highlight w:val="none"/>
                <w14:textFill>
                  <w14:solidFill>
                    <w14:schemeClr w14:val="tx1"/>
                  </w14:solidFill>
                </w14:textFill>
              </w:rPr>
              <w:t>且必须为自有）：每增加工程救险的车辆（机动车行驶证上的使用性质为工程救（抢）险）达到</w:t>
            </w:r>
            <w:r>
              <w:rPr>
                <w:rFonts w:hint="eastAsia" w:ascii="宋体" w:hAnsi="宋体" w:cs="宋体"/>
                <w:color w:val="000000" w:themeColor="text1"/>
                <w:sz w:val="24"/>
                <w:highlight w:val="none"/>
                <w:u w:val="single"/>
                <w14:textFill>
                  <w14:solidFill>
                    <w14:schemeClr w14:val="tx1"/>
                  </w14:solidFill>
                </w14:textFill>
              </w:rPr>
              <w:t xml:space="preserve"> 5  </w:t>
            </w:r>
            <w:r>
              <w:rPr>
                <w:rFonts w:hint="eastAsia" w:ascii="宋体" w:hAnsi="宋体" w:cs="宋体"/>
                <w:color w:val="000000" w:themeColor="text1"/>
                <w:sz w:val="24"/>
                <w:highlight w:val="none"/>
                <w14:textFill>
                  <w14:solidFill>
                    <w14:schemeClr w14:val="tx1"/>
                  </w14:solidFill>
                </w14:textFill>
              </w:rPr>
              <w:t>辆（含）以上的得1分；</w:t>
            </w:r>
            <w:r>
              <w:rPr>
                <w:rFonts w:hint="eastAsia" w:ascii="宋体" w:hAnsi="宋体" w:cs="宋体"/>
                <w:color w:val="000000" w:themeColor="text1"/>
                <w:sz w:val="24"/>
                <w:highlight w:val="none"/>
                <w:u w:val="single"/>
                <w14:textFill>
                  <w14:solidFill>
                    <w14:schemeClr w14:val="tx1"/>
                  </w14:solidFill>
                </w14:textFill>
              </w:rPr>
              <w:t xml:space="preserve"> 10  </w:t>
            </w:r>
            <w:r>
              <w:rPr>
                <w:rFonts w:hint="eastAsia" w:ascii="宋体" w:hAnsi="宋体" w:cs="宋体"/>
                <w:color w:val="000000" w:themeColor="text1"/>
                <w:sz w:val="24"/>
                <w:highlight w:val="none"/>
                <w14:textFill>
                  <w14:solidFill>
                    <w14:schemeClr w14:val="tx1"/>
                  </w14:solidFill>
                </w14:textFill>
              </w:rPr>
              <w:t>辆（含）以上得2分；</w:t>
            </w:r>
            <w:r>
              <w:rPr>
                <w:rFonts w:hint="eastAsia" w:ascii="宋体" w:hAnsi="宋体" w:cs="宋体"/>
                <w:color w:val="000000" w:themeColor="text1"/>
                <w:sz w:val="24"/>
                <w:highlight w:val="none"/>
                <w:u w:val="single"/>
                <w14:textFill>
                  <w14:solidFill>
                    <w14:schemeClr w14:val="tx1"/>
                  </w14:solidFill>
                </w14:textFill>
              </w:rPr>
              <w:t xml:space="preserve"> 15  </w:t>
            </w:r>
            <w:r>
              <w:rPr>
                <w:rFonts w:hint="eastAsia" w:ascii="宋体" w:hAnsi="宋体" w:cs="宋体"/>
                <w:color w:val="000000" w:themeColor="text1"/>
                <w:sz w:val="24"/>
                <w:highlight w:val="none"/>
                <w14:textFill>
                  <w14:solidFill>
                    <w14:schemeClr w14:val="tx1"/>
                  </w14:solidFill>
                </w14:textFill>
              </w:rPr>
              <w:t>辆（含）以上的得3分；</w:t>
            </w:r>
            <w:r>
              <w:rPr>
                <w:rFonts w:hint="eastAsia" w:ascii="宋体" w:hAnsi="宋体" w:cs="宋体"/>
                <w:color w:val="000000" w:themeColor="text1"/>
                <w:sz w:val="24"/>
                <w:highlight w:val="none"/>
                <w:u w:val="single"/>
                <w14:textFill>
                  <w14:solidFill>
                    <w14:schemeClr w14:val="tx1"/>
                  </w14:solidFill>
                </w14:textFill>
              </w:rPr>
              <w:t xml:space="preserve">  20 </w:t>
            </w:r>
            <w:r>
              <w:rPr>
                <w:rFonts w:hint="eastAsia" w:ascii="宋体" w:hAnsi="宋体" w:cs="宋体"/>
                <w:color w:val="000000" w:themeColor="text1"/>
                <w:sz w:val="24"/>
                <w:highlight w:val="none"/>
                <w14:textFill>
                  <w14:solidFill>
                    <w14:schemeClr w14:val="tx1"/>
                  </w14:solidFill>
                </w14:textFill>
              </w:rPr>
              <w:t>辆（含）以上的得4分；未达到不得分。证明材料：须提供以下两种材料中任意一种：①自有的须提供购置发票和清晰可见得设备全景外观照片和是车辆的还须提供车辆行驶证；②政府划拨的须提供资产划拨单和清晰可见得设备全景外观照片和是车辆的还须提供车辆行驶证（0-4分）。</w:t>
            </w:r>
          </w:p>
        </w:tc>
        <w:tc>
          <w:tcPr>
            <w:tcW w:w="784" w:type="dxa"/>
            <w:noWrap w:val="0"/>
            <w:vAlign w:val="center"/>
          </w:tcPr>
          <w:p>
            <w:pPr>
              <w:adjustRightInd/>
              <w:spacing w:line="312" w:lineRule="auto"/>
              <w:jc w:val="center"/>
              <w:rPr>
                <w:rFonts w:hint="default"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30</w:t>
            </w:r>
          </w:p>
        </w:tc>
        <w:tc>
          <w:tcPr>
            <w:tcW w:w="1133" w:type="dxa"/>
            <w:noWrap w:val="0"/>
            <w:vAlign w:val="center"/>
          </w:tcPr>
          <w:p>
            <w:pPr>
              <w:adjustRightInd/>
              <w:spacing w:line="312" w:lineRule="auto"/>
              <w:jc w:val="center"/>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bCs/>
                <w:color w:val="000000" w:themeColor="text1"/>
                <w:sz w:val="24"/>
                <w:highlight w:val="none"/>
                <w14:textFill>
                  <w14:solidFill>
                    <w14:schemeClr w14:val="tx1"/>
                  </w14:solidFill>
                </w14:textFill>
              </w:rPr>
              <w:t>客观分</w:t>
            </w:r>
          </w:p>
        </w:tc>
        <w:tc>
          <w:tcPr>
            <w:tcW w:w="1078" w:type="dxa"/>
            <w:noWrap w:val="0"/>
            <w:vAlign w:val="top"/>
          </w:tcPr>
          <w:p>
            <w:pPr>
              <w:adjustRightInd/>
              <w:spacing w:line="312" w:lineRule="auto"/>
              <w:jc w:val="left"/>
              <w:rPr>
                <w:rFonts w:hint="eastAsia" w:ascii="宋体" w:hAnsi="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noWrap w:val="0"/>
            <w:vAlign w:val="center"/>
          </w:tcPr>
          <w:p>
            <w:pPr>
              <w:adjustRightInd/>
              <w:spacing w:line="312" w:lineRule="auto"/>
              <w:jc w:val="center"/>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8</w:t>
            </w:r>
          </w:p>
        </w:tc>
        <w:tc>
          <w:tcPr>
            <w:tcW w:w="6200" w:type="dxa"/>
            <w:noWrap w:val="0"/>
            <w:vAlign w:val="top"/>
          </w:tcPr>
          <w:p>
            <w:pPr>
              <w:pStyle w:val="34"/>
              <w:adjustRightInd/>
              <w:spacing w:line="312" w:lineRule="auto"/>
              <w:rPr>
                <w:rFonts w:hint="eastAsia" w:hAnsi="宋体" w:cs="宋体"/>
                <w:snapToGrid/>
                <w:color w:val="000000" w:themeColor="text1"/>
                <w:sz w:val="24"/>
                <w:szCs w:val="24"/>
                <w:highlight w:val="none"/>
                <w14:textFill>
                  <w14:solidFill>
                    <w14:schemeClr w14:val="tx1"/>
                  </w14:solidFill>
                </w14:textFill>
              </w:rPr>
            </w:pPr>
            <w:r>
              <w:rPr>
                <w:rFonts w:hint="eastAsia" w:hAnsi="宋体" w:cs="宋体"/>
                <w:snapToGrid/>
                <w:color w:val="000000" w:themeColor="text1"/>
                <w:sz w:val="24"/>
                <w:szCs w:val="24"/>
                <w:highlight w:val="none"/>
                <w14:textFill>
                  <w14:solidFill>
                    <w14:schemeClr w14:val="tx1"/>
                  </w14:solidFill>
                </w14:textFill>
              </w:rPr>
              <w:t>针对项目的重点、难点分析：根据供应商对本项目的重点、难点的分析的全面性，是否到位的评审。</w:t>
            </w:r>
          </w:p>
          <w:p>
            <w:pPr>
              <w:pStyle w:val="34"/>
              <w:adjustRightInd/>
              <w:spacing w:line="312" w:lineRule="auto"/>
              <w:rPr>
                <w:rFonts w:hint="eastAsia" w:hAnsi="宋体" w:cs="宋体"/>
                <w:snapToGrid/>
                <w:color w:val="000000" w:themeColor="text1"/>
                <w:sz w:val="24"/>
                <w:szCs w:val="24"/>
                <w:highlight w:val="none"/>
                <w14:textFill>
                  <w14:solidFill>
                    <w14:schemeClr w14:val="tx1"/>
                  </w14:solidFill>
                </w14:textFill>
              </w:rPr>
            </w:pPr>
            <w:r>
              <w:rPr>
                <w:rFonts w:hint="eastAsia" w:hAnsi="宋体" w:cs="宋体"/>
                <w:snapToGrid/>
                <w:color w:val="000000" w:themeColor="text1"/>
                <w:sz w:val="24"/>
                <w:szCs w:val="24"/>
                <w:highlight w:val="none"/>
                <w14:textFill>
                  <w14:solidFill>
                    <w14:schemeClr w14:val="tx1"/>
                  </w14:solidFill>
                </w14:textFill>
              </w:rPr>
              <w:t>针对项目的重点、难点分析非常全面且到位的得</w:t>
            </w:r>
            <w:r>
              <w:rPr>
                <w:rFonts w:hint="eastAsia" w:hAnsi="宋体" w:cs="宋体"/>
                <w:snapToGrid/>
                <w:color w:val="000000" w:themeColor="text1"/>
                <w:sz w:val="24"/>
                <w:szCs w:val="24"/>
                <w:highlight w:val="none"/>
                <w:lang w:val="en-US" w:eastAsia="zh-CN"/>
                <w14:textFill>
                  <w14:solidFill>
                    <w14:schemeClr w14:val="tx1"/>
                  </w14:solidFill>
                </w14:textFill>
              </w:rPr>
              <w:t>3</w:t>
            </w:r>
            <w:r>
              <w:rPr>
                <w:rFonts w:hint="eastAsia" w:hAnsi="宋体" w:cs="宋体"/>
                <w:snapToGrid/>
                <w:color w:val="000000" w:themeColor="text1"/>
                <w:sz w:val="24"/>
                <w:szCs w:val="24"/>
                <w:highlight w:val="none"/>
                <w14:textFill>
                  <w14:solidFill>
                    <w14:schemeClr w14:val="tx1"/>
                  </w14:solidFill>
                </w14:textFill>
              </w:rPr>
              <w:t>分；</w:t>
            </w:r>
          </w:p>
          <w:p>
            <w:pPr>
              <w:pStyle w:val="34"/>
              <w:adjustRightInd/>
              <w:spacing w:line="312" w:lineRule="auto"/>
              <w:rPr>
                <w:rFonts w:hint="eastAsia" w:hAnsi="宋体" w:cs="宋体"/>
                <w:snapToGrid/>
                <w:color w:val="000000" w:themeColor="text1"/>
                <w:sz w:val="24"/>
                <w:szCs w:val="24"/>
                <w:highlight w:val="none"/>
                <w14:textFill>
                  <w14:solidFill>
                    <w14:schemeClr w14:val="tx1"/>
                  </w14:solidFill>
                </w14:textFill>
              </w:rPr>
            </w:pPr>
            <w:r>
              <w:rPr>
                <w:rFonts w:hint="eastAsia" w:hAnsi="宋体" w:cs="宋体"/>
                <w:snapToGrid/>
                <w:color w:val="000000" w:themeColor="text1"/>
                <w:sz w:val="24"/>
                <w:szCs w:val="24"/>
                <w:highlight w:val="none"/>
                <w14:textFill>
                  <w14:solidFill>
                    <w14:schemeClr w14:val="tx1"/>
                  </w14:solidFill>
                </w14:textFill>
              </w:rPr>
              <w:t>针对项目的重点、难点分析全面性，部分到位的得</w:t>
            </w:r>
            <w:r>
              <w:rPr>
                <w:rFonts w:hint="eastAsia" w:hAnsi="宋体" w:cs="宋体"/>
                <w:snapToGrid/>
                <w:color w:val="000000" w:themeColor="text1"/>
                <w:sz w:val="24"/>
                <w:szCs w:val="24"/>
                <w:highlight w:val="none"/>
                <w:lang w:val="en-US" w:eastAsia="zh-CN"/>
                <w14:textFill>
                  <w14:solidFill>
                    <w14:schemeClr w14:val="tx1"/>
                  </w14:solidFill>
                </w14:textFill>
              </w:rPr>
              <w:t>2</w:t>
            </w:r>
            <w:r>
              <w:rPr>
                <w:rFonts w:hint="eastAsia" w:hAnsi="宋体" w:cs="宋体"/>
                <w:snapToGrid/>
                <w:color w:val="000000" w:themeColor="text1"/>
                <w:sz w:val="24"/>
                <w:szCs w:val="24"/>
                <w:highlight w:val="none"/>
                <w14:textFill>
                  <w14:solidFill>
                    <w14:schemeClr w14:val="tx1"/>
                  </w14:solidFill>
                </w14:textFill>
              </w:rPr>
              <w:t>分；</w:t>
            </w:r>
          </w:p>
          <w:p>
            <w:pPr>
              <w:pStyle w:val="34"/>
              <w:adjustRightInd/>
              <w:spacing w:line="312" w:lineRule="auto"/>
              <w:rPr>
                <w:rFonts w:hint="eastAsia" w:hAnsi="宋体" w:cs="宋体"/>
                <w:snapToGrid/>
                <w:color w:val="000000" w:themeColor="text1"/>
                <w:sz w:val="24"/>
                <w:szCs w:val="24"/>
                <w:highlight w:val="none"/>
                <w14:textFill>
                  <w14:solidFill>
                    <w14:schemeClr w14:val="tx1"/>
                  </w14:solidFill>
                </w14:textFill>
              </w:rPr>
            </w:pPr>
            <w:r>
              <w:rPr>
                <w:rFonts w:hint="eastAsia" w:hAnsi="宋体" w:cs="宋体"/>
                <w:snapToGrid/>
                <w:color w:val="000000" w:themeColor="text1"/>
                <w:sz w:val="24"/>
                <w:szCs w:val="24"/>
                <w:highlight w:val="none"/>
                <w14:textFill>
                  <w14:solidFill>
                    <w14:schemeClr w14:val="tx1"/>
                  </w14:solidFill>
                </w14:textFill>
              </w:rPr>
              <w:t>针对项目的重点、难点分析部分全面的得</w:t>
            </w:r>
            <w:r>
              <w:rPr>
                <w:rFonts w:hint="eastAsia" w:hAnsi="宋体" w:cs="宋体"/>
                <w:snapToGrid/>
                <w:color w:val="000000" w:themeColor="text1"/>
                <w:sz w:val="24"/>
                <w:szCs w:val="24"/>
                <w:highlight w:val="none"/>
                <w:lang w:val="en-US" w:eastAsia="zh-CN"/>
                <w14:textFill>
                  <w14:solidFill>
                    <w14:schemeClr w14:val="tx1"/>
                  </w14:solidFill>
                </w14:textFill>
              </w:rPr>
              <w:t>1</w:t>
            </w:r>
            <w:r>
              <w:rPr>
                <w:rFonts w:hint="eastAsia" w:hAnsi="宋体" w:cs="宋体"/>
                <w:snapToGrid/>
                <w:color w:val="000000" w:themeColor="text1"/>
                <w:sz w:val="24"/>
                <w:szCs w:val="24"/>
                <w:highlight w:val="none"/>
                <w14:textFill>
                  <w14:solidFill>
                    <w14:schemeClr w14:val="tx1"/>
                  </w14:solidFill>
                </w14:textFill>
              </w:rPr>
              <w:t>分；</w:t>
            </w:r>
          </w:p>
          <w:p>
            <w:pPr>
              <w:pStyle w:val="34"/>
              <w:adjustRightInd/>
              <w:spacing w:line="312" w:lineRule="auto"/>
              <w:rPr>
                <w:rFonts w:hAnsi="宋体" w:cs="宋体"/>
                <w:snapToGrid/>
                <w:color w:val="000000" w:themeColor="text1"/>
                <w:sz w:val="24"/>
                <w:szCs w:val="24"/>
                <w:highlight w:val="none"/>
                <w14:textFill>
                  <w14:solidFill>
                    <w14:schemeClr w14:val="tx1"/>
                  </w14:solidFill>
                </w14:textFill>
              </w:rPr>
            </w:pPr>
            <w:r>
              <w:rPr>
                <w:rFonts w:hint="eastAsia" w:hAnsi="宋体" w:cs="宋体"/>
                <w:snapToGrid/>
                <w:color w:val="000000" w:themeColor="text1"/>
                <w:sz w:val="24"/>
                <w:szCs w:val="24"/>
                <w:highlight w:val="none"/>
                <w14:textFill>
                  <w14:solidFill>
                    <w14:schemeClr w14:val="tx1"/>
                  </w14:solidFill>
                </w14:textFill>
              </w:rPr>
              <w:t>不符合的不得分。</w:t>
            </w:r>
          </w:p>
        </w:tc>
        <w:tc>
          <w:tcPr>
            <w:tcW w:w="784" w:type="dxa"/>
            <w:noWrap w:val="0"/>
            <w:vAlign w:val="center"/>
          </w:tcPr>
          <w:p>
            <w:pPr>
              <w:adjustRightInd/>
              <w:spacing w:line="312" w:lineRule="auto"/>
              <w:jc w:val="center"/>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3</w:t>
            </w:r>
          </w:p>
        </w:tc>
        <w:tc>
          <w:tcPr>
            <w:tcW w:w="1133" w:type="dxa"/>
            <w:noWrap w:val="0"/>
            <w:vAlign w:val="center"/>
          </w:tcPr>
          <w:p>
            <w:pPr>
              <w:adjustRightInd/>
              <w:spacing w:line="312" w:lineRule="auto"/>
              <w:jc w:val="center"/>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主观分</w:t>
            </w:r>
          </w:p>
        </w:tc>
        <w:tc>
          <w:tcPr>
            <w:tcW w:w="1078" w:type="dxa"/>
            <w:noWrap w:val="0"/>
            <w:vAlign w:val="top"/>
          </w:tcPr>
          <w:p>
            <w:pPr>
              <w:adjustRightInd/>
              <w:spacing w:line="312" w:lineRule="auto"/>
              <w:jc w:val="left"/>
              <w:rPr>
                <w:rFonts w:hint="eastAsia" w:ascii="宋体" w:hAnsi="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noWrap w:val="0"/>
            <w:vAlign w:val="center"/>
          </w:tcPr>
          <w:p>
            <w:pPr>
              <w:adjustRightInd/>
              <w:spacing w:line="312"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9</w:t>
            </w:r>
          </w:p>
        </w:tc>
        <w:tc>
          <w:tcPr>
            <w:tcW w:w="6200" w:type="dxa"/>
            <w:noWrap w:val="0"/>
            <w:vAlign w:val="center"/>
          </w:tcPr>
          <w:p>
            <w:pPr>
              <w:adjustRightInd/>
              <w:spacing w:line="312" w:lineRule="auto"/>
              <w:jc w:val="left"/>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针对本项目一体化养护管理工作及实施方案的评审：</w:t>
            </w:r>
          </w:p>
          <w:p>
            <w:pPr>
              <w:adjustRightInd/>
              <w:spacing w:line="312" w:lineRule="auto"/>
              <w:jc w:val="left"/>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（1）市政道路养护方案（沥青路面、人行道平侧石、桥梁及附属设施（含桥头跳车整治方案）、检查井、排水管网、路牌等市政道路设施养护方案）（0-7分）：</w:t>
            </w:r>
          </w:p>
          <w:p>
            <w:pPr>
              <w:adjustRightInd/>
              <w:spacing w:line="312" w:lineRule="auto"/>
              <w:jc w:val="left"/>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①针对各类养护问题采用不同的养护维修工艺或处理方法，符合本项目采购需求且更合理可行的得4分；</w:t>
            </w:r>
          </w:p>
          <w:p>
            <w:pPr>
              <w:adjustRightInd/>
              <w:spacing w:line="312" w:lineRule="auto"/>
              <w:jc w:val="left"/>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符合本项目采购需求且合理的得3分；</w:t>
            </w:r>
          </w:p>
          <w:p>
            <w:pPr>
              <w:adjustRightInd/>
              <w:spacing w:line="312" w:lineRule="auto"/>
              <w:jc w:val="left"/>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符合采购需求的得2分；</w:t>
            </w:r>
          </w:p>
          <w:p>
            <w:pPr>
              <w:adjustRightInd/>
              <w:spacing w:line="312" w:lineRule="auto"/>
              <w:jc w:val="left"/>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部分符合采购需求及合理的得1分；</w:t>
            </w:r>
          </w:p>
          <w:p>
            <w:pPr>
              <w:adjustRightInd/>
              <w:spacing w:line="312" w:lineRule="auto"/>
              <w:jc w:val="left"/>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不符合的不得分。</w:t>
            </w:r>
          </w:p>
          <w:p>
            <w:pPr>
              <w:adjustRightInd/>
              <w:spacing w:line="312" w:lineRule="auto"/>
              <w:jc w:val="left"/>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②有完善的项目班子成员的专业结构的评审：配置符合采购需求且更合理的得3分；</w:t>
            </w:r>
          </w:p>
          <w:p>
            <w:pPr>
              <w:adjustRightInd/>
              <w:spacing w:line="312" w:lineRule="auto"/>
              <w:jc w:val="left"/>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配置符合本项目采购需求部分合理的得2分；</w:t>
            </w:r>
          </w:p>
          <w:p>
            <w:pPr>
              <w:adjustRightInd/>
              <w:spacing w:line="312" w:lineRule="auto"/>
              <w:jc w:val="left"/>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配置符合采购需求的得1分；</w:t>
            </w:r>
          </w:p>
          <w:p>
            <w:pPr>
              <w:adjustRightInd/>
              <w:spacing w:line="312" w:lineRule="auto"/>
              <w:jc w:val="left"/>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不符合的不得分。</w:t>
            </w:r>
          </w:p>
          <w:p>
            <w:pPr>
              <w:adjustRightInd/>
              <w:spacing w:line="312" w:lineRule="auto"/>
              <w:jc w:val="left"/>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（2）环卫保洁方案（0-</w:t>
            </w:r>
            <w:r>
              <w:rPr>
                <w:rFonts w:hint="eastAsia" w:ascii="宋体" w:hAnsi="宋体" w:cs="宋体"/>
                <w:color w:val="000000" w:themeColor="text1"/>
                <w:sz w:val="24"/>
                <w:highlight w:val="none"/>
                <w:lang w:val="en-US" w:eastAsia="zh-CN"/>
                <w14:textFill>
                  <w14:solidFill>
                    <w14:schemeClr w14:val="tx1"/>
                  </w14:solidFill>
                </w14:textFill>
              </w:rPr>
              <w:t>4</w:t>
            </w:r>
            <w:r>
              <w:rPr>
                <w:rFonts w:hint="eastAsia" w:ascii="宋体" w:hAnsi="宋体" w:cs="宋体"/>
                <w:color w:val="000000" w:themeColor="text1"/>
                <w:sz w:val="24"/>
                <w:highlight w:val="none"/>
                <w14:textFill>
                  <w14:solidFill>
                    <w14:schemeClr w14:val="tx1"/>
                  </w14:solidFill>
                </w14:textFill>
              </w:rPr>
              <w:t>分）</w:t>
            </w:r>
          </w:p>
          <w:p>
            <w:pPr>
              <w:adjustRightInd/>
              <w:spacing w:line="312" w:lineRule="auto"/>
              <w:jc w:val="left"/>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道路保洁方案主要包括</w:t>
            </w:r>
            <w:r>
              <w:rPr>
                <w:rFonts w:hint="eastAsia" w:ascii="宋体" w:hAnsi="宋体" w:cs="宋体"/>
                <w:color w:val="000000" w:themeColor="text1"/>
                <w:sz w:val="24"/>
                <w:highlight w:val="none"/>
                <w:lang w:eastAsia="zh-CN"/>
                <w14:textFill>
                  <w14:solidFill>
                    <w14:schemeClr w14:val="tx1"/>
                  </w14:solidFill>
                </w14:textFill>
              </w:rPr>
              <w:t>城管驿站的日常管理、</w:t>
            </w:r>
            <w:r>
              <w:rPr>
                <w:rFonts w:hint="eastAsia" w:ascii="宋体" w:hAnsi="宋体" w:cs="宋体"/>
                <w:color w:val="000000" w:themeColor="text1"/>
                <w:sz w:val="24"/>
                <w:highlight w:val="none"/>
                <w14:textFill>
                  <w14:solidFill>
                    <w14:schemeClr w14:val="tx1"/>
                  </w14:solidFill>
                </w14:textFill>
              </w:rPr>
              <w:t>道路机械化保洁方案、道路人工保洁方案、</w:t>
            </w:r>
            <w:r>
              <w:rPr>
                <w:rFonts w:hint="eastAsia" w:ascii="宋体" w:hAnsi="宋体" w:cs="宋体"/>
                <w:color w:val="000000" w:themeColor="text1"/>
                <w:sz w:val="24"/>
                <w:highlight w:val="none"/>
                <w:lang w:val="en-US" w:eastAsia="zh-CN"/>
                <w14:textFill>
                  <w14:solidFill>
                    <w14:schemeClr w14:val="tx1"/>
                  </w14:solidFill>
                </w14:textFill>
              </w:rPr>
              <w:t>日常巡回</w:t>
            </w:r>
            <w:r>
              <w:rPr>
                <w:rFonts w:hint="eastAsia" w:ascii="宋体" w:hAnsi="宋体" w:cs="宋体"/>
                <w:color w:val="000000" w:themeColor="text1"/>
                <w:sz w:val="24"/>
                <w:highlight w:val="none"/>
                <w14:textFill>
                  <w14:solidFill>
                    <w14:schemeClr w14:val="tx1"/>
                  </w14:solidFill>
                </w14:textFill>
              </w:rPr>
              <w:t>保洁方案、旅游高峰及节假日期间或</w:t>
            </w:r>
            <w:r>
              <w:rPr>
                <w:rFonts w:hint="eastAsia" w:ascii="宋体" w:hAnsi="宋体" w:cs="宋体"/>
                <w:color w:val="000000" w:themeColor="text1"/>
                <w:sz w:val="24"/>
                <w:highlight w:val="none"/>
                <w:lang w:val="en-US" w:eastAsia="zh-CN"/>
                <w14:textFill>
                  <w14:solidFill>
                    <w14:schemeClr w14:val="tx1"/>
                  </w14:solidFill>
                </w14:textFill>
              </w:rPr>
              <w:t>亚运保障、道路渣土偷倒</w:t>
            </w:r>
            <w:r>
              <w:rPr>
                <w:rFonts w:hint="eastAsia" w:ascii="宋体" w:hAnsi="宋体" w:cs="宋体"/>
                <w:color w:val="000000" w:themeColor="text1"/>
                <w:sz w:val="24"/>
                <w:highlight w:val="none"/>
                <w14:textFill>
                  <w14:solidFill>
                    <w14:schemeClr w14:val="tx1"/>
                  </w14:solidFill>
                </w14:textFill>
              </w:rPr>
              <w:t>等特殊时期的保洁措施。</w:t>
            </w:r>
          </w:p>
          <w:p>
            <w:pPr>
              <w:adjustRightInd/>
              <w:spacing w:line="312" w:lineRule="auto"/>
              <w:jc w:val="lef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①市政道路保洁工作计划、</w:t>
            </w:r>
            <w:r>
              <w:rPr>
                <w:rFonts w:hint="eastAsia" w:ascii="宋体" w:hAnsi="宋体" w:cs="宋体"/>
                <w:color w:val="000000" w:themeColor="text1"/>
                <w:sz w:val="24"/>
                <w:highlight w:val="none"/>
                <w:lang w:val="en-US" w:eastAsia="zh-CN"/>
                <w14:textFill>
                  <w14:solidFill>
                    <w14:schemeClr w14:val="tx1"/>
                  </w14:solidFill>
                </w14:textFill>
              </w:rPr>
              <w:t>日常巡回保洁</w:t>
            </w:r>
            <w:r>
              <w:rPr>
                <w:rFonts w:hint="eastAsia" w:ascii="宋体" w:hAnsi="宋体" w:cs="宋体"/>
                <w:color w:val="000000" w:themeColor="text1"/>
                <w:sz w:val="24"/>
                <w:highlight w:val="none"/>
                <w14:textFill>
                  <w14:solidFill>
                    <w14:schemeClr w14:val="tx1"/>
                  </w14:solidFill>
                </w14:textFill>
              </w:rPr>
              <w:t>方案</w:t>
            </w:r>
            <w:r>
              <w:rPr>
                <w:rFonts w:hint="eastAsia" w:ascii="宋体" w:hAnsi="宋体" w:cs="宋体"/>
                <w:color w:val="000000" w:themeColor="text1"/>
                <w:sz w:val="24"/>
                <w:highlight w:val="none"/>
                <w:lang w:val="en-US" w:eastAsia="zh-CN"/>
                <w14:textFill>
                  <w14:solidFill>
                    <w14:schemeClr w14:val="tx1"/>
                  </w14:solidFill>
                </w14:textFill>
              </w:rPr>
              <w:t>及城管驿站的日常管理方案</w:t>
            </w:r>
            <w:r>
              <w:rPr>
                <w:rFonts w:hint="eastAsia" w:ascii="宋体" w:hAnsi="宋体" w:cs="宋体"/>
                <w:color w:val="000000" w:themeColor="text1"/>
                <w:sz w:val="24"/>
                <w:highlight w:val="none"/>
                <w14:textFill>
                  <w14:solidFill>
                    <w14:schemeClr w14:val="tx1"/>
                  </w14:solidFill>
                </w14:textFill>
              </w:rPr>
              <w:t>的针对性、合理评审：工作计划、日常保洁方案</w:t>
            </w:r>
            <w:r>
              <w:rPr>
                <w:rFonts w:hint="eastAsia" w:ascii="宋体" w:hAnsi="宋体" w:cs="宋体"/>
                <w:color w:val="000000" w:themeColor="text1"/>
                <w:sz w:val="24"/>
                <w:highlight w:val="none"/>
                <w:lang w:eastAsia="zh-CN"/>
                <w14:textFill>
                  <w14:solidFill>
                    <w14:schemeClr w14:val="tx1"/>
                  </w14:solidFill>
                </w14:textFill>
              </w:rPr>
              <w:t>、</w:t>
            </w:r>
            <w:r>
              <w:rPr>
                <w:rFonts w:hint="eastAsia" w:ascii="宋体" w:hAnsi="宋体" w:cs="宋体"/>
                <w:color w:val="000000" w:themeColor="text1"/>
                <w:sz w:val="24"/>
                <w:highlight w:val="none"/>
                <w:lang w:val="en-US" w:eastAsia="zh-CN"/>
                <w14:textFill>
                  <w14:solidFill>
                    <w14:schemeClr w14:val="tx1"/>
                  </w14:solidFill>
                </w14:textFill>
              </w:rPr>
              <w:t>城管驿站的日常管理方案</w:t>
            </w:r>
            <w:r>
              <w:rPr>
                <w:rFonts w:hint="eastAsia" w:ascii="宋体" w:hAnsi="宋体" w:cs="宋体"/>
                <w:color w:val="000000" w:themeColor="text1"/>
                <w:sz w:val="24"/>
                <w:highlight w:val="none"/>
                <w14:textFill>
                  <w14:solidFill>
                    <w14:schemeClr w14:val="tx1"/>
                  </w14:solidFill>
                </w14:textFill>
              </w:rPr>
              <w:t>全部合理可行，且具有针对性的得2分；工作计划、日常保洁方案</w:t>
            </w:r>
            <w:r>
              <w:rPr>
                <w:rFonts w:hint="eastAsia" w:ascii="宋体" w:hAnsi="宋体" w:cs="宋体"/>
                <w:color w:val="000000" w:themeColor="text1"/>
                <w:sz w:val="24"/>
                <w:highlight w:val="none"/>
                <w:lang w:eastAsia="zh-CN"/>
                <w14:textFill>
                  <w14:solidFill>
                    <w14:schemeClr w14:val="tx1"/>
                  </w14:solidFill>
                </w14:textFill>
              </w:rPr>
              <w:t>、</w:t>
            </w:r>
            <w:r>
              <w:rPr>
                <w:rFonts w:hint="eastAsia" w:ascii="宋体" w:hAnsi="宋体" w:cs="宋体"/>
                <w:color w:val="000000" w:themeColor="text1"/>
                <w:sz w:val="24"/>
                <w:highlight w:val="none"/>
                <w:lang w:val="en-US" w:eastAsia="zh-CN"/>
                <w14:textFill>
                  <w14:solidFill>
                    <w14:schemeClr w14:val="tx1"/>
                  </w14:solidFill>
                </w14:textFill>
              </w:rPr>
              <w:t>城管驿站的日常管理</w:t>
            </w:r>
            <w:r>
              <w:rPr>
                <w:rFonts w:hint="eastAsia" w:ascii="宋体" w:hAnsi="宋体" w:cs="宋体"/>
                <w:color w:val="000000" w:themeColor="text1"/>
                <w:sz w:val="24"/>
                <w:highlight w:val="none"/>
                <w14:textFill>
                  <w14:solidFill>
                    <w14:schemeClr w14:val="tx1"/>
                  </w14:solidFill>
                </w14:textFill>
              </w:rPr>
              <w:t>方案部分合理可行，且具有针对性的得1分；不合理的不得分。</w:t>
            </w:r>
          </w:p>
          <w:p>
            <w:pPr>
              <w:adjustRightInd/>
              <w:spacing w:line="312" w:lineRule="auto"/>
              <w:jc w:val="lef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②针对道路渣土偷倒等措施及旅游高峰或节假日期间或亚运保障特殊时期的保洁保障方案。相关措施方案和保证合理科学的得2分；相关措施方案和保证一般的得1分；不符合的不得分</w:t>
            </w:r>
            <w:r>
              <w:rPr>
                <w:rFonts w:hint="eastAsia" w:ascii="宋体" w:hAnsi="宋体" w:cs="宋体"/>
                <w:color w:val="000000" w:themeColor="text1"/>
                <w:sz w:val="24"/>
                <w:highlight w:val="none"/>
                <w14:textFill>
                  <w14:solidFill>
                    <w14:schemeClr w14:val="tx1"/>
                  </w14:solidFill>
                </w14:textFill>
              </w:rPr>
              <w:t>。</w:t>
            </w:r>
          </w:p>
          <w:p>
            <w:pPr>
              <w:adjustRightInd/>
              <w:spacing w:line="312" w:lineRule="auto"/>
              <w:jc w:val="left"/>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（3）综合养护方案组织和技术措施（0-3分）</w:t>
            </w:r>
          </w:p>
          <w:p>
            <w:pPr>
              <w:adjustRightInd/>
              <w:spacing w:line="312" w:lineRule="auto"/>
              <w:jc w:val="left"/>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①劳动力投入计划（0-1分）。</w:t>
            </w:r>
          </w:p>
          <w:p>
            <w:pPr>
              <w:adjustRightInd/>
              <w:spacing w:line="312" w:lineRule="auto"/>
              <w:jc w:val="left"/>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②综合养护保障机械配置方案（0-1分）；</w:t>
            </w:r>
          </w:p>
          <w:p>
            <w:pPr>
              <w:adjustRightInd/>
              <w:spacing w:line="312" w:lineRule="auto"/>
              <w:jc w:val="left"/>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③市政道路维修方案：针对本项目的实施方案详细且具有较强针对性的理解程度进行评审（0-1分）。</w:t>
            </w:r>
          </w:p>
          <w:p>
            <w:pPr>
              <w:adjustRightInd/>
              <w:spacing w:line="312" w:lineRule="auto"/>
              <w:jc w:val="left"/>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（4）安全文明养护（0-3分）</w:t>
            </w:r>
          </w:p>
          <w:p>
            <w:pPr>
              <w:adjustRightInd/>
              <w:spacing w:line="312" w:lineRule="auto"/>
              <w:jc w:val="left"/>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①道路综合养护安全保证体系和安全管理制度的评审（0-1分）；</w:t>
            </w:r>
          </w:p>
          <w:p>
            <w:pPr>
              <w:adjustRightInd/>
              <w:spacing w:line="312" w:lineRule="auto"/>
              <w:jc w:val="left"/>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② 文明养护管理措施的评审（0-1分）；</w:t>
            </w:r>
          </w:p>
          <w:p>
            <w:pPr>
              <w:adjustRightInd/>
              <w:spacing w:line="312" w:lineRule="auto"/>
              <w:jc w:val="left"/>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③环境保护措施的评审（0-1分）；</w:t>
            </w:r>
          </w:p>
          <w:p>
            <w:pPr>
              <w:adjustRightInd/>
              <w:spacing w:line="312" w:lineRule="auto"/>
              <w:jc w:val="left"/>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（5）道路综合养护考核方案（0-2分）</w:t>
            </w:r>
          </w:p>
          <w:p>
            <w:pPr>
              <w:adjustRightInd/>
              <w:spacing w:line="312" w:lineRule="auto"/>
              <w:jc w:val="lef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内部管理制度、考核监督制度等，是否科学合理、具有针对性及可操作性。全部科学合理、具有针对性及可操作性的得2分；部分科学合理、具有针对性及可操作性的得1分；不符合的不得分。</w:t>
            </w:r>
          </w:p>
          <w:p>
            <w:pPr>
              <w:adjustRightInd/>
              <w:spacing w:line="312" w:lineRule="auto"/>
              <w:jc w:val="left"/>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（6）道路综合养护资料管理方案（0-4分）：</w:t>
            </w:r>
          </w:p>
          <w:p>
            <w:pPr>
              <w:adjustRightInd/>
              <w:spacing w:line="312" w:lineRule="auto"/>
              <w:jc w:val="left"/>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①日常养护、设备维修、检测、技术状况评价等资料的整理归档方案是否符合相关规范要求。全部达到项目预定要求，科学合理、具有针对性及可操作性的得2分；部分达到项目预定要求，科学合理、具有针对性及可操作性的得1分（0-2分）；</w:t>
            </w:r>
          </w:p>
          <w:p>
            <w:pPr>
              <w:adjustRightInd/>
              <w:spacing w:line="312" w:lineRule="auto"/>
              <w:jc w:val="lef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②根据是否符合规范要求，且方案具有科学合理、具有针对性及可操作性进行评分：符合采购需求且全部规范、合理具有可操作性的得2分；部分符合采购需求及部分符合规范、合理具有可操作性的得1分。不符合的不得分。</w:t>
            </w:r>
          </w:p>
        </w:tc>
        <w:tc>
          <w:tcPr>
            <w:tcW w:w="784" w:type="dxa"/>
            <w:noWrap w:val="0"/>
            <w:vAlign w:val="center"/>
          </w:tcPr>
          <w:p>
            <w:pPr>
              <w:adjustRightInd/>
              <w:spacing w:line="312" w:lineRule="auto"/>
              <w:jc w:val="center"/>
              <w:rPr>
                <w:rFonts w:hint="default"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23</w:t>
            </w:r>
          </w:p>
        </w:tc>
        <w:tc>
          <w:tcPr>
            <w:tcW w:w="1133" w:type="dxa"/>
            <w:noWrap w:val="0"/>
            <w:vAlign w:val="center"/>
          </w:tcPr>
          <w:p>
            <w:pPr>
              <w:adjustRightInd/>
              <w:spacing w:line="312" w:lineRule="auto"/>
              <w:jc w:val="center"/>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主观分</w:t>
            </w:r>
          </w:p>
        </w:tc>
        <w:tc>
          <w:tcPr>
            <w:tcW w:w="1078" w:type="dxa"/>
            <w:noWrap w:val="0"/>
            <w:vAlign w:val="top"/>
          </w:tcPr>
          <w:p>
            <w:pPr>
              <w:adjustRightInd/>
              <w:spacing w:line="312" w:lineRule="auto"/>
              <w:jc w:val="left"/>
              <w:rPr>
                <w:rFonts w:hint="eastAsia" w:ascii="宋体" w:hAnsi="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noWrap w:val="0"/>
            <w:vAlign w:val="center"/>
          </w:tcPr>
          <w:p>
            <w:pPr>
              <w:adjustRightInd/>
              <w:spacing w:line="312"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10</w:t>
            </w:r>
          </w:p>
        </w:tc>
        <w:tc>
          <w:tcPr>
            <w:tcW w:w="6200" w:type="dxa"/>
            <w:noWrap w:val="0"/>
            <w:vAlign w:val="center"/>
          </w:tcPr>
          <w:p>
            <w:pPr>
              <w:adjustRightInd/>
              <w:spacing w:line="312" w:lineRule="auto"/>
              <w:jc w:val="left"/>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养护移交平稳过渡计划实施方案：根据实施方案的可操作性进行评分，能确保养护移交平稳过渡的评审。</w:t>
            </w:r>
          </w:p>
          <w:p>
            <w:pPr>
              <w:pStyle w:val="34"/>
              <w:adjustRightInd/>
              <w:spacing w:line="312" w:lineRule="auto"/>
              <w:rPr>
                <w:rFonts w:hint="eastAsia" w:hAnsi="宋体" w:cs="宋体"/>
                <w:snapToGrid/>
                <w:color w:val="000000" w:themeColor="text1"/>
                <w:sz w:val="24"/>
                <w:szCs w:val="24"/>
                <w:highlight w:val="none"/>
                <w14:textFill>
                  <w14:solidFill>
                    <w14:schemeClr w14:val="tx1"/>
                  </w14:solidFill>
                </w14:textFill>
              </w:rPr>
            </w:pPr>
            <w:r>
              <w:rPr>
                <w:rFonts w:hint="eastAsia" w:hAnsi="宋体" w:cs="宋体"/>
                <w:snapToGrid/>
                <w:color w:val="000000" w:themeColor="text1"/>
                <w:sz w:val="24"/>
                <w:szCs w:val="24"/>
                <w:highlight w:val="none"/>
                <w14:textFill>
                  <w14:solidFill>
                    <w14:schemeClr w14:val="tx1"/>
                  </w14:solidFill>
                </w14:textFill>
              </w:rPr>
              <w:t>方案可操作性强，能确保养护移交平稳过渡的得3分；</w:t>
            </w:r>
          </w:p>
          <w:p>
            <w:pPr>
              <w:pStyle w:val="34"/>
              <w:adjustRightInd/>
              <w:spacing w:line="312" w:lineRule="auto"/>
              <w:rPr>
                <w:rFonts w:hint="eastAsia" w:hAnsi="宋体" w:cs="宋体"/>
                <w:snapToGrid/>
                <w:color w:val="000000" w:themeColor="text1"/>
                <w:sz w:val="24"/>
                <w:szCs w:val="24"/>
                <w:highlight w:val="none"/>
                <w14:textFill>
                  <w14:solidFill>
                    <w14:schemeClr w14:val="tx1"/>
                  </w14:solidFill>
                </w14:textFill>
              </w:rPr>
            </w:pPr>
            <w:r>
              <w:rPr>
                <w:rFonts w:hint="eastAsia" w:hAnsi="宋体" w:cs="宋体"/>
                <w:snapToGrid/>
                <w:color w:val="000000" w:themeColor="text1"/>
                <w:sz w:val="24"/>
                <w:szCs w:val="24"/>
                <w:highlight w:val="none"/>
                <w14:textFill>
                  <w14:solidFill>
                    <w14:schemeClr w14:val="tx1"/>
                  </w14:solidFill>
                </w14:textFill>
              </w:rPr>
              <w:t>方案可操作性一般，确保养护移交平稳过渡的得2分；</w:t>
            </w:r>
          </w:p>
          <w:p>
            <w:pPr>
              <w:pStyle w:val="34"/>
              <w:adjustRightInd/>
              <w:spacing w:line="312" w:lineRule="auto"/>
              <w:rPr>
                <w:rFonts w:hint="eastAsia" w:hAnsi="宋体" w:cs="宋体"/>
                <w:snapToGrid/>
                <w:color w:val="000000" w:themeColor="text1"/>
                <w:sz w:val="24"/>
                <w:szCs w:val="24"/>
                <w:highlight w:val="none"/>
                <w14:textFill>
                  <w14:solidFill>
                    <w14:schemeClr w14:val="tx1"/>
                  </w14:solidFill>
                </w14:textFill>
              </w:rPr>
            </w:pPr>
            <w:r>
              <w:rPr>
                <w:rFonts w:hint="eastAsia" w:hAnsi="宋体" w:cs="宋体"/>
                <w:snapToGrid/>
                <w:color w:val="000000" w:themeColor="text1"/>
                <w:sz w:val="24"/>
                <w:szCs w:val="24"/>
                <w:highlight w:val="none"/>
                <w14:textFill>
                  <w14:solidFill>
                    <w14:schemeClr w14:val="tx1"/>
                  </w14:solidFill>
                </w14:textFill>
              </w:rPr>
              <w:t>方案部分具有可操作性和养护移交平稳过渡的得1分；</w:t>
            </w:r>
          </w:p>
          <w:p>
            <w:pPr>
              <w:pStyle w:val="34"/>
              <w:adjustRightInd/>
              <w:spacing w:line="312" w:lineRule="auto"/>
              <w:rPr>
                <w:color w:val="000000" w:themeColor="text1"/>
                <w:highlight w:val="none"/>
                <w14:textFill>
                  <w14:solidFill>
                    <w14:schemeClr w14:val="tx1"/>
                  </w14:solidFill>
                </w14:textFill>
              </w:rPr>
            </w:pPr>
            <w:r>
              <w:rPr>
                <w:rFonts w:hint="eastAsia" w:hAnsi="宋体" w:cs="宋体"/>
                <w:snapToGrid/>
                <w:color w:val="000000" w:themeColor="text1"/>
                <w:sz w:val="24"/>
                <w:szCs w:val="24"/>
                <w:highlight w:val="none"/>
                <w14:textFill>
                  <w14:solidFill>
                    <w14:schemeClr w14:val="tx1"/>
                  </w14:solidFill>
                </w14:textFill>
              </w:rPr>
              <w:t>方案不具备可操作性且不能养护移交过渡或未提供的不得分。</w:t>
            </w:r>
          </w:p>
        </w:tc>
        <w:tc>
          <w:tcPr>
            <w:tcW w:w="784" w:type="dxa"/>
            <w:noWrap w:val="0"/>
            <w:vAlign w:val="center"/>
          </w:tcPr>
          <w:p>
            <w:pPr>
              <w:adjustRightInd/>
              <w:spacing w:line="312" w:lineRule="auto"/>
              <w:jc w:val="center"/>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w:t>
            </w:r>
          </w:p>
        </w:tc>
        <w:tc>
          <w:tcPr>
            <w:tcW w:w="1133" w:type="dxa"/>
            <w:noWrap w:val="0"/>
            <w:vAlign w:val="center"/>
          </w:tcPr>
          <w:p>
            <w:pPr>
              <w:adjustRightInd/>
              <w:spacing w:line="312" w:lineRule="auto"/>
              <w:jc w:val="center"/>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主观分</w:t>
            </w:r>
          </w:p>
        </w:tc>
        <w:tc>
          <w:tcPr>
            <w:tcW w:w="1078" w:type="dxa"/>
            <w:noWrap w:val="0"/>
            <w:vAlign w:val="top"/>
          </w:tcPr>
          <w:p>
            <w:pPr>
              <w:adjustRightInd/>
              <w:spacing w:line="312" w:lineRule="auto"/>
              <w:jc w:val="left"/>
              <w:rPr>
                <w:rFonts w:hint="eastAsia" w:ascii="宋体" w:hAnsi="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noWrap w:val="0"/>
            <w:vAlign w:val="center"/>
          </w:tcPr>
          <w:p>
            <w:pPr>
              <w:adjustRightInd/>
              <w:spacing w:line="312" w:lineRule="auto"/>
              <w:jc w:val="center"/>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11</w:t>
            </w:r>
          </w:p>
        </w:tc>
        <w:tc>
          <w:tcPr>
            <w:tcW w:w="6200" w:type="dxa"/>
            <w:noWrap w:val="0"/>
            <w:vAlign w:val="center"/>
          </w:tcPr>
          <w:p>
            <w:pPr>
              <w:adjustRightInd/>
              <w:spacing w:line="312" w:lineRule="auto"/>
              <w:jc w:val="left"/>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14:textFill>
                  <w14:solidFill>
                    <w14:schemeClr w14:val="tx1"/>
                  </w14:solidFill>
                </w14:textFill>
              </w:rPr>
              <w:t>应急保障措施：</w:t>
            </w:r>
            <w:r>
              <w:rPr>
                <w:rFonts w:hint="eastAsia" w:ascii="宋体" w:hAnsi="宋体" w:cs="宋体"/>
                <w:color w:val="000000" w:themeColor="text1"/>
                <w:sz w:val="24"/>
                <w:highlight w:val="none"/>
                <w14:textFill>
                  <w14:solidFill>
                    <w14:schemeClr w14:val="tx1"/>
                  </w14:solidFill>
                </w14:textFill>
              </w:rPr>
              <w:t>应急保障措施（抗雪防冻、防汛防台、突发事件应急处理及重大活动保障的人员配备、应急处置方案，落实专职人员等内容），根据方案是否覆盖全面、是否科学合理、具有针对性和可操作性评审（0-4分）</w:t>
            </w:r>
          </w:p>
          <w:p>
            <w:pPr>
              <w:adjustRightInd/>
              <w:spacing w:line="312" w:lineRule="auto"/>
              <w:jc w:val="left"/>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措施方案覆盖全面、科学合理且具有针对性和可操作性的得4分；</w:t>
            </w:r>
          </w:p>
          <w:p>
            <w:pPr>
              <w:adjustRightInd/>
              <w:spacing w:line="312" w:lineRule="auto"/>
              <w:jc w:val="left"/>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措施方案覆盖全面、科学合理且具有针对性的得3分；</w:t>
            </w:r>
          </w:p>
          <w:p>
            <w:pPr>
              <w:adjustRightInd/>
              <w:spacing w:line="312" w:lineRule="auto"/>
              <w:jc w:val="left"/>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措施方案覆盖全面、科学合理的得2分；</w:t>
            </w:r>
          </w:p>
          <w:p>
            <w:pPr>
              <w:adjustRightInd/>
              <w:spacing w:line="312" w:lineRule="auto"/>
              <w:jc w:val="left"/>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措施方案部分符合本项目要求的得1分；</w:t>
            </w:r>
          </w:p>
          <w:p>
            <w:pPr>
              <w:adjustRightInd/>
              <w:spacing w:line="312" w:lineRule="auto"/>
              <w:jc w:val="left"/>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不符合的不得分。</w:t>
            </w:r>
          </w:p>
        </w:tc>
        <w:tc>
          <w:tcPr>
            <w:tcW w:w="784" w:type="dxa"/>
            <w:noWrap w:val="0"/>
            <w:vAlign w:val="center"/>
          </w:tcPr>
          <w:p>
            <w:pPr>
              <w:adjustRightInd/>
              <w:spacing w:line="312" w:lineRule="auto"/>
              <w:jc w:val="center"/>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4</w:t>
            </w:r>
          </w:p>
        </w:tc>
        <w:tc>
          <w:tcPr>
            <w:tcW w:w="1133" w:type="dxa"/>
            <w:noWrap w:val="0"/>
            <w:vAlign w:val="center"/>
          </w:tcPr>
          <w:p>
            <w:pPr>
              <w:adjustRightInd/>
              <w:spacing w:line="312" w:lineRule="auto"/>
              <w:jc w:val="center"/>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主观分</w:t>
            </w:r>
          </w:p>
        </w:tc>
        <w:tc>
          <w:tcPr>
            <w:tcW w:w="1078" w:type="dxa"/>
            <w:noWrap w:val="0"/>
            <w:vAlign w:val="top"/>
          </w:tcPr>
          <w:p>
            <w:pPr>
              <w:adjustRightInd/>
              <w:spacing w:line="312" w:lineRule="auto"/>
              <w:jc w:val="left"/>
              <w:rPr>
                <w:rFonts w:hint="eastAsia" w:ascii="宋体" w:hAnsi="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noWrap w:val="0"/>
            <w:vAlign w:val="center"/>
          </w:tcPr>
          <w:p>
            <w:pPr>
              <w:adjustRightInd/>
              <w:spacing w:line="312"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12</w:t>
            </w:r>
          </w:p>
        </w:tc>
        <w:tc>
          <w:tcPr>
            <w:tcW w:w="6200" w:type="dxa"/>
            <w:noWrap w:val="0"/>
            <w:vAlign w:val="top"/>
          </w:tcPr>
          <w:p>
            <w:pPr>
              <w:adjustRightInd/>
              <w:spacing w:line="312" w:lineRule="auto"/>
              <w:jc w:val="left"/>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针对本项目所提出的优惠方案、延伸服务以及服务承诺的综合评审（0-0.5分）。</w:t>
            </w:r>
          </w:p>
        </w:tc>
        <w:tc>
          <w:tcPr>
            <w:tcW w:w="784" w:type="dxa"/>
            <w:noWrap w:val="0"/>
            <w:vAlign w:val="center"/>
          </w:tcPr>
          <w:p>
            <w:pPr>
              <w:adjustRightInd/>
              <w:spacing w:line="312" w:lineRule="auto"/>
              <w:jc w:val="center"/>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0.5</w:t>
            </w:r>
          </w:p>
        </w:tc>
        <w:tc>
          <w:tcPr>
            <w:tcW w:w="1133" w:type="dxa"/>
            <w:noWrap w:val="0"/>
            <w:vAlign w:val="center"/>
          </w:tcPr>
          <w:p>
            <w:pPr>
              <w:adjustRightInd/>
              <w:spacing w:line="312" w:lineRule="auto"/>
              <w:jc w:val="center"/>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主观分</w:t>
            </w:r>
          </w:p>
        </w:tc>
        <w:tc>
          <w:tcPr>
            <w:tcW w:w="1078" w:type="dxa"/>
            <w:noWrap w:val="0"/>
            <w:vAlign w:val="top"/>
          </w:tcPr>
          <w:p>
            <w:pPr>
              <w:adjustRightInd/>
              <w:spacing w:line="312" w:lineRule="auto"/>
              <w:jc w:val="left"/>
              <w:rPr>
                <w:rFonts w:hint="eastAsia" w:ascii="宋体" w:hAnsi="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noWrap w:val="0"/>
            <w:vAlign w:val="center"/>
          </w:tcPr>
          <w:p>
            <w:pPr>
              <w:adjustRightInd/>
              <w:spacing w:line="312" w:lineRule="auto"/>
              <w:jc w:val="center"/>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13</w:t>
            </w:r>
          </w:p>
        </w:tc>
        <w:tc>
          <w:tcPr>
            <w:tcW w:w="6200" w:type="dxa"/>
            <w:noWrap w:val="0"/>
            <w:vAlign w:val="top"/>
          </w:tcPr>
          <w:p>
            <w:pPr>
              <w:adjustRightInd/>
              <w:spacing w:line="312" w:lineRule="auto"/>
              <w:outlineLvl w:val="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有效投标报价的最低价作为评标基准价，其最低报价为满分；按［投标报价得分=（评标基准价/投标报价）*15］的计算公式计算。</w:t>
            </w:r>
          </w:p>
          <w:p>
            <w:pPr>
              <w:widowControl/>
              <w:shd w:val="clear" w:color="auto" w:fill="FFFFFF"/>
              <w:adjustRightInd/>
              <w:spacing w:line="312" w:lineRule="auto"/>
              <w:ind w:firstLine="420"/>
              <w:jc w:val="left"/>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评标过程中，不得去掉报价中的最高报价和最低报价。</w:t>
            </w:r>
          </w:p>
          <w:p>
            <w:pPr>
              <w:widowControl/>
              <w:shd w:val="clear" w:color="auto" w:fill="FFFFFF"/>
              <w:adjustRightInd/>
              <w:spacing w:line="312" w:lineRule="auto"/>
              <w:ind w:firstLine="420" w:firstLineChars="0"/>
              <w:jc w:val="left"/>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对于未预留份额专门面向中小企业的政府采购服务项目，以及预留份额政府采购服务项目中的非预留部分标项，对小型和微型企业的投标报价给予20%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6%的扣除，用扣除后的价格参加评审。</w:t>
            </w:r>
          </w:p>
        </w:tc>
        <w:tc>
          <w:tcPr>
            <w:tcW w:w="784" w:type="dxa"/>
            <w:noWrap w:val="0"/>
            <w:vAlign w:val="center"/>
          </w:tcPr>
          <w:p>
            <w:pPr>
              <w:adjustRightInd/>
              <w:spacing w:line="312" w:lineRule="auto"/>
              <w:jc w:val="center"/>
              <w:outlineLvl w:val="0"/>
              <w:rPr>
                <w:rFonts w:hint="default"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15</w:t>
            </w:r>
          </w:p>
        </w:tc>
        <w:tc>
          <w:tcPr>
            <w:tcW w:w="1133" w:type="dxa"/>
            <w:noWrap w:val="0"/>
            <w:vAlign w:val="center"/>
          </w:tcPr>
          <w:p>
            <w:pPr>
              <w:adjustRightInd/>
              <w:spacing w:line="312" w:lineRule="auto"/>
              <w:jc w:val="center"/>
              <w:outlineLvl w:val="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客观分</w:t>
            </w:r>
          </w:p>
        </w:tc>
        <w:tc>
          <w:tcPr>
            <w:tcW w:w="1078" w:type="dxa"/>
            <w:noWrap w:val="0"/>
            <w:vAlign w:val="center"/>
          </w:tcPr>
          <w:p>
            <w:pPr>
              <w:adjustRightInd/>
              <w:spacing w:line="312" w:lineRule="auto"/>
              <w:jc w:val="center"/>
              <w:outlineLvl w:val="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w:t>
            </w:r>
          </w:p>
        </w:tc>
      </w:tr>
    </w:tbl>
    <w:p>
      <w:pPr>
        <w:rPr>
          <w:rFonts w:hint="eastAsia" w:ascii="宋体" w:hAnsi="宋体" w:eastAsia="宋体" w:cs="宋体"/>
          <w:color w:val="000000" w:themeColor="text1"/>
          <w:highlight w:val="none"/>
          <w14:textFill>
            <w14:solidFill>
              <w14:schemeClr w14:val="tx1"/>
            </w14:solidFill>
          </w14:textFill>
        </w:rPr>
      </w:pPr>
    </w:p>
    <w:p>
      <w:pPr>
        <w:snapToGrid w:val="0"/>
        <w:spacing w:line="360" w:lineRule="auto"/>
        <w:rPr>
          <w:rFonts w:hint="eastAsia"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0"/>
          <w:szCs w:val="20"/>
          <w:highlight w:val="none"/>
          <w:shd w:val="clear" w:color="auto" w:fill="FFFFFF"/>
          <w14:textFill>
            <w14:solidFill>
              <w14:schemeClr w14:val="tx1"/>
            </w14:solidFill>
          </w14:textFill>
        </w:rPr>
        <w:t> *</w:t>
      </w:r>
      <w:r>
        <w:rPr>
          <w:rFonts w:hint="eastAsia" w:ascii="宋体" w:hAnsi="宋体" w:eastAsia="宋体" w:cs="宋体"/>
          <w:b/>
          <w:color w:val="000000" w:themeColor="text1"/>
          <w:sz w:val="24"/>
          <w:highlight w:val="none"/>
          <w14:textFill>
            <w14:solidFill>
              <w14:schemeClr w14:val="tx1"/>
            </w14:solidFill>
          </w14:textFill>
        </w:rPr>
        <w:t>备注：</w:t>
      </w:r>
      <w:r>
        <w:rPr>
          <w:rFonts w:hint="eastAsia" w:ascii="宋体" w:hAnsi="宋体" w:cs="宋体"/>
          <w:b/>
          <w:color w:val="000000" w:themeColor="text1"/>
          <w:sz w:val="24"/>
          <w:szCs w:val="24"/>
          <w:highlight w:val="none"/>
          <w:lang w:val="en-US" w:eastAsia="zh-CN"/>
          <w14:textFill>
            <w14:solidFill>
              <w14:schemeClr w14:val="tx1"/>
            </w14:solidFill>
          </w14:textFill>
        </w:rPr>
        <w:t>1.</w:t>
      </w:r>
      <w:r>
        <w:rPr>
          <w:rFonts w:hint="eastAsia" w:ascii="宋体" w:hAnsi="宋体" w:eastAsia="宋体" w:cs="宋体"/>
          <w:color w:val="000000" w:themeColor="text1"/>
          <w:sz w:val="24"/>
          <w:szCs w:val="24"/>
          <w:highlight w:val="none"/>
          <w:lang w:eastAsia="zh-CN"/>
          <w14:textFill>
            <w14:solidFill>
              <w14:schemeClr w14:val="tx1"/>
            </w14:solidFill>
          </w14:textFill>
        </w:rPr>
        <w:t>供应商</w:t>
      </w:r>
      <w:r>
        <w:rPr>
          <w:rFonts w:hint="eastAsia" w:ascii="宋体" w:hAnsi="宋体" w:eastAsia="宋体" w:cs="宋体"/>
          <w:color w:val="000000" w:themeColor="text1"/>
          <w:sz w:val="24"/>
          <w:szCs w:val="24"/>
          <w:highlight w:val="none"/>
          <w14:textFill>
            <w14:solidFill>
              <w14:schemeClr w14:val="tx1"/>
            </w14:solidFill>
          </w14:textFill>
        </w:rPr>
        <w:t>编制投标文件（商务技术文件部分）时，建议按此目录（序号和内容）提供评标标准相应的商务技术资料。 </w:t>
      </w:r>
    </w:p>
    <w:p>
      <w:pPr>
        <w:snapToGrid w:val="0"/>
        <w:spacing w:line="360" w:lineRule="auto"/>
        <w:rPr>
          <w:rFonts w:hint="eastAsia"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t>2、</w:t>
      </w:r>
      <w:r>
        <w:rPr>
          <w:rFonts w:hint="eastAsia" w:ascii="宋体" w:hAnsi="宋体" w:eastAsia="宋体" w:cs="宋体"/>
          <w:b/>
          <w:bCs/>
          <w:color w:val="000000" w:themeColor="text1"/>
          <w:sz w:val="24"/>
          <w:szCs w:val="24"/>
          <w:highlight w:val="none"/>
          <w:lang w:eastAsia="zh-CN"/>
          <w14:textFill>
            <w14:solidFill>
              <w14:schemeClr w14:val="tx1"/>
            </w14:solidFill>
          </w14:textFill>
        </w:rPr>
        <w:t>供应商可以同时参加这2个标项的投标，评标时将按标项一至标项二的顺序进行评标。为保证服务质量，同一套项目成员班子和机械设备只能服务于一个标项，如供应商拟投入的同一套项目成员班子和机械设备服务于两个标项，或有兼任（共用）的，当供应商已在前一个标项被推荐为第一中标候选人时，则只保留前标项的中标资格，由该标段的第二中标候选人中标，以此类推。</w:t>
      </w:r>
    </w:p>
    <w:p>
      <w:pPr>
        <w:snapToGrid w:val="0"/>
        <w:spacing w:line="360" w:lineRule="auto"/>
        <w:rPr>
          <w:rFonts w:hint="eastAsia" w:ascii="宋体" w:hAnsi="宋体" w:eastAsia="宋体" w:cs="宋体"/>
          <w:b/>
          <w:color w:val="000000" w:themeColor="text1"/>
          <w:sz w:val="28"/>
          <w:szCs w:val="28"/>
          <w:highlight w:val="none"/>
          <w14:textFill>
            <w14:solidFill>
              <w14:schemeClr w14:val="tx1"/>
            </w14:solidFill>
          </w14:textFill>
        </w:rPr>
      </w:pPr>
      <w:r>
        <w:rPr>
          <w:rFonts w:hint="eastAsia" w:ascii="宋体" w:hAnsi="宋体" w:eastAsia="宋体" w:cs="宋体"/>
          <w:b/>
          <w:color w:val="000000" w:themeColor="text1"/>
          <w:sz w:val="32"/>
          <w:highlight w:val="none"/>
          <w14:textFill>
            <w14:solidFill>
              <w14:schemeClr w14:val="tx1"/>
            </w14:solidFill>
          </w14:textFill>
        </w:rPr>
        <w:t>一、评标方法</w:t>
      </w:r>
    </w:p>
    <w:p>
      <w:pPr>
        <w:adjustRightInd/>
        <w:spacing w:line="360" w:lineRule="auto"/>
        <w:ind w:firstLine="472" w:firstLineChars="196"/>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b/>
          <w:color w:val="000000" w:themeColor="text1"/>
          <w:kern w:val="0"/>
          <w:sz w:val="24"/>
          <w:highlight w:val="none"/>
          <w14:textFill>
            <w14:solidFill>
              <w14:schemeClr w14:val="tx1"/>
            </w14:solidFill>
          </w14:textFill>
        </w:rPr>
        <w:t>1.本项目采用综合评分法。</w:t>
      </w:r>
      <w:r>
        <w:rPr>
          <w:rFonts w:hint="eastAsia" w:ascii="宋体" w:hAnsi="宋体" w:eastAsia="宋体" w:cs="宋体"/>
          <w:color w:val="000000" w:themeColor="text1"/>
          <w:kern w:val="0"/>
          <w:sz w:val="24"/>
          <w:highlight w:val="none"/>
          <w14:textFill>
            <w14:solidFill>
              <w14:schemeClr w14:val="tx1"/>
            </w14:solidFill>
          </w14:textFill>
        </w:rPr>
        <w:t>综合评分法，是指投标文件满足</w:t>
      </w:r>
      <w:r>
        <w:rPr>
          <w:rFonts w:hint="eastAsia" w:ascii="宋体" w:hAnsi="宋体" w:eastAsia="宋体" w:cs="宋体"/>
          <w:color w:val="000000" w:themeColor="text1"/>
          <w:kern w:val="0"/>
          <w:sz w:val="24"/>
          <w:highlight w:val="none"/>
          <w:lang w:eastAsia="zh-CN"/>
          <w14:textFill>
            <w14:solidFill>
              <w14:schemeClr w14:val="tx1"/>
            </w14:solidFill>
          </w14:textFill>
        </w:rPr>
        <w:t>投标文件</w:t>
      </w:r>
      <w:r>
        <w:rPr>
          <w:rFonts w:hint="eastAsia" w:ascii="宋体" w:hAnsi="宋体" w:eastAsia="宋体" w:cs="宋体"/>
          <w:color w:val="000000" w:themeColor="text1"/>
          <w:kern w:val="0"/>
          <w:sz w:val="24"/>
          <w:highlight w:val="none"/>
          <w14:textFill>
            <w14:solidFill>
              <w14:schemeClr w14:val="tx1"/>
            </w14:solidFill>
          </w14:textFill>
        </w:rPr>
        <w:t>全部实质性要求，且按照评审因素的量化指标评审得分最高的</w:t>
      </w:r>
      <w:r>
        <w:rPr>
          <w:rFonts w:hint="eastAsia" w:ascii="宋体" w:hAnsi="宋体" w:eastAsia="宋体" w:cs="宋体"/>
          <w:color w:val="000000" w:themeColor="text1"/>
          <w:kern w:val="0"/>
          <w:sz w:val="24"/>
          <w:highlight w:val="none"/>
          <w:lang w:eastAsia="zh-CN"/>
          <w14:textFill>
            <w14:solidFill>
              <w14:schemeClr w14:val="tx1"/>
            </w14:solidFill>
          </w14:textFill>
        </w:rPr>
        <w:t>供应商</w:t>
      </w:r>
      <w:r>
        <w:rPr>
          <w:rFonts w:hint="eastAsia" w:ascii="宋体" w:hAnsi="宋体" w:eastAsia="宋体" w:cs="宋体"/>
          <w:color w:val="000000" w:themeColor="text1"/>
          <w:kern w:val="0"/>
          <w:sz w:val="24"/>
          <w:highlight w:val="none"/>
          <w14:textFill>
            <w14:solidFill>
              <w14:schemeClr w14:val="tx1"/>
            </w14:solidFill>
          </w14:textFill>
        </w:rPr>
        <w:t>为中标候选人的评标方法。</w:t>
      </w:r>
    </w:p>
    <w:p>
      <w:pPr>
        <w:adjustRightInd/>
        <w:spacing w:line="360" w:lineRule="auto"/>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b/>
          <w:color w:val="000000" w:themeColor="text1"/>
          <w:sz w:val="32"/>
          <w:highlight w:val="none"/>
          <w14:textFill>
            <w14:solidFill>
              <w14:schemeClr w14:val="tx1"/>
            </w14:solidFill>
          </w14:textFill>
        </w:rPr>
        <w:t>二、评标标准</w:t>
      </w:r>
    </w:p>
    <w:p>
      <w:pPr>
        <w:spacing w:line="360" w:lineRule="auto"/>
        <w:ind w:firstLine="472" w:firstLineChars="196"/>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2.</w:t>
      </w:r>
      <w:r>
        <w:rPr>
          <w:rFonts w:hint="eastAsia" w:ascii="宋体" w:hAnsi="宋体" w:eastAsia="宋体" w:cs="宋体"/>
          <w:color w:val="000000" w:themeColor="text1"/>
          <w:highlight w:val="none"/>
          <w14:textFill>
            <w14:solidFill>
              <w14:schemeClr w14:val="tx1"/>
            </w14:solidFill>
          </w14:textFill>
        </w:rPr>
        <w:t xml:space="preserve"> </w:t>
      </w:r>
      <w:r>
        <w:rPr>
          <w:rFonts w:hint="eastAsia" w:ascii="宋体" w:hAnsi="宋体" w:eastAsia="宋体" w:cs="宋体"/>
          <w:b/>
          <w:color w:val="000000" w:themeColor="text1"/>
          <w:sz w:val="24"/>
          <w:highlight w:val="none"/>
          <w14:textFill>
            <w14:solidFill>
              <w14:schemeClr w14:val="tx1"/>
            </w14:solidFill>
          </w14:textFill>
        </w:rPr>
        <w:t>评标标准：</w:t>
      </w:r>
      <w:r>
        <w:rPr>
          <w:rFonts w:hint="eastAsia" w:ascii="宋体" w:hAnsi="宋体" w:eastAsia="宋体" w:cs="宋体"/>
          <w:color w:val="000000" w:themeColor="text1"/>
          <w:kern w:val="0"/>
          <w:sz w:val="24"/>
          <w:highlight w:val="none"/>
          <w14:textFill>
            <w14:solidFill>
              <w14:schemeClr w14:val="tx1"/>
            </w14:solidFill>
          </w14:textFill>
        </w:rPr>
        <w:t>见评标办法前附表。</w:t>
      </w:r>
    </w:p>
    <w:p>
      <w:pPr>
        <w:adjustRightInd/>
        <w:spacing w:line="360" w:lineRule="auto"/>
        <w:rPr>
          <w:rFonts w:hint="eastAsia" w:ascii="宋体" w:hAnsi="宋体" w:eastAsia="宋体" w:cs="宋体"/>
          <w:b/>
          <w:color w:val="000000" w:themeColor="text1"/>
          <w:sz w:val="32"/>
          <w:highlight w:val="none"/>
          <w14:textFill>
            <w14:solidFill>
              <w14:schemeClr w14:val="tx1"/>
            </w14:solidFill>
          </w14:textFill>
        </w:rPr>
      </w:pPr>
      <w:r>
        <w:rPr>
          <w:rFonts w:hint="eastAsia" w:ascii="宋体" w:hAnsi="宋体" w:eastAsia="宋体" w:cs="宋体"/>
          <w:b/>
          <w:color w:val="000000" w:themeColor="text1"/>
          <w:sz w:val="32"/>
          <w:highlight w:val="none"/>
          <w14:textFill>
            <w14:solidFill>
              <w14:schemeClr w14:val="tx1"/>
            </w14:solidFill>
          </w14:textFill>
        </w:rPr>
        <w:t>三、评标程序</w:t>
      </w:r>
    </w:p>
    <w:p>
      <w:pPr>
        <w:spacing w:line="360" w:lineRule="auto"/>
        <w:ind w:firstLine="472" w:firstLineChars="196"/>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b/>
          <w:color w:val="000000" w:themeColor="text1"/>
          <w:kern w:val="0"/>
          <w:sz w:val="24"/>
          <w:highlight w:val="none"/>
          <w14:textFill>
            <w14:solidFill>
              <w14:schemeClr w14:val="tx1"/>
            </w14:solidFill>
          </w14:textFill>
        </w:rPr>
        <w:t>3.1符合性审查。</w:t>
      </w:r>
      <w:r>
        <w:rPr>
          <w:rFonts w:hint="eastAsia" w:ascii="宋体" w:hAnsi="宋体" w:eastAsia="宋体" w:cs="宋体"/>
          <w:color w:val="000000" w:themeColor="text1"/>
          <w:kern w:val="0"/>
          <w:sz w:val="24"/>
          <w:highlight w:val="none"/>
          <w14:textFill>
            <w14:solidFill>
              <w14:schemeClr w14:val="tx1"/>
            </w14:solidFill>
          </w14:textFill>
        </w:rPr>
        <w:t>评标委员会应当对符合资格的</w:t>
      </w:r>
      <w:r>
        <w:rPr>
          <w:rFonts w:hint="eastAsia" w:ascii="宋体" w:hAnsi="宋体" w:eastAsia="宋体" w:cs="宋体"/>
          <w:color w:val="000000" w:themeColor="text1"/>
          <w:kern w:val="0"/>
          <w:sz w:val="24"/>
          <w:highlight w:val="none"/>
          <w:lang w:eastAsia="zh-CN"/>
          <w14:textFill>
            <w14:solidFill>
              <w14:schemeClr w14:val="tx1"/>
            </w14:solidFill>
          </w14:textFill>
        </w:rPr>
        <w:t>供应商</w:t>
      </w:r>
      <w:r>
        <w:rPr>
          <w:rFonts w:hint="eastAsia" w:ascii="宋体" w:hAnsi="宋体" w:eastAsia="宋体" w:cs="宋体"/>
          <w:color w:val="000000" w:themeColor="text1"/>
          <w:kern w:val="0"/>
          <w:sz w:val="24"/>
          <w:highlight w:val="none"/>
          <w14:textFill>
            <w14:solidFill>
              <w14:schemeClr w14:val="tx1"/>
            </w14:solidFill>
          </w14:textFill>
        </w:rPr>
        <w:t>的投标文件进行符合性审查，以确定其是否满足</w:t>
      </w:r>
      <w:r>
        <w:rPr>
          <w:rFonts w:hint="eastAsia" w:ascii="宋体" w:hAnsi="宋体" w:eastAsia="宋体" w:cs="宋体"/>
          <w:color w:val="000000" w:themeColor="text1"/>
          <w:kern w:val="0"/>
          <w:sz w:val="24"/>
          <w:highlight w:val="none"/>
          <w:lang w:eastAsia="zh-CN"/>
          <w14:textFill>
            <w14:solidFill>
              <w14:schemeClr w14:val="tx1"/>
            </w14:solidFill>
          </w14:textFill>
        </w:rPr>
        <w:t>投标文件</w:t>
      </w:r>
      <w:r>
        <w:rPr>
          <w:rFonts w:hint="eastAsia" w:ascii="宋体" w:hAnsi="宋体" w:eastAsia="宋体" w:cs="宋体"/>
          <w:color w:val="000000" w:themeColor="text1"/>
          <w:kern w:val="0"/>
          <w:sz w:val="24"/>
          <w:highlight w:val="none"/>
          <w14:textFill>
            <w14:solidFill>
              <w14:schemeClr w14:val="tx1"/>
            </w14:solidFill>
          </w14:textFill>
        </w:rPr>
        <w:t>的实质性要求。不满足</w:t>
      </w:r>
      <w:r>
        <w:rPr>
          <w:rFonts w:hint="eastAsia" w:ascii="宋体" w:hAnsi="宋体" w:eastAsia="宋体" w:cs="宋体"/>
          <w:color w:val="000000" w:themeColor="text1"/>
          <w:kern w:val="0"/>
          <w:sz w:val="24"/>
          <w:highlight w:val="none"/>
          <w:lang w:eastAsia="zh-CN"/>
          <w14:textFill>
            <w14:solidFill>
              <w14:schemeClr w14:val="tx1"/>
            </w14:solidFill>
          </w14:textFill>
        </w:rPr>
        <w:t>投标文件</w:t>
      </w:r>
      <w:r>
        <w:rPr>
          <w:rFonts w:hint="eastAsia" w:ascii="宋体" w:hAnsi="宋体" w:eastAsia="宋体" w:cs="宋体"/>
          <w:color w:val="000000" w:themeColor="text1"/>
          <w:kern w:val="0"/>
          <w:sz w:val="24"/>
          <w:highlight w:val="none"/>
          <w14:textFill>
            <w14:solidFill>
              <w14:schemeClr w14:val="tx1"/>
            </w14:solidFill>
          </w14:textFill>
        </w:rPr>
        <w:t>的实质性要求的，投标无效。</w:t>
      </w:r>
    </w:p>
    <w:p>
      <w:pPr>
        <w:spacing w:line="360" w:lineRule="auto"/>
        <w:ind w:firstLine="472" w:firstLineChars="196"/>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b/>
          <w:color w:val="000000" w:themeColor="text1"/>
          <w:kern w:val="0"/>
          <w:sz w:val="24"/>
          <w:highlight w:val="none"/>
          <w14:textFill>
            <w14:solidFill>
              <w14:schemeClr w14:val="tx1"/>
            </w14:solidFill>
          </w14:textFill>
        </w:rPr>
        <w:t>3.2 比较与评价。</w:t>
      </w:r>
      <w:r>
        <w:rPr>
          <w:rFonts w:hint="eastAsia" w:ascii="宋体" w:hAnsi="宋体" w:eastAsia="宋体" w:cs="宋体"/>
          <w:color w:val="000000" w:themeColor="text1"/>
          <w:kern w:val="0"/>
          <w:sz w:val="24"/>
          <w:highlight w:val="none"/>
          <w14:textFill>
            <w14:solidFill>
              <w14:schemeClr w14:val="tx1"/>
            </w14:solidFill>
          </w14:textFill>
        </w:rPr>
        <w:t>评标委员会应当按照</w:t>
      </w:r>
      <w:r>
        <w:rPr>
          <w:rFonts w:hint="eastAsia" w:ascii="宋体" w:hAnsi="宋体" w:eastAsia="宋体" w:cs="宋体"/>
          <w:color w:val="000000" w:themeColor="text1"/>
          <w:kern w:val="0"/>
          <w:sz w:val="24"/>
          <w:highlight w:val="none"/>
          <w:lang w:eastAsia="zh-CN"/>
          <w14:textFill>
            <w14:solidFill>
              <w14:schemeClr w14:val="tx1"/>
            </w14:solidFill>
          </w14:textFill>
        </w:rPr>
        <w:t>投标文件</w:t>
      </w:r>
      <w:r>
        <w:rPr>
          <w:rFonts w:hint="eastAsia" w:ascii="宋体" w:hAnsi="宋体" w:eastAsia="宋体" w:cs="宋体"/>
          <w:color w:val="000000" w:themeColor="text1"/>
          <w:kern w:val="0"/>
          <w:sz w:val="24"/>
          <w:highlight w:val="none"/>
          <w14:textFill>
            <w14:solidFill>
              <w14:schemeClr w14:val="tx1"/>
            </w14:solidFill>
          </w14:textFill>
        </w:rPr>
        <w:t>中规定的评标方法和标准，对符合性审查合格的投标文件进行商务和技术评估，综合比较与评价。</w:t>
      </w:r>
    </w:p>
    <w:p>
      <w:pPr>
        <w:spacing w:line="360" w:lineRule="auto"/>
        <w:ind w:firstLine="472" w:firstLineChars="196"/>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b/>
          <w:color w:val="000000" w:themeColor="text1"/>
          <w:kern w:val="0"/>
          <w:sz w:val="24"/>
          <w:highlight w:val="none"/>
          <w14:textFill>
            <w14:solidFill>
              <w14:schemeClr w14:val="tx1"/>
            </w14:solidFill>
          </w14:textFill>
        </w:rPr>
        <w:t>3.3汇总商务技术得分。</w:t>
      </w:r>
      <w:r>
        <w:rPr>
          <w:rFonts w:hint="eastAsia" w:ascii="宋体" w:hAnsi="宋体" w:eastAsia="宋体" w:cs="宋体"/>
          <w:color w:val="000000" w:themeColor="text1"/>
          <w:kern w:val="0"/>
          <w:sz w:val="24"/>
          <w:highlight w:val="none"/>
          <w14:textFill>
            <w14:solidFill>
              <w14:schemeClr w14:val="tx1"/>
            </w14:solidFill>
          </w14:textFill>
        </w:rPr>
        <w:t>评标委员会各成员应当独立对每个</w:t>
      </w:r>
      <w:r>
        <w:rPr>
          <w:rFonts w:hint="eastAsia" w:ascii="宋体" w:hAnsi="宋体" w:eastAsia="宋体" w:cs="宋体"/>
          <w:color w:val="000000" w:themeColor="text1"/>
          <w:kern w:val="0"/>
          <w:sz w:val="24"/>
          <w:highlight w:val="none"/>
          <w:lang w:eastAsia="zh-CN"/>
          <w14:textFill>
            <w14:solidFill>
              <w14:schemeClr w14:val="tx1"/>
            </w14:solidFill>
          </w14:textFill>
        </w:rPr>
        <w:t>供应商</w:t>
      </w:r>
      <w:r>
        <w:rPr>
          <w:rFonts w:hint="eastAsia" w:ascii="宋体" w:hAnsi="宋体" w:eastAsia="宋体" w:cs="宋体"/>
          <w:color w:val="000000" w:themeColor="text1"/>
          <w:kern w:val="0"/>
          <w:sz w:val="24"/>
          <w:highlight w:val="none"/>
          <w14:textFill>
            <w14:solidFill>
              <w14:schemeClr w14:val="tx1"/>
            </w14:solidFill>
          </w14:textFill>
        </w:rPr>
        <w:t>的商务和技术文件进行评价，并汇总商务技术得分情况。</w:t>
      </w:r>
    </w:p>
    <w:p>
      <w:pPr>
        <w:spacing w:line="360" w:lineRule="auto"/>
        <w:ind w:firstLine="472" w:firstLineChars="196"/>
        <w:rPr>
          <w:rFonts w:hint="eastAsia" w:ascii="宋体" w:hAnsi="宋体" w:eastAsia="宋体" w:cs="宋体"/>
          <w:b/>
          <w:color w:val="000000" w:themeColor="text1"/>
          <w:kern w:val="0"/>
          <w:sz w:val="24"/>
          <w:highlight w:val="none"/>
          <w14:textFill>
            <w14:solidFill>
              <w14:schemeClr w14:val="tx1"/>
            </w14:solidFill>
          </w14:textFill>
        </w:rPr>
      </w:pPr>
      <w:r>
        <w:rPr>
          <w:rFonts w:hint="eastAsia" w:ascii="宋体" w:hAnsi="宋体" w:eastAsia="宋体" w:cs="宋体"/>
          <w:b/>
          <w:color w:val="000000" w:themeColor="text1"/>
          <w:kern w:val="0"/>
          <w:sz w:val="24"/>
          <w:highlight w:val="none"/>
          <w14:textFill>
            <w14:solidFill>
              <w14:schemeClr w14:val="tx1"/>
            </w14:solidFill>
          </w14:textFill>
        </w:rPr>
        <w:t>3.4报价评审。</w:t>
      </w:r>
    </w:p>
    <w:p>
      <w:pPr>
        <w:pStyle w:val="131"/>
        <w:spacing w:before="0"/>
        <w:ind w:firstLine="508" w:firstLineChars="212"/>
        <w:rPr>
          <w:rFonts w:hint="eastAsia" w:ascii="宋体" w:hAnsi="宋体" w:eastAsia="宋体" w:cs="宋体"/>
          <w:color w:val="000000" w:themeColor="text1"/>
          <w:kern w:val="0"/>
          <w:highlight w:val="none"/>
          <w14:textFill>
            <w14:solidFill>
              <w14:schemeClr w14:val="tx1"/>
            </w14:solidFill>
          </w14:textFill>
        </w:rPr>
      </w:pPr>
      <w:r>
        <w:rPr>
          <w:rFonts w:hint="eastAsia" w:ascii="宋体" w:hAnsi="宋体" w:eastAsia="宋体" w:cs="宋体"/>
          <w:color w:val="000000" w:themeColor="text1"/>
          <w:kern w:val="0"/>
          <w:highlight w:val="none"/>
          <w14:textFill>
            <w14:solidFill>
              <w14:schemeClr w14:val="tx1"/>
            </w14:solidFill>
          </w14:textFill>
        </w:rPr>
        <w:t>3.4.1投标文件报价出现前后不一致的，按照下列规定修正：</w:t>
      </w:r>
    </w:p>
    <w:p>
      <w:pPr>
        <w:pStyle w:val="131"/>
        <w:spacing w:before="0"/>
        <w:ind w:firstLine="480"/>
        <w:rPr>
          <w:rFonts w:hint="eastAsia" w:ascii="宋体" w:hAnsi="宋体" w:eastAsia="宋体" w:cs="宋体"/>
          <w:color w:val="000000" w:themeColor="text1"/>
          <w:kern w:val="0"/>
          <w:szCs w:val="24"/>
          <w:highlight w:val="none"/>
          <w14:textFill>
            <w14:solidFill>
              <w14:schemeClr w14:val="tx1"/>
            </w14:solidFill>
          </w14:textFill>
        </w:rPr>
      </w:pPr>
      <w:r>
        <w:rPr>
          <w:rFonts w:hint="eastAsia" w:ascii="宋体" w:hAnsi="宋体" w:eastAsia="宋体" w:cs="宋体"/>
          <w:color w:val="000000" w:themeColor="text1"/>
          <w:kern w:val="0"/>
          <w:szCs w:val="24"/>
          <w:highlight w:val="none"/>
          <w14:textFill>
            <w14:solidFill>
              <w14:schemeClr w14:val="tx1"/>
            </w14:solidFill>
          </w14:textFill>
        </w:rPr>
        <w:t>3.4.1.1投标文件中开标一览表(报价表)内容与投标文件中相应内容不一致的，以开标一览表(报价表)为准;</w:t>
      </w:r>
    </w:p>
    <w:p>
      <w:pPr>
        <w:pStyle w:val="131"/>
        <w:spacing w:before="0"/>
        <w:ind w:firstLine="480"/>
        <w:rPr>
          <w:rFonts w:hint="eastAsia" w:ascii="宋体" w:hAnsi="宋体" w:eastAsia="宋体" w:cs="宋体"/>
          <w:color w:val="000000" w:themeColor="text1"/>
          <w:kern w:val="0"/>
          <w:szCs w:val="24"/>
          <w:highlight w:val="none"/>
          <w14:textFill>
            <w14:solidFill>
              <w14:schemeClr w14:val="tx1"/>
            </w14:solidFill>
          </w14:textFill>
        </w:rPr>
      </w:pPr>
      <w:r>
        <w:rPr>
          <w:rFonts w:hint="eastAsia" w:ascii="宋体" w:hAnsi="宋体" w:eastAsia="宋体" w:cs="宋体"/>
          <w:color w:val="000000" w:themeColor="text1"/>
          <w:kern w:val="0"/>
          <w:szCs w:val="24"/>
          <w:highlight w:val="none"/>
          <w14:textFill>
            <w14:solidFill>
              <w14:schemeClr w14:val="tx1"/>
            </w14:solidFill>
          </w14:textFill>
        </w:rPr>
        <w:t>3.4.1.2大写金额和小写金额不一致的，以大写金额为准;</w:t>
      </w:r>
    </w:p>
    <w:p>
      <w:pPr>
        <w:pStyle w:val="131"/>
        <w:spacing w:before="0"/>
        <w:ind w:firstLine="480"/>
        <w:rPr>
          <w:rFonts w:hint="eastAsia" w:ascii="宋体" w:hAnsi="宋体" w:eastAsia="宋体" w:cs="宋体"/>
          <w:color w:val="000000" w:themeColor="text1"/>
          <w:kern w:val="0"/>
          <w:szCs w:val="24"/>
          <w:highlight w:val="none"/>
          <w14:textFill>
            <w14:solidFill>
              <w14:schemeClr w14:val="tx1"/>
            </w14:solidFill>
          </w14:textFill>
        </w:rPr>
      </w:pPr>
      <w:r>
        <w:rPr>
          <w:rFonts w:hint="eastAsia" w:ascii="宋体" w:hAnsi="宋体" w:eastAsia="宋体" w:cs="宋体"/>
          <w:color w:val="000000" w:themeColor="text1"/>
          <w:kern w:val="0"/>
          <w:szCs w:val="24"/>
          <w:highlight w:val="none"/>
          <w14:textFill>
            <w14:solidFill>
              <w14:schemeClr w14:val="tx1"/>
            </w14:solidFill>
          </w14:textFill>
        </w:rPr>
        <w:t>3.4.1.3单价金额小数点或者百分比有明显错位的，以开标一览表的总价为准，并修改单价;</w:t>
      </w:r>
    </w:p>
    <w:p>
      <w:pPr>
        <w:pStyle w:val="131"/>
        <w:spacing w:before="0"/>
        <w:ind w:firstLine="480"/>
        <w:rPr>
          <w:rFonts w:hint="eastAsia" w:ascii="宋体" w:hAnsi="宋体" w:eastAsia="宋体" w:cs="宋体"/>
          <w:color w:val="000000" w:themeColor="text1"/>
          <w:kern w:val="0"/>
          <w:szCs w:val="24"/>
          <w:highlight w:val="none"/>
          <w14:textFill>
            <w14:solidFill>
              <w14:schemeClr w14:val="tx1"/>
            </w14:solidFill>
          </w14:textFill>
        </w:rPr>
      </w:pPr>
      <w:r>
        <w:rPr>
          <w:rFonts w:hint="eastAsia" w:ascii="宋体" w:hAnsi="宋体" w:eastAsia="宋体" w:cs="宋体"/>
          <w:color w:val="000000" w:themeColor="text1"/>
          <w:kern w:val="0"/>
          <w:szCs w:val="24"/>
          <w:highlight w:val="none"/>
          <w14:textFill>
            <w14:solidFill>
              <w14:schemeClr w14:val="tx1"/>
            </w14:solidFill>
          </w14:textFill>
        </w:rPr>
        <w:t>3.4.1.4总价金额与按单价汇总金额不一致的，以单价金额计算结果为准。</w:t>
      </w:r>
    </w:p>
    <w:p>
      <w:pPr>
        <w:pStyle w:val="131"/>
        <w:spacing w:before="0"/>
        <w:ind w:firstLine="480"/>
        <w:rPr>
          <w:rFonts w:hint="eastAsia" w:ascii="宋体" w:hAnsi="宋体" w:eastAsia="宋体" w:cs="宋体"/>
          <w:color w:val="000000" w:themeColor="text1"/>
          <w:kern w:val="0"/>
          <w:szCs w:val="24"/>
          <w:highlight w:val="none"/>
          <w14:textFill>
            <w14:solidFill>
              <w14:schemeClr w14:val="tx1"/>
            </w14:solidFill>
          </w14:textFill>
        </w:rPr>
      </w:pPr>
      <w:r>
        <w:rPr>
          <w:rFonts w:hint="eastAsia" w:ascii="宋体" w:hAnsi="宋体" w:eastAsia="宋体" w:cs="宋体"/>
          <w:color w:val="000000" w:themeColor="text1"/>
          <w:kern w:val="0"/>
          <w:szCs w:val="24"/>
          <w:highlight w:val="none"/>
          <w14:textFill>
            <w14:solidFill>
              <w14:schemeClr w14:val="tx1"/>
            </w14:solidFill>
          </w14:textFill>
        </w:rPr>
        <w:t>3.4.1.5同时出现两种以上不一致的，按照3.4.1规定的顺序修正。修正后的报价按照财政部第87号令 《政府采购货物和服务招标投标管理办法》第五十一条第二款的规定经</w:t>
      </w:r>
      <w:r>
        <w:rPr>
          <w:rFonts w:hint="eastAsia" w:ascii="宋体" w:hAnsi="宋体" w:eastAsia="宋体" w:cs="宋体"/>
          <w:color w:val="000000" w:themeColor="text1"/>
          <w:kern w:val="0"/>
          <w:szCs w:val="24"/>
          <w:highlight w:val="none"/>
          <w:lang w:eastAsia="zh-CN"/>
          <w14:textFill>
            <w14:solidFill>
              <w14:schemeClr w14:val="tx1"/>
            </w14:solidFill>
          </w14:textFill>
        </w:rPr>
        <w:t>供应商</w:t>
      </w:r>
      <w:r>
        <w:rPr>
          <w:rFonts w:hint="eastAsia" w:ascii="宋体" w:hAnsi="宋体" w:eastAsia="宋体" w:cs="宋体"/>
          <w:color w:val="000000" w:themeColor="text1"/>
          <w:kern w:val="0"/>
          <w:szCs w:val="24"/>
          <w:highlight w:val="none"/>
          <w14:textFill>
            <w14:solidFill>
              <w14:schemeClr w14:val="tx1"/>
            </w14:solidFill>
          </w14:textFill>
        </w:rPr>
        <w:t>确认后产生约束力。</w:t>
      </w:r>
    </w:p>
    <w:p>
      <w:pPr>
        <w:snapToGrid w:val="0"/>
        <w:spacing w:line="360" w:lineRule="auto"/>
        <w:ind w:firstLine="480" w:firstLineChars="200"/>
        <w:jc w:val="left"/>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3.4.2投标文件出现不是唯一的、有选择性投标报价的，投标无效。</w:t>
      </w:r>
    </w:p>
    <w:p>
      <w:pPr>
        <w:snapToGrid w:val="0"/>
        <w:spacing w:line="360" w:lineRule="auto"/>
        <w:ind w:firstLine="480" w:firstLineChars="200"/>
        <w:jc w:val="left"/>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3.4.3投标报价超过</w:t>
      </w:r>
      <w:r>
        <w:rPr>
          <w:rFonts w:hint="eastAsia" w:ascii="宋体" w:hAnsi="宋体" w:eastAsia="宋体" w:cs="宋体"/>
          <w:color w:val="000000" w:themeColor="text1"/>
          <w:kern w:val="0"/>
          <w:sz w:val="24"/>
          <w:highlight w:val="none"/>
          <w:lang w:eastAsia="zh-CN"/>
          <w14:textFill>
            <w14:solidFill>
              <w14:schemeClr w14:val="tx1"/>
            </w14:solidFill>
          </w14:textFill>
        </w:rPr>
        <w:t>投标文件</w:t>
      </w:r>
      <w:r>
        <w:rPr>
          <w:rFonts w:hint="eastAsia" w:ascii="宋体" w:hAnsi="宋体" w:eastAsia="宋体" w:cs="宋体"/>
          <w:color w:val="000000" w:themeColor="text1"/>
          <w:kern w:val="0"/>
          <w:sz w:val="24"/>
          <w:highlight w:val="none"/>
          <w14:textFill>
            <w14:solidFill>
              <w14:schemeClr w14:val="tx1"/>
            </w14:solidFill>
          </w14:textFill>
        </w:rPr>
        <w:t>中规定的预算金额或者最高限价的，投标无效。</w:t>
      </w:r>
    </w:p>
    <w:p>
      <w:pPr>
        <w:pStyle w:val="131"/>
        <w:spacing w:before="0"/>
        <w:ind w:firstLine="480"/>
        <w:rPr>
          <w:rFonts w:hint="eastAsia" w:ascii="宋体" w:hAnsi="宋体" w:eastAsia="宋体" w:cs="宋体"/>
          <w:color w:val="000000" w:themeColor="text1"/>
          <w:kern w:val="0"/>
          <w:szCs w:val="24"/>
          <w:highlight w:val="none"/>
          <w14:textFill>
            <w14:solidFill>
              <w14:schemeClr w14:val="tx1"/>
            </w14:solidFill>
          </w14:textFill>
        </w:rPr>
      </w:pPr>
      <w:r>
        <w:rPr>
          <w:rFonts w:hint="eastAsia" w:ascii="宋体" w:hAnsi="宋体" w:eastAsia="宋体" w:cs="宋体"/>
          <w:color w:val="000000" w:themeColor="text1"/>
          <w:kern w:val="0"/>
          <w:szCs w:val="24"/>
          <w:highlight w:val="none"/>
          <w14:textFill>
            <w14:solidFill>
              <w14:schemeClr w14:val="tx1"/>
            </w14:solidFill>
          </w14:textFill>
        </w:rPr>
        <w:t>3.4.4评标委员会认为</w:t>
      </w:r>
      <w:r>
        <w:rPr>
          <w:rFonts w:hint="eastAsia" w:ascii="宋体" w:hAnsi="宋体" w:eastAsia="宋体" w:cs="宋体"/>
          <w:color w:val="000000" w:themeColor="text1"/>
          <w:kern w:val="0"/>
          <w:szCs w:val="24"/>
          <w:highlight w:val="none"/>
          <w:lang w:eastAsia="zh-CN"/>
          <w14:textFill>
            <w14:solidFill>
              <w14:schemeClr w14:val="tx1"/>
            </w14:solidFill>
          </w14:textFill>
        </w:rPr>
        <w:t>供应商</w:t>
      </w:r>
      <w:r>
        <w:rPr>
          <w:rFonts w:hint="eastAsia" w:ascii="宋体" w:hAnsi="宋体" w:eastAsia="宋体" w:cs="宋体"/>
          <w:color w:val="000000" w:themeColor="text1"/>
          <w:kern w:val="0"/>
          <w:szCs w:val="24"/>
          <w:highlight w:val="none"/>
          <w14:textFill>
            <w14:solidFill>
              <w14:schemeClr w14:val="tx1"/>
            </w14:solidFill>
          </w14:textFill>
        </w:rPr>
        <w:t>的报价明显低于其他通过符合性审查</w:t>
      </w:r>
      <w:r>
        <w:rPr>
          <w:rFonts w:hint="eastAsia" w:ascii="宋体" w:hAnsi="宋体" w:eastAsia="宋体" w:cs="宋体"/>
          <w:color w:val="000000" w:themeColor="text1"/>
          <w:kern w:val="0"/>
          <w:szCs w:val="24"/>
          <w:highlight w:val="none"/>
          <w:lang w:eastAsia="zh-CN"/>
          <w14:textFill>
            <w14:solidFill>
              <w14:schemeClr w14:val="tx1"/>
            </w14:solidFill>
          </w14:textFill>
        </w:rPr>
        <w:t>供应商</w:t>
      </w:r>
      <w:r>
        <w:rPr>
          <w:rFonts w:hint="eastAsia" w:ascii="宋体" w:hAnsi="宋体" w:eastAsia="宋体" w:cs="宋体"/>
          <w:color w:val="000000" w:themeColor="text1"/>
          <w:kern w:val="0"/>
          <w:szCs w:val="24"/>
          <w:highlight w:val="none"/>
          <w14:textFill>
            <w14:solidFill>
              <w14:schemeClr w14:val="tx1"/>
            </w14:solidFill>
          </w14:textFill>
        </w:rPr>
        <w:t>的报价，有可能影响产品质量或者不能诚信履约的，应当要求其在合理的时间内提供书面说明，必要时提交相关证明材料;</w:t>
      </w:r>
      <w:r>
        <w:rPr>
          <w:rFonts w:hint="eastAsia" w:ascii="宋体" w:hAnsi="宋体" w:eastAsia="宋体" w:cs="宋体"/>
          <w:color w:val="000000" w:themeColor="text1"/>
          <w:kern w:val="0"/>
          <w:szCs w:val="24"/>
          <w:highlight w:val="none"/>
          <w:lang w:eastAsia="zh-CN"/>
          <w14:textFill>
            <w14:solidFill>
              <w14:schemeClr w14:val="tx1"/>
            </w14:solidFill>
          </w14:textFill>
        </w:rPr>
        <w:t>供应商</w:t>
      </w:r>
      <w:r>
        <w:rPr>
          <w:rFonts w:hint="eastAsia" w:ascii="宋体" w:hAnsi="宋体" w:eastAsia="宋体" w:cs="宋体"/>
          <w:color w:val="000000" w:themeColor="text1"/>
          <w:kern w:val="0"/>
          <w:szCs w:val="24"/>
          <w:highlight w:val="none"/>
          <w14:textFill>
            <w14:solidFill>
              <w14:schemeClr w14:val="tx1"/>
            </w14:solidFill>
          </w14:textFill>
        </w:rPr>
        <w:t>不能证明其报价合理性的，评标委员会应当将其作为无效投标处理。</w:t>
      </w:r>
    </w:p>
    <w:p>
      <w:pPr>
        <w:pStyle w:val="131"/>
        <w:spacing w:before="0"/>
        <w:ind w:firstLine="480"/>
        <w:rPr>
          <w:rFonts w:hint="eastAsia" w:ascii="宋体" w:hAnsi="宋体" w:eastAsia="宋体" w:cs="宋体"/>
          <w:color w:val="000000" w:themeColor="text1"/>
          <w:kern w:val="0"/>
          <w:szCs w:val="24"/>
          <w:highlight w:val="none"/>
          <w14:textFill>
            <w14:solidFill>
              <w14:schemeClr w14:val="tx1"/>
            </w14:solidFill>
          </w14:textFill>
        </w:rPr>
      </w:pPr>
      <w:r>
        <w:rPr>
          <w:rFonts w:hint="eastAsia" w:ascii="宋体" w:hAnsi="宋体" w:eastAsia="宋体" w:cs="宋体"/>
          <w:color w:val="000000" w:themeColor="text1"/>
          <w:kern w:val="0"/>
          <w:szCs w:val="24"/>
          <w:highlight w:val="none"/>
          <w14:textFill>
            <w14:solidFill>
              <w14:schemeClr w14:val="tx1"/>
            </w14:solidFill>
          </w14:textFill>
        </w:rPr>
        <w:t>3.4.5对于未预留份额专门面向中小企业的政府采购服务项目，以及预留份额政府采购服务项目中的非预留部分标项，对小型和微型企业的投标报价给予20%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6%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b/>
          <w:color w:val="000000" w:themeColor="text1"/>
          <w:kern w:val="0"/>
          <w:sz w:val="24"/>
          <w:highlight w:val="none"/>
          <w14:textFill>
            <w14:solidFill>
              <w14:schemeClr w14:val="tx1"/>
            </w14:solidFill>
          </w14:textFill>
        </w:rPr>
        <w:t>3.5排序与推荐。</w:t>
      </w:r>
      <w:r>
        <w:rPr>
          <w:rFonts w:hint="eastAsia" w:ascii="宋体" w:hAnsi="宋体" w:eastAsia="宋体" w:cs="宋体"/>
          <w:color w:val="000000" w:themeColor="text1"/>
          <w:kern w:val="0"/>
          <w:sz w:val="24"/>
          <w:highlight w:val="none"/>
          <w14:textFill>
            <w14:solidFill>
              <w14:schemeClr w14:val="tx1"/>
            </w14:solidFill>
          </w14:textFill>
        </w:rPr>
        <w:t>采用综合评分法的，评标结果按评审后得分由高到低顺序排列。得分相同的，按投标报价由低到高顺序排列。得分且投标报价相同的并列。投标文件满足</w:t>
      </w:r>
      <w:r>
        <w:rPr>
          <w:rFonts w:hint="eastAsia" w:ascii="宋体" w:hAnsi="宋体" w:eastAsia="宋体" w:cs="宋体"/>
          <w:color w:val="000000" w:themeColor="text1"/>
          <w:kern w:val="0"/>
          <w:sz w:val="24"/>
          <w:highlight w:val="none"/>
          <w:lang w:eastAsia="zh-CN"/>
          <w14:textFill>
            <w14:solidFill>
              <w14:schemeClr w14:val="tx1"/>
            </w14:solidFill>
          </w14:textFill>
        </w:rPr>
        <w:t>投标文件</w:t>
      </w:r>
      <w:r>
        <w:rPr>
          <w:rFonts w:hint="eastAsia" w:ascii="宋体" w:hAnsi="宋体" w:eastAsia="宋体" w:cs="宋体"/>
          <w:color w:val="000000" w:themeColor="text1"/>
          <w:kern w:val="0"/>
          <w:sz w:val="24"/>
          <w:highlight w:val="none"/>
          <w14:textFill>
            <w14:solidFill>
              <w14:schemeClr w14:val="tx1"/>
            </w14:solidFill>
          </w14:textFill>
        </w:rPr>
        <w:t>全部实质性要求，且按照评审因素的量化指标评审得分最高的</w:t>
      </w:r>
      <w:r>
        <w:rPr>
          <w:rFonts w:hint="eastAsia" w:ascii="宋体" w:hAnsi="宋体" w:eastAsia="宋体" w:cs="宋体"/>
          <w:color w:val="000000" w:themeColor="text1"/>
          <w:kern w:val="0"/>
          <w:sz w:val="24"/>
          <w:highlight w:val="none"/>
          <w:lang w:eastAsia="zh-CN"/>
          <w14:textFill>
            <w14:solidFill>
              <w14:schemeClr w14:val="tx1"/>
            </w14:solidFill>
          </w14:textFill>
        </w:rPr>
        <w:t>供应商</w:t>
      </w:r>
      <w:r>
        <w:rPr>
          <w:rFonts w:hint="eastAsia" w:ascii="宋体" w:hAnsi="宋体" w:eastAsia="宋体" w:cs="宋体"/>
          <w:color w:val="000000" w:themeColor="text1"/>
          <w:kern w:val="0"/>
          <w:sz w:val="24"/>
          <w:highlight w:val="none"/>
          <w14:textFill>
            <w14:solidFill>
              <w14:schemeClr w14:val="tx1"/>
            </w14:solidFill>
          </w14:textFill>
        </w:rPr>
        <w:t>为排名第一的中标候选人。</w:t>
      </w:r>
    </w:p>
    <w:p>
      <w:pPr>
        <w:spacing w:line="360" w:lineRule="auto"/>
        <w:ind w:firstLine="480" w:firstLineChars="200"/>
        <w:rPr>
          <w:rFonts w:hint="eastAsia" w:ascii="宋体" w:hAnsi="宋体" w:eastAsia="宋体" w:cs="宋体"/>
          <w:b/>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多家</w:t>
      </w:r>
      <w:r>
        <w:rPr>
          <w:rFonts w:hint="eastAsia" w:ascii="宋体" w:hAnsi="宋体" w:eastAsia="宋体" w:cs="宋体"/>
          <w:color w:val="000000" w:themeColor="text1"/>
          <w:kern w:val="0"/>
          <w:sz w:val="24"/>
          <w:highlight w:val="none"/>
          <w:lang w:eastAsia="zh-CN"/>
          <w14:textFill>
            <w14:solidFill>
              <w14:schemeClr w14:val="tx1"/>
            </w14:solidFill>
          </w14:textFill>
        </w:rPr>
        <w:t>供应商</w:t>
      </w:r>
      <w:r>
        <w:rPr>
          <w:rFonts w:hint="eastAsia" w:ascii="宋体" w:hAnsi="宋体" w:eastAsia="宋体" w:cs="宋体"/>
          <w:color w:val="000000" w:themeColor="text1"/>
          <w:kern w:val="0"/>
          <w:sz w:val="24"/>
          <w:highlight w:val="none"/>
          <w14:textFill>
            <w14:solidFill>
              <w14:schemeClr w14:val="tx1"/>
            </w14:solidFill>
          </w14:textFill>
        </w:rPr>
        <w:t>提供相同品牌产品（单一产品采购项目中的该产品或者非单一产品采购项目的核心产品）且通过资格审查、符合性审查的不同</w:t>
      </w:r>
      <w:r>
        <w:rPr>
          <w:rFonts w:hint="eastAsia" w:ascii="宋体" w:hAnsi="宋体" w:eastAsia="宋体" w:cs="宋体"/>
          <w:color w:val="000000" w:themeColor="text1"/>
          <w:kern w:val="0"/>
          <w:sz w:val="24"/>
          <w:highlight w:val="none"/>
          <w:lang w:eastAsia="zh-CN"/>
          <w14:textFill>
            <w14:solidFill>
              <w14:schemeClr w14:val="tx1"/>
            </w14:solidFill>
          </w14:textFill>
        </w:rPr>
        <w:t>供应商</w:t>
      </w:r>
      <w:r>
        <w:rPr>
          <w:rFonts w:hint="eastAsia" w:ascii="宋体" w:hAnsi="宋体" w:eastAsia="宋体" w:cs="宋体"/>
          <w:color w:val="000000" w:themeColor="text1"/>
          <w:kern w:val="0"/>
          <w:sz w:val="24"/>
          <w:highlight w:val="none"/>
          <w14:textFill>
            <w14:solidFill>
              <w14:schemeClr w14:val="tx1"/>
            </w14:solidFill>
          </w14:textFill>
        </w:rPr>
        <w:t>参加同一合同项下投标的，按一家</w:t>
      </w:r>
      <w:r>
        <w:rPr>
          <w:rFonts w:hint="eastAsia" w:ascii="宋体" w:hAnsi="宋体" w:eastAsia="宋体" w:cs="宋体"/>
          <w:color w:val="000000" w:themeColor="text1"/>
          <w:kern w:val="0"/>
          <w:sz w:val="24"/>
          <w:highlight w:val="none"/>
          <w:lang w:eastAsia="zh-CN"/>
          <w14:textFill>
            <w14:solidFill>
              <w14:schemeClr w14:val="tx1"/>
            </w14:solidFill>
          </w14:textFill>
        </w:rPr>
        <w:t>供应商</w:t>
      </w:r>
      <w:r>
        <w:rPr>
          <w:rFonts w:hint="eastAsia" w:ascii="宋体" w:hAnsi="宋体" w:eastAsia="宋体" w:cs="宋体"/>
          <w:color w:val="000000" w:themeColor="text1"/>
          <w:kern w:val="0"/>
          <w:sz w:val="24"/>
          <w:highlight w:val="none"/>
          <w14:textFill>
            <w14:solidFill>
              <w14:schemeClr w14:val="tx1"/>
            </w14:solidFill>
          </w14:textFill>
        </w:rPr>
        <w:t>计算，评审后得分最高的同品牌</w:t>
      </w:r>
      <w:r>
        <w:rPr>
          <w:rFonts w:hint="eastAsia" w:ascii="宋体" w:hAnsi="宋体" w:eastAsia="宋体" w:cs="宋体"/>
          <w:color w:val="000000" w:themeColor="text1"/>
          <w:kern w:val="0"/>
          <w:sz w:val="24"/>
          <w:highlight w:val="none"/>
          <w:lang w:eastAsia="zh-CN"/>
          <w14:textFill>
            <w14:solidFill>
              <w14:schemeClr w14:val="tx1"/>
            </w14:solidFill>
          </w14:textFill>
        </w:rPr>
        <w:t>供应商</w:t>
      </w:r>
      <w:r>
        <w:rPr>
          <w:rFonts w:hint="eastAsia" w:ascii="宋体" w:hAnsi="宋体" w:eastAsia="宋体" w:cs="宋体"/>
          <w:color w:val="000000" w:themeColor="text1"/>
          <w:kern w:val="0"/>
          <w:sz w:val="24"/>
          <w:highlight w:val="none"/>
          <w14:textFill>
            <w14:solidFill>
              <w14:schemeClr w14:val="tx1"/>
            </w14:solidFill>
          </w14:textFill>
        </w:rPr>
        <w:t>获得中标人推荐资格；评审得分相同的，采取随机抽取方式确定，其他同品牌</w:t>
      </w:r>
      <w:r>
        <w:rPr>
          <w:rFonts w:hint="eastAsia" w:ascii="宋体" w:hAnsi="宋体" w:eastAsia="宋体" w:cs="宋体"/>
          <w:color w:val="000000" w:themeColor="text1"/>
          <w:kern w:val="0"/>
          <w:sz w:val="24"/>
          <w:highlight w:val="none"/>
          <w:lang w:eastAsia="zh-CN"/>
          <w14:textFill>
            <w14:solidFill>
              <w14:schemeClr w14:val="tx1"/>
            </w14:solidFill>
          </w14:textFill>
        </w:rPr>
        <w:t>供应商</w:t>
      </w:r>
      <w:r>
        <w:rPr>
          <w:rFonts w:hint="eastAsia" w:ascii="宋体" w:hAnsi="宋体" w:eastAsia="宋体" w:cs="宋体"/>
          <w:color w:val="000000" w:themeColor="text1"/>
          <w:kern w:val="0"/>
          <w:sz w:val="24"/>
          <w:highlight w:val="none"/>
          <w14:textFill>
            <w14:solidFill>
              <w14:schemeClr w14:val="tx1"/>
            </w14:solidFill>
          </w14:textFill>
        </w:rPr>
        <w:t>不作为中标候选人。</w:t>
      </w:r>
    </w:p>
    <w:p>
      <w:pPr>
        <w:spacing w:line="360" w:lineRule="auto"/>
        <w:ind w:firstLine="472" w:firstLineChars="196"/>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b/>
          <w:color w:val="000000" w:themeColor="text1"/>
          <w:kern w:val="0"/>
          <w:sz w:val="24"/>
          <w:highlight w:val="none"/>
          <w14:textFill>
            <w14:solidFill>
              <w14:schemeClr w14:val="tx1"/>
            </w14:solidFill>
          </w14:textFill>
        </w:rPr>
        <w:t>3.6编写评标报告。</w:t>
      </w:r>
      <w:r>
        <w:rPr>
          <w:rFonts w:hint="eastAsia" w:ascii="宋体" w:hAnsi="宋体" w:eastAsia="宋体" w:cs="宋体"/>
          <w:color w:val="000000" w:themeColor="text1"/>
          <w:kern w:val="0"/>
          <w:sz w:val="24"/>
          <w:highlight w:val="none"/>
          <w14:textFill>
            <w14:solidFill>
              <w14:schemeClr w14:val="tx1"/>
            </w14:solidFill>
          </w14:textFill>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adjustRightInd/>
        <w:spacing w:line="360" w:lineRule="auto"/>
        <w:rPr>
          <w:rFonts w:hint="eastAsia" w:ascii="宋体" w:hAnsi="宋体" w:eastAsia="宋体" w:cs="宋体"/>
          <w:b/>
          <w:color w:val="000000" w:themeColor="text1"/>
          <w:sz w:val="32"/>
          <w:highlight w:val="none"/>
          <w14:textFill>
            <w14:solidFill>
              <w14:schemeClr w14:val="tx1"/>
            </w14:solidFill>
          </w14:textFill>
        </w:rPr>
      </w:pPr>
      <w:r>
        <w:rPr>
          <w:rFonts w:hint="eastAsia" w:ascii="宋体" w:hAnsi="宋体" w:eastAsia="宋体" w:cs="宋体"/>
          <w:b/>
          <w:color w:val="000000" w:themeColor="text1"/>
          <w:sz w:val="32"/>
          <w:highlight w:val="none"/>
          <w14:textFill>
            <w14:solidFill>
              <w14:schemeClr w14:val="tx1"/>
            </w14:solidFill>
          </w14:textFill>
        </w:rPr>
        <w:t>四、评标中的其他事项</w:t>
      </w:r>
    </w:p>
    <w:p>
      <w:pPr>
        <w:pStyle w:val="131"/>
        <w:spacing w:before="0"/>
        <w:ind w:firstLine="472" w:firstLineChars="196"/>
        <w:rPr>
          <w:rFonts w:hint="eastAsia" w:ascii="宋体" w:hAnsi="宋体" w:eastAsia="宋体" w:cs="宋体"/>
          <w:color w:val="000000" w:themeColor="text1"/>
          <w:kern w:val="0"/>
          <w:szCs w:val="24"/>
          <w:highlight w:val="none"/>
          <w14:textFill>
            <w14:solidFill>
              <w14:schemeClr w14:val="tx1"/>
            </w14:solidFill>
          </w14:textFill>
        </w:rPr>
      </w:pPr>
      <w:r>
        <w:rPr>
          <w:rFonts w:hint="eastAsia" w:ascii="宋体" w:hAnsi="宋体" w:eastAsia="宋体" w:cs="宋体"/>
          <w:b/>
          <w:color w:val="000000" w:themeColor="text1"/>
          <w:kern w:val="0"/>
          <w:szCs w:val="24"/>
          <w:highlight w:val="none"/>
          <w14:textFill>
            <w14:solidFill>
              <w14:schemeClr w14:val="tx1"/>
            </w14:solidFill>
          </w14:textFill>
        </w:rPr>
        <w:t>4.1</w:t>
      </w:r>
      <w:r>
        <w:rPr>
          <w:rFonts w:hint="eastAsia" w:ascii="宋体" w:hAnsi="宋体" w:eastAsia="宋体" w:cs="宋体"/>
          <w:b/>
          <w:color w:val="000000" w:themeColor="text1"/>
          <w:kern w:val="0"/>
          <w:szCs w:val="24"/>
          <w:highlight w:val="none"/>
          <w:lang w:eastAsia="zh-CN"/>
          <w14:textFill>
            <w14:solidFill>
              <w14:schemeClr w14:val="tx1"/>
            </w14:solidFill>
          </w14:textFill>
        </w:rPr>
        <w:t>供应商</w:t>
      </w:r>
      <w:r>
        <w:rPr>
          <w:rFonts w:hint="eastAsia" w:ascii="宋体" w:hAnsi="宋体" w:eastAsia="宋体" w:cs="宋体"/>
          <w:b/>
          <w:color w:val="000000" w:themeColor="text1"/>
          <w:kern w:val="0"/>
          <w:szCs w:val="24"/>
          <w:highlight w:val="none"/>
          <w14:textFill>
            <w14:solidFill>
              <w14:schemeClr w14:val="tx1"/>
            </w14:solidFill>
          </w14:textFill>
        </w:rPr>
        <w:t>澄清、说明或者补正。</w:t>
      </w:r>
      <w:r>
        <w:rPr>
          <w:rFonts w:hint="eastAsia" w:ascii="宋体" w:hAnsi="宋体" w:eastAsia="宋体" w:cs="宋体"/>
          <w:color w:val="000000" w:themeColor="text1"/>
          <w:kern w:val="0"/>
          <w:szCs w:val="24"/>
          <w:highlight w:val="none"/>
          <w14:textFill>
            <w14:solidFill>
              <w14:schemeClr w14:val="tx1"/>
            </w14:solidFill>
          </w14:textFill>
        </w:rPr>
        <w:t>对于投标文件中含义不明确、同类问题表述不一致或者有明显文字和计算错误的内容需要</w:t>
      </w:r>
      <w:r>
        <w:rPr>
          <w:rFonts w:hint="eastAsia" w:ascii="宋体" w:hAnsi="宋体" w:eastAsia="宋体" w:cs="宋体"/>
          <w:color w:val="000000" w:themeColor="text1"/>
          <w:kern w:val="0"/>
          <w:szCs w:val="24"/>
          <w:highlight w:val="none"/>
          <w:lang w:eastAsia="zh-CN"/>
          <w14:textFill>
            <w14:solidFill>
              <w14:schemeClr w14:val="tx1"/>
            </w14:solidFill>
          </w14:textFill>
        </w:rPr>
        <w:t>供应商</w:t>
      </w:r>
      <w:r>
        <w:rPr>
          <w:rFonts w:hint="eastAsia" w:ascii="宋体" w:hAnsi="宋体" w:eastAsia="宋体" w:cs="宋体"/>
          <w:color w:val="000000" w:themeColor="text1"/>
          <w:kern w:val="0"/>
          <w:szCs w:val="24"/>
          <w:highlight w:val="none"/>
          <w14:textFill>
            <w14:solidFill>
              <w14:schemeClr w14:val="tx1"/>
            </w14:solidFill>
          </w14:textFill>
        </w:rPr>
        <w:t>作出必要的澄清、说明或者补正的，评标委员会和</w:t>
      </w:r>
      <w:r>
        <w:rPr>
          <w:rFonts w:hint="eastAsia" w:ascii="宋体" w:hAnsi="宋体" w:eastAsia="宋体" w:cs="宋体"/>
          <w:color w:val="000000" w:themeColor="text1"/>
          <w:kern w:val="0"/>
          <w:szCs w:val="24"/>
          <w:highlight w:val="none"/>
          <w:lang w:eastAsia="zh-CN"/>
          <w14:textFill>
            <w14:solidFill>
              <w14:schemeClr w14:val="tx1"/>
            </w14:solidFill>
          </w14:textFill>
        </w:rPr>
        <w:t>供应商</w:t>
      </w:r>
      <w:r>
        <w:rPr>
          <w:rFonts w:hint="eastAsia" w:ascii="宋体" w:hAnsi="宋体" w:eastAsia="宋体" w:cs="宋体"/>
          <w:color w:val="000000" w:themeColor="text1"/>
          <w:kern w:val="0"/>
          <w:szCs w:val="24"/>
          <w:highlight w:val="none"/>
          <w14:textFill>
            <w14:solidFill>
              <w14:schemeClr w14:val="tx1"/>
            </w14:solidFill>
          </w14:textFill>
        </w:rPr>
        <w:t>通过电子交易平台交换数据电文，</w:t>
      </w:r>
      <w:r>
        <w:rPr>
          <w:rFonts w:hint="eastAsia" w:ascii="宋体" w:hAnsi="宋体" w:eastAsia="宋体" w:cs="宋体"/>
          <w:color w:val="000000" w:themeColor="text1"/>
          <w:kern w:val="0"/>
          <w:szCs w:val="24"/>
          <w:highlight w:val="none"/>
          <w:lang w:eastAsia="zh-CN"/>
          <w14:textFill>
            <w14:solidFill>
              <w14:schemeClr w14:val="tx1"/>
            </w14:solidFill>
          </w14:textFill>
        </w:rPr>
        <w:t>供应商</w:t>
      </w:r>
      <w:r>
        <w:rPr>
          <w:rFonts w:hint="eastAsia" w:ascii="宋体" w:hAnsi="宋体" w:eastAsia="宋体" w:cs="宋体"/>
          <w:color w:val="000000" w:themeColor="text1"/>
          <w:kern w:val="0"/>
          <w:szCs w:val="24"/>
          <w:highlight w:val="none"/>
          <w14:textFill>
            <w14:solidFill>
              <w14:schemeClr w14:val="tx1"/>
            </w14:solidFill>
          </w14:textFill>
        </w:rPr>
        <w:t>提交使用电子签名的相关数据电文或通过平台上传加盖公章的扫描件。给予</w:t>
      </w:r>
      <w:r>
        <w:rPr>
          <w:rFonts w:hint="eastAsia" w:ascii="宋体" w:hAnsi="宋体" w:eastAsia="宋体" w:cs="宋体"/>
          <w:color w:val="000000" w:themeColor="text1"/>
          <w:kern w:val="0"/>
          <w:szCs w:val="24"/>
          <w:highlight w:val="none"/>
          <w:lang w:eastAsia="zh-CN"/>
          <w14:textFill>
            <w14:solidFill>
              <w14:schemeClr w14:val="tx1"/>
            </w14:solidFill>
          </w14:textFill>
        </w:rPr>
        <w:t>供应商</w:t>
      </w:r>
      <w:r>
        <w:rPr>
          <w:rFonts w:hint="eastAsia" w:ascii="宋体" w:hAnsi="宋体" w:eastAsia="宋体" w:cs="宋体"/>
          <w:color w:val="000000" w:themeColor="text1"/>
          <w:kern w:val="0"/>
          <w:szCs w:val="24"/>
          <w:highlight w:val="none"/>
          <w14:textFill>
            <w14:solidFill>
              <w14:schemeClr w14:val="tx1"/>
            </w14:solidFill>
          </w14:textFill>
        </w:rPr>
        <w:t>提交澄清、说明或补正的时间不得少于半小时，</w:t>
      </w:r>
      <w:r>
        <w:rPr>
          <w:rFonts w:hint="eastAsia" w:ascii="宋体" w:hAnsi="宋体" w:eastAsia="宋体" w:cs="宋体"/>
          <w:color w:val="000000" w:themeColor="text1"/>
          <w:kern w:val="0"/>
          <w:szCs w:val="24"/>
          <w:highlight w:val="none"/>
          <w:lang w:eastAsia="zh-CN"/>
          <w14:textFill>
            <w14:solidFill>
              <w14:schemeClr w14:val="tx1"/>
            </w14:solidFill>
          </w14:textFill>
        </w:rPr>
        <w:t>供应商</w:t>
      </w:r>
      <w:r>
        <w:rPr>
          <w:rFonts w:hint="eastAsia" w:ascii="宋体" w:hAnsi="宋体" w:eastAsia="宋体" w:cs="宋体"/>
          <w:color w:val="000000" w:themeColor="text1"/>
          <w:kern w:val="0"/>
          <w:szCs w:val="24"/>
          <w:highlight w:val="none"/>
          <w14:textFill>
            <w14:solidFill>
              <w14:schemeClr w14:val="tx1"/>
            </w14:solidFill>
          </w14:textFill>
        </w:rPr>
        <w:t>已经明确表示澄清说明或补正完毕的除外。</w:t>
      </w:r>
      <w:r>
        <w:rPr>
          <w:rFonts w:hint="eastAsia" w:ascii="宋体" w:hAnsi="宋体" w:eastAsia="宋体" w:cs="宋体"/>
          <w:color w:val="000000" w:themeColor="text1"/>
          <w:kern w:val="0"/>
          <w:szCs w:val="24"/>
          <w:highlight w:val="none"/>
          <w:lang w:eastAsia="zh-CN"/>
          <w14:textFill>
            <w14:solidFill>
              <w14:schemeClr w14:val="tx1"/>
            </w14:solidFill>
          </w14:textFill>
        </w:rPr>
        <w:t>供应商</w:t>
      </w:r>
      <w:r>
        <w:rPr>
          <w:rFonts w:hint="eastAsia" w:ascii="宋体" w:hAnsi="宋体" w:eastAsia="宋体" w:cs="宋体"/>
          <w:color w:val="000000" w:themeColor="text1"/>
          <w:kern w:val="0"/>
          <w:szCs w:val="24"/>
          <w:highlight w:val="none"/>
          <w14:textFill>
            <w14:solidFill>
              <w14:schemeClr w14:val="tx1"/>
            </w14:solidFill>
          </w14:textFill>
        </w:rPr>
        <w:t>的澄清、说明或者补正不得超出投标文件的范围或者改变投标文件的实质性内容。</w:t>
      </w:r>
    </w:p>
    <w:p>
      <w:pPr>
        <w:pStyle w:val="26"/>
        <w:spacing w:line="360" w:lineRule="auto"/>
        <w:ind w:left="954" w:leftChars="226" w:hanging="479" w:firstLineChars="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b/>
          <w:color w:val="000000" w:themeColor="text1"/>
          <w:kern w:val="0"/>
          <w:highlight w:val="none"/>
          <w14:textFill>
            <w14:solidFill>
              <w14:schemeClr w14:val="tx1"/>
            </w14:solidFill>
          </w14:textFill>
        </w:rPr>
        <w:t>4.2投标无效。</w:t>
      </w:r>
      <w:r>
        <w:rPr>
          <w:rFonts w:hint="eastAsia" w:ascii="宋体" w:hAnsi="宋体" w:eastAsia="宋体" w:cs="宋体"/>
          <w:color w:val="000000" w:themeColor="text1"/>
          <w:szCs w:val="21"/>
          <w:highlight w:val="none"/>
          <w14:textFill>
            <w14:solidFill>
              <w14:schemeClr w14:val="tx1"/>
            </w14:solidFill>
          </w14:textFill>
        </w:rPr>
        <w:t>有下列情形之一的，投标无效：</w:t>
      </w:r>
    </w:p>
    <w:p>
      <w:pPr>
        <w:spacing w:line="360" w:lineRule="auto"/>
        <w:ind w:firstLine="480" w:firstLineChars="200"/>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4.2.1</w:t>
      </w:r>
      <w:r>
        <w:rPr>
          <w:rFonts w:hint="eastAsia" w:ascii="宋体" w:hAnsi="宋体" w:eastAsia="宋体" w:cs="宋体"/>
          <w:color w:val="000000" w:themeColor="text1"/>
          <w:kern w:val="0"/>
          <w:sz w:val="24"/>
          <w:highlight w:val="none"/>
          <w:lang w:eastAsia="zh-CN"/>
          <w14:textFill>
            <w14:solidFill>
              <w14:schemeClr w14:val="tx1"/>
            </w14:solidFill>
          </w14:textFill>
        </w:rPr>
        <w:t>供应商</w:t>
      </w:r>
      <w:r>
        <w:rPr>
          <w:rFonts w:hint="eastAsia" w:ascii="宋体" w:hAnsi="宋体" w:eastAsia="宋体" w:cs="宋体"/>
          <w:color w:val="000000" w:themeColor="text1"/>
          <w:kern w:val="0"/>
          <w:sz w:val="24"/>
          <w:highlight w:val="none"/>
          <w14:textFill>
            <w14:solidFill>
              <w14:schemeClr w14:val="tx1"/>
            </w14:solidFill>
          </w14:textFill>
        </w:rPr>
        <w:t>不具备</w:t>
      </w:r>
      <w:r>
        <w:rPr>
          <w:rFonts w:hint="eastAsia" w:ascii="宋体" w:hAnsi="宋体" w:eastAsia="宋体" w:cs="宋体"/>
          <w:color w:val="000000" w:themeColor="text1"/>
          <w:kern w:val="0"/>
          <w:sz w:val="24"/>
          <w:highlight w:val="none"/>
          <w:lang w:eastAsia="zh-CN"/>
          <w14:textFill>
            <w14:solidFill>
              <w14:schemeClr w14:val="tx1"/>
            </w14:solidFill>
          </w14:textFill>
        </w:rPr>
        <w:t>投标文件</w:t>
      </w:r>
      <w:r>
        <w:rPr>
          <w:rFonts w:hint="eastAsia" w:ascii="宋体" w:hAnsi="宋体" w:eastAsia="宋体" w:cs="宋体"/>
          <w:color w:val="000000" w:themeColor="text1"/>
          <w:kern w:val="0"/>
          <w:sz w:val="24"/>
          <w:highlight w:val="none"/>
          <w14:textFill>
            <w14:solidFill>
              <w14:schemeClr w14:val="tx1"/>
            </w14:solidFill>
          </w14:textFill>
        </w:rPr>
        <w:t>中规定的资格要求的（</w:t>
      </w:r>
      <w:r>
        <w:rPr>
          <w:rFonts w:hint="eastAsia" w:ascii="宋体" w:hAnsi="宋体" w:eastAsia="宋体" w:cs="宋体"/>
          <w:color w:val="000000" w:themeColor="text1"/>
          <w:kern w:val="0"/>
          <w:sz w:val="24"/>
          <w:highlight w:val="none"/>
          <w:lang w:eastAsia="zh-CN"/>
          <w14:textFill>
            <w14:solidFill>
              <w14:schemeClr w14:val="tx1"/>
            </w14:solidFill>
          </w14:textFill>
        </w:rPr>
        <w:t>供应商</w:t>
      </w:r>
      <w:r>
        <w:rPr>
          <w:rFonts w:hint="eastAsia" w:ascii="宋体" w:hAnsi="宋体" w:eastAsia="宋体" w:cs="宋体"/>
          <w:color w:val="000000" w:themeColor="text1"/>
          <w:kern w:val="0"/>
          <w:sz w:val="24"/>
          <w:highlight w:val="none"/>
          <w14:textFill>
            <w14:solidFill>
              <w14:schemeClr w14:val="tx1"/>
            </w14:solidFill>
          </w14:textFill>
        </w:rPr>
        <w:t>未提供有效的资格文件的，视为</w:t>
      </w:r>
      <w:r>
        <w:rPr>
          <w:rFonts w:hint="eastAsia" w:ascii="宋体" w:hAnsi="宋体" w:eastAsia="宋体" w:cs="宋体"/>
          <w:color w:val="000000" w:themeColor="text1"/>
          <w:kern w:val="0"/>
          <w:sz w:val="24"/>
          <w:highlight w:val="none"/>
          <w:lang w:eastAsia="zh-CN"/>
          <w14:textFill>
            <w14:solidFill>
              <w14:schemeClr w14:val="tx1"/>
            </w14:solidFill>
          </w14:textFill>
        </w:rPr>
        <w:t>供应商</w:t>
      </w:r>
      <w:r>
        <w:rPr>
          <w:rFonts w:hint="eastAsia" w:ascii="宋体" w:hAnsi="宋体" w:eastAsia="宋体" w:cs="宋体"/>
          <w:color w:val="000000" w:themeColor="text1"/>
          <w:kern w:val="0"/>
          <w:sz w:val="24"/>
          <w:highlight w:val="none"/>
          <w14:textFill>
            <w14:solidFill>
              <w14:schemeClr w14:val="tx1"/>
            </w14:solidFill>
          </w14:textFill>
        </w:rPr>
        <w:t>不具备</w:t>
      </w:r>
      <w:r>
        <w:rPr>
          <w:rFonts w:hint="eastAsia" w:ascii="宋体" w:hAnsi="宋体" w:eastAsia="宋体" w:cs="宋体"/>
          <w:color w:val="000000" w:themeColor="text1"/>
          <w:kern w:val="0"/>
          <w:sz w:val="24"/>
          <w:highlight w:val="none"/>
          <w:lang w:eastAsia="zh-CN"/>
          <w14:textFill>
            <w14:solidFill>
              <w14:schemeClr w14:val="tx1"/>
            </w14:solidFill>
          </w14:textFill>
        </w:rPr>
        <w:t>投标文件</w:t>
      </w:r>
      <w:r>
        <w:rPr>
          <w:rFonts w:hint="eastAsia" w:ascii="宋体" w:hAnsi="宋体" w:eastAsia="宋体" w:cs="宋体"/>
          <w:color w:val="000000" w:themeColor="text1"/>
          <w:kern w:val="0"/>
          <w:sz w:val="24"/>
          <w:highlight w:val="none"/>
          <w14:textFill>
            <w14:solidFill>
              <w14:schemeClr w14:val="tx1"/>
            </w14:solidFill>
          </w14:textFill>
        </w:rPr>
        <w:t>中规定的资格要求）；</w:t>
      </w:r>
    </w:p>
    <w:p>
      <w:pPr>
        <w:spacing w:line="360" w:lineRule="auto"/>
        <w:ind w:firstLine="480" w:firstLineChars="200"/>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4.2.2投标文件未按照</w:t>
      </w:r>
      <w:r>
        <w:rPr>
          <w:rFonts w:hint="eastAsia" w:ascii="宋体" w:hAnsi="宋体" w:eastAsia="宋体" w:cs="宋体"/>
          <w:color w:val="000000" w:themeColor="text1"/>
          <w:kern w:val="0"/>
          <w:sz w:val="24"/>
          <w:highlight w:val="none"/>
          <w:lang w:eastAsia="zh-CN"/>
          <w14:textFill>
            <w14:solidFill>
              <w14:schemeClr w14:val="tx1"/>
            </w14:solidFill>
          </w14:textFill>
        </w:rPr>
        <w:t>投标文件</w:t>
      </w:r>
      <w:r>
        <w:rPr>
          <w:rFonts w:hint="eastAsia" w:ascii="宋体" w:hAnsi="宋体" w:eastAsia="宋体" w:cs="宋体"/>
          <w:color w:val="000000" w:themeColor="text1"/>
          <w:kern w:val="0"/>
          <w:sz w:val="24"/>
          <w:highlight w:val="none"/>
          <w14:textFill>
            <w14:solidFill>
              <w14:schemeClr w14:val="tx1"/>
            </w14:solidFill>
          </w14:textFill>
        </w:rPr>
        <w:t>要求签署、盖章的；</w:t>
      </w:r>
    </w:p>
    <w:p>
      <w:pPr>
        <w:spacing w:line="360" w:lineRule="auto"/>
        <w:ind w:firstLine="480" w:firstLineChars="200"/>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4.2.3采购人拟采购的产品属于政府强制采购的节能产品品目清单范围的，</w:t>
      </w:r>
      <w:r>
        <w:rPr>
          <w:rFonts w:hint="eastAsia" w:ascii="宋体" w:hAnsi="宋体" w:eastAsia="宋体" w:cs="宋体"/>
          <w:color w:val="000000" w:themeColor="text1"/>
          <w:kern w:val="0"/>
          <w:sz w:val="24"/>
          <w:highlight w:val="none"/>
          <w:lang w:eastAsia="zh-CN"/>
          <w14:textFill>
            <w14:solidFill>
              <w14:schemeClr w14:val="tx1"/>
            </w14:solidFill>
          </w14:textFill>
        </w:rPr>
        <w:t>供应商</w:t>
      </w:r>
      <w:r>
        <w:rPr>
          <w:rFonts w:hint="eastAsia" w:ascii="宋体" w:hAnsi="宋体" w:eastAsia="宋体" w:cs="宋体"/>
          <w:color w:val="000000" w:themeColor="text1"/>
          <w:kern w:val="0"/>
          <w:sz w:val="24"/>
          <w:highlight w:val="none"/>
          <w14:textFill>
            <w14:solidFill>
              <w14:schemeClr w14:val="tx1"/>
            </w14:solidFill>
          </w14:textFill>
        </w:rPr>
        <w:t>相应的投标产品未获得国家确定的认证机构出具的、处于有效期之内的节能产品认证证书的；</w:t>
      </w:r>
    </w:p>
    <w:p>
      <w:pPr>
        <w:spacing w:line="360" w:lineRule="auto"/>
        <w:ind w:firstLine="480" w:firstLineChars="200"/>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4.2.4投标文件含有采购人不能接受的附加条件的；</w:t>
      </w:r>
    </w:p>
    <w:p>
      <w:pPr>
        <w:spacing w:line="360" w:lineRule="auto"/>
        <w:ind w:firstLine="480" w:firstLineChars="200"/>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4.2.5投标文件中承诺的投标有效期少于</w:t>
      </w:r>
      <w:r>
        <w:rPr>
          <w:rFonts w:hint="eastAsia" w:ascii="宋体" w:hAnsi="宋体" w:eastAsia="宋体" w:cs="宋体"/>
          <w:color w:val="000000" w:themeColor="text1"/>
          <w:kern w:val="0"/>
          <w:sz w:val="24"/>
          <w:highlight w:val="none"/>
          <w:lang w:eastAsia="zh-CN"/>
          <w14:textFill>
            <w14:solidFill>
              <w14:schemeClr w14:val="tx1"/>
            </w14:solidFill>
          </w14:textFill>
        </w:rPr>
        <w:t>投标文件</w:t>
      </w:r>
      <w:r>
        <w:rPr>
          <w:rFonts w:hint="eastAsia" w:ascii="宋体" w:hAnsi="宋体" w:eastAsia="宋体" w:cs="宋体"/>
          <w:color w:val="000000" w:themeColor="text1"/>
          <w:kern w:val="0"/>
          <w:sz w:val="24"/>
          <w:highlight w:val="none"/>
          <w14:textFill>
            <w14:solidFill>
              <w14:schemeClr w14:val="tx1"/>
            </w14:solidFill>
          </w14:textFill>
        </w:rPr>
        <w:t>中载明的投标有效期的；</w:t>
      </w:r>
    </w:p>
    <w:p>
      <w:pPr>
        <w:snapToGrid w:val="0"/>
        <w:spacing w:line="360" w:lineRule="auto"/>
        <w:ind w:firstLine="120" w:firstLineChars="50"/>
        <w:jc w:val="left"/>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 xml:space="preserve">   4.2.6投标文件出现不是唯一的、有选择性投标报价的;</w:t>
      </w:r>
    </w:p>
    <w:p>
      <w:pPr>
        <w:spacing w:line="360" w:lineRule="auto"/>
        <w:ind w:firstLine="480" w:firstLineChars="200"/>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4.2.7投标报价超过</w:t>
      </w:r>
      <w:r>
        <w:rPr>
          <w:rFonts w:hint="eastAsia" w:ascii="宋体" w:hAnsi="宋体" w:eastAsia="宋体" w:cs="宋体"/>
          <w:color w:val="000000" w:themeColor="text1"/>
          <w:kern w:val="0"/>
          <w:sz w:val="24"/>
          <w:highlight w:val="none"/>
          <w:lang w:eastAsia="zh-CN"/>
          <w14:textFill>
            <w14:solidFill>
              <w14:schemeClr w14:val="tx1"/>
            </w14:solidFill>
          </w14:textFill>
        </w:rPr>
        <w:t>投标文件</w:t>
      </w:r>
      <w:r>
        <w:rPr>
          <w:rFonts w:hint="eastAsia" w:ascii="宋体" w:hAnsi="宋体" w:eastAsia="宋体" w:cs="宋体"/>
          <w:color w:val="000000" w:themeColor="text1"/>
          <w:kern w:val="0"/>
          <w:sz w:val="24"/>
          <w:highlight w:val="none"/>
          <w14:textFill>
            <w14:solidFill>
              <w14:schemeClr w14:val="tx1"/>
            </w14:solidFill>
          </w14:textFill>
        </w:rPr>
        <w:t>中规定的预算金额或者最高限价的;</w:t>
      </w:r>
    </w:p>
    <w:p>
      <w:pPr>
        <w:spacing w:line="360" w:lineRule="auto"/>
        <w:ind w:firstLine="480" w:firstLineChars="200"/>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4.2.8报价明显低于其他通过符合性审查</w:t>
      </w:r>
      <w:r>
        <w:rPr>
          <w:rFonts w:hint="eastAsia" w:ascii="宋体" w:hAnsi="宋体" w:eastAsia="宋体" w:cs="宋体"/>
          <w:color w:val="000000" w:themeColor="text1"/>
          <w:kern w:val="0"/>
          <w:sz w:val="24"/>
          <w:highlight w:val="none"/>
          <w:lang w:eastAsia="zh-CN"/>
          <w14:textFill>
            <w14:solidFill>
              <w14:schemeClr w14:val="tx1"/>
            </w14:solidFill>
          </w14:textFill>
        </w:rPr>
        <w:t>供应商</w:t>
      </w:r>
      <w:r>
        <w:rPr>
          <w:rFonts w:hint="eastAsia" w:ascii="宋体" w:hAnsi="宋体" w:eastAsia="宋体" w:cs="宋体"/>
          <w:color w:val="000000" w:themeColor="text1"/>
          <w:kern w:val="0"/>
          <w:sz w:val="24"/>
          <w:highlight w:val="none"/>
          <w14:textFill>
            <w14:solidFill>
              <w14:schemeClr w14:val="tx1"/>
            </w14:solidFill>
          </w14:textFill>
        </w:rPr>
        <w:t>的报价，有可能影响产品质量或者不能诚信履约的，未能按要求提供书面说明或者提交相关证明材料，不能证明其报价合理性的;</w:t>
      </w:r>
    </w:p>
    <w:p>
      <w:pPr>
        <w:spacing w:line="360" w:lineRule="auto"/>
        <w:ind w:firstLine="480" w:firstLineChars="200"/>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4.2.9</w:t>
      </w:r>
      <w:r>
        <w:rPr>
          <w:rFonts w:hint="eastAsia" w:ascii="宋体" w:hAnsi="宋体" w:eastAsia="宋体" w:cs="宋体"/>
          <w:color w:val="000000" w:themeColor="text1"/>
          <w:kern w:val="0"/>
          <w:sz w:val="24"/>
          <w:highlight w:val="none"/>
          <w:lang w:eastAsia="zh-CN"/>
          <w14:textFill>
            <w14:solidFill>
              <w14:schemeClr w14:val="tx1"/>
            </w14:solidFill>
          </w14:textFill>
        </w:rPr>
        <w:t>供应商</w:t>
      </w:r>
      <w:r>
        <w:rPr>
          <w:rFonts w:hint="eastAsia" w:ascii="宋体" w:hAnsi="宋体" w:eastAsia="宋体" w:cs="宋体"/>
          <w:color w:val="000000" w:themeColor="text1"/>
          <w:kern w:val="0"/>
          <w:sz w:val="24"/>
          <w:highlight w:val="none"/>
          <w14:textFill>
            <w14:solidFill>
              <w14:schemeClr w14:val="tx1"/>
            </w14:solidFill>
          </w14:textFill>
        </w:rPr>
        <w:t>对根据修正原则修正后的报价不确认的；</w:t>
      </w:r>
    </w:p>
    <w:p>
      <w:pPr>
        <w:spacing w:line="360" w:lineRule="auto"/>
        <w:ind w:firstLine="480" w:firstLineChars="200"/>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4.2.10</w:t>
      </w:r>
      <w:r>
        <w:rPr>
          <w:rFonts w:hint="eastAsia" w:ascii="宋体" w:hAnsi="宋体" w:eastAsia="宋体" w:cs="宋体"/>
          <w:color w:val="000000" w:themeColor="text1"/>
          <w:kern w:val="0"/>
          <w:sz w:val="24"/>
          <w:highlight w:val="none"/>
          <w:lang w:eastAsia="zh-CN"/>
          <w14:textFill>
            <w14:solidFill>
              <w14:schemeClr w14:val="tx1"/>
            </w14:solidFill>
          </w14:textFill>
        </w:rPr>
        <w:t>供应商</w:t>
      </w:r>
      <w:r>
        <w:rPr>
          <w:rFonts w:hint="eastAsia" w:ascii="宋体" w:hAnsi="宋体" w:eastAsia="宋体" w:cs="宋体"/>
          <w:color w:val="000000" w:themeColor="text1"/>
          <w:kern w:val="0"/>
          <w:sz w:val="24"/>
          <w:highlight w:val="none"/>
          <w14:textFill>
            <w14:solidFill>
              <w14:schemeClr w14:val="tx1"/>
            </w14:solidFill>
          </w14:textFill>
        </w:rPr>
        <w:t>提供虚假材料投标的；</w:t>
      </w:r>
    </w:p>
    <w:p>
      <w:pPr>
        <w:spacing w:line="360" w:lineRule="auto"/>
        <w:ind w:firstLine="240" w:firstLineChars="100"/>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 xml:space="preserve">  4.2.11</w:t>
      </w:r>
      <w:r>
        <w:rPr>
          <w:rFonts w:hint="eastAsia" w:ascii="宋体" w:hAnsi="宋体" w:eastAsia="宋体" w:cs="宋体"/>
          <w:color w:val="000000" w:themeColor="text1"/>
          <w:kern w:val="0"/>
          <w:sz w:val="24"/>
          <w:highlight w:val="none"/>
          <w:lang w:eastAsia="zh-CN"/>
          <w14:textFill>
            <w14:solidFill>
              <w14:schemeClr w14:val="tx1"/>
            </w14:solidFill>
          </w14:textFill>
        </w:rPr>
        <w:t>供应商</w:t>
      </w:r>
      <w:r>
        <w:rPr>
          <w:rFonts w:hint="eastAsia" w:ascii="宋体" w:hAnsi="宋体" w:eastAsia="宋体" w:cs="宋体"/>
          <w:color w:val="000000" w:themeColor="text1"/>
          <w:kern w:val="0"/>
          <w:sz w:val="24"/>
          <w:highlight w:val="none"/>
          <w14:textFill>
            <w14:solidFill>
              <w14:schemeClr w14:val="tx1"/>
            </w14:solidFill>
          </w14:textFill>
        </w:rPr>
        <w:t>有恶意串通、妨碍其他</w:t>
      </w:r>
      <w:r>
        <w:rPr>
          <w:rFonts w:hint="eastAsia" w:ascii="宋体" w:hAnsi="宋体" w:eastAsia="宋体" w:cs="宋体"/>
          <w:color w:val="000000" w:themeColor="text1"/>
          <w:kern w:val="0"/>
          <w:sz w:val="24"/>
          <w:highlight w:val="none"/>
          <w:lang w:eastAsia="zh-CN"/>
          <w14:textFill>
            <w14:solidFill>
              <w14:schemeClr w14:val="tx1"/>
            </w14:solidFill>
          </w14:textFill>
        </w:rPr>
        <w:t>供应商</w:t>
      </w:r>
      <w:r>
        <w:rPr>
          <w:rFonts w:hint="eastAsia" w:ascii="宋体" w:hAnsi="宋体" w:eastAsia="宋体" w:cs="宋体"/>
          <w:color w:val="000000" w:themeColor="text1"/>
          <w:kern w:val="0"/>
          <w:sz w:val="24"/>
          <w:highlight w:val="none"/>
          <w14:textFill>
            <w14:solidFill>
              <w14:schemeClr w14:val="tx1"/>
            </w14:solidFill>
          </w14:textFill>
        </w:rPr>
        <w:t>的竞争行为、损害采购人或者其他</w:t>
      </w:r>
      <w:r>
        <w:rPr>
          <w:rFonts w:hint="eastAsia" w:ascii="宋体" w:hAnsi="宋体" w:eastAsia="宋体" w:cs="宋体"/>
          <w:color w:val="000000" w:themeColor="text1"/>
          <w:kern w:val="0"/>
          <w:sz w:val="24"/>
          <w:highlight w:val="none"/>
          <w:lang w:eastAsia="zh-CN"/>
          <w14:textFill>
            <w14:solidFill>
              <w14:schemeClr w14:val="tx1"/>
            </w14:solidFill>
          </w14:textFill>
        </w:rPr>
        <w:t>供应商</w:t>
      </w:r>
      <w:r>
        <w:rPr>
          <w:rFonts w:hint="eastAsia" w:ascii="宋体" w:hAnsi="宋体" w:eastAsia="宋体" w:cs="宋体"/>
          <w:color w:val="000000" w:themeColor="text1"/>
          <w:kern w:val="0"/>
          <w:sz w:val="24"/>
          <w:highlight w:val="none"/>
          <w14:textFill>
            <w14:solidFill>
              <w14:schemeClr w14:val="tx1"/>
            </w14:solidFill>
          </w14:textFill>
        </w:rPr>
        <w:t>的合法权益情形的；</w:t>
      </w:r>
    </w:p>
    <w:p>
      <w:pPr>
        <w:spacing w:line="360" w:lineRule="auto"/>
        <w:ind w:firstLine="480" w:firstLineChars="200"/>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4.2.12</w:t>
      </w:r>
      <w:r>
        <w:rPr>
          <w:rFonts w:hint="eastAsia" w:ascii="宋体" w:hAnsi="宋体" w:eastAsia="宋体" w:cs="宋体"/>
          <w:color w:val="000000" w:themeColor="text1"/>
          <w:kern w:val="0"/>
          <w:sz w:val="24"/>
          <w:highlight w:val="none"/>
          <w:lang w:eastAsia="zh-CN"/>
          <w14:textFill>
            <w14:solidFill>
              <w14:schemeClr w14:val="tx1"/>
            </w14:solidFill>
          </w14:textFill>
        </w:rPr>
        <w:t>供应商</w:t>
      </w:r>
      <w:r>
        <w:rPr>
          <w:rFonts w:hint="eastAsia" w:ascii="宋体" w:hAnsi="宋体" w:eastAsia="宋体" w:cs="宋体"/>
          <w:color w:val="000000" w:themeColor="text1"/>
          <w:kern w:val="0"/>
          <w:sz w:val="24"/>
          <w:highlight w:val="none"/>
          <w14:textFill>
            <w14:solidFill>
              <w14:schemeClr w14:val="tx1"/>
            </w14:solidFill>
          </w14:textFill>
        </w:rPr>
        <w:t>仅提交备份投标文件，未在电子交易平台传输递交投标文件的，投标无效；</w:t>
      </w:r>
    </w:p>
    <w:p>
      <w:pPr>
        <w:pStyle w:val="6"/>
        <w:keepNext/>
        <w:keepLines/>
        <w:pageBreakBefore w:val="0"/>
        <w:widowControl w:val="0"/>
        <w:kinsoku/>
        <w:wordWrap/>
        <w:overflowPunct/>
        <w:topLinePunct w:val="0"/>
        <w:autoSpaceDE/>
        <w:autoSpaceDN/>
        <w:bidi w:val="0"/>
        <w:adjustRightInd/>
        <w:snapToGrid/>
        <w:ind w:left="0" w:leftChars="0" w:firstLine="480" w:firstLineChars="200"/>
        <w:textAlignment w:val="auto"/>
        <w:rPr>
          <w:rFonts w:hint="eastAsia" w:ascii="宋体" w:hAnsi="宋体" w:eastAsia="宋体" w:cs="宋体"/>
          <w:b w:val="0"/>
          <w:bCs w:val="0"/>
          <w:color w:val="000000" w:themeColor="text1"/>
          <w:kern w:val="0"/>
          <w:sz w:val="24"/>
          <w:szCs w:val="24"/>
          <w:highlight w:val="none"/>
          <w:lang w:val="en-US"/>
          <w14:textFill>
            <w14:solidFill>
              <w14:schemeClr w14:val="tx1"/>
            </w14:solidFill>
          </w14:textFill>
        </w:rPr>
      </w:pPr>
      <w:r>
        <w:rPr>
          <w:rFonts w:hint="eastAsia" w:ascii="宋体" w:hAnsi="宋体" w:eastAsia="宋体" w:cs="宋体"/>
          <w:b w:val="0"/>
          <w:bCs w:val="0"/>
          <w:color w:val="000000" w:themeColor="text1"/>
          <w:kern w:val="0"/>
          <w:sz w:val="24"/>
          <w:szCs w:val="24"/>
          <w:highlight w:val="none"/>
          <w:lang w:val="en-US"/>
          <w14:textFill>
            <w14:solidFill>
              <w14:schemeClr w14:val="tx1"/>
            </w14:solidFill>
          </w14:textFill>
        </w:rPr>
        <w:t xml:space="preserve">4.2.13 </w:t>
      </w:r>
      <w:r>
        <w:rPr>
          <w:rFonts w:hint="eastAsia" w:ascii="宋体" w:hAnsi="宋体" w:eastAsia="宋体" w:cs="宋体"/>
          <w:b w:val="0"/>
          <w:bCs w:val="0"/>
          <w:color w:val="000000" w:themeColor="text1"/>
          <w:kern w:val="0"/>
          <w:sz w:val="24"/>
          <w:szCs w:val="24"/>
          <w:highlight w:val="none"/>
          <w:lang w:val="en-US" w:eastAsia="zh-CN"/>
          <w14:textFill>
            <w14:solidFill>
              <w14:schemeClr w14:val="tx1"/>
            </w14:solidFill>
          </w14:textFill>
        </w:rPr>
        <w:t>供应商</w:t>
      </w:r>
      <w:r>
        <w:rPr>
          <w:rFonts w:hint="eastAsia" w:ascii="宋体" w:hAnsi="宋体" w:eastAsia="宋体" w:cs="宋体"/>
          <w:b w:val="0"/>
          <w:bCs w:val="0"/>
          <w:color w:val="000000" w:themeColor="text1"/>
          <w:kern w:val="0"/>
          <w:sz w:val="24"/>
          <w:szCs w:val="24"/>
          <w:highlight w:val="none"/>
          <w:lang w:val="en-US"/>
          <w14:textFill>
            <w14:solidFill>
              <w14:schemeClr w14:val="tx1"/>
            </w14:solidFill>
          </w14:textFill>
        </w:rPr>
        <w:t>未提供样品或提供的样品不满足采购需求实质性条件的，投标无效；</w:t>
      </w:r>
    </w:p>
    <w:p>
      <w:pPr>
        <w:spacing w:line="360" w:lineRule="auto"/>
        <w:ind w:firstLine="480" w:firstLineChars="200"/>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4.2.14法律、法规、规章（适用本市的）及省级以上规范性文件（适用本市的）规定的其他无效情形。</w:t>
      </w:r>
    </w:p>
    <w:p>
      <w:pPr>
        <w:pStyle w:val="26"/>
        <w:snapToGrid w:val="0"/>
        <w:spacing w:line="360" w:lineRule="auto"/>
        <w:ind w:firstLine="472" w:firstLineChars="196"/>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b/>
          <w:color w:val="000000" w:themeColor="text1"/>
          <w:highlight w:val="none"/>
          <w14:textFill>
            <w14:solidFill>
              <w14:schemeClr w14:val="tx1"/>
            </w14:solidFill>
          </w14:textFill>
        </w:rPr>
        <w:t>5.废标。</w:t>
      </w:r>
      <w:r>
        <w:rPr>
          <w:rFonts w:hint="eastAsia" w:ascii="宋体" w:hAnsi="宋体" w:eastAsia="宋体" w:cs="宋体"/>
          <w:color w:val="000000" w:themeColor="text1"/>
          <w:highlight w:val="none"/>
          <w14:textFill>
            <w14:solidFill>
              <w14:schemeClr w14:val="tx1"/>
            </w14:solidFill>
          </w14:textFill>
        </w:rPr>
        <w:t>根据《中华人民共和国政府采购法》第三十六条之规定，在采购中，出现下列情形之一的，应予废标：</w:t>
      </w:r>
    </w:p>
    <w:p>
      <w:pPr>
        <w:pStyle w:val="26"/>
        <w:snapToGrid w:val="0"/>
        <w:spacing w:line="360"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5.1符合专业条件的供应商或者对</w:t>
      </w:r>
      <w:r>
        <w:rPr>
          <w:rFonts w:hint="eastAsia" w:ascii="宋体" w:hAnsi="宋体" w:eastAsia="宋体" w:cs="宋体"/>
          <w:color w:val="000000" w:themeColor="text1"/>
          <w:highlight w:val="none"/>
          <w:lang w:eastAsia="zh-CN"/>
          <w14:textFill>
            <w14:solidFill>
              <w14:schemeClr w14:val="tx1"/>
            </w14:solidFill>
          </w14:textFill>
        </w:rPr>
        <w:t>投标文件</w:t>
      </w:r>
      <w:r>
        <w:rPr>
          <w:rFonts w:hint="eastAsia" w:ascii="宋体" w:hAnsi="宋体" w:eastAsia="宋体" w:cs="宋体"/>
          <w:color w:val="000000" w:themeColor="text1"/>
          <w:highlight w:val="none"/>
          <w14:textFill>
            <w14:solidFill>
              <w14:schemeClr w14:val="tx1"/>
            </w14:solidFill>
          </w14:textFill>
        </w:rPr>
        <w:t>作实质响应的供应商不足3家的；</w:t>
      </w:r>
    </w:p>
    <w:p>
      <w:pPr>
        <w:pStyle w:val="26"/>
        <w:snapToGrid w:val="0"/>
        <w:spacing w:line="360"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5.2出现影响采购公正的违法、违规行为的；</w:t>
      </w:r>
    </w:p>
    <w:p>
      <w:pPr>
        <w:pStyle w:val="26"/>
        <w:snapToGrid w:val="0"/>
        <w:spacing w:line="360"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5.3</w:t>
      </w:r>
      <w:r>
        <w:rPr>
          <w:rFonts w:hint="eastAsia" w:ascii="宋体" w:hAnsi="宋体" w:eastAsia="宋体" w:cs="宋体"/>
          <w:color w:val="000000" w:themeColor="text1"/>
          <w:highlight w:val="none"/>
          <w:lang w:eastAsia="zh-CN"/>
          <w14:textFill>
            <w14:solidFill>
              <w14:schemeClr w14:val="tx1"/>
            </w14:solidFill>
          </w14:textFill>
        </w:rPr>
        <w:t>供应商</w:t>
      </w:r>
      <w:r>
        <w:rPr>
          <w:rFonts w:hint="eastAsia" w:ascii="宋体" w:hAnsi="宋体" w:eastAsia="宋体" w:cs="宋体"/>
          <w:color w:val="000000" w:themeColor="text1"/>
          <w:highlight w:val="none"/>
          <w14:textFill>
            <w14:solidFill>
              <w14:schemeClr w14:val="tx1"/>
            </w14:solidFill>
          </w14:textFill>
        </w:rPr>
        <w:t>的报价均超过了采购预算，采购人不能支付的；</w:t>
      </w:r>
    </w:p>
    <w:p>
      <w:pPr>
        <w:pStyle w:val="26"/>
        <w:snapToGrid w:val="0"/>
        <w:spacing w:line="360"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5.4因重大变故，采购任务取消的。</w:t>
      </w:r>
    </w:p>
    <w:p>
      <w:pPr>
        <w:pStyle w:val="26"/>
        <w:snapToGrid w:val="0"/>
        <w:spacing w:line="360"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废标后，</w:t>
      </w:r>
      <w:r>
        <w:rPr>
          <w:rFonts w:hint="eastAsia" w:ascii="宋体" w:hAnsi="宋体" w:eastAsia="宋体" w:cs="宋体"/>
          <w:color w:val="000000" w:themeColor="text1"/>
          <w:highlight w:val="none"/>
          <w:lang w:eastAsia="zh-CN"/>
          <w14:textFill>
            <w14:solidFill>
              <w14:schemeClr w14:val="tx1"/>
            </w14:solidFill>
          </w14:textFill>
        </w:rPr>
        <w:t>采购代理机构</w:t>
      </w:r>
      <w:r>
        <w:rPr>
          <w:rFonts w:hint="eastAsia" w:ascii="宋体" w:hAnsi="宋体" w:eastAsia="宋体" w:cs="宋体"/>
          <w:color w:val="000000" w:themeColor="text1"/>
          <w:highlight w:val="none"/>
          <w14:textFill>
            <w14:solidFill>
              <w14:schemeClr w14:val="tx1"/>
            </w14:solidFill>
          </w14:textFill>
        </w:rPr>
        <w:t>应当将废标理由通知所有</w:t>
      </w:r>
      <w:r>
        <w:rPr>
          <w:rFonts w:hint="eastAsia" w:ascii="宋体" w:hAnsi="宋体" w:eastAsia="宋体" w:cs="宋体"/>
          <w:color w:val="000000" w:themeColor="text1"/>
          <w:highlight w:val="none"/>
          <w:lang w:eastAsia="zh-CN"/>
          <w14:textFill>
            <w14:solidFill>
              <w14:schemeClr w14:val="tx1"/>
            </w14:solidFill>
          </w14:textFill>
        </w:rPr>
        <w:t>供应商</w:t>
      </w:r>
      <w:r>
        <w:rPr>
          <w:rFonts w:hint="eastAsia" w:ascii="宋体" w:hAnsi="宋体" w:eastAsia="宋体" w:cs="宋体"/>
          <w:color w:val="000000" w:themeColor="text1"/>
          <w:highlight w:val="none"/>
          <w14:textFill>
            <w14:solidFill>
              <w14:schemeClr w14:val="tx1"/>
            </w14:solidFill>
          </w14:textFill>
        </w:rPr>
        <w:t>。</w:t>
      </w:r>
    </w:p>
    <w:p>
      <w:pPr>
        <w:pStyle w:val="26"/>
        <w:snapToGrid w:val="0"/>
        <w:spacing w:line="360" w:lineRule="auto"/>
        <w:ind w:firstLine="590" w:firstLineChars="245"/>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b/>
          <w:color w:val="000000" w:themeColor="text1"/>
          <w:highlight w:val="none"/>
          <w14:textFill>
            <w14:solidFill>
              <w14:schemeClr w14:val="tx1"/>
            </w14:solidFill>
          </w14:textFill>
        </w:rPr>
        <w:t>6.修改</w:t>
      </w:r>
      <w:r>
        <w:rPr>
          <w:rFonts w:hint="eastAsia" w:ascii="宋体" w:hAnsi="宋体" w:eastAsia="宋体" w:cs="宋体"/>
          <w:b/>
          <w:color w:val="000000" w:themeColor="text1"/>
          <w:highlight w:val="none"/>
          <w:lang w:eastAsia="zh-CN"/>
          <w14:textFill>
            <w14:solidFill>
              <w14:schemeClr w14:val="tx1"/>
            </w14:solidFill>
          </w14:textFill>
        </w:rPr>
        <w:t>投标文件</w:t>
      </w:r>
      <w:r>
        <w:rPr>
          <w:rFonts w:hint="eastAsia" w:ascii="宋体" w:hAnsi="宋体" w:eastAsia="宋体" w:cs="宋体"/>
          <w:b/>
          <w:color w:val="000000" w:themeColor="text1"/>
          <w:highlight w:val="none"/>
          <w14:textFill>
            <w14:solidFill>
              <w14:schemeClr w14:val="tx1"/>
            </w14:solidFill>
          </w14:textFill>
        </w:rPr>
        <w:t>，重新组织采购活动。</w:t>
      </w:r>
      <w:r>
        <w:rPr>
          <w:rFonts w:hint="eastAsia" w:ascii="宋体" w:hAnsi="宋体" w:eastAsia="宋体" w:cs="宋体"/>
          <w:color w:val="000000" w:themeColor="text1"/>
          <w:highlight w:val="none"/>
          <w14:textFill>
            <w14:solidFill>
              <w14:schemeClr w14:val="tx1"/>
            </w14:solidFill>
          </w14:textFill>
        </w:rPr>
        <w:t>评标委员会发现</w:t>
      </w:r>
      <w:r>
        <w:rPr>
          <w:rFonts w:hint="eastAsia" w:ascii="宋体" w:hAnsi="宋体" w:eastAsia="宋体" w:cs="宋体"/>
          <w:color w:val="000000" w:themeColor="text1"/>
          <w:highlight w:val="none"/>
          <w:lang w:eastAsia="zh-CN"/>
          <w14:textFill>
            <w14:solidFill>
              <w14:schemeClr w14:val="tx1"/>
            </w14:solidFill>
          </w14:textFill>
        </w:rPr>
        <w:t>投标文件</w:t>
      </w:r>
      <w:r>
        <w:rPr>
          <w:rFonts w:hint="eastAsia" w:ascii="宋体" w:hAnsi="宋体" w:eastAsia="宋体" w:cs="宋体"/>
          <w:color w:val="000000" w:themeColor="text1"/>
          <w:highlight w:val="none"/>
          <w14:textFill>
            <w14:solidFill>
              <w14:schemeClr w14:val="tx1"/>
            </w14:solidFill>
          </w14:textFill>
        </w:rPr>
        <w:t>存在歧义、重大缺陷导致评标工作无法进行，或者</w:t>
      </w:r>
      <w:r>
        <w:rPr>
          <w:rFonts w:hint="eastAsia" w:ascii="宋体" w:hAnsi="宋体" w:eastAsia="宋体" w:cs="宋体"/>
          <w:color w:val="000000" w:themeColor="text1"/>
          <w:highlight w:val="none"/>
          <w:lang w:eastAsia="zh-CN"/>
          <w14:textFill>
            <w14:solidFill>
              <w14:schemeClr w14:val="tx1"/>
            </w14:solidFill>
          </w14:textFill>
        </w:rPr>
        <w:t>投标文件</w:t>
      </w:r>
      <w:r>
        <w:rPr>
          <w:rFonts w:hint="eastAsia" w:ascii="宋体" w:hAnsi="宋体" w:eastAsia="宋体" w:cs="宋体"/>
          <w:color w:val="000000" w:themeColor="text1"/>
          <w:highlight w:val="none"/>
          <w14:textFill>
            <w14:solidFill>
              <w14:schemeClr w14:val="tx1"/>
            </w14:solidFill>
          </w14:textFill>
        </w:rPr>
        <w:t>内容违反国家有关强制性规定的，将停止评标工作，并与采购人、</w:t>
      </w:r>
      <w:r>
        <w:rPr>
          <w:rFonts w:hint="eastAsia" w:ascii="宋体" w:hAnsi="宋体" w:eastAsia="宋体" w:cs="宋体"/>
          <w:color w:val="000000" w:themeColor="text1"/>
          <w:highlight w:val="none"/>
          <w:lang w:eastAsia="zh-CN"/>
          <w14:textFill>
            <w14:solidFill>
              <w14:schemeClr w14:val="tx1"/>
            </w14:solidFill>
          </w14:textFill>
        </w:rPr>
        <w:t>采购代理机构</w:t>
      </w:r>
      <w:r>
        <w:rPr>
          <w:rFonts w:hint="eastAsia" w:ascii="宋体" w:hAnsi="宋体" w:eastAsia="宋体" w:cs="宋体"/>
          <w:color w:val="000000" w:themeColor="text1"/>
          <w:highlight w:val="none"/>
          <w14:textFill>
            <w14:solidFill>
              <w14:schemeClr w14:val="tx1"/>
            </w14:solidFill>
          </w14:textFill>
        </w:rPr>
        <w:t>沟通并作书面记录。采购人、</w:t>
      </w:r>
      <w:r>
        <w:rPr>
          <w:rFonts w:hint="eastAsia" w:ascii="宋体" w:hAnsi="宋体" w:eastAsia="宋体" w:cs="宋体"/>
          <w:color w:val="000000" w:themeColor="text1"/>
          <w:highlight w:val="none"/>
          <w:lang w:eastAsia="zh-CN"/>
          <w14:textFill>
            <w14:solidFill>
              <w14:schemeClr w14:val="tx1"/>
            </w14:solidFill>
          </w14:textFill>
        </w:rPr>
        <w:t>采购代理机构</w:t>
      </w:r>
      <w:r>
        <w:rPr>
          <w:rFonts w:hint="eastAsia" w:ascii="宋体" w:hAnsi="宋体" w:eastAsia="宋体" w:cs="宋体"/>
          <w:color w:val="000000" w:themeColor="text1"/>
          <w:highlight w:val="none"/>
          <w14:textFill>
            <w14:solidFill>
              <w14:schemeClr w14:val="tx1"/>
            </w14:solidFill>
          </w14:textFill>
        </w:rPr>
        <w:t>确认后，将修改</w:t>
      </w:r>
      <w:r>
        <w:rPr>
          <w:rFonts w:hint="eastAsia" w:ascii="宋体" w:hAnsi="宋体" w:eastAsia="宋体" w:cs="宋体"/>
          <w:color w:val="000000" w:themeColor="text1"/>
          <w:highlight w:val="none"/>
          <w:lang w:eastAsia="zh-CN"/>
          <w14:textFill>
            <w14:solidFill>
              <w14:schemeClr w14:val="tx1"/>
            </w14:solidFill>
          </w14:textFill>
        </w:rPr>
        <w:t>投标文件</w:t>
      </w:r>
      <w:r>
        <w:rPr>
          <w:rFonts w:hint="eastAsia" w:ascii="宋体" w:hAnsi="宋体" w:eastAsia="宋体" w:cs="宋体"/>
          <w:color w:val="000000" w:themeColor="text1"/>
          <w:highlight w:val="none"/>
          <w14:textFill>
            <w14:solidFill>
              <w14:schemeClr w14:val="tx1"/>
            </w14:solidFill>
          </w14:textFill>
        </w:rPr>
        <w:t>，重新组织采购活动。</w:t>
      </w:r>
    </w:p>
    <w:p>
      <w:pPr>
        <w:pStyle w:val="26"/>
        <w:snapToGrid w:val="0"/>
        <w:spacing w:line="360" w:lineRule="auto"/>
        <w:ind w:firstLine="482"/>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b/>
          <w:color w:val="000000" w:themeColor="text1"/>
          <w:kern w:val="0"/>
          <w:highlight w:val="none"/>
          <w14:textFill>
            <w14:solidFill>
              <w14:schemeClr w14:val="tx1"/>
            </w14:solidFill>
          </w14:textFill>
        </w:rPr>
        <w:t>7.重新开展采购。</w:t>
      </w:r>
      <w:r>
        <w:rPr>
          <w:rFonts w:hint="eastAsia" w:ascii="宋体" w:hAnsi="宋体" w:eastAsia="宋体" w:cs="宋体"/>
          <w:color w:val="000000" w:themeColor="text1"/>
          <w:highlight w:val="none"/>
          <w14:textFill>
            <w14:solidFill>
              <w14:schemeClr w14:val="tx1"/>
            </w14:solidFill>
          </w14:textFill>
        </w:rPr>
        <w:t>有政府采购法第七十一条、第七十二条规定的违法行为之一，影响或者可能影响中标结果的，依照下列规定处理：</w:t>
      </w:r>
    </w:p>
    <w:p>
      <w:pPr>
        <w:pStyle w:val="26"/>
        <w:snapToGrid w:val="0"/>
        <w:spacing w:line="360"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7.1未确定中标供应商的，终止本次政府采购活动，重新开展政府采购活动。</w:t>
      </w:r>
    </w:p>
    <w:p>
      <w:pPr>
        <w:pStyle w:val="26"/>
        <w:snapToGrid w:val="0"/>
        <w:spacing w:line="360"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7.2已确定中标供应商但尚未签订政府采购合同的，中标结果无效，从合格的中标候选人中另行确定中标供应商；没有合格的中标候选人的，重新开展政府采购活动。</w:t>
      </w:r>
    </w:p>
    <w:p>
      <w:pPr>
        <w:pStyle w:val="26"/>
        <w:snapToGrid w:val="0"/>
        <w:spacing w:line="360"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7.3政府采购合同已签订但尚未履行的，撤销合同，从合格的中标候选人中另行确定中标供应商；没有合格的中标候选人的，重新开展政府采购活动。</w:t>
      </w:r>
    </w:p>
    <w:p>
      <w:pPr>
        <w:pStyle w:val="26"/>
        <w:snapToGrid w:val="0"/>
        <w:spacing w:line="360"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7.4政府采购合同已经履行，给采购人、供应商造成损失的，由责任人承担赔偿责任。</w:t>
      </w:r>
    </w:p>
    <w:p>
      <w:pPr>
        <w:pStyle w:val="26"/>
        <w:snapToGrid w:val="0"/>
        <w:spacing w:line="360"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7.5政府采购当事人有其他违反政府采购法或者政府采购法实施条例等法律法规规定的行为，经改正后仍然影响或者可能影响中标结果或者依法被认定为中标无效的，依照7.1-7.4规定处理。</w:t>
      </w:r>
    </w:p>
    <w:bookmarkEnd w:id="27"/>
    <w:p>
      <w:pPr>
        <w:widowControl/>
        <w:adjustRightInd/>
        <w:jc w:val="left"/>
        <w:rPr>
          <w:rFonts w:hint="eastAsia" w:ascii="宋体" w:hAnsi="宋体" w:eastAsia="宋体" w:cs="宋体"/>
          <w:b/>
          <w:color w:val="000000" w:themeColor="text1"/>
          <w:sz w:val="36"/>
          <w:szCs w:val="36"/>
          <w:highlight w:val="none"/>
          <w14:textFill>
            <w14:solidFill>
              <w14:schemeClr w14:val="tx1"/>
            </w14:solidFill>
          </w14:textFill>
        </w:rPr>
      </w:pPr>
      <w:bookmarkStart w:id="399" w:name="第五部分"/>
      <w:bookmarkStart w:id="400" w:name="_Toc86217003"/>
    </w:p>
    <w:p>
      <w:pPr>
        <w:rPr>
          <w:rFonts w:hint="eastAsia" w:ascii="宋体" w:hAnsi="宋体" w:eastAsia="宋体" w:cs="宋体"/>
          <w:b/>
          <w:color w:val="000000" w:themeColor="text1"/>
          <w:sz w:val="36"/>
          <w:szCs w:val="36"/>
          <w:highlight w:val="none"/>
          <w14:textFill>
            <w14:solidFill>
              <w14:schemeClr w14:val="tx1"/>
            </w14:solidFill>
          </w14:textFill>
        </w:rPr>
      </w:pPr>
      <w:r>
        <w:rPr>
          <w:rFonts w:hint="eastAsia" w:ascii="宋体" w:hAnsi="宋体" w:eastAsia="宋体" w:cs="宋体"/>
          <w:b/>
          <w:color w:val="000000" w:themeColor="text1"/>
          <w:sz w:val="36"/>
          <w:szCs w:val="36"/>
          <w:highlight w:val="none"/>
          <w14:textFill>
            <w14:solidFill>
              <w14:schemeClr w14:val="tx1"/>
            </w14:solidFill>
          </w14:textFill>
        </w:rPr>
        <w:br w:type="page"/>
      </w:r>
    </w:p>
    <w:p>
      <w:pPr>
        <w:spacing w:line="360" w:lineRule="auto"/>
        <w:ind w:left="720" w:leftChars="343" w:firstLine="1084" w:firstLineChars="300"/>
        <w:outlineLvl w:val="0"/>
        <w:rPr>
          <w:rFonts w:hint="eastAsia" w:ascii="宋体" w:hAnsi="宋体" w:eastAsia="宋体" w:cs="宋体"/>
          <w:b/>
          <w:color w:val="000000" w:themeColor="text1"/>
          <w:sz w:val="36"/>
          <w:szCs w:val="36"/>
          <w:highlight w:val="none"/>
          <w14:textFill>
            <w14:solidFill>
              <w14:schemeClr w14:val="tx1"/>
            </w14:solidFill>
          </w14:textFill>
        </w:rPr>
      </w:pPr>
      <w:r>
        <w:rPr>
          <w:rFonts w:hint="eastAsia" w:ascii="宋体" w:hAnsi="宋体" w:eastAsia="宋体" w:cs="宋体"/>
          <w:b/>
          <w:color w:val="000000" w:themeColor="text1"/>
          <w:sz w:val="36"/>
          <w:szCs w:val="36"/>
          <w:highlight w:val="none"/>
          <w14:textFill>
            <w14:solidFill>
              <w14:schemeClr w14:val="tx1"/>
            </w14:solidFill>
          </w14:textFill>
        </w:rPr>
        <w:t>第五部分 拟签订的合同文本</w:t>
      </w:r>
    </w:p>
    <w:p>
      <w:pPr>
        <w:spacing w:line="480" w:lineRule="auto"/>
        <w:jc w:val="center"/>
        <w:rPr>
          <w:rFonts w:hint="eastAsia" w:ascii="宋体" w:hAnsi="宋体" w:eastAsia="宋体" w:cs="宋体"/>
          <w:b/>
          <w:color w:val="000000" w:themeColor="text1"/>
          <w:sz w:val="40"/>
          <w:szCs w:val="40"/>
          <w:highlight w:val="none"/>
          <w14:textFill>
            <w14:solidFill>
              <w14:schemeClr w14:val="tx1"/>
            </w14:solidFill>
          </w14:textFill>
        </w:rPr>
      </w:pPr>
      <w:r>
        <w:rPr>
          <w:rFonts w:hint="eastAsia" w:ascii="宋体" w:hAnsi="宋体" w:eastAsia="宋体" w:cs="宋体"/>
          <w:b/>
          <w:color w:val="000000" w:themeColor="text1"/>
          <w:sz w:val="40"/>
          <w:szCs w:val="40"/>
          <w:highlight w:val="none"/>
          <w14:textFill>
            <w14:solidFill>
              <w14:schemeClr w14:val="tx1"/>
            </w14:solidFill>
          </w14:textFill>
        </w:rPr>
        <w:t>政府采购合同参考范本</w:t>
      </w:r>
    </w:p>
    <w:p>
      <w:pPr>
        <w:pageBreakBefore w:val="0"/>
        <w:kinsoku/>
        <w:overflowPunct/>
        <w:topLinePunct w:val="0"/>
        <w:bidi w:val="0"/>
        <w:snapToGrid w:val="0"/>
        <w:spacing w:line="360" w:lineRule="auto"/>
        <w:jc w:val="center"/>
        <w:rPr>
          <w:rFonts w:hint="eastAsia" w:ascii="宋体" w:hAnsi="宋体" w:eastAsia="宋体" w:cs="宋体"/>
          <w:color w:val="000000" w:themeColor="text1"/>
          <w:sz w:val="22"/>
          <w:szCs w:val="28"/>
          <w:highlight w:val="none"/>
          <w14:textFill>
            <w14:solidFill>
              <w14:schemeClr w14:val="tx1"/>
            </w14:solidFill>
          </w14:textFill>
        </w:rPr>
      </w:pPr>
      <w:r>
        <w:rPr>
          <w:rFonts w:hint="eastAsia" w:ascii="宋体" w:hAnsi="宋体" w:eastAsia="宋体" w:cs="宋体"/>
          <w:b/>
          <w:bCs/>
          <w:color w:val="000000" w:themeColor="text1"/>
          <w:sz w:val="22"/>
          <w:szCs w:val="28"/>
          <w:highlight w:val="none"/>
          <w14:textFill>
            <w14:solidFill>
              <w14:schemeClr w14:val="tx1"/>
            </w14:solidFill>
          </w14:textFill>
        </w:rPr>
        <w:t>（甲乙双方应按</w:t>
      </w:r>
      <w:r>
        <w:rPr>
          <w:rFonts w:hint="eastAsia" w:ascii="宋体" w:hAnsi="宋体" w:cs="宋体"/>
          <w:b/>
          <w:bCs/>
          <w:color w:val="000000" w:themeColor="text1"/>
          <w:sz w:val="22"/>
          <w:szCs w:val="28"/>
          <w:highlight w:val="none"/>
          <w:lang w:eastAsia="zh-CN"/>
          <w14:textFill>
            <w14:solidFill>
              <w14:schemeClr w14:val="tx1"/>
            </w14:solidFill>
          </w14:textFill>
        </w:rPr>
        <w:t>采购文件</w:t>
      </w:r>
      <w:r>
        <w:rPr>
          <w:rFonts w:hint="eastAsia" w:ascii="宋体" w:hAnsi="宋体" w:eastAsia="宋体" w:cs="宋体"/>
          <w:b/>
          <w:bCs/>
          <w:color w:val="000000" w:themeColor="text1"/>
          <w:sz w:val="22"/>
          <w:szCs w:val="28"/>
          <w:highlight w:val="none"/>
          <w14:textFill>
            <w14:solidFill>
              <w14:schemeClr w14:val="tx1"/>
            </w14:solidFill>
          </w14:textFill>
        </w:rPr>
        <w:t>确定的事项及投标文件响应内容签订本合同，不得对</w:t>
      </w:r>
      <w:r>
        <w:rPr>
          <w:rFonts w:hint="eastAsia" w:ascii="宋体" w:hAnsi="宋体" w:cs="宋体"/>
          <w:b/>
          <w:bCs/>
          <w:color w:val="000000" w:themeColor="text1"/>
          <w:sz w:val="22"/>
          <w:szCs w:val="28"/>
          <w:highlight w:val="none"/>
          <w:lang w:eastAsia="zh-CN"/>
          <w14:textFill>
            <w14:solidFill>
              <w14:schemeClr w14:val="tx1"/>
            </w14:solidFill>
          </w14:textFill>
        </w:rPr>
        <w:t>采购文件</w:t>
      </w:r>
      <w:r>
        <w:rPr>
          <w:rFonts w:hint="eastAsia" w:ascii="宋体" w:hAnsi="宋体" w:eastAsia="宋体" w:cs="宋体"/>
          <w:b/>
          <w:bCs/>
          <w:color w:val="000000" w:themeColor="text1"/>
          <w:sz w:val="22"/>
          <w:szCs w:val="28"/>
          <w:highlight w:val="none"/>
          <w14:textFill>
            <w14:solidFill>
              <w14:schemeClr w14:val="tx1"/>
            </w14:solidFill>
          </w14:textFill>
        </w:rPr>
        <w:t>确定的事项和</w:t>
      </w:r>
      <w:r>
        <w:rPr>
          <w:rFonts w:hint="eastAsia" w:ascii="宋体" w:hAnsi="宋体" w:cs="宋体"/>
          <w:b/>
          <w:bCs/>
          <w:color w:val="000000" w:themeColor="text1"/>
          <w:sz w:val="22"/>
          <w:szCs w:val="28"/>
          <w:highlight w:val="none"/>
          <w:lang w:eastAsia="zh-CN"/>
          <w14:textFill>
            <w14:solidFill>
              <w14:schemeClr w14:val="tx1"/>
            </w14:solidFill>
          </w14:textFill>
        </w:rPr>
        <w:t>乙方</w:t>
      </w:r>
      <w:r>
        <w:rPr>
          <w:rFonts w:hint="eastAsia" w:ascii="宋体" w:hAnsi="宋体" w:eastAsia="宋体" w:cs="宋体"/>
          <w:b/>
          <w:bCs/>
          <w:color w:val="000000" w:themeColor="text1"/>
          <w:sz w:val="22"/>
          <w:szCs w:val="28"/>
          <w:highlight w:val="none"/>
          <w14:textFill>
            <w14:solidFill>
              <w14:schemeClr w14:val="tx1"/>
            </w14:solidFill>
          </w14:textFill>
        </w:rPr>
        <w:t>投标文件作实质性修改）</w:t>
      </w:r>
    </w:p>
    <w:p>
      <w:pPr>
        <w:pageBreakBefore w:val="0"/>
        <w:kinsoku/>
        <w:overflowPunct/>
        <w:topLinePunct w:val="0"/>
        <w:bidi w:val="0"/>
        <w:snapToGrid w:val="0"/>
        <w:spacing w:line="360" w:lineRule="auto"/>
        <w:jc w:val="center"/>
        <w:rPr>
          <w:rFonts w:hint="eastAsia" w:ascii="宋体" w:hAnsi="宋体" w:eastAsia="宋体" w:cs="宋体"/>
          <w:color w:val="000000" w:themeColor="text1"/>
          <w:sz w:val="32"/>
          <w:szCs w:val="32"/>
          <w:highlight w:val="none"/>
          <w14:textFill>
            <w14:solidFill>
              <w14:schemeClr w14:val="tx1"/>
            </w14:solidFill>
          </w14:textFill>
        </w:rPr>
      </w:pPr>
    </w:p>
    <w:p>
      <w:pPr>
        <w:pageBreakBefore w:val="0"/>
        <w:kinsoku/>
        <w:overflowPunct/>
        <w:topLinePunct w:val="0"/>
        <w:bidi w:val="0"/>
        <w:snapToGrid w:val="0"/>
        <w:spacing w:line="360" w:lineRule="auto"/>
        <w:jc w:val="center"/>
        <w:rPr>
          <w:rFonts w:hint="default" w:ascii="宋体" w:hAnsi="宋体" w:eastAsia="宋体" w:cs="宋体"/>
          <w:b/>
          <w:bCs/>
          <w:color w:val="000000" w:themeColor="text1"/>
          <w:sz w:val="40"/>
          <w:szCs w:val="40"/>
          <w:highlight w:val="none"/>
          <w:lang w:val="en-US" w:eastAsia="zh-CN"/>
          <w14:textFill>
            <w14:solidFill>
              <w14:schemeClr w14:val="tx1"/>
            </w14:solidFill>
          </w14:textFill>
        </w:rPr>
      </w:pPr>
      <w:r>
        <w:rPr>
          <w:rFonts w:hint="eastAsia" w:ascii="宋体" w:hAnsi="宋体" w:cs="宋体"/>
          <w:b/>
          <w:bCs/>
          <w:color w:val="000000" w:themeColor="text1"/>
          <w:sz w:val="40"/>
          <w:szCs w:val="40"/>
          <w:highlight w:val="none"/>
          <w:lang w:val="en-US" w:eastAsia="zh-CN"/>
          <w14:textFill>
            <w14:solidFill>
              <w14:schemeClr w14:val="tx1"/>
            </w14:solidFill>
          </w14:textFill>
        </w:rPr>
        <w:t>采购合同</w:t>
      </w:r>
    </w:p>
    <w:p>
      <w:pPr>
        <w:pageBreakBefore w:val="0"/>
        <w:kinsoku/>
        <w:overflowPunct/>
        <w:topLinePunct w:val="0"/>
        <w:bidi w:val="0"/>
        <w:snapToGrid w:val="0"/>
        <w:spacing w:line="360" w:lineRule="auto"/>
        <w:rPr>
          <w:rFonts w:hint="eastAsia" w:ascii="宋体" w:hAnsi="宋体" w:eastAsia="宋体" w:cs="宋体"/>
          <w:color w:val="000000" w:themeColor="text1"/>
          <w:szCs w:val="21"/>
          <w:highlight w:val="none"/>
          <w14:textFill>
            <w14:solidFill>
              <w14:schemeClr w14:val="tx1"/>
            </w14:solidFill>
          </w14:textFill>
        </w:rPr>
      </w:pPr>
    </w:p>
    <w:p>
      <w:pPr>
        <w:pageBreakBefore w:val="0"/>
        <w:kinsoku/>
        <w:overflowPunct/>
        <w:topLinePunct w:val="0"/>
        <w:bidi w:val="0"/>
        <w:snapToGrid w:val="0"/>
        <w:spacing w:line="360" w:lineRule="auto"/>
        <w:rPr>
          <w:rFonts w:hint="eastAsia" w:ascii="宋体" w:hAnsi="宋体" w:eastAsia="宋体" w:cs="宋体"/>
          <w:color w:val="000000" w:themeColor="text1"/>
          <w:szCs w:val="21"/>
          <w:highlight w:val="none"/>
          <w14:textFill>
            <w14:solidFill>
              <w14:schemeClr w14:val="tx1"/>
            </w14:solidFill>
          </w14:textFill>
        </w:rPr>
      </w:pPr>
    </w:p>
    <w:p>
      <w:pPr>
        <w:pageBreakBefore w:val="0"/>
        <w:kinsoku/>
        <w:overflowPunct/>
        <w:topLinePunct w:val="0"/>
        <w:bidi w:val="0"/>
        <w:snapToGrid w:val="0"/>
        <w:spacing w:line="360" w:lineRule="auto"/>
        <w:rPr>
          <w:rFonts w:hint="eastAsia" w:ascii="宋体" w:hAnsi="宋体" w:eastAsia="宋体" w:cs="宋体"/>
          <w:color w:val="000000" w:themeColor="text1"/>
          <w:szCs w:val="21"/>
          <w:highlight w:val="none"/>
          <w14:textFill>
            <w14:solidFill>
              <w14:schemeClr w14:val="tx1"/>
            </w14:solidFill>
          </w14:textFill>
        </w:rPr>
      </w:pPr>
    </w:p>
    <w:p>
      <w:pPr>
        <w:keepNext w:val="0"/>
        <w:keepLines w:val="0"/>
        <w:pageBreakBefore w:val="0"/>
        <w:widowControl w:val="0"/>
        <w:kinsoku/>
        <w:wordWrap/>
        <w:overflowPunct/>
        <w:topLinePunct w:val="0"/>
        <w:bidi w:val="0"/>
        <w:spacing w:line="22" w:lineRule="atLeast"/>
        <w:ind w:firstLine="560" w:firstLineChars="200"/>
        <w:textAlignment w:val="auto"/>
        <w:rPr>
          <w:rFonts w:hint="eastAsia" w:ascii="宋体" w:hAnsi="宋体" w:eastAsia="宋体" w:cs="宋体"/>
          <w:snapToGrid/>
          <w:color w:val="000000" w:themeColor="text1"/>
          <w:kern w:val="2"/>
          <w:sz w:val="28"/>
          <w:szCs w:val="28"/>
          <w:highlight w:val="none"/>
          <w:u w:val="single"/>
          <w:lang w:val="en-US" w:eastAsia="zh-CN" w:bidi="ar-SA"/>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项目名称：</w:t>
      </w:r>
      <w:r>
        <w:rPr>
          <w:rFonts w:hint="eastAsia" w:ascii="宋体" w:hAnsi="宋体" w:eastAsia="宋体" w:cs="宋体"/>
          <w:snapToGrid/>
          <w:color w:val="000000" w:themeColor="text1"/>
          <w:kern w:val="2"/>
          <w:sz w:val="28"/>
          <w:szCs w:val="28"/>
          <w:highlight w:val="none"/>
          <w:u w:val="single"/>
          <w:lang w:val="en-US" w:eastAsia="zh-CN" w:bidi="ar-SA"/>
          <w14:textFill>
            <w14:solidFill>
              <w14:schemeClr w14:val="tx1"/>
            </w14:solidFill>
          </w14:textFill>
        </w:rPr>
        <w:t>拱墅区临丁路等7条、东新路等8条市属区管</w:t>
      </w:r>
    </w:p>
    <w:p>
      <w:pPr>
        <w:keepNext w:val="0"/>
        <w:keepLines w:val="0"/>
        <w:pageBreakBefore w:val="0"/>
        <w:widowControl w:val="0"/>
        <w:kinsoku/>
        <w:wordWrap/>
        <w:overflowPunct/>
        <w:topLinePunct w:val="0"/>
        <w:bidi w:val="0"/>
        <w:spacing w:line="22" w:lineRule="atLeast"/>
        <w:ind w:firstLine="560" w:firstLineChars="200"/>
        <w:textAlignment w:val="auto"/>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snapToGrid/>
          <w:color w:val="000000" w:themeColor="text1"/>
          <w:kern w:val="2"/>
          <w:sz w:val="28"/>
          <w:szCs w:val="28"/>
          <w:highlight w:val="none"/>
          <w:u w:val="single"/>
          <w:lang w:val="en-US" w:eastAsia="zh-CN" w:bidi="ar-SA"/>
          <w14:textFill>
            <w14:solidFill>
              <w14:schemeClr w14:val="tx1"/>
            </w14:solidFill>
          </w14:textFill>
        </w:rPr>
        <w:t>道路市政环卫一体化综合养护服务项目</w:t>
      </w:r>
    </w:p>
    <w:p>
      <w:pPr>
        <w:pStyle w:val="598"/>
        <w:keepNext w:val="0"/>
        <w:keepLines w:val="0"/>
        <w:pageBreakBefore w:val="0"/>
        <w:widowControl w:val="0"/>
        <w:kinsoku/>
        <w:wordWrap/>
        <w:overflowPunct/>
        <w:topLinePunct w:val="0"/>
        <w:bidi w:val="0"/>
        <w:spacing w:line="22" w:lineRule="atLeast"/>
        <w:ind w:firstLine="560" w:firstLineChars="200"/>
        <w:textAlignment w:val="auto"/>
        <w:rPr>
          <w:rFonts w:hint="eastAsia" w:ascii="宋体" w:hAnsi="宋体" w:eastAsia="宋体" w:cs="宋体"/>
          <w:color w:val="000000" w:themeColor="text1"/>
          <w:sz w:val="28"/>
          <w:szCs w:val="28"/>
          <w:highlight w:val="none"/>
          <w14:textFill>
            <w14:solidFill>
              <w14:schemeClr w14:val="tx1"/>
            </w14:solidFill>
          </w14:textFill>
        </w:rPr>
      </w:pPr>
    </w:p>
    <w:p>
      <w:pPr>
        <w:pStyle w:val="2"/>
        <w:keepNext w:val="0"/>
        <w:keepLines w:val="0"/>
        <w:pageBreakBefore w:val="0"/>
        <w:widowControl w:val="0"/>
        <w:kinsoku/>
        <w:wordWrap/>
        <w:overflowPunct/>
        <w:topLinePunct w:val="0"/>
        <w:bidi w:val="0"/>
        <w:adjustRightInd/>
        <w:snapToGrid/>
        <w:spacing w:line="360" w:lineRule="auto"/>
        <w:ind w:left="0" w:leftChars="0" w:firstLine="560" w:firstLineChars="200"/>
        <w:jc w:val="left"/>
        <w:textAlignment w:val="auto"/>
        <w:rPr>
          <w:rFonts w:hint="default" w:ascii="宋体" w:hAnsi="宋体" w:eastAsia="宋体" w:cs="宋体"/>
          <w:snapToGrid/>
          <w:color w:val="000000" w:themeColor="text1"/>
          <w:kern w:val="2"/>
          <w:sz w:val="28"/>
          <w:szCs w:val="28"/>
          <w:highlight w:val="none"/>
          <w:u w:val="single"/>
          <w:lang w:val="en-US" w:eastAsia="zh-CN" w:bidi="ar-SA"/>
          <w14:textFill>
            <w14:solidFill>
              <w14:schemeClr w14:val="tx1"/>
            </w14:solidFill>
          </w14:textFill>
        </w:rPr>
      </w:pPr>
      <w:r>
        <w:rPr>
          <w:rFonts w:hint="eastAsia" w:ascii="宋体" w:hAnsi="宋体" w:eastAsia="宋体" w:cs="宋体"/>
          <w:color w:val="000000" w:themeColor="text1"/>
          <w:sz w:val="28"/>
          <w:szCs w:val="28"/>
          <w:highlight w:val="none"/>
          <w:lang w:val="en-US" w:eastAsia="zh-CN"/>
          <w14:textFill>
            <w14:solidFill>
              <w14:schemeClr w14:val="tx1"/>
            </w14:solidFill>
          </w14:textFill>
        </w:rPr>
        <w:t>标项名称：</w:t>
      </w:r>
      <w:r>
        <w:rPr>
          <w:rFonts w:hint="eastAsia" w:ascii="宋体" w:hAnsi="宋体" w:eastAsia="宋体" w:cs="宋体"/>
          <w:snapToGrid/>
          <w:color w:val="000000" w:themeColor="text1"/>
          <w:kern w:val="2"/>
          <w:sz w:val="28"/>
          <w:szCs w:val="28"/>
          <w:highlight w:val="none"/>
          <w:u w:val="single"/>
          <w:lang w:val="en-US" w:eastAsia="zh-CN" w:bidi="ar-SA"/>
          <w14:textFill>
            <w14:solidFill>
              <w14:schemeClr w14:val="tx1"/>
            </w14:solidFill>
          </w14:textFill>
        </w:rPr>
        <w:t>标项一：</w:t>
      </w:r>
      <w:r>
        <w:rPr>
          <w:rFonts w:hint="eastAsia" w:hAnsi="宋体" w:cs="宋体"/>
          <w:snapToGrid/>
          <w:color w:val="000000" w:themeColor="text1"/>
          <w:kern w:val="2"/>
          <w:sz w:val="28"/>
          <w:szCs w:val="28"/>
          <w:highlight w:val="none"/>
          <w:u w:val="single"/>
          <w:lang w:val="en-US" w:eastAsia="zh-CN" w:bidi="ar-SA"/>
          <w14:textFill>
            <w14:solidFill>
              <w14:schemeClr w14:val="tx1"/>
            </w14:solidFill>
          </w14:textFill>
        </w:rPr>
        <w:t>XXX</w:t>
      </w:r>
      <w:r>
        <w:rPr>
          <w:rFonts w:hint="eastAsia" w:ascii="宋体" w:hAnsi="宋体" w:eastAsia="宋体" w:cs="宋体"/>
          <w:snapToGrid/>
          <w:color w:val="000000" w:themeColor="text1"/>
          <w:kern w:val="2"/>
          <w:sz w:val="28"/>
          <w:szCs w:val="28"/>
          <w:highlight w:val="none"/>
          <w:u w:val="single"/>
          <w:lang w:val="en-US" w:eastAsia="zh-CN" w:bidi="ar-SA"/>
          <w14:textFill>
            <w14:solidFill>
              <w14:schemeClr w14:val="tx1"/>
            </w14:solidFill>
          </w14:textFill>
        </w:rPr>
        <w:t>/标项二：</w:t>
      </w:r>
      <w:r>
        <w:rPr>
          <w:rFonts w:hint="eastAsia" w:hAnsi="宋体" w:cs="宋体"/>
          <w:snapToGrid/>
          <w:color w:val="000000" w:themeColor="text1"/>
          <w:kern w:val="2"/>
          <w:sz w:val="28"/>
          <w:szCs w:val="28"/>
          <w:highlight w:val="none"/>
          <w:u w:val="single"/>
          <w:lang w:val="en-US" w:eastAsia="zh-CN" w:bidi="ar-SA"/>
          <w14:textFill>
            <w14:solidFill>
              <w14:schemeClr w14:val="tx1"/>
            </w14:solidFill>
          </w14:textFill>
        </w:rPr>
        <w:t xml:space="preserve">XXXX   </w:t>
      </w:r>
    </w:p>
    <w:p>
      <w:pPr>
        <w:keepNext w:val="0"/>
        <w:keepLines w:val="0"/>
        <w:pageBreakBefore w:val="0"/>
        <w:widowControl w:val="0"/>
        <w:kinsoku/>
        <w:wordWrap/>
        <w:overflowPunct/>
        <w:topLinePunct w:val="0"/>
        <w:bidi w:val="0"/>
        <w:snapToGrid w:val="0"/>
        <w:spacing w:line="360" w:lineRule="auto"/>
        <w:ind w:firstLine="480" w:firstLineChars="200"/>
        <w:textAlignment w:val="auto"/>
        <w:rPr>
          <w:rFonts w:hint="eastAsia" w:ascii="宋体" w:hAnsi="宋体" w:eastAsia="宋体" w:cs="宋体"/>
          <w:color w:val="000000" w:themeColor="text1"/>
          <w:sz w:val="24"/>
          <w:highlight w:val="none"/>
          <w14:textFill>
            <w14:solidFill>
              <w14:schemeClr w14:val="tx1"/>
            </w14:solidFill>
          </w14:textFill>
        </w:rPr>
      </w:pPr>
    </w:p>
    <w:p>
      <w:pPr>
        <w:keepNext w:val="0"/>
        <w:keepLines w:val="0"/>
        <w:pageBreakBefore w:val="0"/>
        <w:widowControl w:val="0"/>
        <w:kinsoku/>
        <w:wordWrap/>
        <w:overflowPunct/>
        <w:topLinePunct w:val="0"/>
        <w:bidi w:val="0"/>
        <w:spacing w:line="22" w:lineRule="atLeast"/>
        <w:ind w:firstLine="560" w:firstLineChars="200"/>
        <w:textAlignment w:val="auto"/>
        <w:rPr>
          <w:rFonts w:hint="eastAsia" w:ascii="宋体" w:hAnsi="宋体" w:eastAsia="宋体" w:cs="宋体"/>
          <w:color w:val="000000" w:themeColor="text1"/>
          <w:sz w:val="28"/>
          <w:szCs w:val="28"/>
          <w:highlight w:val="none"/>
          <w14:textFill>
            <w14:solidFill>
              <w14:schemeClr w14:val="tx1"/>
            </w14:solidFill>
          </w14:textFill>
        </w:rPr>
      </w:pPr>
    </w:p>
    <w:p>
      <w:pPr>
        <w:keepNext w:val="0"/>
        <w:keepLines w:val="0"/>
        <w:pageBreakBefore w:val="0"/>
        <w:widowControl w:val="0"/>
        <w:kinsoku/>
        <w:wordWrap/>
        <w:overflowPunct/>
        <w:topLinePunct w:val="0"/>
        <w:bidi w:val="0"/>
        <w:spacing w:line="22" w:lineRule="atLeast"/>
        <w:ind w:firstLine="560" w:firstLineChars="200"/>
        <w:textAlignment w:val="auto"/>
        <w:rPr>
          <w:rFonts w:hint="eastAsia" w:ascii="宋体" w:hAnsi="宋体" w:eastAsia="宋体" w:cs="宋体"/>
          <w:color w:val="000000" w:themeColor="text1"/>
          <w:sz w:val="28"/>
          <w:szCs w:val="28"/>
          <w:highlight w:val="none"/>
          <w:lang w:eastAsia="zh-CN"/>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 xml:space="preserve">甲方： </w:t>
      </w:r>
      <w:r>
        <w:rPr>
          <w:rFonts w:hint="eastAsia" w:ascii="宋体" w:hAnsi="宋体" w:eastAsia="宋体" w:cs="宋体"/>
          <w:color w:val="000000" w:themeColor="text1"/>
          <w:sz w:val="28"/>
          <w:szCs w:val="28"/>
          <w:highlight w:val="none"/>
          <w:lang w:eastAsia="zh-CN"/>
          <w14:textFill>
            <w14:solidFill>
              <w14:schemeClr w14:val="tx1"/>
            </w14:solidFill>
          </w14:textFill>
        </w:rPr>
        <w:t xml:space="preserve">杭州市拱墅区综合行政执法局  </w:t>
      </w:r>
    </w:p>
    <w:p>
      <w:pPr>
        <w:keepNext w:val="0"/>
        <w:keepLines w:val="0"/>
        <w:pageBreakBefore w:val="0"/>
        <w:widowControl w:val="0"/>
        <w:kinsoku/>
        <w:wordWrap/>
        <w:overflowPunct/>
        <w:topLinePunct w:val="0"/>
        <w:bidi w:val="0"/>
        <w:spacing w:line="22" w:lineRule="atLeast"/>
        <w:ind w:firstLine="560" w:firstLineChars="200"/>
        <w:textAlignment w:val="auto"/>
        <w:rPr>
          <w:rFonts w:hint="eastAsia" w:ascii="宋体" w:hAnsi="宋体" w:eastAsia="宋体" w:cs="宋体"/>
          <w:color w:val="000000" w:themeColor="text1"/>
          <w:sz w:val="28"/>
          <w:szCs w:val="28"/>
          <w:highlight w:val="none"/>
          <w14:textFill>
            <w14:solidFill>
              <w14:schemeClr w14:val="tx1"/>
            </w14:solidFill>
          </w14:textFill>
        </w:rPr>
      </w:pPr>
    </w:p>
    <w:p>
      <w:pPr>
        <w:keepNext w:val="0"/>
        <w:keepLines w:val="0"/>
        <w:pageBreakBefore w:val="0"/>
        <w:widowControl w:val="0"/>
        <w:kinsoku/>
        <w:wordWrap/>
        <w:overflowPunct/>
        <w:topLinePunct w:val="0"/>
        <w:bidi w:val="0"/>
        <w:spacing w:line="22" w:lineRule="atLeast"/>
        <w:ind w:firstLine="560" w:firstLineChars="200"/>
        <w:textAlignment w:val="auto"/>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乙方：【</w:t>
      </w:r>
      <w:r>
        <w:rPr>
          <w:rFonts w:hint="eastAsia" w:ascii="宋体" w:hAnsi="宋体" w:eastAsia="宋体" w:cs="宋体"/>
          <w:color w:val="000000" w:themeColor="text1"/>
          <w:sz w:val="28"/>
          <w:szCs w:val="28"/>
          <w:highlight w:val="none"/>
          <w:lang w:val="en-US" w:eastAsia="zh-CN"/>
          <w14:textFill>
            <w14:solidFill>
              <w14:schemeClr w14:val="tx1"/>
            </w14:solidFill>
          </w14:textFill>
        </w:rPr>
        <w:t xml:space="preserve">  </w:t>
      </w:r>
      <w:r>
        <w:rPr>
          <w:rFonts w:hint="eastAsia" w:ascii="宋体" w:hAnsi="宋体" w:eastAsia="宋体" w:cs="宋体"/>
          <w:color w:val="000000" w:themeColor="text1"/>
          <w:sz w:val="28"/>
          <w:szCs w:val="28"/>
          <w:highlight w:val="none"/>
          <w14:textFill>
            <w14:solidFill>
              <w14:schemeClr w14:val="tx1"/>
            </w14:solidFill>
          </w14:textFill>
        </w:rPr>
        <w:t>】</w:t>
      </w:r>
    </w:p>
    <w:p>
      <w:pPr>
        <w:pageBreakBefore w:val="0"/>
        <w:kinsoku/>
        <w:overflowPunct/>
        <w:topLinePunct w:val="0"/>
        <w:bidi w:val="0"/>
        <w:snapToGrid w:val="0"/>
        <w:spacing w:line="360" w:lineRule="auto"/>
        <w:rPr>
          <w:rFonts w:hint="eastAsia" w:ascii="宋体" w:hAnsi="宋体" w:eastAsia="宋体" w:cs="宋体"/>
          <w:color w:val="000000" w:themeColor="text1"/>
          <w:sz w:val="24"/>
          <w:highlight w:val="none"/>
          <w14:textFill>
            <w14:solidFill>
              <w14:schemeClr w14:val="tx1"/>
            </w14:solidFill>
          </w14:textFill>
        </w:rPr>
      </w:pPr>
    </w:p>
    <w:p>
      <w:pPr>
        <w:pageBreakBefore w:val="0"/>
        <w:kinsoku/>
        <w:overflowPunct/>
        <w:topLinePunct w:val="0"/>
        <w:bidi w:val="0"/>
        <w:snapToGrid w:val="0"/>
        <w:spacing w:line="360" w:lineRule="auto"/>
        <w:rPr>
          <w:rFonts w:hint="eastAsia" w:ascii="宋体" w:hAnsi="宋体" w:eastAsia="宋体" w:cs="宋体"/>
          <w:color w:val="000000" w:themeColor="text1"/>
          <w:sz w:val="24"/>
          <w:highlight w:val="none"/>
          <w14:textFill>
            <w14:solidFill>
              <w14:schemeClr w14:val="tx1"/>
            </w14:solidFill>
          </w14:textFill>
        </w:rPr>
      </w:pPr>
    </w:p>
    <w:p>
      <w:pPr>
        <w:pageBreakBefore w:val="0"/>
        <w:kinsoku/>
        <w:overflowPunct/>
        <w:topLinePunct w:val="0"/>
        <w:bidi w:val="0"/>
        <w:snapToGrid w:val="0"/>
        <w:spacing w:line="360" w:lineRule="auto"/>
        <w:ind w:firstLine="56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签署日期：</w:t>
      </w:r>
      <w:r>
        <w:rPr>
          <w:rFonts w:hint="eastAsia" w:ascii="宋体" w:hAnsi="宋体" w:eastAsia="宋体" w:cs="宋体"/>
          <w:color w:val="000000" w:themeColor="text1"/>
          <w:sz w:val="28"/>
          <w:szCs w:val="28"/>
          <w:highlight w:val="none"/>
          <w:u w:val="single"/>
          <w14:textFill>
            <w14:solidFill>
              <w14:schemeClr w14:val="tx1"/>
            </w14:solidFill>
          </w14:textFill>
        </w:rPr>
        <w:t>2023年</w:t>
      </w:r>
      <w:r>
        <w:rPr>
          <w:rFonts w:hint="eastAsia" w:ascii="宋体" w:hAnsi="宋体" w:cs="宋体"/>
          <w:color w:val="000000" w:themeColor="text1"/>
          <w:sz w:val="28"/>
          <w:szCs w:val="28"/>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8"/>
          <w:szCs w:val="28"/>
          <w:highlight w:val="none"/>
          <w:u w:val="single"/>
          <w14:textFill>
            <w14:solidFill>
              <w14:schemeClr w14:val="tx1"/>
            </w14:solidFill>
          </w14:textFill>
        </w:rPr>
        <w:t>月</w:t>
      </w:r>
      <w:r>
        <w:rPr>
          <w:rFonts w:hint="eastAsia" w:ascii="宋体" w:hAnsi="宋体" w:eastAsia="宋体" w:cs="宋体"/>
          <w:color w:val="000000" w:themeColor="text1"/>
          <w:sz w:val="28"/>
          <w:szCs w:val="28"/>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8"/>
          <w:szCs w:val="28"/>
          <w:highlight w:val="none"/>
          <w:u w:val="single"/>
          <w14:textFill>
            <w14:solidFill>
              <w14:schemeClr w14:val="tx1"/>
            </w14:solidFill>
          </w14:textFill>
        </w:rPr>
        <w:t>日</w:t>
      </w:r>
    </w:p>
    <w:p>
      <w:pPr>
        <w:pageBreakBefore w:val="0"/>
        <w:kinsoku/>
        <w:overflowPunct/>
        <w:topLinePunct w:val="0"/>
        <w:bidi w:val="0"/>
        <w:snapToGrid w:val="0"/>
        <w:spacing w:line="360" w:lineRule="auto"/>
        <w:rPr>
          <w:rFonts w:hint="eastAsia" w:ascii="宋体" w:hAnsi="宋体" w:eastAsia="宋体" w:cs="宋体"/>
          <w:color w:val="000000" w:themeColor="text1"/>
          <w:szCs w:val="21"/>
          <w:highlight w:val="none"/>
          <w14:textFill>
            <w14:solidFill>
              <w14:schemeClr w14:val="tx1"/>
            </w14:solidFill>
          </w14:textFill>
        </w:rPr>
      </w:pPr>
    </w:p>
    <w:p>
      <w:pPr>
        <w:pageBreakBefore w:val="0"/>
        <w:kinsoku/>
        <w:overflowPunct/>
        <w:topLinePunct w:val="0"/>
        <w:bidi w:val="0"/>
        <w:snapToGrid w:val="0"/>
        <w:spacing w:line="360" w:lineRule="auto"/>
        <w:rPr>
          <w:rFonts w:hint="eastAsia" w:ascii="宋体" w:hAnsi="宋体" w:eastAsia="宋体" w:cs="宋体"/>
          <w:b/>
          <w:color w:val="000000" w:themeColor="text1"/>
          <w:highlight w:val="none"/>
          <w14:textFill>
            <w14:solidFill>
              <w14:schemeClr w14:val="tx1"/>
            </w14:solidFill>
          </w14:textFill>
        </w:rPr>
      </w:pPr>
    </w:p>
    <w:p>
      <w:pPr>
        <w:pageBreakBefore w:val="0"/>
        <w:kinsoku/>
        <w:overflowPunct/>
        <w:topLinePunct w:val="0"/>
        <w:bidi w:val="0"/>
        <w:snapToGrid w:val="0"/>
        <w:spacing w:line="360" w:lineRule="auto"/>
        <w:jc w:val="center"/>
        <w:rPr>
          <w:rFonts w:hint="eastAsia"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br w:type="page"/>
      </w:r>
      <w:r>
        <w:rPr>
          <w:rFonts w:hint="eastAsia" w:ascii="宋体" w:hAnsi="宋体" w:eastAsia="宋体" w:cs="宋体"/>
          <w:b/>
          <w:color w:val="000000" w:themeColor="text1"/>
          <w:sz w:val="24"/>
          <w:szCs w:val="24"/>
          <w:highlight w:val="none"/>
          <w14:textFill>
            <w14:solidFill>
              <w14:schemeClr w14:val="tx1"/>
            </w14:solidFill>
          </w14:textFill>
        </w:rPr>
        <w:t>（本合同为合同样稿，最终稿由双方协商后确定）</w:t>
      </w:r>
    </w:p>
    <w:p>
      <w:pPr>
        <w:pStyle w:val="34"/>
        <w:pageBreakBefore w:val="0"/>
        <w:shd w:val="clear" w:color="auto" w:fill="FFFFFF"/>
        <w:kinsoku/>
        <w:overflowPunct/>
        <w:topLinePunct w:val="0"/>
        <w:bidi w:val="0"/>
        <w:snapToGrid w:val="0"/>
        <w:spacing w:line="360" w:lineRule="auto"/>
        <w:jc w:val="center"/>
        <w:rPr>
          <w:rFonts w:hint="eastAsia" w:ascii="宋体" w:hAnsi="宋体" w:eastAsia="宋体" w:cs="宋体"/>
          <w:color w:val="000000" w:themeColor="text1"/>
          <w:highlight w:val="none"/>
          <w14:textFill>
            <w14:solidFill>
              <w14:schemeClr w14:val="tx1"/>
            </w14:solidFill>
          </w14:textFill>
        </w:rPr>
      </w:pPr>
    </w:p>
    <w:p>
      <w:pPr>
        <w:pageBreakBefore w:val="0"/>
        <w:kinsoku/>
        <w:overflowPunct/>
        <w:topLinePunct w:val="0"/>
        <w:bidi w:val="0"/>
        <w:snapToGrid w:val="0"/>
        <w:spacing w:line="360" w:lineRule="auto"/>
        <w:jc w:val="right"/>
        <w:rPr>
          <w:rFonts w:hint="eastAsia" w:ascii="宋体" w:hAnsi="宋体" w:eastAsia="宋体" w:cs="宋体"/>
          <w:color w:val="000000" w:themeColor="text1"/>
          <w:sz w:val="24"/>
          <w:szCs w:val="24"/>
          <w:highlight w:val="none"/>
          <w14:textFill>
            <w14:solidFill>
              <w14:schemeClr w14:val="tx1"/>
            </w14:solidFill>
          </w14:textFill>
        </w:rPr>
      </w:pPr>
      <w:bookmarkStart w:id="401" w:name="_Toc350327365"/>
      <w:bookmarkStart w:id="402" w:name="_Toc339872468"/>
      <w:bookmarkStart w:id="403" w:name="_Toc326765771"/>
      <w:bookmarkStart w:id="404" w:name="_Toc349721554"/>
      <w:bookmarkStart w:id="405" w:name="_Toc328381300"/>
      <w:r>
        <w:rPr>
          <w:rFonts w:hint="eastAsia" w:ascii="宋体" w:hAnsi="宋体" w:eastAsia="宋体" w:cs="宋体"/>
          <w:color w:val="000000" w:themeColor="text1"/>
          <w:sz w:val="24"/>
          <w:szCs w:val="24"/>
          <w:highlight w:val="none"/>
          <w14:textFill>
            <w14:solidFill>
              <w14:schemeClr w14:val="tx1"/>
            </w14:solidFill>
          </w14:textFill>
        </w:rPr>
        <w:t xml:space="preserve">                          合同编号：        </w:t>
      </w:r>
    </w:p>
    <w:bookmarkEnd w:id="401"/>
    <w:bookmarkEnd w:id="402"/>
    <w:bookmarkEnd w:id="403"/>
    <w:bookmarkEnd w:id="404"/>
    <w:bookmarkEnd w:id="405"/>
    <w:p>
      <w:pPr>
        <w:spacing w:line="360" w:lineRule="auto"/>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甲方：</w:t>
      </w:r>
    </w:p>
    <w:p>
      <w:pPr>
        <w:spacing w:line="360" w:lineRule="auto"/>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乙方：</w:t>
      </w:r>
    </w:p>
    <w:p>
      <w:pPr>
        <w:spacing w:line="360" w:lineRule="auto"/>
        <w:jc w:val="left"/>
        <w:rPr>
          <w:rFonts w:hint="eastAsia" w:ascii="宋体" w:hAnsi="宋体" w:eastAsia="宋体" w:cs="宋体"/>
          <w:color w:val="000000" w:themeColor="text1"/>
          <w:sz w:val="24"/>
          <w:szCs w:val="24"/>
          <w:highlight w:val="none"/>
          <w14:textFill>
            <w14:solidFill>
              <w14:schemeClr w14:val="tx1"/>
            </w14:solidFill>
          </w14:textFill>
        </w:rPr>
      </w:pPr>
    </w:p>
    <w:p>
      <w:pPr>
        <w:spacing w:line="360" w:lineRule="auto"/>
        <w:ind w:firstLine="480" w:firstLineChars="200"/>
        <w:jc w:val="left"/>
        <w:rPr>
          <w:rFonts w:hint="eastAsia" w:ascii="宋体" w:hAnsi="宋体" w:eastAsia="宋体" w:cs="宋体"/>
          <w:color w:val="000000" w:themeColor="text1"/>
          <w:sz w:val="24"/>
          <w:szCs w:val="24"/>
          <w:highlight w:val="none"/>
          <w:u w:val="singl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根据《</w:t>
      </w:r>
      <w:r>
        <w:rPr>
          <w:rFonts w:hint="eastAsia" w:ascii="宋体" w:hAnsi="宋体" w:eastAsia="宋体" w:cs="宋体"/>
          <w:color w:val="000000" w:themeColor="text1"/>
          <w:sz w:val="24"/>
          <w:szCs w:val="24"/>
          <w:highlight w:val="none"/>
          <w:lang w:val="en-US" w:eastAsia="zh-CN"/>
          <w14:textFill>
            <w14:solidFill>
              <w14:schemeClr w14:val="tx1"/>
            </w14:solidFill>
          </w14:textFill>
        </w:rPr>
        <w:t>中华人民共和国民法典</w:t>
      </w:r>
      <w:r>
        <w:rPr>
          <w:rFonts w:hint="eastAsia" w:ascii="宋体" w:hAnsi="宋体" w:eastAsia="宋体" w:cs="宋体"/>
          <w:color w:val="000000" w:themeColor="text1"/>
          <w:sz w:val="24"/>
          <w:szCs w:val="24"/>
          <w:highlight w:val="none"/>
          <w14:textFill>
            <w14:solidFill>
              <w14:schemeClr w14:val="tx1"/>
            </w14:solidFill>
          </w14:textFill>
        </w:rPr>
        <w:t>》的规定和</w:t>
      </w:r>
      <w:r>
        <w:rPr>
          <w:rFonts w:hint="eastAsia" w:ascii="宋体" w:hAnsi="宋体" w:eastAsia="宋体" w:cs="宋体"/>
          <w:color w:val="000000" w:themeColor="text1"/>
          <w:sz w:val="24"/>
          <w:szCs w:val="24"/>
          <w:highlight w:val="none"/>
          <w:lang w:eastAsia="zh-CN"/>
          <w14:textFill>
            <w14:solidFill>
              <w14:schemeClr w14:val="tx1"/>
            </w14:solidFill>
          </w14:textFill>
        </w:rPr>
        <w:t>采购文件</w:t>
      </w:r>
      <w:r>
        <w:rPr>
          <w:rFonts w:hint="eastAsia" w:ascii="宋体" w:hAnsi="宋体" w:eastAsia="宋体" w:cs="宋体"/>
          <w:color w:val="000000" w:themeColor="text1"/>
          <w:sz w:val="24"/>
          <w:szCs w:val="24"/>
          <w:highlight w:val="none"/>
          <w14:textFill>
            <w14:solidFill>
              <w14:schemeClr w14:val="tx1"/>
            </w14:solidFill>
          </w14:textFill>
        </w:rPr>
        <w:t>（编号：</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）的有关要求，合同双方就</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项目标项一：XXX/标项二：XXXX</w:t>
      </w:r>
      <w:r>
        <w:rPr>
          <w:rFonts w:hint="eastAsia" w:ascii="宋体" w:hAnsi="宋体" w:eastAsia="宋体" w:cs="宋体"/>
          <w:color w:val="000000" w:themeColor="text1"/>
          <w:sz w:val="24"/>
          <w:szCs w:val="24"/>
          <w:highlight w:val="none"/>
          <w14:textFill>
            <w14:solidFill>
              <w14:schemeClr w14:val="tx1"/>
            </w14:solidFill>
          </w14:textFill>
        </w:rPr>
        <w:t>经协商一致，签订本合同。</w:t>
      </w:r>
    </w:p>
    <w:p>
      <w:pPr>
        <w:spacing w:line="360" w:lineRule="auto"/>
        <w:jc w:val="left"/>
        <w:outlineLvl w:val="1"/>
        <w:rPr>
          <w:rFonts w:hint="eastAsia" w:ascii="宋体" w:hAnsi="宋体" w:eastAsia="宋体" w:cs="宋体"/>
          <w:b/>
          <w:color w:val="000000" w:themeColor="text1"/>
          <w:sz w:val="24"/>
          <w:szCs w:val="24"/>
          <w:highlight w:val="none"/>
          <w14:textFill>
            <w14:solidFill>
              <w14:schemeClr w14:val="tx1"/>
            </w14:solidFill>
          </w14:textFill>
        </w:rPr>
      </w:pPr>
      <w:bookmarkStart w:id="406" w:name="_Toc42254989"/>
      <w:r>
        <w:rPr>
          <w:rFonts w:hint="eastAsia" w:ascii="宋体" w:hAnsi="宋体" w:eastAsia="宋体" w:cs="宋体"/>
          <w:b/>
          <w:color w:val="000000" w:themeColor="text1"/>
          <w:sz w:val="24"/>
          <w:szCs w:val="24"/>
          <w:highlight w:val="none"/>
          <w14:textFill>
            <w14:solidFill>
              <w14:schemeClr w14:val="tx1"/>
            </w14:solidFill>
          </w14:textFill>
        </w:rPr>
        <w:t>一、服务内容、形式、要求</w:t>
      </w:r>
      <w:bookmarkEnd w:id="406"/>
    </w:p>
    <w:p>
      <w:pPr>
        <w:spacing w:line="360" w:lineRule="auto"/>
        <w:ind w:firstLine="36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1、综合养护服务内容：</w:t>
      </w:r>
    </w:p>
    <w:p>
      <w:pPr>
        <w:spacing w:line="360" w:lineRule="auto"/>
        <w:ind w:firstLine="360"/>
        <w:jc w:val="left"/>
        <w:rPr>
          <w:rFonts w:hint="eastAsia"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乙方根据甲方要求</w:t>
      </w:r>
      <w:r>
        <w:rPr>
          <w:rFonts w:hint="eastAsia" w:ascii="宋体" w:hAnsi="宋体" w:eastAsia="宋体" w:cs="宋体"/>
          <w:color w:val="000000" w:themeColor="text1"/>
          <w:sz w:val="24"/>
          <w:szCs w:val="24"/>
          <w:highlight w:val="none"/>
          <w:lang w:val="en-US" w:eastAsia="zh-CN"/>
          <w14:textFill>
            <w14:solidFill>
              <w14:schemeClr w14:val="tx1"/>
            </w14:solidFill>
          </w14:textFill>
        </w:rPr>
        <w:t>为</w:t>
      </w:r>
      <w:r>
        <w:rPr>
          <w:rFonts w:hint="eastAsia" w:ascii="宋体" w:hAnsi="宋体" w:eastAsia="宋体" w:cs="宋体"/>
          <w:color w:val="000000" w:themeColor="text1"/>
          <w:sz w:val="24"/>
          <w:szCs w:val="24"/>
          <w:highlight w:val="none"/>
          <w14:textFill>
            <w14:solidFill>
              <w14:schemeClr w14:val="tx1"/>
            </w14:solidFill>
          </w14:textFill>
        </w:rPr>
        <w:t>拱墅区</w:t>
      </w:r>
      <w:r>
        <w:rPr>
          <w:rFonts w:hint="eastAsia" w:ascii="宋体" w:hAnsi="宋体" w:eastAsia="宋体" w:cs="宋体"/>
          <w:color w:val="000000" w:themeColor="text1"/>
          <w:sz w:val="24"/>
          <w:szCs w:val="24"/>
          <w:highlight w:val="none"/>
          <w:u w:val="single"/>
          <w:lang w:eastAsia="zh-CN"/>
          <w14:textFill>
            <w14:solidFill>
              <w14:schemeClr w14:val="tx1"/>
            </w14:solidFill>
          </w14:textFill>
        </w:rPr>
        <w:t>（</w:t>
      </w:r>
      <w:r>
        <w:rPr>
          <w:rFonts w:hint="eastAsia" w:ascii="宋体" w:hAnsi="宋体" w:eastAsia="宋体" w:cs="宋体"/>
          <w:color w:val="000000" w:themeColor="text1"/>
          <w:sz w:val="24"/>
          <w:szCs w:val="24"/>
          <w:highlight w:val="none"/>
          <w:u w:val="single"/>
          <w14:textFill>
            <w14:solidFill>
              <w14:schemeClr w14:val="tx1"/>
            </w14:solidFill>
          </w14:textFill>
        </w:rPr>
        <w:t>临丁路等7条</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w:t>
      </w:r>
      <w:r>
        <w:rPr>
          <w:rFonts w:hint="eastAsia" w:ascii="宋体" w:hAnsi="宋体" w:eastAsia="宋体" w:cs="宋体"/>
          <w:color w:val="000000" w:themeColor="text1"/>
          <w:sz w:val="24"/>
          <w:szCs w:val="24"/>
          <w:highlight w:val="none"/>
          <w:u w:val="single"/>
          <w14:textFill>
            <w14:solidFill>
              <w14:schemeClr w14:val="tx1"/>
            </w14:solidFill>
          </w14:textFill>
        </w:rPr>
        <w:t>东新路等8条</w:t>
      </w:r>
      <w:r>
        <w:rPr>
          <w:rFonts w:hint="eastAsia" w:ascii="宋体" w:hAnsi="宋体" w:eastAsia="宋体" w:cs="宋体"/>
          <w:color w:val="000000" w:themeColor="text1"/>
          <w:sz w:val="24"/>
          <w:szCs w:val="24"/>
          <w:highlight w:val="none"/>
          <w:u w:val="singl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市属区管道路市政环卫一体化综合养护</w:t>
      </w:r>
      <w:r>
        <w:rPr>
          <w:rFonts w:hint="eastAsia" w:ascii="宋体" w:hAnsi="宋体" w:eastAsia="宋体" w:cs="宋体"/>
          <w:color w:val="000000" w:themeColor="text1"/>
          <w:sz w:val="24"/>
          <w:szCs w:val="24"/>
          <w:highlight w:val="none"/>
          <w:lang w:val="en-US" w:eastAsia="zh-CN"/>
          <w14:textFill>
            <w14:solidFill>
              <w14:schemeClr w14:val="tx1"/>
            </w14:solidFill>
          </w14:textFill>
        </w:rPr>
        <w:t>提供</w:t>
      </w:r>
      <w:r>
        <w:rPr>
          <w:rFonts w:hint="eastAsia" w:ascii="宋体" w:hAnsi="宋体" w:eastAsia="宋体" w:cs="宋体"/>
          <w:color w:val="000000" w:themeColor="text1"/>
          <w:sz w:val="24"/>
          <w:szCs w:val="24"/>
          <w:highlight w:val="none"/>
          <w14:textFill>
            <w14:solidFill>
              <w14:schemeClr w14:val="tx1"/>
            </w14:solidFill>
          </w14:textFill>
        </w:rPr>
        <w:t>服务</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包含</w:t>
      </w:r>
      <w:r>
        <w:rPr>
          <w:rFonts w:hint="eastAsia" w:ascii="宋体" w:hAnsi="宋体" w:eastAsia="宋体" w:cs="宋体"/>
          <w:color w:val="000000" w:themeColor="text1"/>
          <w:sz w:val="24"/>
          <w:szCs w:val="24"/>
          <w:highlight w:val="none"/>
          <w:lang w:val="en-US" w:eastAsia="zh-CN"/>
          <w14:textFill>
            <w14:solidFill>
              <w14:schemeClr w14:val="tx1"/>
            </w14:solidFill>
          </w14:textFill>
        </w:rPr>
        <w:t>采购</w:t>
      </w:r>
      <w:r>
        <w:rPr>
          <w:rFonts w:hint="eastAsia" w:ascii="宋体" w:hAnsi="宋体" w:eastAsia="宋体" w:cs="宋体"/>
          <w:color w:val="000000" w:themeColor="text1"/>
          <w:sz w:val="24"/>
          <w:szCs w:val="24"/>
          <w:highlight w:val="none"/>
          <w14:textFill>
            <w14:solidFill>
              <w14:schemeClr w14:val="tx1"/>
            </w14:solidFill>
          </w14:textFill>
        </w:rPr>
        <w:t>范围内道路综合性养护包括道路路面、绿地保洁（路侧绿地、中央隔离带、机非隔离带绿地以道路侧石边线为基准向相应绿地范围内推算1米范围的绿地作为绿地保洁范围）、沿线牛皮癣清除、无主垃圾及废土清除，以及道路范围内所有环卫设施、交通隔离墩（栏）、路灯杆、交通杆等城市家具的保洁；道路路面、人行道、排水、桥梁等各项设施的检查、小修；养护范围内防汛防台、抗雪防冻、突发事件的应急处理及重大活动保障的配合工作等内容</w:t>
      </w:r>
      <w:r>
        <w:rPr>
          <w:rFonts w:hint="eastAsia" w:ascii="宋体" w:hAnsi="宋体" w:eastAsia="宋体" w:cs="宋体"/>
          <w:b w:val="0"/>
          <w:bCs/>
          <w:color w:val="000000" w:themeColor="text1"/>
          <w:sz w:val="24"/>
          <w:szCs w:val="24"/>
          <w:highlight w:val="none"/>
          <w14:textFill>
            <w14:solidFill>
              <w14:schemeClr w14:val="tx1"/>
            </w14:solidFill>
          </w14:textFill>
        </w:rPr>
        <w:t>,具体单项养护工作以正式移交时间为准。如遇原道路保洁合同未到期，养护期按原保洁合同到期后开始计算。</w:t>
      </w:r>
      <w:r>
        <w:rPr>
          <w:rFonts w:hint="eastAsia" w:ascii="宋体" w:hAnsi="宋体" w:eastAsia="宋体" w:cs="宋体"/>
          <w:b/>
          <w:color w:val="000000" w:themeColor="text1"/>
          <w:sz w:val="24"/>
          <w:szCs w:val="24"/>
          <w:highlight w:val="none"/>
          <w14:textFill>
            <w14:solidFill>
              <w14:schemeClr w14:val="tx1"/>
            </w14:solidFill>
          </w14:textFill>
        </w:rPr>
        <w:t>具体见</w:t>
      </w:r>
      <w:r>
        <w:rPr>
          <w:rFonts w:hint="eastAsia" w:ascii="宋体" w:hAnsi="宋体" w:eastAsia="宋体" w:cs="宋体"/>
          <w:b/>
          <w:color w:val="000000" w:themeColor="text1"/>
          <w:sz w:val="24"/>
          <w:szCs w:val="24"/>
          <w:highlight w:val="none"/>
          <w:lang w:eastAsia="zh-CN"/>
          <w14:textFill>
            <w14:solidFill>
              <w14:schemeClr w14:val="tx1"/>
            </w14:solidFill>
          </w14:textFill>
        </w:rPr>
        <w:t>采购文件</w:t>
      </w:r>
      <w:r>
        <w:rPr>
          <w:rFonts w:hint="eastAsia" w:ascii="宋体" w:hAnsi="宋体" w:eastAsia="宋体" w:cs="宋体"/>
          <w:b/>
          <w:color w:val="000000" w:themeColor="text1"/>
          <w:sz w:val="24"/>
          <w:szCs w:val="24"/>
          <w:highlight w:val="none"/>
          <w14:textFill>
            <w14:solidFill>
              <w14:schemeClr w14:val="tx1"/>
            </w14:solidFill>
          </w14:textFill>
        </w:rPr>
        <w:t>第三部分（签订合同时后附）</w:t>
      </w:r>
    </w:p>
    <w:p>
      <w:pPr>
        <w:spacing w:line="360" w:lineRule="auto"/>
        <w:ind w:firstLine="360"/>
        <w:jc w:val="left"/>
        <w:rPr>
          <w:rFonts w:hint="eastAsia"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b/>
          <w:color w:val="000000" w:themeColor="text1"/>
          <w:sz w:val="24"/>
          <w:szCs w:val="24"/>
          <w:highlight w:val="none"/>
          <w14:textFill>
            <w14:solidFill>
              <w14:schemeClr w14:val="tx1"/>
            </w14:solidFill>
          </w14:textFill>
        </w:rPr>
        <w:t>道路市政养护设施量清单如下：</w:t>
      </w:r>
    </w:p>
    <w:p>
      <w:pPr>
        <w:spacing w:line="360" w:lineRule="auto"/>
        <w:ind w:firstLine="360"/>
        <w:jc w:val="left"/>
        <w:rPr>
          <w:rFonts w:hint="eastAsia"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b/>
          <w:color w:val="000000" w:themeColor="text1"/>
          <w:sz w:val="24"/>
          <w:szCs w:val="24"/>
          <w:highlight w:val="none"/>
          <w14:textFill>
            <w14:solidFill>
              <w14:schemeClr w14:val="tx1"/>
            </w14:solidFill>
          </w14:textFill>
        </w:rPr>
        <w:t>附设施量明细清单,具体见</w:t>
      </w:r>
      <w:r>
        <w:rPr>
          <w:rFonts w:hint="eastAsia" w:ascii="宋体" w:hAnsi="宋体" w:eastAsia="宋体" w:cs="宋体"/>
          <w:b/>
          <w:color w:val="000000" w:themeColor="text1"/>
          <w:sz w:val="24"/>
          <w:szCs w:val="24"/>
          <w:highlight w:val="none"/>
          <w:lang w:eastAsia="zh-CN"/>
          <w14:textFill>
            <w14:solidFill>
              <w14:schemeClr w14:val="tx1"/>
            </w14:solidFill>
          </w14:textFill>
        </w:rPr>
        <w:t>采购文件</w:t>
      </w:r>
      <w:r>
        <w:rPr>
          <w:rFonts w:hint="eastAsia" w:ascii="宋体" w:hAnsi="宋体" w:eastAsia="宋体" w:cs="宋体"/>
          <w:b/>
          <w:color w:val="000000" w:themeColor="text1"/>
          <w:sz w:val="24"/>
          <w:szCs w:val="24"/>
          <w:highlight w:val="none"/>
          <w14:textFill>
            <w14:solidFill>
              <w14:schemeClr w14:val="tx1"/>
            </w14:solidFill>
          </w14:textFill>
        </w:rPr>
        <w:t>第三部分（具体签订合同时后附）</w:t>
      </w:r>
    </w:p>
    <w:p>
      <w:pPr>
        <w:spacing w:line="360" w:lineRule="auto"/>
        <w:ind w:firstLine="360"/>
        <w:jc w:val="left"/>
        <w:rPr>
          <w:rFonts w:hint="eastAsia"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b/>
          <w:color w:val="000000" w:themeColor="text1"/>
          <w:sz w:val="24"/>
          <w:szCs w:val="24"/>
          <w:highlight w:val="none"/>
          <w14:textFill>
            <w14:solidFill>
              <w14:schemeClr w14:val="tx1"/>
            </w14:solidFill>
          </w14:textFill>
        </w:rPr>
        <w:t>随路桥梁设施量明细,具体见</w:t>
      </w:r>
      <w:r>
        <w:rPr>
          <w:rFonts w:hint="eastAsia" w:ascii="宋体" w:hAnsi="宋体" w:eastAsia="宋体" w:cs="宋体"/>
          <w:b/>
          <w:color w:val="000000" w:themeColor="text1"/>
          <w:sz w:val="24"/>
          <w:szCs w:val="24"/>
          <w:highlight w:val="none"/>
          <w:lang w:eastAsia="zh-CN"/>
          <w14:textFill>
            <w14:solidFill>
              <w14:schemeClr w14:val="tx1"/>
            </w14:solidFill>
          </w14:textFill>
        </w:rPr>
        <w:t>采购文件</w:t>
      </w:r>
      <w:r>
        <w:rPr>
          <w:rFonts w:hint="eastAsia" w:ascii="宋体" w:hAnsi="宋体" w:eastAsia="宋体" w:cs="宋体"/>
          <w:b/>
          <w:color w:val="000000" w:themeColor="text1"/>
          <w:sz w:val="24"/>
          <w:szCs w:val="24"/>
          <w:highlight w:val="none"/>
          <w14:textFill>
            <w14:solidFill>
              <w14:schemeClr w14:val="tx1"/>
            </w14:solidFill>
          </w14:textFill>
        </w:rPr>
        <w:t>第三部分（具体签订合同时后附）</w:t>
      </w:r>
    </w:p>
    <w:p>
      <w:pPr>
        <w:spacing w:line="360" w:lineRule="auto"/>
        <w:ind w:firstLine="482" w:firstLineChars="200"/>
        <w:jc w:val="left"/>
        <w:rPr>
          <w:rFonts w:hint="eastAsia"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b/>
          <w:color w:val="000000" w:themeColor="text1"/>
          <w:sz w:val="24"/>
          <w:szCs w:val="24"/>
          <w:highlight w:val="none"/>
          <w14:textFill>
            <w14:solidFill>
              <w14:schemeClr w14:val="tx1"/>
            </w14:solidFill>
          </w14:textFill>
        </w:rPr>
        <w:t>2、养护形式：</w:t>
      </w:r>
    </w:p>
    <w:p>
      <w:pPr>
        <w:spacing w:line="360" w:lineRule="auto"/>
        <w:ind w:firstLine="465"/>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乙方按照投标文件中相应技术规范和服务要求组织专业队伍实施，甲方负责养护期内对乙方的考核。</w:t>
      </w:r>
    </w:p>
    <w:p>
      <w:pPr>
        <w:spacing w:line="360" w:lineRule="auto"/>
        <w:ind w:firstLine="465"/>
        <w:jc w:val="left"/>
        <w:rPr>
          <w:rFonts w:hint="eastAsia"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b/>
          <w:color w:val="000000" w:themeColor="text1"/>
          <w:sz w:val="24"/>
          <w:szCs w:val="24"/>
          <w:highlight w:val="none"/>
          <w14:textFill>
            <w14:solidFill>
              <w14:schemeClr w14:val="tx1"/>
            </w14:solidFill>
          </w14:textFill>
        </w:rPr>
        <w:t>3、养护技术要求：</w:t>
      </w:r>
    </w:p>
    <w:p>
      <w:pPr>
        <w:spacing w:line="360" w:lineRule="auto"/>
        <w:ind w:firstLine="360" w:firstLineChars="15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按照</w:t>
      </w:r>
      <w:r>
        <w:rPr>
          <w:rFonts w:hint="eastAsia" w:ascii="宋体" w:hAnsi="宋体" w:eastAsia="宋体" w:cs="宋体"/>
          <w:color w:val="000000" w:themeColor="text1"/>
          <w:sz w:val="24"/>
          <w:szCs w:val="24"/>
          <w:highlight w:val="none"/>
          <w:lang w:eastAsia="zh-CN"/>
          <w14:textFill>
            <w14:solidFill>
              <w14:schemeClr w14:val="tx1"/>
            </w14:solidFill>
          </w14:textFill>
        </w:rPr>
        <w:t>采购文件</w:t>
      </w:r>
      <w:r>
        <w:rPr>
          <w:rFonts w:hint="eastAsia" w:ascii="宋体" w:hAnsi="宋体" w:eastAsia="宋体" w:cs="宋体"/>
          <w:color w:val="000000" w:themeColor="text1"/>
          <w:sz w:val="24"/>
          <w:szCs w:val="24"/>
          <w:highlight w:val="none"/>
          <w14:textFill>
            <w14:solidFill>
              <w14:schemeClr w14:val="tx1"/>
            </w14:solidFill>
          </w14:textFill>
        </w:rPr>
        <w:t>（编号：</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）第三部分——项目技术规范和服务要求执行。</w:t>
      </w:r>
    </w:p>
    <w:p>
      <w:pPr>
        <w:spacing w:line="360" w:lineRule="auto"/>
        <w:jc w:val="left"/>
        <w:outlineLvl w:val="1"/>
        <w:rPr>
          <w:rFonts w:hint="default" w:ascii="宋体" w:hAnsi="宋体" w:eastAsia="宋体" w:cs="宋体"/>
          <w:b/>
          <w:color w:val="000000" w:themeColor="text1"/>
          <w:sz w:val="24"/>
          <w:szCs w:val="24"/>
          <w:highlight w:val="none"/>
          <w:lang w:val="en-US" w:eastAsia="zh-CN"/>
          <w14:textFill>
            <w14:solidFill>
              <w14:schemeClr w14:val="tx1"/>
            </w14:solidFill>
          </w14:textFill>
        </w:rPr>
      </w:pPr>
      <w:bookmarkStart w:id="407" w:name="_Toc42254990"/>
      <w:r>
        <w:rPr>
          <w:rFonts w:hint="eastAsia" w:ascii="宋体" w:hAnsi="宋体" w:eastAsia="宋体" w:cs="宋体"/>
          <w:b/>
          <w:color w:val="000000" w:themeColor="text1"/>
          <w:sz w:val="24"/>
          <w:szCs w:val="24"/>
          <w:highlight w:val="none"/>
          <w14:textFill>
            <w14:solidFill>
              <w14:schemeClr w14:val="tx1"/>
            </w14:solidFill>
          </w14:textFill>
        </w:rPr>
        <w:t>二、合同有效期</w:t>
      </w:r>
      <w:bookmarkEnd w:id="407"/>
    </w:p>
    <w:p>
      <w:pPr>
        <w:spacing w:line="360" w:lineRule="auto"/>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u w:val="none"/>
          <w:lang w:val="en-US" w:eastAsia="zh-CN"/>
          <w14:textFill>
            <w14:solidFill>
              <w14:schemeClr w14:val="tx1"/>
            </w14:solidFill>
          </w14:textFill>
        </w:rPr>
        <w:t>1</w:t>
      </w:r>
      <w:r>
        <w:rPr>
          <w:rFonts w:hint="eastAsia" w:ascii="宋体" w:hAnsi="宋体" w:eastAsia="宋体" w:cs="宋体"/>
          <w:color w:val="000000" w:themeColor="text1"/>
          <w:sz w:val="24"/>
          <w:szCs w:val="24"/>
          <w:highlight w:val="none"/>
          <w:u w:val="none"/>
          <w:lang w:val="en-US" w:eastAsia="zh-CN"/>
          <w14:textFill>
            <w14:solidFill>
              <w14:schemeClr w14:val="tx1"/>
            </w14:solidFill>
          </w14:textFill>
        </w:rPr>
        <w:t>年，</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年</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月</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日至</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年</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月</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日止</w:t>
      </w:r>
      <w:r>
        <w:rPr>
          <w:rFonts w:hint="eastAsia" w:ascii="宋体" w:hAnsi="宋体" w:cs="宋体"/>
          <w:color w:val="000000" w:themeColor="text1"/>
          <w:sz w:val="24"/>
          <w:szCs w:val="24"/>
          <w:highlight w:val="none"/>
          <w:lang w:eastAsia="zh-CN"/>
          <w14:textFill>
            <w14:solidFill>
              <w14:schemeClr w14:val="tx1"/>
            </w14:solidFill>
          </w14:textFill>
        </w:rPr>
        <w:t>，</w:t>
      </w:r>
      <w:r>
        <w:rPr>
          <w:rFonts w:hint="eastAsia" w:ascii="宋体" w:hAnsi="宋体" w:cs="宋体"/>
          <w:color w:val="000000" w:themeColor="text1"/>
          <w:sz w:val="24"/>
          <w:szCs w:val="24"/>
          <w:highlight w:val="none"/>
          <w:lang w:val="en-US" w:eastAsia="zh-CN"/>
          <w14:textFill>
            <w14:solidFill>
              <w14:schemeClr w14:val="tx1"/>
            </w14:solidFill>
          </w14:textFill>
        </w:rPr>
        <w:t>合同履约期限3年，采购合同采用“1+1+1”模式签订</w:t>
      </w:r>
      <w:r>
        <w:rPr>
          <w:rFonts w:hint="eastAsia" w:ascii="宋体" w:hAnsi="宋体" w:eastAsia="宋体" w:cs="宋体"/>
          <w:b w:val="0"/>
          <w:bCs w:val="0"/>
          <w:snapToGrid w:val="0"/>
          <w:color w:val="000000" w:themeColor="text1"/>
          <w:spacing w:val="13"/>
          <w:kern w:val="0"/>
          <w:sz w:val="24"/>
          <w:szCs w:val="24"/>
          <w:highlight w:val="none"/>
          <w:lang w:val="en-US" w:eastAsia="zh-CN"/>
          <w14:textFill>
            <w14:solidFill>
              <w14:schemeClr w14:val="tx1"/>
            </w14:solidFill>
          </w14:textFill>
        </w:rPr>
        <w:t>）</w:t>
      </w:r>
      <w:r>
        <w:rPr>
          <w:rFonts w:hint="eastAsia" w:ascii="宋体" w:hAnsi="宋体" w:cs="宋体"/>
          <w:b w:val="0"/>
          <w:bCs w:val="0"/>
          <w:snapToGrid w:val="0"/>
          <w:color w:val="000000" w:themeColor="text1"/>
          <w:spacing w:val="13"/>
          <w:kern w:val="0"/>
          <w:sz w:val="24"/>
          <w:szCs w:val="24"/>
          <w:highlight w:val="none"/>
          <w:lang w:val="en-US"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如遇原道路环卫保洁合同未到期，实际养护期按原保洁合同到期后开始按实计算。</w:t>
      </w:r>
    </w:p>
    <w:p>
      <w:pPr>
        <w:spacing w:line="360" w:lineRule="auto"/>
        <w:jc w:val="left"/>
        <w:outlineLvl w:val="1"/>
        <w:rPr>
          <w:rFonts w:hint="default" w:ascii="宋体" w:hAnsi="宋体" w:eastAsia="宋体" w:cs="宋体"/>
          <w:b/>
          <w:color w:val="000000" w:themeColor="text1"/>
          <w:sz w:val="24"/>
          <w:szCs w:val="24"/>
          <w:highlight w:val="none"/>
          <w:lang w:val="en-US" w:eastAsia="zh-CN"/>
          <w14:textFill>
            <w14:solidFill>
              <w14:schemeClr w14:val="tx1"/>
            </w14:solidFill>
          </w14:textFill>
        </w:rPr>
      </w:pPr>
      <w:bookmarkStart w:id="408" w:name="_Toc42254991"/>
      <w:r>
        <w:rPr>
          <w:rFonts w:hint="eastAsia" w:ascii="宋体" w:hAnsi="宋体" w:eastAsia="宋体" w:cs="宋体"/>
          <w:b/>
          <w:color w:val="000000" w:themeColor="text1"/>
          <w:sz w:val="24"/>
          <w:szCs w:val="24"/>
          <w:highlight w:val="none"/>
          <w14:textFill>
            <w14:solidFill>
              <w14:schemeClr w14:val="tx1"/>
            </w14:solidFill>
          </w14:textFill>
        </w:rPr>
        <w:t>三、合同价款及支付方式</w:t>
      </w:r>
      <w:bookmarkEnd w:id="408"/>
    </w:p>
    <w:p>
      <w:pPr>
        <w:spacing w:line="360" w:lineRule="auto"/>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1．综合养护服务合同单年金额人民币</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元，大写：</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元整。</w:t>
      </w:r>
    </w:p>
    <w:p>
      <w:pPr>
        <w:spacing w:line="360" w:lineRule="auto"/>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其中：道路保洁金额人民币</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元/年，大写：</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元整；</w:t>
      </w:r>
    </w:p>
    <w:p>
      <w:pPr>
        <w:spacing w:line="360" w:lineRule="auto"/>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xml:space="preserve">      市政养护金额人民币</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元/年，大写：</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元整；</w:t>
      </w:r>
    </w:p>
    <w:p>
      <w:pPr>
        <w:spacing w:line="360" w:lineRule="auto"/>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叁年总价金额（人民币小写）</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元，大写￥</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元。</w:t>
      </w:r>
    </w:p>
    <w:p>
      <w:pPr>
        <w:spacing w:line="360" w:lineRule="auto"/>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 合同总价金额中已包括机械设备、工具、材料等作业、劳动防护费用（服装费、高温费、节假日加班费等）及应急保障费用。</w:t>
      </w:r>
    </w:p>
    <w:p>
      <w:pPr>
        <w:spacing w:line="360" w:lineRule="auto"/>
        <w:ind w:firstLine="540"/>
        <w:jc w:val="left"/>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 养护经费按照合同签订后甲方支付单年合同金额的20%作为预付款，预付款抵扣第一季度款项，后续每季度末按考核的月实得平均数的80%予以支付。</w:t>
      </w:r>
    </w:p>
    <w:p>
      <w:pPr>
        <w:pStyle w:val="34"/>
        <w:spacing w:line="360" w:lineRule="auto"/>
        <w:ind w:firstLine="540"/>
        <w:jc w:val="left"/>
        <w:rPr>
          <w:rFonts w:hint="eastAsia" w:ascii="宋体" w:hAnsi="宋体" w:eastAsia="宋体" w:cs="宋体"/>
          <w:color w:val="000000" w:themeColor="text1"/>
          <w:sz w:val="24"/>
          <w:szCs w:val="24"/>
          <w:highlight w:val="none"/>
          <w:u w:val="single"/>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甲方</w:t>
      </w:r>
      <w:r>
        <w:rPr>
          <w:rFonts w:hint="eastAsia" w:ascii="宋体" w:hAnsi="宋体" w:eastAsia="宋体" w:cs="宋体"/>
          <w:color w:val="000000" w:themeColor="text1"/>
          <w:sz w:val="24"/>
          <w:szCs w:val="24"/>
          <w:highlight w:val="none"/>
          <w14:textFill>
            <w14:solidFill>
              <w14:schemeClr w14:val="tx1"/>
            </w14:solidFill>
          </w14:textFill>
        </w:rPr>
        <w:t>提前告知</w:t>
      </w:r>
      <w:r>
        <w:rPr>
          <w:rFonts w:hint="eastAsia" w:ascii="宋体" w:hAnsi="宋体" w:eastAsia="宋体" w:cs="宋体"/>
          <w:color w:val="000000" w:themeColor="text1"/>
          <w:sz w:val="24"/>
          <w:szCs w:val="24"/>
          <w:highlight w:val="none"/>
          <w:lang w:eastAsia="zh-CN"/>
          <w14:textFill>
            <w14:solidFill>
              <w14:schemeClr w14:val="tx1"/>
            </w14:solidFill>
          </w14:textFill>
        </w:rPr>
        <w:t>乙方</w:t>
      </w:r>
      <w:r>
        <w:rPr>
          <w:rFonts w:hint="eastAsia" w:ascii="宋体" w:hAnsi="宋体" w:eastAsia="宋体" w:cs="宋体"/>
          <w:color w:val="000000" w:themeColor="text1"/>
          <w:sz w:val="24"/>
          <w:szCs w:val="24"/>
          <w:highlight w:val="none"/>
          <w14:textFill>
            <w14:solidFill>
              <w14:schemeClr w14:val="tx1"/>
            </w14:solidFill>
          </w14:textFill>
        </w:rPr>
        <w:t>，</w:t>
      </w:r>
      <w:r>
        <w:rPr>
          <w:rFonts w:hint="eastAsia" w:ascii="宋体" w:hAnsi="宋体" w:eastAsia="宋体" w:cs="宋体"/>
          <w:color w:val="000000" w:themeColor="text1"/>
          <w:sz w:val="24"/>
          <w:szCs w:val="24"/>
          <w:highlight w:val="none"/>
          <w:lang w:eastAsia="zh-CN"/>
          <w14:textFill>
            <w14:solidFill>
              <w14:schemeClr w14:val="tx1"/>
            </w14:solidFill>
          </w14:textFill>
        </w:rPr>
        <w:t>乙方</w:t>
      </w:r>
      <w:r>
        <w:rPr>
          <w:rFonts w:hint="eastAsia" w:ascii="宋体" w:hAnsi="宋体" w:eastAsia="宋体" w:cs="宋体"/>
          <w:color w:val="000000" w:themeColor="text1"/>
          <w:sz w:val="24"/>
          <w:szCs w:val="24"/>
          <w:highlight w:val="none"/>
          <w14:textFill>
            <w14:solidFill>
              <w14:schemeClr w14:val="tx1"/>
            </w14:solidFill>
          </w14:textFill>
        </w:rPr>
        <w:t>按被告知的每季应得养护经费向</w:t>
      </w:r>
      <w:r>
        <w:rPr>
          <w:rFonts w:hint="eastAsia" w:ascii="宋体" w:hAnsi="宋体" w:eastAsia="宋体" w:cs="宋体"/>
          <w:color w:val="000000" w:themeColor="text1"/>
          <w:sz w:val="24"/>
          <w:szCs w:val="24"/>
          <w:highlight w:val="none"/>
          <w:lang w:eastAsia="zh-CN"/>
          <w14:textFill>
            <w14:solidFill>
              <w14:schemeClr w14:val="tx1"/>
            </w14:solidFill>
          </w14:textFill>
        </w:rPr>
        <w:t>甲方</w:t>
      </w:r>
      <w:r>
        <w:rPr>
          <w:rFonts w:hint="eastAsia" w:ascii="宋体" w:hAnsi="宋体" w:eastAsia="宋体" w:cs="宋体"/>
          <w:color w:val="000000" w:themeColor="text1"/>
          <w:sz w:val="24"/>
          <w:szCs w:val="24"/>
          <w:highlight w:val="none"/>
          <w14:textFill>
            <w14:solidFill>
              <w14:schemeClr w14:val="tx1"/>
            </w14:solidFill>
          </w14:textFill>
        </w:rPr>
        <w:t>结算，并出具有效收据。</w:t>
      </w:r>
    </w:p>
    <w:p>
      <w:pPr>
        <w:pStyle w:val="34"/>
        <w:spacing w:line="360" w:lineRule="auto"/>
        <w:ind w:firstLine="54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合同期满根据考核结果，扣除相应的养护经费，于次年年初结清年度余款。以财政资金实际到位时间为准。</w:t>
      </w:r>
    </w:p>
    <w:p>
      <w:pPr>
        <w:spacing w:line="360" w:lineRule="auto"/>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4. 如遇特殊应急、突发应急情况（由甲方认定），甲方可根据乙方实际发生费用，进行核定后额外拨付。</w:t>
      </w:r>
    </w:p>
    <w:p>
      <w:pPr>
        <w:numPr>
          <w:ilvl w:val="-1"/>
          <w:numId w:val="0"/>
        </w:numPr>
        <w:spacing w:line="360" w:lineRule="auto"/>
        <w:ind w:firstLine="480" w:firstLineChars="200"/>
        <w:rPr>
          <w:rFonts w:hint="eastAsia" w:ascii="宋体" w:hAnsi="宋体"/>
          <w:color w:val="000000" w:themeColor="text1"/>
          <w:sz w:val="24"/>
          <w:highlight w:val="none"/>
          <w14:textFill>
            <w14:solidFill>
              <w14:schemeClr w14:val="tx1"/>
            </w14:solidFill>
          </w14:textFill>
        </w:rPr>
      </w:pPr>
      <w:bookmarkStart w:id="409" w:name="_Toc42254992"/>
      <w:r>
        <w:rPr>
          <w:rFonts w:hint="eastAsia" w:ascii="宋体" w:hAnsi="宋体"/>
          <w:color w:val="000000" w:themeColor="text1"/>
          <w:sz w:val="24"/>
          <w:highlight w:val="none"/>
          <w:lang w:val="en-US" w:eastAsia="zh-CN"/>
          <w14:textFill>
            <w14:solidFill>
              <w14:schemeClr w14:val="tx1"/>
            </w14:solidFill>
          </w14:textFill>
        </w:rPr>
        <w:t>5.履约保证金：无。</w:t>
      </w:r>
    </w:p>
    <w:p>
      <w:pPr>
        <w:spacing w:line="360" w:lineRule="auto"/>
        <w:jc w:val="left"/>
        <w:outlineLvl w:val="1"/>
        <w:rPr>
          <w:rFonts w:hint="eastAsia"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b/>
          <w:color w:val="000000" w:themeColor="text1"/>
          <w:sz w:val="24"/>
          <w:szCs w:val="24"/>
          <w:highlight w:val="none"/>
          <w14:textFill>
            <w14:solidFill>
              <w14:schemeClr w14:val="tx1"/>
            </w14:solidFill>
          </w14:textFill>
        </w:rPr>
        <w:t>四、合同权利条款</w:t>
      </w:r>
      <w:bookmarkEnd w:id="409"/>
    </w:p>
    <w:p>
      <w:pPr>
        <w:spacing w:line="360" w:lineRule="auto"/>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甲方的权利：</w:t>
      </w:r>
    </w:p>
    <w:p>
      <w:pPr>
        <w:spacing w:line="360" w:lineRule="auto"/>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 根据考核情况提出或支付相应的养护经费。</w:t>
      </w:r>
    </w:p>
    <w:p>
      <w:pPr>
        <w:spacing w:line="360" w:lineRule="auto"/>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 对合同范围内</w:t>
      </w:r>
      <w:r>
        <w:rPr>
          <w:rFonts w:hint="eastAsia" w:ascii="宋体" w:hAnsi="宋体" w:eastAsia="宋体" w:cs="宋体"/>
          <w:color w:val="000000" w:themeColor="text1"/>
          <w:kern w:val="0"/>
          <w:sz w:val="24"/>
          <w:szCs w:val="24"/>
          <w:highlight w:val="none"/>
          <w14:textFill>
            <w14:solidFill>
              <w14:schemeClr w14:val="tx1"/>
            </w14:solidFill>
          </w14:textFill>
        </w:rPr>
        <w:t>的城市道路市政养护、道路保洁</w:t>
      </w:r>
      <w:r>
        <w:rPr>
          <w:rFonts w:hint="eastAsia" w:ascii="宋体" w:hAnsi="宋体" w:eastAsia="宋体" w:cs="宋体"/>
          <w:color w:val="000000" w:themeColor="text1"/>
          <w:sz w:val="24"/>
          <w:szCs w:val="24"/>
          <w:highlight w:val="none"/>
          <w14:textFill>
            <w14:solidFill>
              <w14:schemeClr w14:val="tx1"/>
            </w14:solidFill>
          </w14:textFill>
        </w:rPr>
        <w:t>综合养护运行情况进行监督管理。</w:t>
      </w:r>
    </w:p>
    <w:p>
      <w:pPr>
        <w:spacing w:line="360" w:lineRule="auto"/>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 审定年度和月度养护运行计划，审核乙方上报的养护工作量报表，检查养护运行计划执行情况。</w:t>
      </w:r>
    </w:p>
    <w:p>
      <w:pPr>
        <w:spacing w:line="360" w:lineRule="auto"/>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4. 对乙方日常养护运行的质量、安全运行、巡查工作及资料台账进行定期或不定期检查，并对养护运行情况进行考核。</w:t>
      </w:r>
    </w:p>
    <w:p>
      <w:pPr>
        <w:spacing w:line="360" w:lineRule="auto"/>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5. 按照市委、市政府或上级部门指示，在防汛、抗台、抗雪、抗旱和重大活动保障等特殊情况及重大事件发生时，可要求乙方采取应急措施，对城市道路进行特殊综合养护。</w:t>
      </w:r>
    </w:p>
    <w:p>
      <w:pPr>
        <w:spacing w:line="360" w:lineRule="auto"/>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6. 对乙方承包养护范围内的市政、环卫综合养护情况进行跟踪检查，发现乙方未按约定要求进行养护时，可要求乙方限期整改，并按合同约定进行处理。</w:t>
      </w:r>
    </w:p>
    <w:p>
      <w:pPr>
        <w:spacing w:line="360" w:lineRule="auto"/>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乙方的权利：</w:t>
      </w:r>
    </w:p>
    <w:p>
      <w:pPr>
        <w:spacing w:line="360" w:lineRule="auto"/>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 按照合同确定的养护运行范围，根据考核情况取得相应确定的养护运行经费。</w:t>
      </w:r>
    </w:p>
    <w:p>
      <w:pPr>
        <w:spacing w:line="360" w:lineRule="auto"/>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xml:space="preserve">2. 甲方无正当理由拖欠养护运行费用两个季度以上（含），乙方有权中止合同；中止合同至少提前三个月提出。 </w:t>
      </w:r>
    </w:p>
    <w:p>
      <w:pPr>
        <w:spacing w:line="360" w:lineRule="auto"/>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 编制年度、月度养护计划和大面积维修计划，经甲方审定后安排日常养护工作，实施大面积维修工程。</w:t>
      </w:r>
    </w:p>
    <w:p>
      <w:pPr>
        <w:spacing w:line="360" w:lineRule="auto"/>
        <w:jc w:val="left"/>
        <w:outlineLvl w:val="1"/>
        <w:rPr>
          <w:rFonts w:hint="eastAsia" w:ascii="宋体" w:hAnsi="宋体" w:eastAsia="宋体" w:cs="宋体"/>
          <w:b/>
          <w:color w:val="000000" w:themeColor="text1"/>
          <w:sz w:val="24"/>
          <w:szCs w:val="24"/>
          <w:highlight w:val="none"/>
          <w14:textFill>
            <w14:solidFill>
              <w14:schemeClr w14:val="tx1"/>
            </w14:solidFill>
          </w14:textFill>
        </w:rPr>
      </w:pPr>
      <w:bookmarkStart w:id="410" w:name="_Toc42254993"/>
      <w:r>
        <w:rPr>
          <w:rFonts w:hint="eastAsia" w:ascii="宋体" w:hAnsi="宋体" w:eastAsia="宋体" w:cs="宋体"/>
          <w:b/>
          <w:color w:val="000000" w:themeColor="text1"/>
          <w:sz w:val="24"/>
          <w:szCs w:val="24"/>
          <w:highlight w:val="none"/>
          <w14:textFill>
            <w14:solidFill>
              <w14:schemeClr w14:val="tx1"/>
            </w14:solidFill>
          </w14:textFill>
        </w:rPr>
        <w:t>五、合同责任条款</w:t>
      </w:r>
      <w:bookmarkEnd w:id="410"/>
    </w:p>
    <w:p>
      <w:pPr>
        <w:spacing w:line="360" w:lineRule="auto"/>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甲方的责任：</w:t>
      </w:r>
    </w:p>
    <w:p>
      <w:pPr>
        <w:spacing w:line="360" w:lineRule="auto"/>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 提供综合养护标准、作业规范及考核办法。</w:t>
      </w:r>
    </w:p>
    <w:p>
      <w:pPr>
        <w:spacing w:line="360" w:lineRule="auto"/>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 有效实施监管工作，相关行政许可事宜及时告知乙方；加强日常巡查监管，发现违章行为及时处置；协助乙方在作业过程中开展相关协调工作。</w:t>
      </w:r>
    </w:p>
    <w:p>
      <w:pPr>
        <w:spacing w:line="360" w:lineRule="auto"/>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 按约定拨付养护经费。</w:t>
      </w:r>
    </w:p>
    <w:p>
      <w:pPr>
        <w:spacing w:line="360" w:lineRule="auto"/>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4. 如遇防汛防台、抗雪防冻、突发事件以及重大活动保障等工作，协调乙方在作业过程中同其他部门的关系。</w:t>
      </w:r>
    </w:p>
    <w:p>
      <w:pPr>
        <w:spacing w:line="360" w:lineRule="auto"/>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5. 严格按照考核办法进行月度检查考核，协助处理养护工作中与相关单位的协调工作。例如确认乙方需要更换项目负责人或项目技术负责人和项目技术负责人、各类专业技术人员和道路养护工等事项，并及时报市级监管部门备案等。</w:t>
      </w:r>
    </w:p>
    <w:p>
      <w:pPr>
        <w:spacing w:line="360" w:lineRule="auto"/>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6. 及时审核、下达乙方上报的月度、年度、大面积维修计划，并组织对大面积维修项目进行验收。</w:t>
      </w:r>
    </w:p>
    <w:p>
      <w:pPr>
        <w:spacing w:line="360" w:lineRule="auto"/>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7. 对乙方承包养护的养护工作进行检查、督促，督促乙方及时将日常养护、维修、检测、技术状况评价等相关数据及时、准确录入市级监管部门的道路管理系统，</w:t>
      </w:r>
      <w:r>
        <w:rPr>
          <w:rFonts w:hint="eastAsia" w:ascii="宋体" w:hAnsi="宋体" w:eastAsia="宋体" w:cs="宋体"/>
          <w:b/>
          <w:color w:val="000000" w:themeColor="text1"/>
          <w:sz w:val="24"/>
          <w:szCs w:val="24"/>
          <w:highlight w:val="none"/>
          <w14:textFill>
            <w14:solidFill>
              <w14:schemeClr w14:val="tx1"/>
            </w14:solidFill>
          </w14:textFill>
        </w:rPr>
        <w:t>每年11月底前对养护单位上报的道路定期检测中的常规检测及评价，对养护单位上报的CCTV管道检测进行检查核对</w:t>
      </w:r>
      <w:r>
        <w:rPr>
          <w:rFonts w:hint="eastAsia" w:ascii="宋体" w:hAnsi="宋体" w:eastAsia="宋体" w:cs="宋体"/>
          <w:color w:val="000000" w:themeColor="text1"/>
          <w:sz w:val="24"/>
          <w:szCs w:val="24"/>
          <w:highlight w:val="none"/>
          <w14:textFill>
            <w14:solidFill>
              <w14:schemeClr w14:val="tx1"/>
            </w14:solidFill>
          </w14:textFill>
        </w:rPr>
        <w:t>，对设施完好状况进行跟踪和申报结构检测。发现乙方未按规范及相关要求进行养护时，应按合同约定进行处理；发现设施处于危急状况时立即限期要求乙方采取应急措施。</w:t>
      </w:r>
    </w:p>
    <w:p>
      <w:pPr>
        <w:spacing w:line="360" w:lineRule="auto"/>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8. 对养护工作中采用新工艺、新材料、新方法的适用性、安全性进行审查。</w:t>
      </w:r>
    </w:p>
    <w:p>
      <w:pPr>
        <w:spacing w:line="360" w:lineRule="auto"/>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9. 负责处理或协调因人为因素、自然因素造成的设施损坏和侵害事件。</w:t>
      </w:r>
    </w:p>
    <w:p>
      <w:pPr>
        <w:spacing w:line="360" w:lineRule="auto"/>
        <w:ind w:firstLine="482" w:firstLineChars="200"/>
        <w:jc w:val="left"/>
        <w:rPr>
          <w:rFonts w:hint="eastAsia" w:ascii="宋体" w:hAnsi="宋体" w:eastAsia="宋体" w:cs="宋体"/>
          <w:b/>
          <w:color w:val="000000" w:themeColor="text1"/>
          <w:sz w:val="24"/>
          <w:szCs w:val="24"/>
          <w:highlight w:val="none"/>
          <w:shd w:val="pct10" w:color="auto" w:fill="FFFFFF"/>
          <w14:textFill>
            <w14:solidFill>
              <w14:schemeClr w14:val="tx1"/>
            </w14:solidFill>
          </w14:textFill>
        </w:rPr>
      </w:pPr>
      <w:r>
        <w:rPr>
          <w:rFonts w:hint="eastAsia" w:ascii="宋体" w:hAnsi="宋体" w:eastAsia="宋体" w:cs="宋体"/>
          <w:b/>
          <w:color w:val="000000" w:themeColor="text1"/>
          <w:sz w:val="24"/>
          <w:szCs w:val="24"/>
          <w:highlight w:val="none"/>
          <w:shd w:val="pct10" w:color="auto" w:fill="FFFFFF"/>
          <w14:textFill>
            <w14:solidFill>
              <w14:schemeClr w14:val="tx1"/>
            </w14:solidFill>
          </w14:textFill>
        </w:rPr>
        <w:t>乙方的责任：</w:t>
      </w:r>
    </w:p>
    <w:p>
      <w:pPr>
        <w:spacing w:line="360" w:lineRule="auto"/>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 必须严格按合同条款、本次招投标要求、管养质量标准及相关规定，精心组织养护，使用同材质维修，达到养护工程的验收标准，确保管养质量，承担设施、人员安全和因养护不到位产生的公共安全责任。</w:t>
      </w:r>
    </w:p>
    <w:p>
      <w:pPr>
        <w:spacing w:line="360" w:lineRule="auto"/>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 严格履行投标书中优惠承诺、投标书及招标过程中的有关承诺。</w:t>
      </w:r>
    </w:p>
    <w:p>
      <w:pPr>
        <w:spacing w:line="360" w:lineRule="auto"/>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 养护作业人员及数量的投入、机械设备的投入必须与投标时作出的承诺一致。</w:t>
      </w:r>
    </w:p>
    <w:p>
      <w:pPr>
        <w:spacing w:line="360" w:lineRule="auto"/>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4. 遇到防汛防台、防雪抗冻、重大活动保障、突发事件或自然灾害，必须服从甲方指挥与安排，并及时将有关情况上报至甲方。</w:t>
      </w:r>
    </w:p>
    <w:p>
      <w:pPr>
        <w:spacing w:line="360" w:lineRule="auto"/>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5. 遇灾害性天气，听从甲方统一指挥，及时组织人员应对突发性情况，并完成甲方交办的突击性任务。</w:t>
      </w:r>
    </w:p>
    <w:p>
      <w:pPr>
        <w:spacing w:line="360" w:lineRule="auto"/>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6. 协助甲方调查、解决市民来信来访及投诉（含数字城管），并根据甲方要求及时处理。</w:t>
      </w:r>
    </w:p>
    <w:p>
      <w:pPr>
        <w:spacing w:line="360" w:lineRule="auto"/>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7. 发现设施损坏或缺损，及时与相关部门联系。</w:t>
      </w:r>
    </w:p>
    <w:p>
      <w:pPr>
        <w:spacing w:line="360" w:lineRule="auto"/>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8. 合同期满并经甲方考核合格后，乙方应提交完整的养护</w:t>
      </w:r>
      <w:r>
        <w:rPr>
          <w:rFonts w:hint="eastAsia" w:ascii="宋体" w:hAnsi="宋体" w:cs="宋体"/>
          <w:color w:val="000000" w:themeColor="text1"/>
          <w:sz w:val="24"/>
          <w:szCs w:val="24"/>
          <w:highlight w:val="none"/>
          <w:lang w:eastAsia="zh-CN"/>
          <w14:textFill>
            <w14:solidFill>
              <w14:schemeClr w14:val="tx1"/>
            </w14:solidFill>
          </w14:textFill>
        </w:rPr>
        <w:t>台账</w:t>
      </w:r>
      <w:r>
        <w:rPr>
          <w:rFonts w:hint="eastAsia" w:ascii="宋体" w:hAnsi="宋体" w:eastAsia="宋体" w:cs="宋体"/>
          <w:color w:val="000000" w:themeColor="text1"/>
          <w:sz w:val="24"/>
          <w:szCs w:val="24"/>
          <w:highlight w:val="none"/>
          <w14:textFill>
            <w14:solidFill>
              <w14:schemeClr w14:val="tx1"/>
            </w14:solidFill>
          </w14:textFill>
        </w:rPr>
        <w:t>，并按甲方要求做好与下一家养护企业的衔接。</w:t>
      </w:r>
    </w:p>
    <w:p>
      <w:pPr>
        <w:spacing w:line="360" w:lineRule="auto"/>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9. 制定灾害性天气应急预案，建立应急救灾队伍，将应急预案和人员名单上报至甲方备案。</w:t>
      </w:r>
    </w:p>
    <w:p>
      <w:pPr>
        <w:spacing w:line="360" w:lineRule="auto"/>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10. 建立应急备货制，备货内容：防汛防台、抗雪防冻等物资及设备。</w:t>
      </w:r>
    </w:p>
    <w:p>
      <w:pPr>
        <w:spacing w:line="360" w:lineRule="auto"/>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xml:space="preserve">11. 乙方必须加强安全管理工作，定期进行安全培训。发生各类事故后乙方应及时向甲方报告，并自行负责处理。如事故因乙方责任导致发生的，除自行承担相关经济责任外，甲方保留对乙方的经济追偿权。 </w:t>
      </w:r>
    </w:p>
    <w:p>
      <w:pPr>
        <w:spacing w:line="360" w:lineRule="auto"/>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12. 乙方及时将日常养护、维修、检测、技术状况评价等相关数据及时、准确录入市级监管部门的道路管理系统，</w:t>
      </w:r>
      <w:r>
        <w:rPr>
          <w:rFonts w:hint="eastAsia" w:ascii="宋体" w:hAnsi="宋体" w:eastAsia="宋体" w:cs="宋体"/>
          <w:b/>
          <w:color w:val="000000" w:themeColor="text1"/>
          <w:sz w:val="24"/>
          <w:szCs w:val="24"/>
          <w:highlight w:val="none"/>
          <w14:textFill>
            <w14:solidFill>
              <w14:schemeClr w14:val="tx1"/>
            </w14:solidFill>
          </w14:textFill>
        </w:rPr>
        <w:t>每年11月底前按照《城镇道路养护技术规范》(CJJ36—2006)、《城市道路养护规范》（DB3301/T 0012-2013）、《杭州市城市排水管渠养护管理标准（试行）》（杭城管委[2012]285号）等相关要求上报当年的道路常规检测及评价（含随路桥梁）内容、管道CCTV检测报告（一年一次），按照市城管委道路检测要求，落实检测工作</w:t>
      </w:r>
      <w:r>
        <w:rPr>
          <w:rFonts w:hint="eastAsia" w:ascii="宋体" w:hAnsi="宋体" w:eastAsia="宋体" w:cs="宋体"/>
          <w:color w:val="000000" w:themeColor="text1"/>
          <w:sz w:val="24"/>
          <w:szCs w:val="24"/>
          <w:highlight w:val="none"/>
          <w14:textFill>
            <w14:solidFill>
              <w14:schemeClr w14:val="tx1"/>
            </w14:solidFill>
          </w14:textFill>
        </w:rPr>
        <w:t>。</w:t>
      </w:r>
    </w:p>
    <w:p>
      <w:pPr>
        <w:spacing w:line="360" w:lineRule="auto"/>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13. 按合同附表配备技术熟练、经验丰富的项目负责人、项目技术负责人、各类专业技术人员和道路养护工、排水疏挖工等，并保持其岗位的相对稳定，如果需要更换项目负责人或项目技术负责人、各类专业技术人员和道路养护工、排水疏挖工，应事书面先报请甲方同意；甲方有权要求乙方撤换那些工作不能胜任或玩忽职守、工作不负责的人员；养护期间应保证一定的机具设备，不得另作他用。</w:t>
      </w:r>
    </w:p>
    <w:p>
      <w:pPr>
        <w:spacing w:line="360" w:lineRule="auto"/>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14. 按照《城镇道路养护技术规范》（CJJ36-2006）要求每年开展一次常规检测，快速路、主干路2-3年开展一次结构强度检测，平整度检测宜采用激光平整度仪，路面损坏的检测宜采用路况摄像仪，以此为依据，制定详细的检测计划和养护计划。</w:t>
      </w:r>
    </w:p>
    <w:p>
      <w:pPr>
        <w:spacing w:line="360" w:lineRule="auto"/>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bookmarkStart w:id="411" w:name="_Toc42254994"/>
      <w:r>
        <w:rPr>
          <w:rFonts w:hint="eastAsia" w:ascii="宋体" w:hAnsi="宋体" w:eastAsia="宋体" w:cs="宋体"/>
          <w:color w:val="000000" w:themeColor="text1"/>
          <w:sz w:val="24"/>
          <w:szCs w:val="24"/>
          <w:highlight w:val="none"/>
          <w14:textFill>
            <w14:solidFill>
              <w14:schemeClr w14:val="tx1"/>
            </w14:solidFill>
          </w14:textFill>
        </w:rPr>
        <w:t>15.在合同期间内，乙方有责任发现并及时制止合同范围内的所有设施免遭人为等因素导致的损坏和侵害，并做好调查、赔偿、修复工作，并及时通知甲方和相关部门。</w:t>
      </w:r>
    </w:p>
    <w:p>
      <w:pPr>
        <w:spacing w:line="360" w:lineRule="auto"/>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16.乙方必须加强安全文明养护措施，建立健全安全生产责任制，定期进行安全教育和培训。养护现场需设置安全隔离围护及警示标志，夜间养护作业必须穿反光背心，定点堆放垃圾及时清运，做到工完场清不扰民。发生各类事故后应及时上报甲方，并负责自行处理。如事故因乙方原因导致发生的，乙方自行承担相关责任和经济赔偿。</w:t>
      </w:r>
    </w:p>
    <w:p>
      <w:pPr>
        <w:spacing w:line="360" w:lineRule="auto"/>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17.乙方应建立职业岗位培训机制，制定职工年度教育培训计划，每年组织每个养护工种开展不少于一次的技能比武。</w:t>
      </w:r>
    </w:p>
    <w:p>
      <w:pPr>
        <w:spacing w:line="360" w:lineRule="auto"/>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18.对于养护范围内排水管道、检查井、雨水口等排水设施的零星破损进行修复；根据甲方任务要求对养护范围内零星积水点进行改造。</w:t>
      </w:r>
    </w:p>
    <w:p>
      <w:pPr>
        <w:spacing w:line="360" w:lineRule="auto"/>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19.做好河道排出口管理工作，建立河道排水口动态管理机制，及时发现并消除河道异常出水情况。</w:t>
      </w:r>
    </w:p>
    <w:p>
      <w:pPr>
        <w:spacing w:line="360" w:lineRule="auto"/>
        <w:ind w:firstLine="480" w:firstLineChars="200"/>
        <w:jc w:val="left"/>
        <w:rPr>
          <w:rFonts w:hint="eastAsia" w:ascii="宋体" w:hAnsi="宋体" w:eastAsia="宋体" w:cs="宋体"/>
          <w:color w:val="000000" w:themeColor="text1"/>
          <w:sz w:val="24"/>
          <w:szCs w:val="24"/>
          <w:highlight w:val="none"/>
          <w:shd w:val="clear" w:color="FFFFFF" w:fill="D9D9D9"/>
          <w:lang w:eastAsia="zh-CN"/>
          <w14:textFill>
            <w14:solidFill>
              <w14:schemeClr w14:val="tx1"/>
            </w14:solidFill>
          </w14:textFill>
        </w:rPr>
      </w:pPr>
      <w:r>
        <w:rPr>
          <w:rFonts w:hint="eastAsia" w:ascii="宋体" w:hAnsi="宋体" w:eastAsia="宋体" w:cs="宋体"/>
          <w:color w:val="000000" w:themeColor="text1"/>
          <w:sz w:val="24"/>
          <w:szCs w:val="24"/>
          <w:highlight w:val="none"/>
          <w:shd w:val="clear" w:color="FFFFFF" w:fill="D9D9D9"/>
          <w14:textFill>
            <w14:solidFill>
              <w14:schemeClr w14:val="tx1"/>
            </w14:solidFill>
          </w14:textFill>
        </w:rPr>
        <w:t>20.</w:t>
      </w:r>
      <w:r>
        <w:rPr>
          <w:rFonts w:hint="eastAsia" w:ascii="宋体" w:hAnsi="宋体" w:eastAsia="宋体" w:cs="宋体"/>
          <w:color w:val="000000" w:themeColor="text1"/>
          <w:sz w:val="24"/>
          <w:szCs w:val="24"/>
          <w:highlight w:val="none"/>
          <w:shd w:val="clear" w:color="FFFFFF" w:fill="D9D9D9"/>
          <w:lang w:val="en-US" w:eastAsia="zh-CN"/>
          <w14:textFill>
            <w14:solidFill>
              <w14:schemeClr w14:val="tx1"/>
            </w14:solidFill>
          </w14:textFill>
        </w:rPr>
        <w:t>乙方</w:t>
      </w:r>
      <w:r>
        <w:rPr>
          <w:rFonts w:hint="eastAsia" w:ascii="宋体" w:hAnsi="宋体" w:eastAsia="宋体" w:cs="宋体"/>
          <w:color w:val="000000" w:themeColor="text1"/>
          <w:sz w:val="24"/>
          <w:szCs w:val="24"/>
          <w:highlight w:val="none"/>
          <w:shd w:val="clear" w:color="FFFFFF" w:fill="D9D9D9"/>
          <w14:textFill>
            <w14:solidFill>
              <w14:schemeClr w14:val="tx1"/>
            </w14:solidFill>
          </w14:textFill>
        </w:rPr>
        <w:t>对不符合标准要求的雨水边井全部进行更换</w:t>
      </w:r>
      <w:r>
        <w:rPr>
          <w:rFonts w:hint="eastAsia" w:ascii="宋体" w:hAnsi="宋体" w:eastAsia="宋体" w:cs="宋体"/>
          <w:color w:val="000000" w:themeColor="text1"/>
          <w:sz w:val="24"/>
          <w:szCs w:val="24"/>
          <w:highlight w:val="none"/>
          <w:shd w:val="clear" w:color="FFFFFF" w:fill="D9D9D9"/>
          <w:lang w:eastAsia="zh-CN"/>
          <w14:textFill>
            <w14:solidFill>
              <w14:schemeClr w14:val="tx1"/>
            </w14:solidFill>
          </w14:textFill>
        </w:rPr>
        <w:t>。</w:t>
      </w:r>
    </w:p>
    <w:p>
      <w:pPr>
        <w:spacing w:line="360" w:lineRule="auto"/>
        <w:jc w:val="left"/>
        <w:outlineLvl w:val="1"/>
        <w:rPr>
          <w:rFonts w:hint="eastAsia"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b/>
          <w:color w:val="000000" w:themeColor="text1"/>
          <w:sz w:val="24"/>
          <w:szCs w:val="24"/>
          <w:highlight w:val="none"/>
          <w14:textFill>
            <w14:solidFill>
              <w14:schemeClr w14:val="tx1"/>
            </w14:solidFill>
          </w14:textFill>
        </w:rPr>
        <w:t>六、考核</w:t>
      </w:r>
      <w:bookmarkEnd w:id="411"/>
    </w:p>
    <w:p>
      <w:pPr>
        <w:spacing w:line="360" w:lineRule="auto"/>
        <w:ind w:firstLine="482" w:firstLineChars="200"/>
        <w:jc w:val="left"/>
        <w:rPr>
          <w:rFonts w:hint="eastAsia"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b/>
          <w:color w:val="000000" w:themeColor="text1"/>
          <w:sz w:val="24"/>
          <w:szCs w:val="24"/>
          <w:highlight w:val="none"/>
          <w14:textFill>
            <w14:solidFill>
              <w14:schemeClr w14:val="tx1"/>
            </w14:solidFill>
          </w14:textFill>
        </w:rPr>
        <w:t>甲方对乙方工作进行考核，考核办法按照杭州市相关考核实施细则中有关日常监管方面内容执行，考核结果告知乙方，具体要求参照如下执行：</w:t>
      </w:r>
    </w:p>
    <w:p>
      <w:pPr>
        <w:spacing w:line="360" w:lineRule="auto"/>
        <w:ind w:firstLine="540"/>
        <w:jc w:val="left"/>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1、加强管理，确保在国家、省、市、区的各项检查中不失责任分。全国、全省检查每失0.1分扣1500元，失0.2分扣2500元，失分扣款额度以此类推；市、区级检查每失1分扣1000元，失2分扣2000元，二次抄告双倍扣分、扣款，三次抄告四倍扣分、扣款，失分扣款额度以此类推；被新闻媒体曝光经核查属实的，每次扣3000元；接到数字城管案卷、群众来电、来信、来访投诉并经查实的，每次扣200元，出现重复投诉的每次扣200元，法定节假日和重大活动保障不到位的每次扣200元。</w:t>
      </w:r>
    </w:p>
    <w:p>
      <w:pPr>
        <w:spacing w:line="360" w:lineRule="auto"/>
        <w:ind w:firstLine="540"/>
        <w:jc w:val="left"/>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2、上级有关部门发出整改通知书且不整改或整改不力的，一次扣1000元，累计达到三次的，予以解除合同。</w:t>
      </w:r>
    </w:p>
    <w:p>
      <w:pPr>
        <w:spacing w:line="360" w:lineRule="auto"/>
        <w:ind w:firstLine="540"/>
        <w:jc w:val="left"/>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3、遇到突发事件、自然灾害或天气影响，必须服从甲方指挥和安排，遇抗雪防冻、抗台防汛等天气，乙方必须在第一时间内迅速组织人员、机具设备将道路清理干净，并做好应急管养，如发现乙方在接到甲方通知后，没有作出积极反应的，每次扣500元，在接到甲方通知后，未在规定时间内到达现场的，每次扣3000元，未在规定时间内完成任务的，每次扣3000元。</w:t>
      </w:r>
    </w:p>
    <w:p>
      <w:pPr>
        <w:spacing w:line="360" w:lineRule="auto"/>
        <w:ind w:firstLine="540"/>
        <w:jc w:val="left"/>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4、市级监管部门发现违章挖掘问题的，每1件扣100元；</w:t>
      </w:r>
    </w:p>
    <w:p>
      <w:pPr>
        <w:spacing w:line="360" w:lineRule="auto"/>
        <w:ind w:firstLine="540"/>
        <w:jc w:val="left"/>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5、接到群众来电、来信、来访投诉并经查实的，每次扣1000元；</w:t>
      </w:r>
    </w:p>
    <w:p>
      <w:pPr>
        <w:spacing w:line="360" w:lineRule="auto"/>
        <w:ind w:firstLine="540"/>
        <w:jc w:val="left"/>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6、现场养护人员及保洁未按投标承诺到位的，每发现1人次扣1000元；</w:t>
      </w:r>
    </w:p>
    <w:p>
      <w:pPr>
        <w:spacing w:line="360" w:lineRule="auto"/>
        <w:ind w:firstLine="540"/>
        <w:jc w:val="left"/>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7、甲方2次抄告的，每个问题扣500元；</w:t>
      </w:r>
    </w:p>
    <w:p>
      <w:pPr>
        <w:spacing w:line="360" w:lineRule="auto"/>
        <w:ind w:firstLine="540"/>
        <w:jc w:val="left"/>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8、上级有关部门发出整改通知书且不整改或整改不力的，一次扣1000元；</w:t>
      </w:r>
    </w:p>
    <w:p>
      <w:pPr>
        <w:spacing w:line="360" w:lineRule="auto"/>
        <w:ind w:firstLine="540"/>
        <w:jc w:val="left"/>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9、市监管中心检查中扣城区清洁度的，每扣0.01分扣2000元，以此类推,并在当月拨款中扣除；</w:t>
      </w:r>
    </w:p>
    <w:p>
      <w:pPr>
        <w:spacing w:line="360" w:lineRule="auto"/>
        <w:ind w:firstLine="540"/>
        <w:jc w:val="left"/>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10、市监管中心检查中，每失1分，扣1000元；失2分，扣2000元，以此类推,并在当月拨款中扣除；</w:t>
      </w:r>
    </w:p>
    <w:p>
      <w:pPr>
        <w:spacing w:line="360" w:lineRule="auto"/>
        <w:ind w:firstLine="540"/>
        <w:jc w:val="left"/>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11、区级（含城管局）专项检查中，每失1分，扣500元；失2分，扣1000元，以此类推，并在当月拨款中扣除；</w:t>
      </w:r>
    </w:p>
    <w:p>
      <w:pPr>
        <w:spacing w:line="360" w:lineRule="auto"/>
        <w:ind w:firstLine="540"/>
        <w:jc w:val="left"/>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12、所部各类日常检查中，每失1分，扣200元; 失2分，扣400元，以此类推，并在当月拨款中扣除；</w:t>
      </w:r>
    </w:p>
    <w:p>
      <w:pPr>
        <w:spacing w:line="360" w:lineRule="auto"/>
        <w:ind w:firstLine="540"/>
        <w:jc w:val="left"/>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13、数字城管考核中要求每月度数字城管及时解决率100％。如达不到100%的，每下降0.5个百分点扣10000元，经数字城管采集上报的涉及到扣道路清洁度的六大类案卷，每采集一条扣200元，限期未处理完毕的加扣200元，二次派遣一件扣800元，以此类推，并在当月拨款中扣除；</w:t>
      </w:r>
    </w:p>
    <w:p>
      <w:pPr>
        <w:spacing w:line="360" w:lineRule="auto"/>
        <w:ind w:firstLine="540"/>
        <w:jc w:val="left"/>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14、经数字城管采集上报偷倒建筑渣土（装璜垃圾）未在7：00之前清除的（若市采集临时调整则以调整时间为准），每处扣1000元，未在4小时内清除的，乙方启动代整治，代整治费用按照市场价在当月拨款中扣除；</w:t>
      </w:r>
    </w:p>
    <w:p>
      <w:pPr>
        <w:spacing w:line="360" w:lineRule="auto"/>
        <w:ind w:firstLine="540"/>
        <w:jc w:val="left"/>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15、机械化作业考核要求参照《城区道路机械化作业检查考核标准》，详见附件；</w:t>
      </w:r>
    </w:p>
    <w:p>
      <w:pPr>
        <w:spacing w:line="360" w:lineRule="auto"/>
        <w:ind w:firstLine="540"/>
        <w:jc w:val="left"/>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16、发现保洁、市政养护不到位的，根据《杭城管委[2018]40号》、《杭城管委[2015]205号》文件与《拱墅区市政设施长效管理及完好度考核管理办法》为基准，进行考核；</w:t>
      </w:r>
    </w:p>
    <w:p>
      <w:pPr>
        <w:spacing w:line="360" w:lineRule="auto"/>
        <w:ind w:firstLine="540"/>
        <w:jc w:val="left"/>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17、按照《关于进一步落实好城管一线职工待遇的通知》（杭城管局【2019】103号）文件精神，落实职工待遇，对职工工资、福利待遇须及时发放，若出现上访事件，将按相关文件进行处罚。直至解除合同。</w:t>
      </w:r>
    </w:p>
    <w:p>
      <w:pPr>
        <w:spacing w:line="360" w:lineRule="auto"/>
        <w:ind w:firstLine="540"/>
        <w:jc w:val="left"/>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18、发现乙方公司招聘超龄人员进行保洁或养护作业的每发现一次扣款500元，给予警告。</w:t>
      </w:r>
    </w:p>
    <w:p>
      <w:pPr>
        <w:spacing w:line="360" w:lineRule="auto"/>
        <w:jc w:val="left"/>
        <w:outlineLvl w:val="1"/>
        <w:rPr>
          <w:rFonts w:hint="eastAsia" w:ascii="宋体" w:hAnsi="宋体" w:eastAsia="宋体" w:cs="宋体"/>
          <w:b/>
          <w:color w:val="000000" w:themeColor="text1"/>
          <w:sz w:val="24"/>
          <w:szCs w:val="24"/>
          <w:highlight w:val="none"/>
          <w14:textFill>
            <w14:solidFill>
              <w14:schemeClr w14:val="tx1"/>
            </w14:solidFill>
          </w14:textFill>
        </w:rPr>
      </w:pPr>
      <w:bookmarkStart w:id="412" w:name="_Toc42254995"/>
      <w:r>
        <w:rPr>
          <w:rFonts w:hint="eastAsia" w:ascii="宋体" w:hAnsi="宋体" w:eastAsia="宋体" w:cs="宋体"/>
          <w:b/>
          <w:color w:val="000000" w:themeColor="text1"/>
          <w:sz w:val="24"/>
          <w:szCs w:val="24"/>
          <w:highlight w:val="none"/>
          <w14:textFill>
            <w14:solidFill>
              <w14:schemeClr w14:val="tx1"/>
            </w14:solidFill>
          </w14:textFill>
        </w:rPr>
        <w:t>七、警告退出办法</w:t>
      </w:r>
      <w:bookmarkEnd w:id="412"/>
    </w:p>
    <w:p>
      <w:pPr>
        <w:spacing w:line="360" w:lineRule="auto"/>
        <w:ind w:firstLine="540"/>
        <w:jc w:val="left"/>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b/>
          <w:color w:val="000000" w:themeColor="text1"/>
          <w:kern w:val="0"/>
          <w:sz w:val="24"/>
          <w:szCs w:val="24"/>
          <w:highlight w:val="none"/>
          <w14:textFill>
            <w14:solidFill>
              <w14:schemeClr w14:val="tx1"/>
            </w14:solidFill>
          </w14:textFill>
        </w:rPr>
        <w:t>1、警告。</w:t>
      </w:r>
      <w:r>
        <w:rPr>
          <w:rFonts w:hint="eastAsia" w:ascii="宋体" w:hAnsi="宋体" w:eastAsia="宋体" w:cs="宋体"/>
          <w:color w:val="000000" w:themeColor="text1"/>
          <w:kern w:val="0"/>
          <w:sz w:val="24"/>
          <w:szCs w:val="24"/>
          <w:highlight w:val="none"/>
          <w14:textFill>
            <w14:solidFill>
              <w14:schemeClr w14:val="tx1"/>
            </w14:solidFill>
          </w14:textFill>
        </w:rPr>
        <w:t>在综合养护作业合同期间，有下列情景之一的给予一次警告：</w:t>
      </w:r>
    </w:p>
    <w:p>
      <w:pPr>
        <w:spacing w:line="360" w:lineRule="auto"/>
        <w:ind w:firstLine="540"/>
        <w:jc w:val="left"/>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(1) 月度合同标段数字城管问题及时整改率未达到100%的。</w:t>
      </w:r>
    </w:p>
    <w:p>
      <w:pPr>
        <w:spacing w:line="360" w:lineRule="auto"/>
        <w:ind w:firstLine="540"/>
        <w:jc w:val="left"/>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(2) 防汛防台、抗雪防冻、突发事件应急处理及重大活动保障处置不力的。</w:t>
      </w:r>
    </w:p>
    <w:p>
      <w:pPr>
        <w:spacing w:line="360" w:lineRule="auto"/>
        <w:ind w:firstLine="540"/>
        <w:jc w:val="left"/>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(3) 管理混乱，发生管养人员集体上访的。</w:t>
      </w:r>
    </w:p>
    <w:p>
      <w:pPr>
        <w:spacing w:line="360" w:lineRule="auto"/>
        <w:ind w:firstLine="540"/>
        <w:jc w:val="left"/>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(4) 不遵守交通法规，未按照规程操作发生有责交通事故的。</w:t>
      </w:r>
    </w:p>
    <w:p>
      <w:pPr>
        <w:spacing w:line="360" w:lineRule="auto"/>
        <w:ind w:firstLine="540"/>
        <w:jc w:val="left"/>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b/>
          <w:color w:val="000000" w:themeColor="text1"/>
          <w:kern w:val="0"/>
          <w:sz w:val="24"/>
          <w:szCs w:val="24"/>
          <w:highlight w:val="none"/>
          <w14:textFill>
            <w14:solidFill>
              <w14:schemeClr w14:val="tx1"/>
            </w14:solidFill>
          </w14:textFill>
        </w:rPr>
        <w:t>2、退出。</w:t>
      </w:r>
      <w:r>
        <w:rPr>
          <w:rFonts w:hint="eastAsia" w:ascii="宋体" w:hAnsi="宋体" w:eastAsia="宋体" w:cs="宋体"/>
          <w:color w:val="000000" w:themeColor="text1"/>
          <w:kern w:val="0"/>
          <w:sz w:val="24"/>
          <w:szCs w:val="24"/>
          <w:highlight w:val="none"/>
          <w14:textFill>
            <w14:solidFill>
              <w14:schemeClr w14:val="tx1"/>
            </w14:solidFill>
          </w14:textFill>
        </w:rPr>
        <w:t>在综合养护作业合同期间，符合以下之一的甲方有权提前终止养护合同：</w:t>
      </w:r>
    </w:p>
    <w:p>
      <w:pPr>
        <w:spacing w:line="360" w:lineRule="auto"/>
        <w:ind w:firstLine="540"/>
        <w:jc w:val="left"/>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(1) 组织管理机构、人员素质、保洁人数与投标承诺不符，无法完成综合管养任务的。</w:t>
      </w:r>
    </w:p>
    <w:p>
      <w:pPr>
        <w:spacing w:line="360" w:lineRule="auto"/>
        <w:ind w:firstLine="540"/>
        <w:jc w:val="left"/>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(2) 同一合同标段在合同期一年内累计被警告2次的。</w:t>
      </w:r>
    </w:p>
    <w:p>
      <w:pPr>
        <w:spacing w:line="360" w:lineRule="auto"/>
        <w:ind w:firstLine="540"/>
        <w:jc w:val="left"/>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(3) 月度检查连续2次低于88分或一年内累计4次低于88分。</w:t>
      </w:r>
    </w:p>
    <w:p>
      <w:pPr>
        <w:spacing w:line="360" w:lineRule="auto"/>
        <w:ind w:firstLine="539"/>
        <w:jc w:val="left"/>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(4) 上级有关部门发出整改通知书且不整改或整改不力的，合同期一年内累计达到二次的，予以解除合同，并退还当年已支付的养护经费。</w:t>
      </w:r>
    </w:p>
    <w:p>
      <w:pPr>
        <w:spacing w:line="360" w:lineRule="auto"/>
        <w:ind w:firstLine="539"/>
        <w:jc w:val="left"/>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(5) 重大违反国家有关法律法规的行为，及发生严重伤亡安全事故的</w:t>
      </w:r>
    </w:p>
    <w:p>
      <w:pPr>
        <w:spacing w:line="360" w:lineRule="auto"/>
        <w:ind w:firstLine="539"/>
        <w:jc w:val="left"/>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(6) 养护人员工资低于杭州市劳动保障部门有关规定，未落实职工劳保福利待遇，职工未缴纳社会保险费（养老保险、医疗保险、失业保险、工伤保险和生育保险）与住房公积金，职工休息休假权利没有保障，未足额支付加班费。</w:t>
      </w:r>
    </w:p>
    <w:p>
      <w:pPr>
        <w:spacing w:line="360" w:lineRule="auto"/>
        <w:ind w:firstLine="539"/>
        <w:jc w:val="left"/>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(7) 乙方向他人转包或分包养护项目。一经发现，甲方有权全额扣除相应的养护经费，由此产生的法律责任和经济损失由乙方承担。</w:t>
      </w:r>
    </w:p>
    <w:p>
      <w:pPr>
        <w:spacing w:line="360" w:lineRule="auto"/>
        <w:ind w:firstLine="54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(8) 乙方在综合养护服务过程中达不到甲方的要求和标准，甲方有权按规定进行经济处罚，直至终止合同。</w:t>
      </w:r>
    </w:p>
    <w:p>
      <w:pPr>
        <w:pageBreakBefore w:val="0"/>
        <w:widowControl/>
        <w:kinsoku/>
        <w:wordWrap/>
        <w:overflowPunct/>
        <w:topLinePunct w:val="0"/>
        <w:bidi w:val="0"/>
        <w:adjustRightInd/>
        <w:snapToGrid/>
        <w:spacing w:line="360" w:lineRule="auto"/>
        <w:ind w:left="0" w:leftChars="0" w:firstLine="482" w:firstLineChars="200"/>
        <w:jc w:val="left"/>
        <w:textAlignment w:val="auto"/>
        <w:rPr>
          <w:rFonts w:hint="default" w:ascii="宋体" w:hAnsi="宋体" w:eastAsia="宋体" w:cs="宋体"/>
          <w:b/>
          <w:bCs/>
          <w:color w:val="000000" w:themeColor="text1"/>
          <w:sz w:val="24"/>
          <w:szCs w:val="24"/>
          <w:highlight w:val="none"/>
          <w:lang w:val="en-US" w:eastAsia="zh-CN"/>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t>八、</w:t>
      </w:r>
      <w:r>
        <w:rPr>
          <w:rFonts w:hint="eastAsia" w:ascii="宋体" w:hAnsi="宋体" w:cs="宋体"/>
          <w:b/>
          <w:bCs/>
          <w:color w:val="000000" w:themeColor="text1"/>
          <w:sz w:val="24"/>
          <w:szCs w:val="24"/>
          <w:highlight w:val="none"/>
          <w:lang w:val="en-US" w:eastAsia="zh-CN"/>
          <w14:textFill>
            <w14:solidFill>
              <w14:schemeClr w14:val="tx1"/>
            </w14:solidFill>
          </w14:textFill>
        </w:rPr>
        <w:t>履约验收</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lang w:eastAsia="zh-CN"/>
          <w14:textFill>
            <w14:solidFill>
              <w14:schemeClr w14:val="tx1"/>
            </w14:solidFill>
          </w14:textFill>
        </w:rPr>
        <w:t>（</w:t>
      </w:r>
      <w:r>
        <w:rPr>
          <w:rFonts w:hint="eastAsia" w:ascii="宋体" w:hAnsi="宋体" w:cs="宋体"/>
          <w:color w:val="000000" w:themeColor="text1"/>
          <w:sz w:val="24"/>
          <w:szCs w:val="24"/>
          <w:highlight w:val="none"/>
          <w:lang w:val="en-US" w:eastAsia="zh-CN"/>
          <w14:textFill>
            <w14:solidFill>
              <w14:schemeClr w14:val="tx1"/>
            </w14:solidFill>
          </w14:textFill>
        </w:rPr>
        <w:t>1</w:t>
      </w:r>
      <w:r>
        <w:rPr>
          <w:rFonts w:hint="eastAsia" w:ascii="宋体" w:hAnsi="宋体" w:cs="宋体"/>
          <w:color w:val="000000" w:themeColor="text1"/>
          <w:sz w:val="24"/>
          <w:szCs w:val="24"/>
          <w:highlight w:val="none"/>
          <w:lang w:eastAsia="zh-CN"/>
          <w14:textFill>
            <w14:solidFill>
              <w14:schemeClr w14:val="tx1"/>
            </w14:solidFill>
          </w14:textFill>
        </w:rPr>
        <w:t>）甲方</w:t>
      </w:r>
      <w:r>
        <w:rPr>
          <w:rFonts w:hint="eastAsia" w:ascii="宋体" w:hAnsi="宋体" w:eastAsia="宋体" w:cs="宋体"/>
          <w:color w:val="000000" w:themeColor="text1"/>
          <w:sz w:val="24"/>
          <w:szCs w:val="24"/>
          <w:highlight w:val="none"/>
          <w14:textFill>
            <w14:solidFill>
              <w14:schemeClr w14:val="tx1"/>
            </w14:solidFill>
          </w14:textFill>
        </w:rPr>
        <w:t>按照《杭州市政府采购履约验收暂行办法》（杭财采监[2019]10号）规定组织对</w:t>
      </w:r>
      <w:r>
        <w:rPr>
          <w:rFonts w:hint="eastAsia" w:ascii="宋体" w:hAnsi="宋体" w:cs="宋体"/>
          <w:color w:val="000000" w:themeColor="text1"/>
          <w:sz w:val="24"/>
          <w:szCs w:val="24"/>
          <w:highlight w:val="none"/>
          <w:lang w:eastAsia="zh-CN"/>
          <w14:textFill>
            <w14:solidFill>
              <w14:schemeClr w14:val="tx1"/>
            </w14:solidFill>
          </w14:textFill>
        </w:rPr>
        <w:t>乙方</w:t>
      </w:r>
      <w:r>
        <w:rPr>
          <w:rFonts w:hint="eastAsia" w:ascii="宋体" w:hAnsi="宋体" w:eastAsia="宋体" w:cs="宋体"/>
          <w:color w:val="000000" w:themeColor="text1"/>
          <w:sz w:val="24"/>
          <w:szCs w:val="24"/>
          <w:highlight w:val="none"/>
          <w14:textFill>
            <w14:solidFill>
              <w14:schemeClr w14:val="tx1"/>
            </w14:solidFill>
          </w14:textFill>
        </w:rPr>
        <w:t>履约的验收。验收方成员应当在验收书上签字，并承担相应的法律责任。如果发现与合同中要求不符，</w:t>
      </w:r>
      <w:r>
        <w:rPr>
          <w:rFonts w:hint="eastAsia" w:ascii="宋体" w:hAnsi="宋体" w:cs="宋体"/>
          <w:color w:val="000000" w:themeColor="text1"/>
          <w:sz w:val="24"/>
          <w:szCs w:val="24"/>
          <w:highlight w:val="none"/>
          <w:lang w:eastAsia="zh-CN"/>
          <w14:textFill>
            <w14:solidFill>
              <w14:schemeClr w14:val="tx1"/>
            </w14:solidFill>
          </w14:textFill>
        </w:rPr>
        <w:t>乙方</w:t>
      </w:r>
      <w:r>
        <w:rPr>
          <w:rFonts w:hint="eastAsia" w:ascii="宋体" w:hAnsi="宋体" w:eastAsia="宋体" w:cs="宋体"/>
          <w:color w:val="000000" w:themeColor="text1"/>
          <w:sz w:val="24"/>
          <w:szCs w:val="24"/>
          <w:highlight w:val="none"/>
          <w14:textFill>
            <w14:solidFill>
              <w14:schemeClr w14:val="tx1"/>
            </w14:solidFill>
          </w14:textFill>
        </w:rPr>
        <w:t>须承担由此发生的一切损失和费用，并接受相应的处理。</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lang w:eastAsia="zh-CN"/>
          <w14:textFill>
            <w14:solidFill>
              <w14:schemeClr w14:val="tx1"/>
            </w14:solidFill>
          </w14:textFill>
        </w:rPr>
        <w:t>（</w:t>
      </w:r>
      <w:r>
        <w:rPr>
          <w:rFonts w:hint="eastAsia" w:ascii="宋体" w:hAnsi="宋体" w:cs="宋体"/>
          <w:color w:val="000000" w:themeColor="text1"/>
          <w:sz w:val="24"/>
          <w:szCs w:val="24"/>
          <w:highlight w:val="none"/>
          <w:lang w:val="en-US" w:eastAsia="zh-CN"/>
          <w14:textFill>
            <w14:solidFill>
              <w14:schemeClr w14:val="tx1"/>
            </w14:solidFill>
          </w14:textFill>
        </w:rPr>
        <w:t>2</w:t>
      </w:r>
      <w:r>
        <w:rPr>
          <w:rFonts w:hint="eastAsia" w:ascii="宋体" w:hAnsi="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严格按照采购合同开展履约验收。</w:t>
      </w:r>
      <w:r>
        <w:rPr>
          <w:rFonts w:hint="eastAsia" w:ascii="宋体" w:hAnsi="宋体" w:cs="宋体"/>
          <w:color w:val="000000" w:themeColor="text1"/>
          <w:sz w:val="24"/>
          <w:szCs w:val="24"/>
          <w:highlight w:val="none"/>
          <w:lang w:eastAsia="zh-CN"/>
          <w14:textFill>
            <w14:solidFill>
              <w14:schemeClr w14:val="tx1"/>
            </w14:solidFill>
          </w14:textFill>
        </w:rPr>
        <w:t>甲方</w:t>
      </w:r>
      <w:r>
        <w:rPr>
          <w:rFonts w:hint="eastAsia" w:ascii="宋体" w:hAnsi="宋体" w:cs="宋体"/>
          <w:color w:val="000000" w:themeColor="text1"/>
          <w:sz w:val="24"/>
          <w:szCs w:val="24"/>
          <w:highlight w:val="none"/>
          <w:lang w:val="en-US" w:eastAsia="zh-CN"/>
          <w14:textFill>
            <w14:solidFill>
              <w14:schemeClr w14:val="tx1"/>
            </w14:solidFill>
          </w14:textFill>
        </w:rPr>
        <w:t>自行验收或</w:t>
      </w:r>
      <w:r>
        <w:rPr>
          <w:rFonts w:hint="eastAsia" w:ascii="宋体" w:hAnsi="宋体" w:cs="宋体"/>
          <w:color w:val="000000" w:themeColor="text1"/>
          <w:sz w:val="24"/>
          <w:szCs w:val="24"/>
          <w:highlight w:val="none"/>
          <w:lang w:eastAsia="zh-CN"/>
          <w14:textFill>
            <w14:solidFill>
              <w14:schemeClr w14:val="tx1"/>
            </w14:solidFill>
          </w14:textFill>
        </w:rPr>
        <w:t>委托第三方机构成立验收小组</w:t>
      </w:r>
      <w:r>
        <w:rPr>
          <w:rFonts w:hint="eastAsia" w:ascii="宋体" w:hAnsi="宋体" w:eastAsia="宋体" w:cs="宋体"/>
          <w:color w:val="000000" w:themeColor="text1"/>
          <w:sz w:val="24"/>
          <w:szCs w:val="24"/>
          <w:highlight w:val="none"/>
          <w14:textFill>
            <w14:solidFill>
              <w14:schemeClr w14:val="tx1"/>
            </w14:solidFill>
          </w14:textFill>
        </w:rPr>
        <w:t>，按照采购合同的约定对</w:t>
      </w:r>
      <w:r>
        <w:rPr>
          <w:rFonts w:hint="eastAsia" w:ascii="宋体" w:hAnsi="宋体" w:cs="宋体"/>
          <w:color w:val="000000" w:themeColor="text1"/>
          <w:sz w:val="24"/>
          <w:szCs w:val="24"/>
          <w:highlight w:val="none"/>
          <w:lang w:eastAsia="zh-CN"/>
          <w14:textFill>
            <w14:solidFill>
              <w14:schemeClr w14:val="tx1"/>
            </w14:solidFill>
          </w14:textFill>
        </w:rPr>
        <w:t>乙方</w:t>
      </w:r>
      <w:r>
        <w:rPr>
          <w:rFonts w:hint="eastAsia" w:ascii="宋体" w:hAnsi="宋体" w:eastAsia="宋体" w:cs="宋体"/>
          <w:color w:val="000000" w:themeColor="text1"/>
          <w:sz w:val="24"/>
          <w:szCs w:val="24"/>
          <w:highlight w:val="none"/>
          <w14:textFill>
            <w14:solidFill>
              <w14:schemeClr w14:val="tx1"/>
            </w14:solidFill>
          </w14:textFill>
        </w:rPr>
        <w:t>履约情况进行验收，验收时，按照采购合同的约定对每一项技术、服务、安全标准的履约情况进行确认，出具验收报告并经验收小组全体成员签字。</w:t>
      </w:r>
      <w:r>
        <w:rPr>
          <w:rFonts w:hint="eastAsia" w:ascii="宋体" w:hAnsi="宋体" w:cs="宋体"/>
          <w:color w:val="000000" w:themeColor="text1"/>
          <w:sz w:val="24"/>
          <w:szCs w:val="24"/>
          <w:highlight w:val="none"/>
          <w:lang w:eastAsia="zh-CN"/>
          <w14:textFill>
            <w14:solidFill>
              <w14:schemeClr w14:val="tx1"/>
            </w14:solidFill>
          </w14:textFill>
        </w:rPr>
        <w:t>甲方</w:t>
      </w:r>
      <w:r>
        <w:rPr>
          <w:rFonts w:hint="eastAsia" w:ascii="宋体" w:hAnsi="宋体" w:eastAsia="宋体" w:cs="宋体"/>
          <w:color w:val="000000" w:themeColor="text1"/>
          <w:sz w:val="24"/>
          <w:szCs w:val="24"/>
          <w:highlight w:val="none"/>
          <w14:textFill>
            <w14:solidFill>
              <w14:schemeClr w14:val="tx1"/>
            </w14:solidFill>
          </w14:textFill>
        </w:rPr>
        <w:t>根据验收报告形成验收意见并经</w:t>
      </w:r>
      <w:r>
        <w:rPr>
          <w:rFonts w:hint="eastAsia" w:ascii="宋体" w:hAnsi="宋体" w:cs="宋体"/>
          <w:color w:val="000000" w:themeColor="text1"/>
          <w:sz w:val="24"/>
          <w:szCs w:val="24"/>
          <w:highlight w:val="none"/>
          <w:lang w:eastAsia="zh-CN"/>
          <w14:textFill>
            <w14:solidFill>
              <w14:schemeClr w14:val="tx1"/>
            </w14:solidFill>
          </w14:textFill>
        </w:rPr>
        <w:t>甲方</w:t>
      </w:r>
      <w:r>
        <w:rPr>
          <w:rFonts w:hint="eastAsia" w:ascii="宋体" w:hAnsi="宋体" w:eastAsia="宋体" w:cs="宋体"/>
          <w:color w:val="000000" w:themeColor="text1"/>
          <w:sz w:val="24"/>
          <w:szCs w:val="24"/>
          <w:highlight w:val="none"/>
          <w14:textFill>
            <w14:solidFill>
              <w14:schemeClr w14:val="tx1"/>
            </w14:solidFill>
          </w14:textFill>
        </w:rPr>
        <w:t>与</w:t>
      </w:r>
      <w:r>
        <w:rPr>
          <w:rFonts w:hint="eastAsia" w:ascii="宋体" w:hAnsi="宋体" w:cs="宋体"/>
          <w:color w:val="000000" w:themeColor="text1"/>
          <w:sz w:val="24"/>
          <w:szCs w:val="24"/>
          <w:highlight w:val="none"/>
          <w:lang w:eastAsia="zh-CN"/>
          <w14:textFill>
            <w14:solidFill>
              <w14:schemeClr w14:val="tx1"/>
            </w14:solidFill>
          </w14:textFill>
        </w:rPr>
        <w:t>乙方</w:t>
      </w:r>
      <w:r>
        <w:rPr>
          <w:rFonts w:hint="eastAsia" w:ascii="宋体" w:hAnsi="宋体" w:eastAsia="宋体" w:cs="宋体"/>
          <w:color w:val="000000" w:themeColor="text1"/>
          <w:sz w:val="24"/>
          <w:szCs w:val="24"/>
          <w:highlight w:val="none"/>
          <w14:textFill>
            <w14:solidFill>
              <w14:schemeClr w14:val="tx1"/>
            </w14:solidFill>
          </w14:textFill>
        </w:rPr>
        <w:t>签字盖章。验收结果与采购合同约定的资金支付及履约保证金返还条件挂钩。履约验收的各项资料应当存档备查。</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lang w:eastAsia="zh-CN"/>
          <w14:textFill>
            <w14:solidFill>
              <w14:schemeClr w14:val="tx1"/>
            </w14:solidFill>
          </w14:textFill>
        </w:rPr>
        <w:t>（</w:t>
      </w:r>
      <w:r>
        <w:rPr>
          <w:rFonts w:hint="eastAsia" w:ascii="宋体" w:hAnsi="宋体" w:cs="宋体"/>
          <w:color w:val="000000" w:themeColor="text1"/>
          <w:sz w:val="24"/>
          <w:szCs w:val="24"/>
          <w:highlight w:val="none"/>
          <w:lang w:val="en-US" w:eastAsia="zh-CN"/>
          <w14:textFill>
            <w14:solidFill>
              <w14:schemeClr w14:val="tx1"/>
            </w14:solidFill>
          </w14:textFill>
        </w:rPr>
        <w:t>3</w:t>
      </w:r>
      <w:r>
        <w:rPr>
          <w:rFonts w:hint="eastAsia" w:ascii="宋体" w:hAnsi="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验收合格的项目，</w:t>
      </w:r>
      <w:r>
        <w:rPr>
          <w:rFonts w:hint="eastAsia" w:ascii="宋体" w:hAnsi="宋体" w:cs="宋体"/>
          <w:color w:val="000000" w:themeColor="text1"/>
          <w:sz w:val="24"/>
          <w:szCs w:val="24"/>
          <w:highlight w:val="none"/>
          <w:lang w:eastAsia="zh-CN"/>
          <w14:textFill>
            <w14:solidFill>
              <w14:schemeClr w14:val="tx1"/>
            </w14:solidFill>
          </w14:textFill>
        </w:rPr>
        <w:t>甲方</w:t>
      </w:r>
      <w:r>
        <w:rPr>
          <w:rFonts w:hint="eastAsia" w:ascii="宋体" w:hAnsi="宋体" w:eastAsia="宋体" w:cs="宋体"/>
          <w:color w:val="000000" w:themeColor="text1"/>
          <w:sz w:val="24"/>
          <w:szCs w:val="24"/>
          <w:highlight w:val="none"/>
          <w14:textFill>
            <w14:solidFill>
              <w14:schemeClr w14:val="tx1"/>
            </w14:solidFill>
          </w14:textFill>
        </w:rPr>
        <w:t>将根据采购合同的约定及时向</w:t>
      </w:r>
      <w:r>
        <w:rPr>
          <w:rFonts w:hint="eastAsia" w:ascii="宋体" w:hAnsi="宋体" w:cs="宋体"/>
          <w:color w:val="000000" w:themeColor="text1"/>
          <w:sz w:val="24"/>
          <w:szCs w:val="24"/>
          <w:highlight w:val="none"/>
          <w:lang w:eastAsia="zh-CN"/>
          <w14:textFill>
            <w14:solidFill>
              <w14:schemeClr w14:val="tx1"/>
            </w14:solidFill>
          </w14:textFill>
        </w:rPr>
        <w:t>乙方</w:t>
      </w:r>
      <w:r>
        <w:rPr>
          <w:rFonts w:hint="eastAsia" w:ascii="宋体" w:hAnsi="宋体" w:eastAsia="宋体" w:cs="宋体"/>
          <w:color w:val="000000" w:themeColor="text1"/>
          <w:sz w:val="24"/>
          <w:szCs w:val="24"/>
          <w:highlight w:val="none"/>
          <w14:textFill>
            <w14:solidFill>
              <w14:schemeClr w14:val="tx1"/>
            </w14:solidFill>
          </w14:textFill>
        </w:rPr>
        <w:t>支付采购资金、退还履约保证金。验收不合格的项目，</w:t>
      </w:r>
      <w:r>
        <w:rPr>
          <w:rFonts w:hint="eastAsia" w:ascii="宋体" w:hAnsi="宋体" w:cs="宋体"/>
          <w:color w:val="000000" w:themeColor="text1"/>
          <w:sz w:val="24"/>
          <w:szCs w:val="24"/>
          <w:highlight w:val="none"/>
          <w:lang w:eastAsia="zh-CN"/>
          <w14:textFill>
            <w14:solidFill>
              <w14:schemeClr w14:val="tx1"/>
            </w14:solidFill>
          </w14:textFill>
        </w:rPr>
        <w:t>甲方</w:t>
      </w:r>
      <w:r>
        <w:rPr>
          <w:rFonts w:hint="eastAsia" w:ascii="宋体" w:hAnsi="宋体" w:eastAsia="宋体" w:cs="宋体"/>
          <w:color w:val="000000" w:themeColor="text1"/>
          <w:sz w:val="24"/>
          <w:szCs w:val="24"/>
          <w:highlight w:val="none"/>
          <w14:textFill>
            <w14:solidFill>
              <w14:schemeClr w14:val="tx1"/>
            </w14:solidFill>
          </w14:textFill>
        </w:rPr>
        <w:t>将依法及时处理。采购合同的履行、违约责任和解决争议的方式等适用《中华人民共和国民法典》。</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lang w:eastAsia="zh-CN"/>
          <w14:textFill>
            <w14:solidFill>
              <w14:schemeClr w14:val="tx1"/>
            </w14:solidFill>
          </w14:textFill>
        </w:rPr>
        <w:t>（</w:t>
      </w:r>
      <w:r>
        <w:rPr>
          <w:rFonts w:hint="eastAsia" w:ascii="宋体" w:hAnsi="宋体" w:cs="宋体"/>
          <w:color w:val="000000" w:themeColor="text1"/>
          <w:sz w:val="24"/>
          <w:szCs w:val="24"/>
          <w:highlight w:val="none"/>
          <w:lang w:val="en-US" w:eastAsia="zh-CN"/>
          <w14:textFill>
            <w14:solidFill>
              <w14:schemeClr w14:val="tx1"/>
            </w14:solidFill>
          </w14:textFill>
        </w:rPr>
        <w:t>4</w:t>
      </w:r>
      <w:r>
        <w:rPr>
          <w:rFonts w:hint="eastAsia" w:ascii="宋体" w:hAnsi="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验收产生的费用首次验收费用由</w:t>
      </w:r>
      <w:r>
        <w:rPr>
          <w:rFonts w:hint="eastAsia" w:ascii="宋体" w:hAnsi="宋体" w:cs="宋体"/>
          <w:color w:val="000000" w:themeColor="text1"/>
          <w:sz w:val="24"/>
          <w:szCs w:val="24"/>
          <w:highlight w:val="none"/>
          <w:lang w:eastAsia="zh-CN"/>
          <w14:textFill>
            <w14:solidFill>
              <w14:schemeClr w14:val="tx1"/>
            </w14:solidFill>
          </w14:textFill>
        </w:rPr>
        <w:t>甲方</w:t>
      </w:r>
      <w:r>
        <w:rPr>
          <w:rFonts w:hint="eastAsia" w:ascii="宋体" w:hAnsi="宋体" w:eastAsia="宋体" w:cs="宋体"/>
          <w:color w:val="000000" w:themeColor="text1"/>
          <w:sz w:val="24"/>
          <w:szCs w:val="24"/>
          <w:highlight w:val="none"/>
          <w14:textFill>
            <w14:solidFill>
              <w14:schemeClr w14:val="tx1"/>
            </w14:solidFill>
          </w14:textFill>
        </w:rPr>
        <w:t>承担，如首次验收不合格，后续验收费用由</w:t>
      </w:r>
      <w:r>
        <w:rPr>
          <w:rFonts w:hint="eastAsia" w:ascii="宋体" w:hAnsi="宋体" w:cs="宋体"/>
          <w:color w:val="000000" w:themeColor="text1"/>
          <w:sz w:val="24"/>
          <w:szCs w:val="24"/>
          <w:highlight w:val="none"/>
          <w:lang w:eastAsia="zh-CN"/>
          <w14:textFill>
            <w14:solidFill>
              <w14:schemeClr w14:val="tx1"/>
            </w14:solidFill>
          </w14:textFill>
        </w:rPr>
        <w:t>乙方</w:t>
      </w:r>
      <w:r>
        <w:rPr>
          <w:rFonts w:hint="eastAsia" w:ascii="宋体" w:hAnsi="宋体" w:eastAsia="宋体" w:cs="宋体"/>
          <w:color w:val="000000" w:themeColor="text1"/>
          <w:sz w:val="24"/>
          <w:szCs w:val="24"/>
          <w:highlight w:val="none"/>
          <w14:textFill>
            <w14:solidFill>
              <w14:schemeClr w14:val="tx1"/>
            </w14:solidFill>
          </w14:textFill>
        </w:rPr>
        <w:t>支付。</w:t>
      </w:r>
    </w:p>
    <w:p>
      <w:pPr>
        <w:spacing w:line="360" w:lineRule="auto"/>
        <w:ind w:firstLine="482"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cs="宋体"/>
          <w:b/>
          <w:bCs/>
          <w:color w:val="000000" w:themeColor="text1"/>
          <w:sz w:val="24"/>
          <w:szCs w:val="24"/>
          <w:highlight w:val="none"/>
          <w:lang w:val="en-US" w:eastAsia="zh-CN"/>
          <w14:textFill>
            <w14:solidFill>
              <w14:schemeClr w14:val="tx1"/>
            </w14:solidFill>
          </w14:textFill>
        </w:rPr>
        <w:t>九、</w:t>
      </w:r>
      <w:r>
        <w:rPr>
          <w:rFonts w:hint="eastAsia" w:ascii="宋体" w:hAnsi="宋体" w:eastAsia="宋体" w:cs="宋体"/>
          <w:color w:val="000000" w:themeColor="text1"/>
          <w:sz w:val="24"/>
          <w:szCs w:val="24"/>
          <w:highlight w:val="none"/>
          <w14:textFill>
            <w14:solidFill>
              <w14:schemeClr w14:val="tx1"/>
            </w14:solidFill>
          </w14:textFill>
        </w:rPr>
        <w:t>合同履行期内甲乙双方均不得随意变更或解除合同。合同若有未尽事宜，需经双方共同协商，作出补充规定，补充规定与本合同有同等法律效力。</w:t>
      </w:r>
    </w:p>
    <w:p>
      <w:pPr>
        <w:spacing w:line="360" w:lineRule="auto"/>
        <w:ind w:firstLine="482"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cs="宋体"/>
          <w:b/>
          <w:bCs/>
          <w:color w:val="000000" w:themeColor="text1"/>
          <w:sz w:val="24"/>
          <w:szCs w:val="24"/>
          <w:highlight w:val="none"/>
          <w:lang w:val="en-US" w:eastAsia="zh-CN"/>
          <w14:textFill>
            <w14:solidFill>
              <w14:schemeClr w14:val="tx1"/>
            </w14:solidFill>
          </w14:textFill>
        </w:rPr>
        <w:t>十</w:t>
      </w:r>
      <w:r>
        <w:rPr>
          <w:rFonts w:hint="eastAsia" w:ascii="宋体" w:hAnsi="宋体" w:eastAsia="宋体" w:cs="宋体"/>
          <w:b/>
          <w:bCs/>
          <w:color w:val="000000" w:themeColor="text1"/>
          <w:sz w:val="24"/>
          <w:szCs w:val="24"/>
          <w:highlight w:val="none"/>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本合同如遇不可抗拒的原因无法继续履行时，即自然终止，双方自行承担各自损失。</w:t>
      </w:r>
    </w:p>
    <w:p>
      <w:pPr>
        <w:spacing w:line="360" w:lineRule="auto"/>
        <w:ind w:firstLine="482"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t>十</w:t>
      </w:r>
      <w:r>
        <w:rPr>
          <w:rFonts w:hint="eastAsia" w:ascii="宋体" w:hAnsi="宋体" w:cs="宋体"/>
          <w:b/>
          <w:bCs/>
          <w:color w:val="000000" w:themeColor="text1"/>
          <w:sz w:val="24"/>
          <w:szCs w:val="24"/>
          <w:highlight w:val="none"/>
          <w:lang w:val="en-US" w:eastAsia="zh-CN"/>
          <w14:textFill>
            <w14:solidFill>
              <w14:schemeClr w14:val="tx1"/>
            </w14:solidFill>
          </w14:textFill>
        </w:rPr>
        <w:t>一</w:t>
      </w:r>
      <w:r>
        <w:rPr>
          <w:rFonts w:hint="eastAsia" w:ascii="宋体" w:hAnsi="宋体" w:eastAsia="宋体" w:cs="宋体"/>
          <w:b/>
          <w:bCs/>
          <w:color w:val="000000" w:themeColor="text1"/>
          <w:sz w:val="24"/>
          <w:szCs w:val="24"/>
          <w:highlight w:val="none"/>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本合同如发生纠纷，甲、乙双方应当及时协商解决，如协商不成，按《中华人民共和国政府采购法》的规定处理。</w:t>
      </w:r>
    </w:p>
    <w:p>
      <w:pPr>
        <w:spacing w:line="360" w:lineRule="auto"/>
        <w:ind w:firstLine="482"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t>十</w:t>
      </w:r>
      <w:r>
        <w:rPr>
          <w:rFonts w:hint="eastAsia" w:ascii="宋体" w:hAnsi="宋体" w:cs="宋体"/>
          <w:b/>
          <w:bCs/>
          <w:color w:val="000000" w:themeColor="text1"/>
          <w:sz w:val="24"/>
          <w:szCs w:val="24"/>
          <w:highlight w:val="none"/>
          <w:lang w:val="en-US" w:eastAsia="zh-CN"/>
          <w14:textFill>
            <w14:solidFill>
              <w14:schemeClr w14:val="tx1"/>
            </w14:solidFill>
          </w14:textFill>
        </w:rPr>
        <w:t>二</w:t>
      </w:r>
      <w:r>
        <w:rPr>
          <w:rFonts w:hint="eastAsia" w:ascii="宋体" w:hAnsi="宋体" w:eastAsia="宋体" w:cs="宋体"/>
          <w:b/>
          <w:bCs/>
          <w:color w:val="000000" w:themeColor="text1"/>
          <w:sz w:val="24"/>
          <w:szCs w:val="24"/>
          <w:highlight w:val="none"/>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所有</w:t>
      </w:r>
      <w:r>
        <w:rPr>
          <w:rFonts w:hint="eastAsia" w:ascii="宋体" w:hAnsi="宋体" w:eastAsia="宋体" w:cs="宋体"/>
          <w:color w:val="000000" w:themeColor="text1"/>
          <w:sz w:val="24"/>
          <w:szCs w:val="24"/>
          <w:highlight w:val="none"/>
          <w:lang w:eastAsia="zh-CN"/>
          <w14:textFill>
            <w14:solidFill>
              <w14:schemeClr w14:val="tx1"/>
            </w14:solidFill>
          </w14:textFill>
        </w:rPr>
        <w:t>采购文件</w:t>
      </w:r>
      <w:r>
        <w:rPr>
          <w:rFonts w:hint="eastAsia" w:ascii="宋体" w:hAnsi="宋体" w:eastAsia="宋体" w:cs="宋体"/>
          <w:color w:val="000000" w:themeColor="text1"/>
          <w:sz w:val="24"/>
          <w:szCs w:val="24"/>
          <w:highlight w:val="none"/>
          <w14:textFill>
            <w14:solidFill>
              <w14:schemeClr w14:val="tx1"/>
            </w14:solidFill>
          </w14:textFill>
        </w:rPr>
        <w:t>（招标编号：</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）、投标文件及评标过程中形成的文字资料、询标纪要均作为本合同的组成部分，具有同等效力，如有不一致的以有利于甲方的为准。</w:t>
      </w:r>
    </w:p>
    <w:p>
      <w:pPr>
        <w:spacing w:line="360" w:lineRule="auto"/>
        <w:ind w:firstLine="482"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t>十</w:t>
      </w:r>
      <w:r>
        <w:rPr>
          <w:rFonts w:hint="eastAsia" w:ascii="宋体" w:hAnsi="宋体" w:cs="宋体"/>
          <w:b/>
          <w:bCs/>
          <w:color w:val="000000" w:themeColor="text1"/>
          <w:sz w:val="24"/>
          <w:szCs w:val="24"/>
          <w:highlight w:val="none"/>
          <w:lang w:val="en-US" w:eastAsia="zh-CN"/>
          <w14:textFill>
            <w14:solidFill>
              <w14:schemeClr w14:val="tx1"/>
            </w14:solidFill>
          </w14:textFill>
        </w:rPr>
        <w:t>三</w:t>
      </w:r>
      <w:r>
        <w:rPr>
          <w:rFonts w:hint="eastAsia" w:ascii="宋体" w:hAnsi="宋体" w:eastAsia="宋体" w:cs="宋体"/>
          <w:b/>
          <w:bCs/>
          <w:color w:val="000000" w:themeColor="text1"/>
          <w:sz w:val="24"/>
          <w:szCs w:val="24"/>
          <w:highlight w:val="none"/>
          <w14:textFill>
            <w14:solidFill>
              <w14:schemeClr w14:val="tx1"/>
            </w14:solidFill>
          </w14:textFill>
        </w:rPr>
        <w:t>、</w:t>
      </w:r>
      <w:r>
        <w:rPr>
          <w:rFonts w:hint="eastAsia" w:ascii="宋体" w:hAnsi="宋体" w:eastAsia="宋体" w:cs="宋体"/>
          <w:color w:val="000000" w:themeColor="text1"/>
          <w:kern w:val="0"/>
          <w:sz w:val="24"/>
          <w:szCs w:val="24"/>
          <w:highlight w:val="none"/>
          <w14:textFill>
            <w14:solidFill>
              <w14:schemeClr w14:val="tx1"/>
            </w14:solidFill>
          </w14:textFill>
        </w:rPr>
        <w:t>在合同承包期内，若道路保洁定额、保洁类别、保洁面积、最低工资标准等有调整，以调整后的为准，再签订补充合同。</w:t>
      </w:r>
    </w:p>
    <w:p>
      <w:pPr>
        <w:spacing w:line="360" w:lineRule="auto"/>
        <w:ind w:firstLine="482" w:firstLineChars="200"/>
        <w:jc w:val="left"/>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t>十</w:t>
      </w:r>
      <w:r>
        <w:rPr>
          <w:rFonts w:hint="eastAsia" w:ascii="宋体" w:hAnsi="宋体" w:cs="宋体"/>
          <w:b/>
          <w:bCs/>
          <w:color w:val="000000" w:themeColor="text1"/>
          <w:sz w:val="24"/>
          <w:szCs w:val="24"/>
          <w:highlight w:val="none"/>
          <w:lang w:val="en-US" w:eastAsia="zh-CN"/>
          <w14:textFill>
            <w14:solidFill>
              <w14:schemeClr w14:val="tx1"/>
            </w14:solidFill>
          </w14:textFill>
        </w:rPr>
        <w:t>四</w:t>
      </w:r>
      <w:r>
        <w:rPr>
          <w:rFonts w:hint="eastAsia" w:ascii="宋体" w:hAnsi="宋体" w:eastAsia="宋体" w:cs="宋体"/>
          <w:b/>
          <w:bCs/>
          <w:color w:val="000000" w:themeColor="text1"/>
          <w:sz w:val="24"/>
          <w:szCs w:val="24"/>
          <w:highlight w:val="none"/>
          <w14:textFill>
            <w14:solidFill>
              <w14:schemeClr w14:val="tx1"/>
            </w14:solidFill>
          </w14:textFill>
        </w:rPr>
        <w:t>、其它有关事项：</w:t>
      </w:r>
    </w:p>
    <w:p>
      <w:pPr>
        <w:spacing w:line="360" w:lineRule="auto"/>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w:t>
      </w:r>
      <w:r>
        <w:rPr>
          <w:rFonts w:hint="eastAsia" w:ascii="宋体" w:hAnsi="宋体" w:eastAsia="宋体" w:cs="宋体"/>
          <w:color w:val="000000" w:themeColor="text1"/>
          <w:sz w:val="24"/>
          <w:szCs w:val="24"/>
          <w:highlight w:val="none"/>
          <w:lang w:eastAsia="zh-CN"/>
          <w14:textFill>
            <w14:solidFill>
              <w14:schemeClr w14:val="tx1"/>
            </w14:solidFill>
          </w14:textFill>
        </w:rPr>
        <w:t>采购文件</w:t>
      </w:r>
      <w:r>
        <w:rPr>
          <w:rFonts w:hint="eastAsia" w:ascii="宋体" w:hAnsi="宋体" w:eastAsia="宋体" w:cs="宋体"/>
          <w:color w:val="000000" w:themeColor="text1"/>
          <w:sz w:val="24"/>
          <w:szCs w:val="24"/>
          <w:highlight w:val="none"/>
          <w14:textFill>
            <w14:solidFill>
              <w14:schemeClr w14:val="tx1"/>
            </w14:solidFill>
          </w14:textFill>
        </w:rPr>
        <w:t>、投标文件等为合同的组成部分</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b/>
          <w:bCs/>
          <w:color w:val="000000" w:themeColor="text1"/>
          <w:sz w:val="24"/>
          <w:szCs w:val="24"/>
          <w:highlight w:val="none"/>
          <w:lang w:eastAsia="zh-CN"/>
          <w14:textFill>
            <w14:solidFill>
              <w14:schemeClr w14:val="tx1"/>
            </w14:solidFill>
          </w14:textFill>
        </w:rPr>
        <w:t>综合养护清单</w:t>
      </w: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报价明细</w:t>
      </w:r>
      <w:r>
        <w:rPr>
          <w:rFonts w:hint="eastAsia" w:ascii="宋体" w:hAnsi="宋体" w:eastAsia="宋体" w:cs="宋体"/>
          <w:b/>
          <w:bCs/>
          <w:color w:val="000000" w:themeColor="text1"/>
          <w:sz w:val="24"/>
          <w:szCs w:val="24"/>
          <w:highlight w:val="none"/>
          <w:lang w:eastAsia="zh-CN"/>
          <w14:textFill>
            <w14:solidFill>
              <w14:schemeClr w14:val="tx1"/>
            </w14:solidFill>
          </w14:textFill>
        </w:rPr>
        <w:t>详见</w:t>
      </w:r>
      <w:r>
        <w:rPr>
          <w:rFonts w:hint="eastAsia" w:ascii="宋体" w:hAnsi="宋体" w:cs="宋体"/>
          <w:b/>
          <w:bCs/>
          <w:color w:val="000000" w:themeColor="text1"/>
          <w:sz w:val="24"/>
          <w:szCs w:val="24"/>
          <w:highlight w:val="none"/>
          <w:lang w:val="en-US" w:eastAsia="zh-CN"/>
          <w14:textFill>
            <w14:solidFill>
              <w14:schemeClr w14:val="tx1"/>
            </w14:solidFill>
          </w14:textFill>
        </w:rPr>
        <w:t>合同</w:t>
      </w:r>
      <w:r>
        <w:rPr>
          <w:rFonts w:hint="eastAsia" w:ascii="宋体" w:hAnsi="宋体" w:eastAsia="宋体" w:cs="宋体"/>
          <w:b/>
          <w:bCs/>
          <w:color w:val="000000" w:themeColor="text1"/>
          <w:sz w:val="24"/>
          <w:szCs w:val="24"/>
          <w:highlight w:val="none"/>
          <w:lang w:eastAsia="zh-CN"/>
          <w14:textFill>
            <w14:solidFill>
              <w14:schemeClr w14:val="tx1"/>
            </w14:solidFill>
          </w14:textFill>
        </w:rPr>
        <w:t>附件</w:t>
      </w:r>
      <w:r>
        <w:rPr>
          <w:rFonts w:hint="eastAsia" w:ascii="宋体" w:hAnsi="宋体" w:cs="宋体"/>
          <w:b/>
          <w:bCs/>
          <w:color w:val="000000" w:themeColor="text1"/>
          <w:sz w:val="24"/>
          <w:szCs w:val="24"/>
          <w:highlight w:val="none"/>
          <w:lang w:val="en-US" w:eastAsia="zh-CN"/>
          <w14:textFill>
            <w14:solidFill>
              <w14:schemeClr w14:val="tx1"/>
            </w14:solidFill>
          </w14:textFill>
        </w:rPr>
        <w:t>一</w:t>
      </w:r>
      <w:r>
        <w:rPr>
          <w:rFonts w:hint="eastAsia" w:ascii="宋体" w:hAnsi="宋体" w:eastAsia="宋体" w:cs="宋体"/>
          <w:b/>
          <w:bCs/>
          <w:color w:val="000000" w:themeColor="text1"/>
          <w:sz w:val="24"/>
          <w:szCs w:val="24"/>
          <w:highlight w:val="none"/>
          <w:lang w:eastAsia="zh-CN"/>
          <w14:textFill>
            <w14:solidFill>
              <w14:schemeClr w14:val="tx1"/>
            </w14:solidFill>
          </w14:textFill>
        </w:rPr>
        <w:t>。</w:t>
      </w:r>
    </w:p>
    <w:p>
      <w:pPr>
        <w:spacing w:line="360" w:lineRule="auto"/>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2、在道路年度养护经费中，列支15-20%的额度用于合同内道路的大中修项目，项目计划由区城管局（区市政所）下达，报备市市政监管中心。计划的执行情况、项目的完成情况与资金拨付挂钩。</w:t>
      </w:r>
    </w:p>
    <w:p>
      <w:pPr>
        <w:spacing w:line="360" w:lineRule="auto"/>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3、道路随路的雨水管道养护费用不得在市级资金里支出，所需养护费用由区级财政承担。</w:t>
      </w:r>
    </w:p>
    <w:p>
      <w:pPr>
        <w:spacing w:line="360" w:lineRule="auto"/>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4、道路每年应进行一次常规检测，宜采用激光平整度仪等设备进行检测。合同期内，对道路进行一次结构强度检测。所需费用由道路年度养护经费列支。</w:t>
      </w:r>
    </w:p>
    <w:p>
      <w:pPr>
        <w:spacing w:line="360" w:lineRule="auto"/>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5、不能在合同期内随意调整合同内养护道路项目及段落，也不应新增养护道路且养护费用不予增加。应急、抢险等突发养护内容已包含在投标报价中，不予增加。</w:t>
      </w:r>
    </w:p>
    <w:p>
      <w:pPr>
        <w:spacing w:line="360" w:lineRule="auto"/>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6、排水设施养护内容包含安全防护网维护及更新。</w:t>
      </w:r>
    </w:p>
    <w:p>
      <w:pPr>
        <w:spacing w:line="360" w:lineRule="auto"/>
        <w:ind w:firstLine="482"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t>十</w:t>
      </w:r>
      <w:r>
        <w:rPr>
          <w:rFonts w:hint="eastAsia" w:ascii="宋体" w:hAnsi="宋体" w:cs="宋体"/>
          <w:b/>
          <w:bCs/>
          <w:color w:val="000000" w:themeColor="text1"/>
          <w:sz w:val="24"/>
          <w:szCs w:val="24"/>
          <w:highlight w:val="none"/>
          <w:lang w:val="en-US" w:eastAsia="zh-CN"/>
          <w14:textFill>
            <w14:solidFill>
              <w14:schemeClr w14:val="tx1"/>
            </w14:solidFill>
          </w14:textFill>
        </w:rPr>
        <w:t>五</w:t>
      </w:r>
      <w:r>
        <w:rPr>
          <w:rFonts w:hint="eastAsia" w:ascii="宋体" w:hAnsi="宋体" w:eastAsia="宋体" w:cs="宋体"/>
          <w:b/>
          <w:bCs/>
          <w:color w:val="000000" w:themeColor="text1"/>
          <w:sz w:val="24"/>
          <w:szCs w:val="24"/>
          <w:highlight w:val="none"/>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本合同一式捌份，双方各执肆份。本合同经甲乙双方法定代表人或其委托人签字盖章后，经报区级财政管理部门备案后生效。</w:t>
      </w:r>
    </w:p>
    <w:tbl>
      <w:tblPr>
        <w:tblStyle w:val="62"/>
        <w:tblW w:w="0" w:type="auto"/>
        <w:tblInd w:w="2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38"/>
        <w:gridCol w:w="45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4538" w:type="dxa"/>
            <w:tcBorders>
              <w:top w:val="single" w:color="auto" w:sz="4" w:space="0"/>
              <w:left w:val="single" w:color="auto" w:sz="4" w:space="0"/>
              <w:bottom w:val="single" w:color="auto" w:sz="4" w:space="0"/>
              <w:right w:val="single" w:color="auto" w:sz="4" w:space="0"/>
            </w:tcBorders>
            <w:noWrap w:val="0"/>
            <w:vAlign w:val="top"/>
          </w:tcPr>
          <w:p>
            <w:pPr>
              <w:pStyle w:val="964"/>
              <w:spacing w:line="360" w:lineRule="auto"/>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甲 方</w:t>
            </w:r>
          </w:p>
        </w:tc>
        <w:tc>
          <w:tcPr>
            <w:tcW w:w="4538" w:type="dxa"/>
            <w:tcBorders>
              <w:top w:val="single" w:color="auto" w:sz="4" w:space="0"/>
              <w:left w:val="single" w:color="auto" w:sz="4" w:space="0"/>
              <w:bottom w:val="single" w:color="auto" w:sz="4" w:space="0"/>
              <w:right w:val="single" w:color="auto" w:sz="4" w:space="0"/>
            </w:tcBorders>
            <w:noWrap w:val="0"/>
            <w:vAlign w:val="top"/>
          </w:tcPr>
          <w:p>
            <w:pPr>
              <w:pStyle w:val="964"/>
              <w:spacing w:line="360" w:lineRule="auto"/>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乙 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exact"/>
        </w:trPr>
        <w:tc>
          <w:tcPr>
            <w:tcW w:w="4538" w:type="dxa"/>
            <w:tcBorders>
              <w:top w:val="single" w:color="auto" w:sz="4" w:space="0"/>
              <w:left w:val="single" w:color="auto" w:sz="4" w:space="0"/>
              <w:bottom w:val="single" w:color="auto" w:sz="4" w:space="0"/>
              <w:right w:val="single" w:color="auto" w:sz="4" w:space="0"/>
            </w:tcBorders>
            <w:noWrap w:val="0"/>
            <w:vAlign w:val="top"/>
          </w:tcPr>
          <w:p>
            <w:pPr>
              <w:pStyle w:val="964"/>
              <w:spacing w:line="360" w:lineRule="auto"/>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（盖章）</w:t>
            </w:r>
          </w:p>
        </w:tc>
        <w:tc>
          <w:tcPr>
            <w:tcW w:w="4538" w:type="dxa"/>
            <w:tcBorders>
              <w:top w:val="single" w:color="auto" w:sz="4" w:space="0"/>
              <w:left w:val="single" w:color="auto" w:sz="4" w:space="0"/>
              <w:bottom w:val="single" w:color="auto" w:sz="4" w:space="0"/>
              <w:right w:val="single" w:color="auto" w:sz="4" w:space="0"/>
            </w:tcBorders>
            <w:noWrap w:val="0"/>
            <w:vAlign w:val="top"/>
          </w:tcPr>
          <w:p>
            <w:pPr>
              <w:pStyle w:val="964"/>
              <w:spacing w:line="360" w:lineRule="auto"/>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xml:space="preserve"> </w:t>
            </w:r>
            <w:r>
              <w:rPr>
                <w:rFonts w:hint="eastAsia" w:ascii="宋体" w:hAnsi="宋体" w:eastAsia="宋体" w:cs="宋体"/>
                <w:b/>
                <w:color w:val="000000" w:themeColor="text1"/>
                <w:sz w:val="24"/>
                <w:szCs w:val="24"/>
                <w:highlight w:val="non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 xml:space="preserve"> （盖章）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exact"/>
        </w:trPr>
        <w:tc>
          <w:tcPr>
            <w:tcW w:w="4538" w:type="dxa"/>
            <w:tcBorders>
              <w:top w:val="single" w:color="auto" w:sz="4" w:space="0"/>
              <w:left w:val="single" w:color="auto" w:sz="4" w:space="0"/>
              <w:bottom w:val="single" w:color="auto" w:sz="4" w:space="0"/>
              <w:right w:val="single" w:color="auto" w:sz="4" w:space="0"/>
            </w:tcBorders>
            <w:noWrap w:val="0"/>
            <w:vAlign w:val="top"/>
          </w:tcPr>
          <w:p>
            <w:pPr>
              <w:pStyle w:val="964"/>
              <w:spacing w:line="360" w:lineRule="auto"/>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代    表：</w:t>
            </w:r>
          </w:p>
        </w:tc>
        <w:tc>
          <w:tcPr>
            <w:tcW w:w="4538" w:type="dxa"/>
            <w:tcBorders>
              <w:top w:val="single" w:color="auto" w:sz="4" w:space="0"/>
              <w:left w:val="single" w:color="auto" w:sz="4" w:space="0"/>
              <w:bottom w:val="single" w:color="auto" w:sz="4" w:space="0"/>
              <w:right w:val="single" w:color="auto" w:sz="4" w:space="0"/>
            </w:tcBorders>
            <w:noWrap w:val="0"/>
            <w:vAlign w:val="top"/>
          </w:tcPr>
          <w:p>
            <w:pPr>
              <w:pStyle w:val="964"/>
              <w:spacing w:line="360" w:lineRule="auto"/>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代    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2" w:hRule="exact"/>
        </w:trPr>
        <w:tc>
          <w:tcPr>
            <w:tcW w:w="4538" w:type="dxa"/>
            <w:tcBorders>
              <w:top w:val="single" w:color="auto" w:sz="4" w:space="0"/>
              <w:left w:val="single" w:color="auto" w:sz="4" w:space="0"/>
              <w:bottom w:val="single" w:color="auto" w:sz="4" w:space="0"/>
              <w:right w:val="single" w:color="auto" w:sz="4" w:space="0"/>
            </w:tcBorders>
            <w:noWrap w:val="0"/>
            <w:vAlign w:val="top"/>
          </w:tcPr>
          <w:p>
            <w:pPr>
              <w:pStyle w:val="964"/>
              <w:spacing w:line="360" w:lineRule="auto"/>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通讯地址：</w:t>
            </w:r>
          </w:p>
        </w:tc>
        <w:tc>
          <w:tcPr>
            <w:tcW w:w="4538" w:type="dxa"/>
            <w:tcBorders>
              <w:top w:val="single" w:color="auto" w:sz="4" w:space="0"/>
              <w:left w:val="single" w:color="auto" w:sz="4" w:space="0"/>
              <w:bottom w:val="single" w:color="auto" w:sz="4" w:space="0"/>
              <w:right w:val="single" w:color="auto" w:sz="4" w:space="0"/>
            </w:tcBorders>
            <w:noWrap w:val="0"/>
            <w:vAlign w:val="top"/>
          </w:tcPr>
          <w:p>
            <w:pPr>
              <w:pStyle w:val="964"/>
              <w:spacing w:line="360" w:lineRule="auto"/>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通讯地址：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4538" w:type="dxa"/>
            <w:tcBorders>
              <w:top w:val="single" w:color="auto" w:sz="4" w:space="0"/>
              <w:left w:val="single" w:color="auto" w:sz="4" w:space="0"/>
              <w:bottom w:val="single" w:color="auto" w:sz="4" w:space="0"/>
              <w:right w:val="single" w:color="auto" w:sz="4" w:space="0"/>
            </w:tcBorders>
            <w:noWrap w:val="0"/>
            <w:vAlign w:val="top"/>
          </w:tcPr>
          <w:p>
            <w:pPr>
              <w:pStyle w:val="964"/>
              <w:spacing w:line="360" w:lineRule="auto"/>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开 户 行：</w:t>
            </w:r>
          </w:p>
        </w:tc>
        <w:tc>
          <w:tcPr>
            <w:tcW w:w="4538" w:type="dxa"/>
            <w:tcBorders>
              <w:top w:val="single" w:color="auto" w:sz="4" w:space="0"/>
              <w:left w:val="single" w:color="auto" w:sz="4" w:space="0"/>
              <w:bottom w:val="single" w:color="auto" w:sz="4" w:space="0"/>
              <w:right w:val="single" w:color="auto" w:sz="4" w:space="0"/>
            </w:tcBorders>
            <w:noWrap w:val="0"/>
            <w:vAlign w:val="top"/>
          </w:tcPr>
          <w:p>
            <w:pPr>
              <w:pStyle w:val="964"/>
              <w:spacing w:line="360" w:lineRule="auto"/>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开 户 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exact"/>
        </w:trPr>
        <w:tc>
          <w:tcPr>
            <w:tcW w:w="4538" w:type="dxa"/>
            <w:tcBorders>
              <w:top w:val="single" w:color="auto" w:sz="4" w:space="0"/>
              <w:left w:val="single" w:color="auto" w:sz="4" w:space="0"/>
              <w:bottom w:val="single" w:color="auto" w:sz="4" w:space="0"/>
              <w:right w:val="single" w:color="auto" w:sz="4" w:space="0"/>
            </w:tcBorders>
            <w:noWrap w:val="0"/>
            <w:vAlign w:val="top"/>
          </w:tcPr>
          <w:p>
            <w:pPr>
              <w:pStyle w:val="964"/>
              <w:spacing w:line="360" w:lineRule="auto"/>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帐    号：</w:t>
            </w:r>
          </w:p>
        </w:tc>
        <w:tc>
          <w:tcPr>
            <w:tcW w:w="4538" w:type="dxa"/>
            <w:tcBorders>
              <w:top w:val="single" w:color="auto" w:sz="4" w:space="0"/>
              <w:left w:val="single" w:color="auto" w:sz="4" w:space="0"/>
              <w:bottom w:val="single" w:color="auto" w:sz="4" w:space="0"/>
              <w:right w:val="single" w:color="auto" w:sz="4" w:space="0"/>
            </w:tcBorders>
            <w:noWrap w:val="0"/>
            <w:vAlign w:val="top"/>
          </w:tcPr>
          <w:p>
            <w:pPr>
              <w:pStyle w:val="964"/>
              <w:spacing w:line="360" w:lineRule="auto"/>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帐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exact"/>
        </w:trPr>
        <w:tc>
          <w:tcPr>
            <w:tcW w:w="4538" w:type="dxa"/>
            <w:tcBorders>
              <w:top w:val="single" w:color="auto" w:sz="4" w:space="0"/>
              <w:left w:val="single" w:color="auto" w:sz="4" w:space="0"/>
              <w:bottom w:val="single" w:color="auto" w:sz="4" w:space="0"/>
              <w:right w:val="single" w:color="auto" w:sz="4" w:space="0"/>
            </w:tcBorders>
            <w:noWrap w:val="0"/>
            <w:vAlign w:val="top"/>
          </w:tcPr>
          <w:p>
            <w:pPr>
              <w:pStyle w:val="964"/>
              <w:spacing w:line="360" w:lineRule="auto"/>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电    话：</w:t>
            </w:r>
          </w:p>
        </w:tc>
        <w:tc>
          <w:tcPr>
            <w:tcW w:w="4538" w:type="dxa"/>
            <w:tcBorders>
              <w:top w:val="single" w:color="auto" w:sz="4" w:space="0"/>
              <w:left w:val="single" w:color="auto" w:sz="4" w:space="0"/>
              <w:bottom w:val="single" w:color="auto" w:sz="4" w:space="0"/>
              <w:right w:val="single" w:color="auto" w:sz="4" w:space="0"/>
            </w:tcBorders>
            <w:noWrap w:val="0"/>
            <w:vAlign w:val="top"/>
          </w:tcPr>
          <w:p>
            <w:pPr>
              <w:pStyle w:val="964"/>
              <w:spacing w:line="360" w:lineRule="auto"/>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电    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4538" w:type="dxa"/>
            <w:tcBorders>
              <w:top w:val="single" w:color="auto" w:sz="4" w:space="0"/>
              <w:left w:val="single" w:color="auto" w:sz="4" w:space="0"/>
              <w:bottom w:val="single" w:color="auto" w:sz="4" w:space="0"/>
              <w:right w:val="single" w:color="auto" w:sz="4" w:space="0"/>
            </w:tcBorders>
            <w:noWrap w:val="0"/>
            <w:vAlign w:val="top"/>
          </w:tcPr>
          <w:p>
            <w:pPr>
              <w:pStyle w:val="964"/>
              <w:spacing w:line="360" w:lineRule="auto"/>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xml:space="preserve">日    期：      年   月   日  </w:t>
            </w:r>
          </w:p>
        </w:tc>
        <w:tc>
          <w:tcPr>
            <w:tcW w:w="4538" w:type="dxa"/>
            <w:tcBorders>
              <w:top w:val="single" w:color="auto" w:sz="4" w:space="0"/>
              <w:left w:val="single" w:color="auto" w:sz="4" w:space="0"/>
              <w:bottom w:val="single" w:color="auto" w:sz="4" w:space="0"/>
              <w:right w:val="single" w:color="auto" w:sz="4" w:space="0"/>
            </w:tcBorders>
            <w:noWrap w:val="0"/>
            <w:vAlign w:val="top"/>
          </w:tcPr>
          <w:p>
            <w:pPr>
              <w:pStyle w:val="964"/>
              <w:spacing w:line="360" w:lineRule="auto"/>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xml:space="preserve">日    期：      年   月   日  </w:t>
            </w:r>
          </w:p>
        </w:tc>
      </w:tr>
    </w:tbl>
    <w:p>
      <w:pPr>
        <w:pStyle w:val="783"/>
        <w:spacing w:line="340" w:lineRule="atLeast"/>
        <w:ind w:firstLine="241" w:firstLineChars="100"/>
        <w:jc w:val="left"/>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附件一：综合养护清单报价明细</w:t>
      </w:r>
      <w:r>
        <w:rPr>
          <w:rFonts w:hint="eastAsia" w:ascii="宋体" w:hAnsi="宋体" w:eastAsia="宋体" w:cs="宋体"/>
          <w:b/>
          <w:bCs/>
          <w:color w:val="000000" w:themeColor="text1"/>
          <w:sz w:val="24"/>
          <w:szCs w:val="24"/>
          <w:highlight w:val="none"/>
          <w14:textFill>
            <w14:solidFill>
              <w14:schemeClr w14:val="tx1"/>
            </w14:solidFill>
          </w14:textFill>
        </w:rPr>
        <w:t xml:space="preserve">  </w:t>
      </w:r>
    </w:p>
    <w:p>
      <w:pPr>
        <w:pStyle w:val="965"/>
        <w:pageBreakBefore w:val="0"/>
        <w:widowControl/>
        <w:kinsoku/>
        <w:overflowPunct/>
        <w:topLinePunct w:val="0"/>
        <w:bidi w:val="0"/>
        <w:spacing w:beforeLines="0" w:afterLines="0" w:line="360" w:lineRule="auto"/>
        <w:ind w:firstLine="723" w:firstLineChars="300"/>
        <w:jc w:val="left"/>
        <w:outlineLvl w:val="9"/>
        <w:rPr>
          <w:rFonts w:hint="eastAsia" w:ascii="宋体" w:hAnsi="宋体" w:eastAsia="宋体" w:cs="宋体"/>
          <w:color w:val="000000" w:themeColor="text1"/>
          <w:sz w:val="24"/>
          <w:szCs w:val="24"/>
          <w:highlight w:val="none"/>
          <w14:textFill>
            <w14:solidFill>
              <w14:schemeClr w14:val="tx1"/>
            </w14:solidFill>
          </w14:textFill>
        </w:rPr>
      </w:pPr>
    </w:p>
    <w:p>
      <w:pPr>
        <w:pStyle w:val="965"/>
        <w:pageBreakBefore w:val="0"/>
        <w:widowControl/>
        <w:kinsoku/>
        <w:overflowPunct/>
        <w:topLinePunct w:val="0"/>
        <w:bidi w:val="0"/>
        <w:spacing w:beforeLines="0" w:afterLines="0" w:line="360" w:lineRule="auto"/>
        <w:jc w:val="left"/>
        <w:outlineLvl w:val="9"/>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此仅为合同书样本，中标单位需根据实际情况和</w:t>
      </w:r>
      <w:r>
        <w:rPr>
          <w:rFonts w:hint="eastAsia" w:ascii="宋体" w:hAnsi="宋体" w:eastAsia="宋体" w:cs="宋体"/>
          <w:color w:val="000000" w:themeColor="text1"/>
          <w:sz w:val="24"/>
          <w:szCs w:val="24"/>
          <w:highlight w:val="none"/>
          <w:lang w:eastAsia="zh-CN"/>
          <w14:textFill>
            <w14:solidFill>
              <w14:schemeClr w14:val="tx1"/>
            </w14:solidFill>
          </w14:textFill>
        </w:rPr>
        <w:t>甲方</w:t>
      </w:r>
      <w:r>
        <w:rPr>
          <w:rFonts w:hint="eastAsia" w:ascii="宋体" w:hAnsi="宋体" w:eastAsia="宋体" w:cs="宋体"/>
          <w:color w:val="000000" w:themeColor="text1"/>
          <w:sz w:val="24"/>
          <w:szCs w:val="24"/>
          <w:highlight w:val="none"/>
          <w14:textFill>
            <w14:solidFill>
              <w14:schemeClr w14:val="tx1"/>
            </w14:solidFill>
          </w14:textFill>
        </w:rPr>
        <w:t>签订相应的合同！</w:t>
      </w:r>
    </w:p>
    <w:p>
      <w:pPr>
        <w:rPr>
          <w:color w:val="000000" w:themeColor="text1"/>
          <w:highlight w:val="none"/>
          <w14:textFill>
            <w14:solidFill>
              <w14:schemeClr w14:val="tx1"/>
            </w14:solidFill>
          </w14:textFill>
        </w:rPr>
      </w:pPr>
    </w:p>
    <w:p>
      <w:pPr>
        <w:rPr>
          <w:rFonts w:hint="eastAsia" w:ascii="宋体" w:hAnsi="宋体" w:eastAsia="宋体" w:cs="宋体"/>
          <w:b/>
          <w:color w:val="000000" w:themeColor="text1"/>
          <w:sz w:val="36"/>
          <w:szCs w:val="20"/>
          <w:highlight w:val="none"/>
          <w14:textFill>
            <w14:solidFill>
              <w14:schemeClr w14:val="tx1"/>
            </w14:solidFill>
          </w14:textFill>
        </w:rPr>
      </w:pPr>
      <w:r>
        <w:rPr>
          <w:rFonts w:hint="eastAsia" w:ascii="宋体" w:hAnsi="宋体" w:eastAsia="宋体" w:cs="宋体"/>
          <w:b/>
          <w:color w:val="000000" w:themeColor="text1"/>
          <w:sz w:val="36"/>
          <w:szCs w:val="20"/>
          <w:highlight w:val="none"/>
          <w14:textFill>
            <w14:solidFill>
              <w14:schemeClr w14:val="tx1"/>
            </w14:solidFill>
          </w14:textFill>
        </w:rPr>
        <w:br w:type="page"/>
      </w:r>
    </w:p>
    <w:p>
      <w:pPr>
        <w:widowControl/>
        <w:adjustRightInd/>
        <w:jc w:val="center"/>
        <w:rPr>
          <w:rFonts w:hint="eastAsia" w:ascii="宋体" w:hAnsi="宋体" w:eastAsia="宋体" w:cs="宋体"/>
          <w:b/>
          <w:color w:val="000000" w:themeColor="text1"/>
          <w:sz w:val="36"/>
          <w:szCs w:val="20"/>
          <w:highlight w:val="none"/>
          <w14:textFill>
            <w14:solidFill>
              <w14:schemeClr w14:val="tx1"/>
            </w14:solidFill>
          </w14:textFill>
        </w:rPr>
      </w:pPr>
      <w:r>
        <w:rPr>
          <w:rFonts w:hint="eastAsia" w:ascii="宋体" w:hAnsi="宋体" w:eastAsia="宋体" w:cs="宋体"/>
          <w:b/>
          <w:color w:val="000000" w:themeColor="text1"/>
          <w:sz w:val="36"/>
          <w:szCs w:val="20"/>
          <w:highlight w:val="none"/>
          <w14:textFill>
            <w14:solidFill>
              <w14:schemeClr w14:val="tx1"/>
            </w14:solidFill>
          </w14:textFill>
        </w:rPr>
        <w:t>第六部分</w:t>
      </w:r>
      <w:bookmarkEnd w:id="399"/>
      <w:r>
        <w:rPr>
          <w:rFonts w:hint="eastAsia" w:ascii="宋体" w:hAnsi="宋体" w:eastAsia="宋体" w:cs="宋体"/>
          <w:b/>
          <w:color w:val="000000" w:themeColor="text1"/>
          <w:sz w:val="36"/>
          <w:szCs w:val="20"/>
          <w:highlight w:val="none"/>
          <w14:textFill>
            <w14:solidFill>
              <w14:schemeClr w14:val="tx1"/>
            </w14:solidFill>
          </w14:textFill>
        </w:rPr>
        <w:t xml:space="preserve"> </w:t>
      </w:r>
      <w:bookmarkEnd w:id="400"/>
      <w:r>
        <w:rPr>
          <w:rFonts w:hint="eastAsia" w:ascii="宋体" w:hAnsi="宋体" w:eastAsia="宋体" w:cs="宋体"/>
          <w:b/>
          <w:color w:val="000000" w:themeColor="text1"/>
          <w:sz w:val="36"/>
          <w:szCs w:val="20"/>
          <w:highlight w:val="none"/>
          <w14:textFill>
            <w14:solidFill>
              <w14:schemeClr w14:val="tx1"/>
            </w14:solidFill>
          </w14:textFill>
        </w:rPr>
        <w:t>应提交的有关格式范例</w:t>
      </w:r>
    </w:p>
    <w:p>
      <w:pPr>
        <w:spacing w:line="360" w:lineRule="auto"/>
        <w:jc w:val="center"/>
        <w:outlineLvl w:val="0"/>
        <w:rPr>
          <w:rFonts w:hint="eastAsia" w:ascii="宋体" w:hAnsi="宋体" w:eastAsia="宋体" w:cs="宋体"/>
          <w:b/>
          <w:color w:val="000000" w:themeColor="text1"/>
          <w:kern w:val="0"/>
          <w:sz w:val="36"/>
          <w:szCs w:val="36"/>
          <w:highlight w:val="none"/>
          <w14:textFill>
            <w14:solidFill>
              <w14:schemeClr w14:val="tx1"/>
            </w14:solidFill>
          </w14:textFill>
        </w:rPr>
      </w:pPr>
    </w:p>
    <w:p>
      <w:pPr>
        <w:spacing w:line="360" w:lineRule="auto"/>
        <w:jc w:val="center"/>
        <w:outlineLvl w:val="0"/>
        <w:rPr>
          <w:rFonts w:hint="eastAsia" w:ascii="宋体" w:hAnsi="宋体" w:eastAsia="宋体" w:cs="宋体"/>
          <w:b/>
          <w:color w:val="000000" w:themeColor="text1"/>
          <w:kern w:val="0"/>
          <w:sz w:val="36"/>
          <w:szCs w:val="36"/>
          <w:highlight w:val="none"/>
          <w14:textFill>
            <w14:solidFill>
              <w14:schemeClr w14:val="tx1"/>
            </w14:solidFill>
          </w14:textFill>
        </w:rPr>
      </w:pPr>
      <w:r>
        <w:rPr>
          <w:rFonts w:hint="eastAsia" w:ascii="宋体" w:hAnsi="宋体" w:eastAsia="宋体" w:cs="宋体"/>
          <w:b/>
          <w:color w:val="000000" w:themeColor="text1"/>
          <w:kern w:val="0"/>
          <w:sz w:val="36"/>
          <w:szCs w:val="36"/>
          <w:highlight w:val="none"/>
          <w14:textFill>
            <w14:solidFill>
              <w14:schemeClr w14:val="tx1"/>
            </w14:solidFill>
          </w14:textFill>
        </w:rPr>
        <w:t>资格文件部分</w:t>
      </w:r>
    </w:p>
    <w:p>
      <w:pPr>
        <w:spacing w:line="360" w:lineRule="auto"/>
        <w:jc w:val="center"/>
        <w:outlineLvl w:val="0"/>
        <w:rPr>
          <w:rFonts w:hint="eastAsia" w:ascii="宋体" w:hAnsi="宋体" w:eastAsia="宋体" w:cs="宋体"/>
          <w:b/>
          <w:color w:val="000000" w:themeColor="text1"/>
          <w:kern w:val="0"/>
          <w:sz w:val="36"/>
          <w:szCs w:val="36"/>
          <w:highlight w:val="none"/>
          <w14:textFill>
            <w14:solidFill>
              <w14:schemeClr w14:val="tx1"/>
            </w14:solidFill>
          </w14:textFill>
        </w:rPr>
      </w:pPr>
      <w:r>
        <w:rPr>
          <w:rFonts w:hint="eastAsia" w:ascii="宋体" w:hAnsi="宋体" w:eastAsia="宋体" w:cs="宋体"/>
          <w:b/>
          <w:color w:val="000000" w:themeColor="text1"/>
          <w:kern w:val="0"/>
          <w:sz w:val="36"/>
          <w:szCs w:val="36"/>
          <w:highlight w:val="none"/>
          <w14:textFill>
            <w14:solidFill>
              <w14:schemeClr w14:val="tx1"/>
            </w14:solidFill>
          </w14:textFill>
        </w:rPr>
        <w:t>目录</w:t>
      </w:r>
    </w:p>
    <w:p>
      <w:pPr>
        <w:spacing w:line="360" w:lineRule="auto"/>
        <w:jc w:val="center"/>
        <w:outlineLvl w:val="0"/>
        <w:rPr>
          <w:rFonts w:hint="eastAsia" w:ascii="宋体" w:hAnsi="宋体" w:eastAsia="宋体" w:cs="宋体"/>
          <w:b/>
          <w:color w:val="000000" w:themeColor="text1"/>
          <w:kern w:val="0"/>
          <w:sz w:val="36"/>
          <w:szCs w:val="36"/>
          <w:highlight w:val="none"/>
          <w14:textFill>
            <w14:solidFill>
              <w14:schemeClr w14:val="tx1"/>
            </w14:solidFill>
          </w14:textFill>
        </w:rPr>
      </w:pPr>
    </w:p>
    <w:p>
      <w:pPr>
        <w:snapToGrid w:val="0"/>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（1）符合参加政府采购活动应当具备的一般条件的承诺函……………（页码）</w:t>
      </w:r>
    </w:p>
    <w:p>
      <w:pPr>
        <w:snapToGrid w:val="0"/>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snapToGrid w:val="0"/>
          <w:color w:val="000000" w:themeColor="text1"/>
          <w:kern w:val="28"/>
          <w:sz w:val="24"/>
          <w:szCs w:val="20"/>
          <w:highlight w:val="none"/>
          <w14:textFill>
            <w14:solidFill>
              <w14:schemeClr w14:val="tx1"/>
            </w14:solidFill>
          </w14:textFill>
        </w:rPr>
        <w:t>（2）联合协议</w:t>
      </w:r>
      <w:r>
        <w:rPr>
          <w:rFonts w:hint="eastAsia" w:ascii="宋体" w:hAnsi="宋体" w:eastAsia="宋体" w:cs="宋体"/>
          <w:color w:val="000000" w:themeColor="text1"/>
          <w:sz w:val="24"/>
          <w:highlight w:val="none"/>
          <w14:textFill>
            <w14:solidFill>
              <w14:schemeClr w14:val="tx1"/>
            </w14:solidFill>
          </w14:textFill>
        </w:rPr>
        <w:t>………………………………………………………………（页码）</w:t>
      </w:r>
    </w:p>
    <w:p>
      <w:pPr>
        <w:snapToGrid w:val="0"/>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（3）落实政府采购政策需满足的资格要求………………………………（页码）</w:t>
      </w:r>
    </w:p>
    <w:p>
      <w:pPr>
        <w:snapToGrid w:val="0"/>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（4）本项目的特定资格要求………………………………………………（页码）</w:t>
      </w:r>
    </w:p>
    <w:p>
      <w:pPr>
        <w:snapToGrid w:val="0"/>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p>
    <w:p>
      <w:pPr>
        <w:snapToGrid w:val="0"/>
        <w:spacing w:line="360" w:lineRule="auto"/>
        <w:ind w:right="480"/>
        <w:jc w:val="center"/>
        <w:rPr>
          <w:rFonts w:hint="eastAsia" w:ascii="宋体" w:hAnsi="宋体" w:eastAsia="宋体" w:cs="宋体"/>
          <w:b/>
          <w:color w:val="000000" w:themeColor="text1"/>
          <w:kern w:val="0"/>
          <w:sz w:val="32"/>
          <w:szCs w:val="32"/>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br w:type="page"/>
      </w:r>
      <w:r>
        <w:rPr>
          <w:rFonts w:hint="eastAsia" w:ascii="宋体" w:hAnsi="宋体" w:eastAsia="宋体" w:cs="宋体"/>
          <w:b/>
          <w:color w:val="000000" w:themeColor="text1"/>
          <w:kern w:val="0"/>
          <w:sz w:val="32"/>
          <w:szCs w:val="32"/>
          <w:highlight w:val="none"/>
          <w14:textFill>
            <w14:solidFill>
              <w14:schemeClr w14:val="tx1"/>
            </w14:solidFill>
          </w14:textFill>
        </w:rPr>
        <w:t xml:space="preserve"> </w:t>
      </w:r>
      <w:r>
        <w:rPr>
          <w:rFonts w:hint="eastAsia" w:ascii="宋体" w:hAnsi="宋体" w:eastAsia="宋体" w:cs="宋体"/>
          <w:b/>
          <w:color w:val="000000" w:themeColor="text1"/>
          <w:kern w:val="0"/>
          <w:sz w:val="28"/>
          <w:szCs w:val="28"/>
          <w:highlight w:val="none"/>
          <w14:textFill>
            <w14:solidFill>
              <w14:schemeClr w14:val="tx1"/>
            </w14:solidFill>
          </w14:textFill>
        </w:rPr>
        <w:t xml:space="preserve"> 一、 符合参加政府采购活动应当具备的一般条件的承诺函</w:t>
      </w:r>
    </w:p>
    <w:p>
      <w:pPr>
        <w:snapToGrid w:val="0"/>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lang w:eastAsia="zh-CN"/>
          <w14:textFill>
            <w14:solidFill>
              <w14:schemeClr w14:val="tx1"/>
            </w14:solidFill>
          </w14:textFill>
        </w:rPr>
        <w:t>杭州市拱墅区综合行政执法局</w:t>
      </w:r>
      <w:r>
        <w:rPr>
          <w:rFonts w:hint="eastAsia" w:ascii="宋体" w:hAnsi="宋体" w:eastAsia="宋体" w:cs="宋体"/>
          <w:color w:val="000000" w:themeColor="text1"/>
          <w:sz w:val="24"/>
          <w:highlight w:val="none"/>
          <w14:textFill>
            <w14:solidFill>
              <w14:schemeClr w14:val="tx1"/>
            </w14:solidFill>
          </w14:textFill>
        </w:rPr>
        <w:t>、</w:t>
      </w:r>
      <w:r>
        <w:rPr>
          <w:rFonts w:hint="eastAsia" w:ascii="宋体" w:hAnsi="宋体" w:eastAsia="宋体" w:cs="宋体"/>
          <w:color w:val="000000" w:themeColor="text1"/>
          <w:sz w:val="24"/>
          <w:highlight w:val="none"/>
          <w:lang w:eastAsia="zh-CN"/>
          <w14:textFill>
            <w14:solidFill>
              <w14:schemeClr w14:val="tx1"/>
            </w14:solidFill>
          </w14:textFill>
        </w:rPr>
        <w:t>杭州华鼎世纪项目管理咨询有限公司</w:t>
      </w:r>
      <w:r>
        <w:rPr>
          <w:rFonts w:hint="eastAsia" w:ascii="宋体" w:hAnsi="宋体" w:eastAsia="宋体" w:cs="宋体"/>
          <w:color w:val="000000" w:themeColor="text1"/>
          <w:sz w:val="24"/>
          <w:highlight w:val="none"/>
          <w14:textFill>
            <w14:solidFill>
              <w14:schemeClr w14:val="tx1"/>
            </w14:solidFill>
          </w14:textFill>
        </w:rPr>
        <w:t>：</w:t>
      </w:r>
    </w:p>
    <w:p>
      <w:pPr>
        <w:snapToGrid w:val="0"/>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我方参与</w:t>
      </w:r>
      <w:r>
        <w:rPr>
          <w:rFonts w:hint="eastAsia" w:ascii="宋体" w:hAnsi="宋体" w:eastAsia="宋体" w:cs="宋体"/>
          <w:color w:val="000000" w:themeColor="text1"/>
          <w:sz w:val="24"/>
          <w:highlight w:val="none"/>
          <w:lang w:eastAsia="zh-CN"/>
          <w14:textFill>
            <w14:solidFill>
              <w14:schemeClr w14:val="tx1"/>
            </w14:solidFill>
          </w14:textFill>
        </w:rPr>
        <w:t>拱墅区临丁路等7条、东新路等8条市属区管道路市政环卫一体化综合养护服务项目（标项</w:t>
      </w:r>
      <w:r>
        <w:rPr>
          <w:rFonts w:hint="eastAsia" w:ascii="宋体" w:hAnsi="宋体" w:eastAsia="宋体" w:cs="宋体"/>
          <w:color w:val="000000" w:themeColor="text1"/>
          <w:sz w:val="24"/>
          <w:highlight w:val="none"/>
          <w:u w:val="single"/>
          <w:lang w:eastAsia="zh-CN"/>
          <w14:textFill>
            <w14:solidFill>
              <w14:schemeClr w14:val="tx1"/>
            </w14:solidFill>
          </w14:textFill>
        </w:rPr>
        <w:t xml:space="preserve">           </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【招标编号：</w:t>
      </w:r>
      <w:r>
        <w:rPr>
          <w:rFonts w:hint="eastAsia" w:ascii="宋体" w:hAnsi="宋体" w:eastAsia="宋体" w:cs="宋体"/>
          <w:color w:val="000000" w:themeColor="text1"/>
          <w:sz w:val="24"/>
          <w:highlight w:val="none"/>
          <w:lang w:eastAsia="zh-CN"/>
          <w14:textFill>
            <w14:solidFill>
              <w14:schemeClr w14:val="tx1"/>
            </w14:solidFill>
          </w14:textFill>
        </w:rPr>
        <w:t>HDSJ-2023-006</w:t>
      </w:r>
      <w:r>
        <w:rPr>
          <w:rFonts w:hint="eastAsia" w:ascii="宋体" w:hAnsi="宋体" w:eastAsia="宋体" w:cs="宋体"/>
          <w:color w:val="000000" w:themeColor="text1"/>
          <w:sz w:val="24"/>
          <w:highlight w:val="none"/>
          <w14:textFill>
            <w14:solidFill>
              <w14:schemeClr w14:val="tx1"/>
            </w14:solidFill>
          </w14:textFill>
        </w:rPr>
        <w:t>】政府采购活动，郑重承诺：</w:t>
      </w:r>
    </w:p>
    <w:p>
      <w:pPr>
        <w:snapToGrid w:val="0"/>
        <w:spacing w:line="360" w:lineRule="auto"/>
        <w:ind w:firstLine="360" w:firstLineChars="15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（一）具备《中华人民共和国政府采购法》第二十二条第一款规定的条件：</w:t>
      </w:r>
    </w:p>
    <w:p>
      <w:pPr>
        <w:snapToGrid w:val="0"/>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1、具有独立承担民事责任的能力；</w:t>
      </w:r>
    </w:p>
    <w:p>
      <w:pPr>
        <w:snapToGrid w:val="0"/>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 xml:space="preserve">2、具有良好的商业信誉和健全的财务会计制度； </w:t>
      </w:r>
    </w:p>
    <w:p>
      <w:pPr>
        <w:snapToGrid w:val="0"/>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3、具有履行合同所必需的设备和专业技术能力；</w:t>
      </w:r>
    </w:p>
    <w:p>
      <w:pPr>
        <w:snapToGrid w:val="0"/>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4、有依法缴纳税收和社会保障资金的良好记录；</w:t>
      </w:r>
    </w:p>
    <w:p>
      <w:pPr>
        <w:snapToGrid w:val="0"/>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5、参加政府采购活动前三年内，在经营活动中没有重大违法记录；</w:t>
      </w:r>
    </w:p>
    <w:p>
      <w:pPr>
        <w:snapToGrid w:val="0"/>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6、具有法律、行政法规规定的其他条件。</w:t>
      </w:r>
    </w:p>
    <w:p>
      <w:pPr>
        <w:snapToGrid w:val="0"/>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（三）不存在以下情况：</w:t>
      </w:r>
    </w:p>
    <w:p>
      <w:pPr>
        <w:snapToGrid w:val="0"/>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1、单位负责人为同一人或者存在直接控股、管理关系的不同供应商参加同一合同项下的政府采购活动的；</w:t>
      </w:r>
    </w:p>
    <w:p>
      <w:pPr>
        <w:snapToGrid w:val="0"/>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2、为采购项目提供整体设计、规范编制或者项目管理、监理、检测等服务后再参加该采购项目的其他采购活动的。</w:t>
      </w:r>
    </w:p>
    <w:p>
      <w:pPr>
        <w:snapToGrid w:val="0"/>
        <w:spacing w:line="360" w:lineRule="auto"/>
        <w:ind w:firstLine="5520" w:firstLineChars="2300"/>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供应商名称(电子签名)：</w:t>
      </w:r>
    </w:p>
    <w:p>
      <w:pPr>
        <w:snapToGrid w:val="0"/>
        <w:spacing w:line="360" w:lineRule="auto"/>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 xml:space="preserve">                        </w:t>
      </w:r>
      <w:r>
        <w:rPr>
          <w:rFonts w:hint="eastAsia" w:ascii="宋体" w:hAnsi="宋体" w:eastAsia="宋体" w:cs="宋体"/>
          <w:color w:val="000000" w:themeColor="text1"/>
          <w:kern w:val="0"/>
          <w:sz w:val="24"/>
          <w:highlight w:val="none"/>
          <w14:textFill>
            <w14:solidFill>
              <w14:schemeClr w14:val="tx1"/>
            </w14:solidFill>
          </w14:textFill>
        </w:rPr>
        <w:t xml:space="preserve">                      </w:t>
      </w:r>
      <w:r>
        <w:rPr>
          <w:rFonts w:hint="eastAsia" w:ascii="宋体" w:hAnsi="宋体" w:eastAsia="宋体" w:cs="宋体"/>
          <w:color w:val="000000" w:themeColor="text1"/>
          <w:kern w:val="0"/>
          <w:sz w:val="24"/>
          <w:highlight w:val="none"/>
          <w:lang w:val="zh-CN"/>
          <w14:textFill>
            <w14:solidFill>
              <w14:schemeClr w14:val="tx1"/>
            </w14:solidFill>
          </w14:textFill>
        </w:rPr>
        <w:t>日期</w:t>
      </w:r>
      <w:r>
        <w:rPr>
          <w:rFonts w:hint="eastAsia" w:ascii="宋体" w:hAnsi="宋体" w:eastAsia="宋体" w:cs="宋体"/>
          <w:color w:val="000000" w:themeColor="text1"/>
          <w:kern w:val="0"/>
          <w:sz w:val="24"/>
          <w:highlight w:val="none"/>
          <w14:textFill>
            <w14:solidFill>
              <w14:schemeClr w14:val="tx1"/>
            </w14:solidFill>
          </w14:textFill>
        </w:rPr>
        <w:t xml:space="preserve">：  年  </w:t>
      </w:r>
      <w:r>
        <w:rPr>
          <w:rFonts w:hint="eastAsia" w:ascii="宋体" w:hAnsi="宋体" w:eastAsia="宋体" w:cs="宋体"/>
          <w:color w:val="000000" w:themeColor="text1"/>
          <w:kern w:val="0"/>
          <w:sz w:val="24"/>
          <w:highlight w:val="none"/>
          <w:lang w:val="zh-CN"/>
          <w14:textFill>
            <w14:solidFill>
              <w14:schemeClr w14:val="tx1"/>
            </w14:solidFill>
          </w14:textFill>
        </w:rPr>
        <w:t>月</w:t>
      </w:r>
      <w:r>
        <w:rPr>
          <w:rFonts w:hint="eastAsia" w:ascii="宋体" w:hAnsi="宋体" w:eastAsia="宋体" w:cs="宋体"/>
          <w:color w:val="000000" w:themeColor="text1"/>
          <w:kern w:val="0"/>
          <w:sz w:val="24"/>
          <w:highlight w:val="none"/>
          <w14:textFill>
            <w14:solidFill>
              <w14:schemeClr w14:val="tx1"/>
            </w14:solidFill>
          </w14:textFill>
        </w:rPr>
        <w:t xml:space="preserve">   </w:t>
      </w:r>
      <w:r>
        <w:rPr>
          <w:rFonts w:hint="eastAsia" w:ascii="宋体" w:hAnsi="宋体" w:eastAsia="宋体" w:cs="宋体"/>
          <w:color w:val="000000" w:themeColor="text1"/>
          <w:kern w:val="0"/>
          <w:sz w:val="24"/>
          <w:highlight w:val="none"/>
          <w:lang w:val="zh-CN"/>
          <w14:textFill>
            <w14:solidFill>
              <w14:schemeClr w14:val="tx1"/>
            </w14:solidFill>
          </w14:textFill>
        </w:rPr>
        <w:t>日</w:t>
      </w:r>
    </w:p>
    <w:p>
      <w:pPr>
        <w:snapToGrid w:val="0"/>
        <w:spacing w:line="360" w:lineRule="auto"/>
        <w:ind w:right="480" w:firstLine="512" w:firstLineChars="233"/>
        <w:jc w:val="left"/>
        <w:rPr>
          <w:rFonts w:hint="eastAsia" w:ascii="宋体" w:hAnsi="宋体" w:eastAsia="宋体" w:cs="宋体"/>
          <w:b/>
          <w:color w:val="000000" w:themeColor="text1"/>
          <w:kern w:val="0"/>
          <w:sz w:val="28"/>
          <w:szCs w:val="28"/>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注：根据《关于规范政府采购供应商资格设定及资格审查的通知》（浙财采监[2013]24号）的相关规定，金融、保险、通讯等特定行业的全国性企业所设立的区域性分支机构，以及个体工商户、个人独资企业、合伙企业，参与政府采购活动，如果已经依法办理了工商、税务和社保登记手续，</w:t>
      </w:r>
      <w:r>
        <w:rPr>
          <w:rFonts w:hint="eastAsia" w:ascii="宋体" w:hAnsi="宋体" w:eastAsia="宋体" w:cs="宋体"/>
          <w:b/>
          <w:color w:val="000000" w:themeColor="text1"/>
          <w:sz w:val="22"/>
          <w:szCs w:val="22"/>
          <w:highlight w:val="none"/>
          <w:u w:val="single"/>
          <w14:textFill>
            <w14:solidFill>
              <w14:schemeClr w14:val="tx1"/>
            </w14:solidFill>
          </w14:textFill>
        </w:rPr>
        <w:t>除提供上述《符合参加政府采购活动应当具备的一般条件的承诺函》外，还需提供下列材料：总公司（总机构）的授权书或提供房产权证或其他有效财产证明材料，证明其具备实际承担责任的能力和法定的缔结合同能力，可以独立参加政府采购活动，由单位负责人签署相关文件材料。</w:t>
      </w:r>
    </w:p>
    <w:p>
      <w:pPr>
        <w:snapToGrid w:val="0"/>
        <w:spacing w:line="360" w:lineRule="auto"/>
        <w:ind w:right="480"/>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widowControl/>
        <w:spacing w:line="360" w:lineRule="auto"/>
        <w:ind w:firstLine="643" w:firstLineChars="200"/>
        <w:jc w:val="center"/>
        <w:rPr>
          <w:rFonts w:hint="eastAsia" w:ascii="宋体" w:hAnsi="宋体" w:eastAsia="宋体" w:cs="宋体"/>
          <w:b/>
          <w:color w:val="000000" w:themeColor="text1"/>
          <w:kern w:val="0"/>
          <w:sz w:val="32"/>
          <w:szCs w:val="32"/>
          <w:highlight w:val="none"/>
          <w14:textFill>
            <w14:solidFill>
              <w14:schemeClr w14:val="tx1"/>
            </w14:solidFill>
          </w14:textFill>
        </w:rPr>
      </w:pPr>
      <w:r>
        <w:rPr>
          <w:rFonts w:hint="eastAsia" w:ascii="宋体" w:hAnsi="宋体" w:eastAsia="宋体" w:cs="宋体"/>
          <w:b/>
          <w:color w:val="000000" w:themeColor="text1"/>
          <w:kern w:val="0"/>
          <w:sz w:val="32"/>
          <w:szCs w:val="32"/>
          <w:highlight w:val="none"/>
          <w14:textFill>
            <w14:solidFill>
              <w14:schemeClr w14:val="tx1"/>
            </w14:solidFill>
          </w14:textFill>
        </w:rPr>
        <w:t>二、联合协议（如果有）</w:t>
      </w:r>
    </w:p>
    <w:p>
      <w:pPr>
        <w:widowControl/>
        <w:spacing w:line="360" w:lineRule="auto"/>
        <w:ind w:firstLine="482" w:firstLineChars="200"/>
        <w:jc w:val="left"/>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[以联合体形式投标的，提供联合协议（附件5）；本项目不接受联合体投标或者</w:t>
      </w:r>
      <w:r>
        <w:rPr>
          <w:rFonts w:hint="eastAsia" w:ascii="宋体" w:hAnsi="宋体" w:eastAsia="宋体" w:cs="宋体"/>
          <w:b/>
          <w:color w:val="000000" w:themeColor="text1"/>
          <w:sz w:val="24"/>
          <w:highlight w:val="none"/>
          <w:lang w:eastAsia="zh-CN"/>
          <w14:textFill>
            <w14:solidFill>
              <w14:schemeClr w14:val="tx1"/>
            </w14:solidFill>
          </w14:textFill>
        </w:rPr>
        <w:t>供应商</w:t>
      </w:r>
      <w:r>
        <w:rPr>
          <w:rFonts w:hint="eastAsia" w:ascii="宋体" w:hAnsi="宋体" w:eastAsia="宋体" w:cs="宋体"/>
          <w:b/>
          <w:color w:val="000000" w:themeColor="text1"/>
          <w:sz w:val="24"/>
          <w:highlight w:val="none"/>
          <w14:textFill>
            <w14:solidFill>
              <w14:schemeClr w14:val="tx1"/>
            </w14:solidFill>
          </w14:textFill>
        </w:rPr>
        <w:t>不以联合体形式投标的，则不需要提供）]</w:t>
      </w:r>
    </w:p>
    <w:p>
      <w:pPr>
        <w:snapToGrid w:val="0"/>
        <w:spacing w:line="360" w:lineRule="auto"/>
        <w:ind w:right="480"/>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hint="eastAsia" w:ascii="宋体" w:hAnsi="宋体" w:eastAsia="宋体" w:cs="宋体"/>
          <w:b/>
          <w:color w:val="000000" w:themeColor="text1"/>
          <w:kern w:val="0"/>
          <w:sz w:val="32"/>
          <w:szCs w:val="32"/>
          <w:highlight w:val="none"/>
          <w14:textFill>
            <w14:solidFill>
              <w14:schemeClr w14:val="tx1"/>
            </w14:solidFill>
          </w14:textFill>
        </w:rPr>
      </w:pPr>
      <w:r>
        <w:rPr>
          <w:rFonts w:hint="eastAsia" w:ascii="宋体" w:hAnsi="宋体" w:eastAsia="宋体" w:cs="宋体"/>
          <w:b/>
          <w:color w:val="000000" w:themeColor="text1"/>
          <w:kern w:val="0"/>
          <w:sz w:val="32"/>
          <w:szCs w:val="32"/>
          <w:highlight w:val="none"/>
          <w14:textFill>
            <w14:solidFill>
              <w14:schemeClr w14:val="tx1"/>
            </w14:solidFill>
          </w14:textFill>
        </w:rPr>
        <w:t>三、落实政府采购政策需满足的资格要求</w:t>
      </w:r>
    </w:p>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（根据招标公告落实政府采购政策需满足的资格要求选择提供相应的材料；未要求的，无需提供）</w:t>
      </w:r>
    </w:p>
    <w:p>
      <w:pPr>
        <w:snapToGrid w:val="0"/>
        <w:spacing w:before="50" w:after="50" w:line="360" w:lineRule="auto"/>
        <w:ind w:firstLine="472" w:firstLineChars="196"/>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A</w:t>
      </w:r>
      <w:r>
        <w:rPr>
          <w:rFonts w:hint="eastAsia" w:ascii="宋体" w:hAnsi="宋体" w:eastAsia="宋体" w:cs="宋体"/>
          <w:color w:val="000000" w:themeColor="text1"/>
          <w:sz w:val="24"/>
          <w:highlight w:val="none"/>
          <w14:textFill>
            <w14:solidFill>
              <w14:schemeClr w14:val="tx1"/>
            </w14:solidFill>
          </w14:textFill>
        </w:rPr>
        <w:t xml:space="preserve">.专门面向中小企业，服务全部由符合政策要求的中小企业（或小微企业）承接的，提供相应的中小企业声明函（附件7）。 </w:t>
      </w:r>
    </w:p>
    <w:p>
      <w:pPr>
        <w:widowControl/>
        <w:spacing w:line="360" w:lineRule="auto"/>
        <w:ind w:firstLine="480"/>
        <w:jc w:val="left"/>
        <w:rPr>
          <w:rFonts w:hint="eastAsia" w:ascii="宋体" w:hAnsi="宋体" w:eastAsia="宋体" w:cs="宋体"/>
          <w:color w:val="000000" w:themeColor="text1"/>
          <w:sz w:val="24"/>
          <w:highlight w:val="none"/>
          <w14:textFill>
            <w14:solidFill>
              <w14:schemeClr w14:val="tx1"/>
            </w14:solidFill>
          </w14:textFill>
        </w:rPr>
      </w:pPr>
    </w:p>
    <w:p>
      <w:pPr>
        <w:widowControl/>
        <w:spacing w:line="360" w:lineRule="auto"/>
        <w:ind w:firstLine="472" w:firstLineChars="196"/>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B.</w:t>
      </w:r>
      <w:r>
        <w:rPr>
          <w:rFonts w:hint="eastAsia" w:ascii="宋体" w:hAnsi="宋体" w:eastAsia="宋体" w:cs="宋体"/>
          <w:color w:val="000000" w:themeColor="text1"/>
          <w:sz w:val="24"/>
          <w:highlight w:val="none"/>
          <w14:textFill>
            <w14:solidFill>
              <w14:schemeClr w14:val="tx1"/>
            </w14:solidFill>
          </w14:textFill>
        </w:rPr>
        <w:t>要求以联合体形式参加的，提供联合协议（附件5）和中小企业声明函（附件7），联合协议中中小企业合同金额应当达到招标公告载明的比例；如果供应商本身提供所有标的均由中小企业承接的，</w:t>
      </w:r>
      <w:r>
        <w:rPr>
          <w:rFonts w:hint="eastAsia" w:ascii="宋体" w:hAnsi="宋体" w:eastAsia="宋体" w:cs="宋体"/>
          <w:color w:val="000000" w:themeColor="text1"/>
          <w:spacing w:val="8"/>
          <w:kern w:val="0"/>
          <w:sz w:val="24"/>
          <w:highlight w:val="none"/>
          <w14:textFill>
            <w14:solidFill>
              <w14:schemeClr w14:val="tx1"/>
            </w14:solidFill>
          </w14:textFill>
        </w:rPr>
        <w:t>并相应达到了前述比例要求，</w:t>
      </w:r>
      <w:r>
        <w:rPr>
          <w:rFonts w:hint="eastAsia" w:ascii="宋体" w:hAnsi="宋体" w:eastAsia="宋体" w:cs="宋体"/>
          <w:color w:val="000000" w:themeColor="text1"/>
          <w:sz w:val="24"/>
          <w:highlight w:val="none"/>
          <w14:textFill>
            <w14:solidFill>
              <w14:schemeClr w14:val="tx1"/>
            </w14:solidFill>
          </w14:textFill>
        </w:rPr>
        <w:t>视同符合了资格条件，无需再与其他中小企业组成联合体参加政府采购活动，无需提供联合协议。</w:t>
      </w:r>
    </w:p>
    <w:p>
      <w:pPr>
        <w:snapToGrid w:val="0"/>
        <w:spacing w:before="50" w:after="50" w:line="360" w:lineRule="auto"/>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 xml:space="preserve">    </w:t>
      </w:r>
    </w:p>
    <w:p>
      <w:pPr>
        <w:spacing w:line="360" w:lineRule="auto"/>
        <w:ind w:firstLine="482"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C、</w:t>
      </w:r>
      <w:r>
        <w:rPr>
          <w:rFonts w:hint="eastAsia" w:ascii="宋体" w:hAnsi="宋体" w:eastAsia="宋体" w:cs="宋体"/>
          <w:color w:val="000000" w:themeColor="text1"/>
          <w:sz w:val="24"/>
          <w:highlight w:val="none"/>
          <w14:textFill>
            <w14:solidFill>
              <w14:schemeClr w14:val="tx1"/>
            </w14:solidFill>
          </w14:textFill>
        </w:rPr>
        <w:t>要求合同分包的，提供分包意向协议（附件6）和中小企业声明函（附件7），分包意向协议中中小企业合同金额应当达到招标公告载明的比例；如果供应商本身提供所有标的均由中小企业承接的，</w:t>
      </w:r>
      <w:r>
        <w:rPr>
          <w:rFonts w:hint="eastAsia" w:ascii="宋体" w:hAnsi="宋体" w:eastAsia="宋体" w:cs="宋体"/>
          <w:color w:val="000000" w:themeColor="text1"/>
          <w:spacing w:val="8"/>
          <w:kern w:val="0"/>
          <w:sz w:val="24"/>
          <w:highlight w:val="none"/>
          <w14:textFill>
            <w14:solidFill>
              <w14:schemeClr w14:val="tx1"/>
            </w14:solidFill>
          </w14:textFill>
        </w:rPr>
        <w:t>并相应达到了前述比例要求，</w:t>
      </w:r>
      <w:r>
        <w:rPr>
          <w:rFonts w:hint="eastAsia" w:ascii="宋体" w:hAnsi="宋体" w:eastAsia="宋体" w:cs="宋体"/>
          <w:color w:val="000000" w:themeColor="text1"/>
          <w:sz w:val="24"/>
          <w:highlight w:val="none"/>
          <w14:textFill>
            <w14:solidFill>
              <w14:schemeClr w14:val="tx1"/>
            </w14:solidFill>
          </w14:textFill>
        </w:rPr>
        <w:t>视同符合了资格条件，无需再向中小企业分包，无需提供分包意向协议。</w:t>
      </w:r>
    </w:p>
    <w:p>
      <w:pPr>
        <w:widowControl/>
        <w:spacing w:line="360" w:lineRule="auto"/>
        <w:ind w:left="150"/>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widowControl/>
        <w:spacing w:line="360" w:lineRule="auto"/>
        <w:ind w:left="150"/>
        <w:jc w:val="center"/>
        <w:rPr>
          <w:rFonts w:hint="eastAsia" w:ascii="宋体" w:hAnsi="宋体" w:eastAsia="宋体" w:cs="宋体"/>
          <w:b/>
          <w:color w:val="000000" w:themeColor="text1"/>
          <w:kern w:val="0"/>
          <w:sz w:val="32"/>
          <w:szCs w:val="32"/>
          <w:highlight w:val="none"/>
          <w14:textFill>
            <w14:solidFill>
              <w14:schemeClr w14:val="tx1"/>
            </w14:solidFill>
          </w14:textFill>
        </w:rPr>
      </w:pPr>
      <w:r>
        <w:rPr>
          <w:rFonts w:hint="eastAsia" w:ascii="宋体" w:hAnsi="宋体" w:eastAsia="宋体" w:cs="宋体"/>
          <w:b/>
          <w:color w:val="000000" w:themeColor="text1"/>
          <w:kern w:val="0"/>
          <w:sz w:val="32"/>
          <w:szCs w:val="32"/>
          <w:highlight w:val="none"/>
          <w14:textFill>
            <w14:solidFill>
              <w14:schemeClr w14:val="tx1"/>
            </w14:solidFill>
          </w14:textFill>
        </w:rPr>
        <w:t>四、本项目的特定资格要求</w:t>
      </w:r>
    </w:p>
    <w:p>
      <w:pPr>
        <w:spacing w:line="360" w:lineRule="auto"/>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（根据招标公告本项目的特定资格要求提供相应的材料；未要求的，无需提供）</w:t>
      </w:r>
    </w:p>
    <w:p>
      <w:pPr>
        <w:rPr>
          <w:rFonts w:hint="eastAsia" w:ascii="宋体" w:hAnsi="宋体" w:eastAsia="宋体" w:cs="宋体"/>
          <w:color w:val="000000" w:themeColor="text1"/>
          <w:highlight w:val="none"/>
          <w14:textFill>
            <w14:solidFill>
              <w14:schemeClr w14:val="tx1"/>
            </w14:solidFill>
          </w14:textFill>
        </w:rPr>
      </w:pPr>
    </w:p>
    <w:p>
      <w:pPr>
        <w:snapToGrid w:val="0"/>
        <w:spacing w:line="360" w:lineRule="auto"/>
        <w:ind w:right="480"/>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widowControl/>
        <w:adjustRightInd/>
        <w:jc w:val="left"/>
        <w:rPr>
          <w:rFonts w:hint="eastAsia" w:ascii="宋体" w:hAnsi="宋体" w:eastAsia="宋体" w:cs="宋体"/>
          <w:b/>
          <w:color w:val="000000" w:themeColor="text1"/>
          <w:kern w:val="0"/>
          <w:sz w:val="36"/>
          <w:szCs w:val="36"/>
          <w:highlight w:val="none"/>
          <w14:textFill>
            <w14:solidFill>
              <w14:schemeClr w14:val="tx1"/>
            </w14:solidFill>
          </w14:textFill>
        </w:rPr>
      </w:pPr>
      <w:r>
        <w:rPr>
          <w:rFonts w:hint="eastAsia" w:ascii="宋体" w:hAnsi="宋体" w:eastAsia="宋体" w:cs="宋体"/>
          <w:b/>
          <w:color w:val="000000" w:themeColor="text1"/>
          <w:kern w:val="0"/>
          <w:sz w:val="36"/>
          <w:szCs w:val="36"/>
          <w:highlight w:val="none"/>
          <w14:textFill>
            <w14:solidFill>
              <w14:schemeClr w14:val="tx1"/>
            </w14:solidFill>
          </w14:textFill>
        </w:rPr>
        <w:br w:type="page"/>
      </w:r>
    </w:p>
    <w:p>
      <w:pPr>
        <w:spacing w:line="360" w:lineRule="auto"/>
        <w:ind w:right="420" w:firstLine="3614" w:firstLineChars="1000"/>
        <w:rPr>
          <w:rFonts w:hint="eastAsia" w:ascii="宋体" w:hAnsi="宋体" w:eastAsia="宋体" w:cs="宋体"/>
          <w:b/>
          <w:color w:val="000000" w:themeColor="text1"/>
          <w:kern w:val="0"/>
          <w:sz w:val="36"/>
          <w:szCs w:val="36"/>
          <w:highlight w:val="none"/>
          <w14:textFill>
            <w14:solidFill>
              <w14:schemeClr w14:val="tx1"/>
            </w14:solidFill>
          </w14:textFill>
        </w:rPr>
      </w:pPr>
      <w:r>
        <w:rPr>
          <w:rFonts w:hint="eastAsia" w:ascii="宋体" w:hAnsi="宋体" w:eastAsia="宋体" w:cs="宋体"/>
          <w:b/>
          <w:color w:val="000000" w:themeColor="text1"/>
          <w:kern w:val="0"/>
          <w:sz w:val="36"/>
          <w:szCs w:val="36"/>
          <w:highlight w:val="none"/>
          <w14:textFill>
            <w14:solidFill>
              <w14:schemeClr w14:val="tx1"/>
            </w14:solidFill>
          </w14:textFill>
        </w:rPr>
        <w:t>商务技术文件部分</w:t>
      </w:r>
    </w:p>
    <w:p>
      <w:pPr>
        <w:spacing w:line="360" w:lineRule="auto"/>
        <w:jc w:val="center"/>
        <w:outlineLvl w:val="0"/>
        <w:rPr>
          <w:rFonts w:hint="eastAsia" w:ascii="宋体" w:hAnsi="宋体" w:eastAsia="宋体" w:cs="宋体"/>
          <w:b/>
          <w:color w:val="000000" w:themeColor="text1"/>
          <w:kern w:val="0"/>
          <w:sz w:val="24"/>
          <w:highlight w:val="none"/>
          <w14:textFill>
            <w14:solidFill>
              <w14:schemeClr w14:val="tx1"/>
            </w14:solidFill>
          </w14:textFill>
        </w:rPr>
      </w:pPr>
    </w:p>
    <w:p>
      <w:pPr>
        <w:spacing w:line="360" w:lineRule="auto"/>
        <w:jc w:val="center"/>
        <w:outlineLvl w:val="0"/>
        <w:rPr>
          <w:rFonts w:hint="eastAsia" w:ascii="宋体" w:hAnsi="宋体" w:eastAsia="宋体" w:cs="宋体"/>
          <w:b/>
          <w:color w:val="000000" w:themeColor="text1"/>
          <w:kern w:val="0"/>
          <w:sz w:val="28"/>
          <w:szCs w:val="28"/>
          <w:highlight w:val="none"/>
          <w14:textFill>
            <w14:solidFill>
              <w14:schemeClr w14:val="tx1"/>
            </w14:solidFill>
          </w14:textFill>
        </w:rPr>
      </w:pPr>
      <w:r>
        <w:rPr>
          <w:rFonts w:hint="eastAsia" w:ascii="宋体" w:hAnsi="宋体" w:eastAsia="宋体" w:cs="宋体"/>
          <w:b/>
          <w:color w:val="000000" w:themeColor="text1"/>
          <w:kern w:val="0"/>
          <w:sz w:val="28"/>
          <w:szCs w:val="28"/>
          <w:highlight w:val="none"/>
          <w14:textFill>
            <w14:solidFill>
              <w14:schemeClr w14:val="tx1"/>
            </w14:solidFill>
          </w14:textFill>
        </w:rPr>
        <w:t>目录</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lef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（1）投标函</w:t>
      </w:r>
      <w:r>
        <w:rPr>
          <w:rFonts w:hint="eastAsia" w:ascii="宋体" w:hAnsi="宋体" w:eastAsia="宋体" w:cs="宋体"/>
          <w:color w:val="000000" w:themeColor="text1"/>
          <w:highlight w:val="none"/>
          <w14:textFill>
            <w14:solidFill>
              <w14:schemeClr w14:val="tx1"/>
            </w14:solidFill>
          </w14:textFill>
        </w:rPr>
        <w:t>…………………………………………………………………………………（页码）</w:t>
      </w:r>
      <w:r>
        <w:rPr>
          <w:rFonts w:hint="eastAsia" w:ascii="宋体" w:hAnsi="宋体" w:eastAsia="宋体" w:cs="宋体"/>
          <w:color w:val="000000" w:themeColor="text1"/>
          <w:sz w:val="24"/>
          <w:highlight w:val="none"/>
          <w14:textFill>
            <w14:solidFill>
              <w14:schemeClr w14:val="tx1"/>
            </w14:solidFill>
          </w14:textFill>
        </w:rPr>
        <w:t>（2）授权委托书或法定代表人（单位负责人、自然人本人）身份证明</w:t>
      </w:r>
      <w:r>
        <w:rPr>
          <w:rFonts w:hint="eastAsia" w:ascii="宋体" w:hAnsi="宋体" w:eastAsia="宋体" w:cs="宋体"/>
          <w:color w:val="000000" w:themeColor="text1"/>
          <w:highlight w:val="none"/>
          <w14:textFill>
            <w14:solidFill>
              <w14:schemeClr w14:val="tx1"/>
            </w14:solidFill>
          </w14:textFill>
        </w:rPr>
        <w:t>………（页码）</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lef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（3）分包意向协议</w:t>
      </w:r>
      <w:r>
        <w:rPr>
          <w:rFonts w:hint="eastAsia" w:ascii="宋体" w:hAnsi="宋体" w:eastAsia="宋体" w:cs="宋体"/>
          <w:color w:val="000000" w:themeColor="text1"/>
          <w:highlight w:val="none"/>
          <w14:textFill>
            <w14:solidFill>
              <w14:schemeClr w14:val="tx1"/>
            </w14:solidFill>
          </w14:textFill>
        </w:rPr>
        <w:t>…………………………………………………………………………（页码）</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lef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（4）符合性审查资料</w:t>
      </w:r>
      <w:r>
        <w:rPr>
          <w:rFonts w:hint="eastAsia" w:ascii="宋体" w:hAnsi="宋体" w:eastAsia="宋体" w:cs="宋体"/>
          <w:color w:val="000000" w:themeColor="text1"/>
          <w:highlight w:val="none"/>
          <w14:textFill>
            <w14:solidFill>
              <w14:schemeClr w14:val="tx1"/>
            </w14:solidFill>
          </w14:textFill>
        </w:rPr>
        <w:t>………………………………………………………………………（页码）</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lef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（5）评标标准相应的商务技术资料</w:t>
      </w:r>
      <w:r>
        <w:rPr>
          <w:rFonts w:hint="eastAsia" w:ascii="宋体" w:hAnsi="宋体" w:eastAsia="宋体" w:cs="宋体"/>
          <w:color w:val="000000" w:themeColor="text1"/>
          <w:highlight w:val="none"/>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w:t>
      </w:r>
      <w:r>
        <w:rPr>
          <w:rFonts w:hint="eastAsia" w:ascii="宋体" w:hAnsi="宋体" w:eastAsia="宋体" w:cs="宋体"/>
          <w:color w:val="000000" w:themeColor="text1"/>
          <w:highlight w:val="none"/>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w:t>
      </w:r>
      <w:r>
        <w:rPr>
          <w:rFonts w:hint="eastAsia" w:ascii="宋体" w:hAnsi="宋体" w:eastAsia="宋体" w:cs="宋体"/>
          <w:color w:val="000000" w:themeColor="text1"/>
          <w:highlight w:val="none"/>
          <w14:textFill>
            <w14:solidFill>
              <w14:schemeClr w14:val="tx1"/>
            </w14:solidFill>
          </w14:textFill>
        </w:rPr>
        <w:t>……………（页码）</w:t>
      </w:r>
      <w:r>
        <w:rPr>
          <w:rFonts w:hint="eastAsia" w:ascii="宋体" w:hAnsi="宋体" w:eastAsia="宋体" w:cs="宋体"/>
          <w:color w:val="000000" w:themeColor="text1"/>
          <w:sz w:val="24"/>
          <w:highlight w:val="none"/>
          <w14:textFill>
            <w14:solidFill>
              <w14:schemeClr w14:val="tx1"/>
            </w14:solidFill>
          </w14:textFill>
        </w:rPr>
        <w:t>（6）投标标的清单</w:t>
      </w:r>
      <w:r>
        <w:rPr>
          <w:rFonts w:hint="eastAsia" w:ascii="宋体" w:hAnsi="宋体" w:eastAsia="宋体" w:cs="宋体"/>
          <w:color w:val="000000" w:themeColor="text1"/>
          <w:highlight w:val="none"/>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w:t>
      </w:r>
      <w:r>
        <w:rPr>
          <w:rFonts w:hint="eastAsia" w:ascii="宋体" w:hAnsi="宋体" w:eastAsia="宋体" w:cs="宋体"/>
          <w:color w:val="000000" w:themeColor="text1"/>
          <w:highlight w:val="none"/>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w:t>
      </w:r>
      <w:r>
        <w:rPr>
          <w:rFonts w:hint="eastAsia" w:ascii="宋体" w:hAnsi="宋体" w:eastAsia="宋体" w:cs="宋体"/>
          <w:color w:val="000000" w:themeColor="text1"/>
          <w:highlight w:val="none"/>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w:t>
      </w:r>
      <w:r>
        <w:rPr>
          <w:rFonts w:hint="eastAsia" w:ascii="宋体" w:hAnsi="宋体" w:eastAsia="宋体" w:cs="宋体"/>
          <w:color w:val="000000" w:themeColor="text1"/>
          <w:highlight w:val="none"/>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w:t>
      </w:r>
      <w:r>
        <w:rPr>
          <w:rFonts w:hint="eastAsia" w:ascii="宋体" w:hAnsi="宋体" w:eastAsia="宋体" w:cs="宋体"/>
          <w:color w:val="000000" w:themeColor="text1"/>
          <w:highlight w:val="none"/>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w:t>
      </w:r>
      <w:r>
        <w:rPr>
          <w:rFonts w:hint="eastAsia" w:ascii="宋体" w:hAnsi="宋体" w:eastAsia="宋体" w:cs="宋体"/>
          <w:color w:val="000000" w:themeColor="text1"/>
          <w:highlight w:val="none"/>
          <w14:textFill>
            <w14:solidFill>
              <w14:schemeClr w14:val="tx1"/>
            </w14:solidFill>
          </w14:textFill>
        </w:rPr>
        <w:t>……………（页码）</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lef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（7）商务技术偏离表</w:t>
      </w:r>
      <w:r>
        <w:rPr>
          <w:rFonts w:hint="eastAsia" w:ascii="宋体" w:hAnsi="宋体" w:eastAsia="宋体" w:cs="宋体"/>
          <w:color w:val="000000" w:themeColor="text1"/>
          <w:highlight w:val="none"/>
          <w14:textFill>
            <w14:solidFill>
              <w14:schemeClr w14:val="tx1"/>
            </w14:solidFill>
          </w14:textFill>
        </w:rPr>
        <w:t>………………………………………………………………………（页码）</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lef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 w:val="24"/>
          <w:highlight w:val="none"/>
          <w:lang w:val="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8</w:t>
      </w:r>
      <w:r>
        <w:rPr>
          <w:rFonts w:hint="eastAsia" w:ascii="宋体" w:hAnsi="宋体" w:eastAsia="宋体" w:cs="宋体"/>
          <w:color w:val="000000" w:themeColor="text1"/>
          <w:sz w:val="24"/>
          <w:highlight w:val="none"/>
          <w:lang w:val="zh-CN"/>
          <w14:textFill>
            <w14:solidFill>
              <w14:schemeClr w14:val="tx1"/>
            </w14:solidFill>
          </w14:textFill>
        </w:rPr>
        <w:t>）政府采购供应商廉洁自律承诺书</w:t>
      </w:r>
      <w:r>
        <w:rPr>
          <w:rFonts w:hint="eastAsia" w:ascii="宋体" w:hAnsi="宋体" w:eastAsia="宋体" w:cs="宋体"/>
          <w:color w:val="000000" w:themeColor="text1"/>
          <w:highlight w:val="none"/>
          <w14:textFill>
            <w14:solidFill>
              <w14:schemeClr w14:val="tx1"/>
            </w14:solidFill>
          </w14:textFill>
        </w:rPr>
        <w:t>…………………………………………………（页码）</w:t>
      </w:r>
    </w:p>
    <w:p>
      <w:pPr>
        <w:snapToGrid w:val="0"/>
        <w:spacing w:line="360" w:lineRule="auto"/>
        <w:jc w:val="center"/>
        <w:rPr>
          <w:rFonts w:hint="eastAsia" w:ascii="宋体" w:hAnsi="宋体" w:eastAsia="宋体" w:cs="宋体"/>
          <w:b/>
          <w:color w:val="000000" w:themeColor="text1"/>
          <w:kern w:val="0"/>
          <w:sz w:val="32"/>
          <w:szCs w:val="32"/>
          <w:highlight w:val="none"/>
          <w:lang w:val="zh-CN"/>
          <w14:textFill>
            <w14:solidFill>
              <w14:schemeClr w14:val="tx1"/>
            </w14:solidFill>
          </w14:textFill>
        </w:rPr>
      </w:pPr>
    </w:p>
    <w:p>
      <w:pPr>
        <w:snapToGrid w:val="0"/>
        <w:spacing w:line="360" w:lineRule="auto"/>
        <w:jc w:val="center"/>
        <w:rPr>
          <w:rFonts w:hint="eastAsia" w:ascii="宋体" w:hAnsi="宋体" w:eastAsia="宋体" w:cs="宋体"/>
          <w:b/>
          <w:color w:val="000000" w:themeColor="text1"/>
          <w:kern w:val="0"/>
          <w:sz w:val="32"/>
          <w:szCs w:val="32"/>
          <w:highlight w:val="none"/>
          <w:lang w:val="zh-CN"/>
          <w14:textFill>
            <w14:solidFill>
              <w14:schemeClr w14:val="tx1"/>
            </w14:solidFill>
          </w14:textFill>
        </w:rPr>
      </w:pPr>
    </w:p>
    <w:p>
      <w:pPr>
        <w:snapToGrid w:val="0"/>
        <w:spacing w:line="360" w:lineRule="auto"/>
        <w:jc w:val="center"/>
        <w:rPr>
          <w:rFonts w:hint="eastAsia" w:ascii="宋体" w:hAnsi="宋体" w:eastAsia="宋体" w:cs="宋体"/>
          <w:b/>
          <w:color w:val="000000" w:themeColor="text1"/>
          <w:kern w:val="0"/>
          <w:sz w:val="32"/>
          <w:szCs w:val="32"/>
          <w:highlight w:val="none"/>
          <w:lang w:val="zh-CN"/>
          <w14:textFill>
            <w14:solidFill>
              <w14:schemeClr w14:val="tx1"/>
            </w14:solidFill>
          </w14:textFill>
        </w:rPr>
      </w:pPr>
    </w:p>
    <w:p>
      <w:pPr>
        <w:snapToGrid w:val="0"/>
        <w:spacing w:line="360" w:lineRule="auto"/>
        <w:jc w:val="center"/>
        <w:rPr>
          <w:rFonts w:hint="eastAsia" w:ascii="宋体" w:hAnsi="宋体" w:eastAsia="宋体" w:cs="宋体"/>
          <w:b/>
          <w:color w:val="000000" w:themeColor="text1"/>
          <w:kern w:val="0"/>
          <w:sz w:val="32"/>
          <w:szCs w:val="32"/>
          <w:highlight w:val="none"/>
          <w:lang w:val="zh-CN"/>
          <w14:textFill>
            <w14:solidFill>
              <w14:schemeClr w14:val="tx1"/>
            </w14:solidFill>
          </w14:textFill>
        </w:rPr>
      </w:pPr>
    </w:p>
    <w:p>
      <w:pPr>
        <w:snapToGrid w:val="0"/>
        <w:spacing w:line="360" w:lineRule="auto"/>
        <w:jc w:val="center"/>
        <w:rPr>
          <w:rFonts w:hint="eastAsia" w:ascii="宋体" w:hAnsi="宋体" w:eastAsia="宋体" w:cs="宋体"/>
          <w:b/>
          <w:color w:val="000000" w:themeColor="text1"/>
          <w:kern w:val="0"/>
          <w:sz w:val="32"/>
          <w:szCs w:val="32"/>
          <w:highlight w:val="none"/>
          <w:lang w:val="zh-CN"/>
          <w14:textFill>
            <w14:solidFill>
              <w14:schemeClr w14:val="tx1"/>
            </w14:solidFill>
          </w14:textFill>
        </w:rPr>
      </w:pPr>
    </w:p>
    <w:p>
      <w:pPr>
        <w:snapToGrid w:val="0"/>
        <w:spacing w:line="360" w:lineRule="auto"/>
        <w:jc w:val="center"/>
        <w:rPr>
          <w:rFonts w:hint="eastAsia" w:ascii="宋体" w:hAnsi="宋体" w:eastAsia="宋体" w:cs="宋体"/>
          <w:b/>
          <w:color w:val="000000" w:themeColor="text1"/>
          <w:kern w:val="0"/>
          <w:sz w:val="32"/>
          <w:szCs w:val="32"/>
          <w:highlight w:val="none"/>
          <w:lang w:val="zh-CN"/>
          <w14:textFill>
            <w14:solidFill>
              <w14:schemeClr w14:val="tx1"/>
            </w14:solidFill>
          </w14:textFill>
        </w:rPr>
      </w:pPr>
    </w:p>
    <w:p>
      <w:pPr>
        <w:snapToGrid w:val="0"/>
        <w:spacing w:line="360" w:lineRule="auto"/>
        <w:jc w:val="center"/>
        <w:rPr>
          <w:rFonts w:hint="eastAsia" w:ascii="宋体" w:hAnsi="宋体" w:eastAsia="宋体" w:cs="宋体"/>
          <w:b/>
          <w:color w:val="000000" w:themeColor="text1"/>
          <w:kern w:val="0"/>
          <w:sz w:val="32"/>
          <w:szCs w:val="32"/>
          <w:highlight w:val="none"/>
          <w:lang w:val="zh-CN"/>
          <w14:textFill>
            <w14:solidFill>
              <w14:schemeClr w14:val="tx1"/>
            </w14:solidFill>
          </w14:textFill>
        </w:rPr>
      </w:pPr>
    </w:p>
    <w:p>
      <w:pPr>
        <w:snapToGrid w:val="0"/>
        <w:spacing w:line="360" w:lineRule="auto"/>
        <w:jc w:val="center"/>
        <w:rPr>
          <w:rFonts w:hint="eastAsia" w:ascii="宋体" w:hAnsi="宋体" w:eastAsia="宋体" w:cs="宋体"/>
          <w:b/>
          <w:color w:val="000000" w:themeColor="text1"/>
          <w:kern w:val="0"/>
          <w:sz w:val="32"/>
          <w:szCs w:val="32"/>
          <w:highlight w:val="none"/>
          <w:lang w:val="zh-CN"/>
          <w14:textFill>
            <w14:solidFill>
              <w14:schemeClr w14:val="tx1"/>
            </w14:solidFill>
          </w14:textFill>
        </w:rPr>
      </w:pPr>
    </w:p>
    <w:p>
      <w:pPr>
        <w:snapToGrid w:val="0"/>
        <w:spacing w:line="360" w:lineRule="auto"/>
        <w:jc w:val="center"/>
        <w:rPr>
          <w:rFonts w:hint="eastAsia" w:ascii="宋体" w:hAnsi="宋体" w:eastAsia="宋体" w:cs="宋体"/>
          <w:b/>
          <w:color w:val="000000" w:themeColor="text1"/>
          <w:kern w:val="0"/>
          <w:sz w:val="32"/>
          <w:szCs w:val="32"/>
          <w:highlight w:val="none"/>
          <w:lang w:val="zh-CN"/>
          <w14:textFill>
            <w14:solidFill>
              <w14:schemeClr w14:val="tx1"/>
            </w14:solidFill>
          </w14:textFill>
        </w:rPr>
      </w:pPr>
    </w:p>
    <w:p>
      <w:pPr>
        <w:snapToGrid w:val="0"/>
        <w:spacing w:line="360" w:lineRule="auto"/>
        <w:jc w:val="center"/>
        <w:rPr>
          <w:rFonts w:hint="eastAsia" w:ascii="宋体" w:hAnsi="宋体" w:eastAsia="宋体" w:cs="宋体"/>
          <w:b/>
          <w:color w:val="000000" w:themeColor="text1"/>
          <w:kern w:val="0"/>
          <w:sz w:val="32"/>
          <w:szCs w:val="32"/>
          <w:highlight w:val="none"/>
          <w:lang w:val="zh-CN"/>
          <w14:textFill>
            <w14:solidFill>
              <w14:schemeClr w14:val="tx1"/>
            </w14:solidFill>
          </w14:textFill>
        </w:rPr>
      </w:pPr>
    </w:p>
    <w:p>
      <w:pPr>
        <w:snapToGrid w:val="0"/>
        <w:spacing w:line="360" w:lineRule="auto"/>
        <w:jc w:val="center"/>
        <w:rPr>
          <w:rFonts w:hint="eastAsia" w:ascii="宋体" w:hAnsi="宋体" w:eastAsia="宋体" w:cs="宋体"/>
          <w:b/>
          <w:color w:val="000000" w:themeColor="text1"/>
          <w:kern w:val="0"/>
          <w:sz w:val="32"/>
          <w:szCs w:val="32"/>
          <w:highlight w:val="none"/>
          <w:lang w:val="zh-CN"/>
          <w14:textFill>
            <w14:solidFill>
              <w14:schemeClr w14:val="tx1"/>
            </w14:solidFill>
          </w14:textFill>
        </w:rPr>
      </w:pPr>
    </w:p>
    <w:p>
      <w:pPr>
        <w:snapToGrid w:val="0"/>
        <w:spacing w:line="360" w:lineRule="auto"/>
        <w:jc w:val="center"/>
        <w:rPr>
          <w:rFonts w:hint="eastAsia" w:ascii="宋体" w:hAnsi="宋体" w:eastAsia="宋体" w:cs="宋体"/>
          <w:b/>
          <w:color w:val="000000" w:themeColor="text1"/>
          <w:kern w:val="0"/>
          <w:sz w:val="32"/>
          <w:szCs w:val="32"/>
          <w:highlight w:val="none"/>
          <w:lang w:val="zh-CN"/>
          <w14:textFill>
            <w14:solidFill>
              <w14:schemeClr w14:val="tx1"/>
            </w14:solidFill>
          </w14:textFill>
        </w:rPr>
      </w:pPr>
    </w:p>
    <w:p>
      <w:pPr>
        <w:rPr>
          <w:rFonts w:hint="eastAsia" w:ascii="宋体" w:hAnsi="宋体" w:eastAsia="宋体" w:cs="宋体"/>
          <w:b/>
          <w:color w:val="000000" w:themeColor="text1"/>
          <w:kern w:val="0"/>
          <w:sz w:val="32"/>
          <w:szCs w:val="32"/>
          <w:highlight w:val="none"/>
          <w:lang w:val="zh-CN"/>
          <w14:textFill>
            <w14:solidFill>
              <w14:schemeClr w14:val="tx1"/>
            </w14:solidFill>
          </w14:textFill>
        </w:rPr>
      </w:pPr>
    </w:p>
    <w:p>
      <w:pPr>
        <w:widowControl/>
        <w:adjustRightInd/>
        <w:jc w:val="left"/>
        <w:rPr>
          <w:rFonts w:hint="eastAsia" w:ascii="宋体" w:hAnsi="宋体" w:eastAsia="宋体" w:cs="宋体"/>
          <w:b/>
          <w:color w:val="000000" w:themeColor="text1"/>
          <w:kern w:val="0"/>
          <w:sz w:val="32"/>
          <w:szCs w:val="32"/>
          <w:highlight w:val="none"/>
          <w14:textFill>
            <w14:solidFill>
              <w14:schemeClr w14:val="tx1"/>
            </w14:solidFill>
          </w14:textFill>
        </w:rPr>
      </w:pPr>
      <w:r>
        <w:rPr>
          <w:rFonts w:hint="eastAsia" w:ascii="宋体" w:hAnsi="宋体" w:eastAsia="宋体" w:cs="宋体"/>
          <w:b/>
          <w:color w:val="000000" w:themeColor="text1"/>
          <w:kern w:val="0"/>
          <w:sz w:val="32"/>
          <w:szCs w:val="32"/>
          <w:highlight w:val="none"/>
          <w14:textFill>
            <w14:solidFill>
              <w14:schemeClr w14:val="tx1"/>
            </w14:solidFill>
          </w14:textFill>
        </w:rPr>
        <w:br w:type="page"/>
      </w:r>
    </w:p>
    <w:p>
      <w:pPr>
        <w:snapToGrid w:val="0"/>
        <w:spacing w:line="360" w:lineRule="auto"/>
        <w:jc w:val="center"/>
        <w:outlineLvl w:val="0"/>
        <w:rPr>
          <w:rFonts w:hint="eastAsia" w:ascii="宋体" w:hAnsi="宋体" w:eastAsia="宋体" w:cs="宋体"/>
          <w:b/>
          <w:color w:val="000000" w:themeColor="text1"/>
          <w:sz w:val="32"/>
          <w:szCs w:val="32"/>
          <w:highlight w:val="none"/>
          <w14:textFill>
            <w14:solidFill>
              <w14:schemeClr w14:val="tx1"/>
            </w14:solidFill>
          </w14:textFill>
        </w:rPr>
      </w:pPr>
      <w:r>
        <w:rPr>
          <w:rFonts w:hint="eastAsia" w:ascii="宋体" w:hAnsi="宋体" w:eastAsia="宋体" w:cs="宋体"/>
          <w:b/>
          <w:color w:val="000000" w:themeColor="text1"/>
          <w:kern w:val="0"/>
          <w:sz w:val="32"/>
          <w:szCs w:val="32"/>
          <w:highlight w:val="none"/>
          <w14:textFill>
            <w14:solidFill>
              <w14:schemeClr w14:val="tx1"/>
            </w14:solidFill>
          </w14:textFill>
        </w:rPr>
        <w:t>一、投标</w:t>
      </w:r>
      <w:r>
        <w:rPr>
          <w:rFonts w:hint="eastAsia" w:ascii="宋体" w:hAnsi="宋体" w:eastAsia="宋体" w:cs="宋体"/>
          <w:b/>
          <w:color w:val="000000" w:themeColor="text1"/>
          <w:sz w:val="32"/>
          <w:szCs w:val="32"/>
          <w:highlight w:val="none"/>
          <w14:textFill>
            <w14:solidFill>
              <w14:schemeClr w14:val="tx1"/>
            </w14:solidFill>
          </w14:textFill>
        </w:rPr>
        <w:t>函</w:t>
      </w:r>
    </w:p>
    <w:p>
      <w:pPr>
        <w:snapToGrid w:val="0"/>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lang w:eastAsia="zh-CN"/>
          <w14:textFill>
            <w14:solidFill>
              <w14:schemeClr w14:val="tx1"/>
            </w14:solidFill>
          </w14:textFill>
        </w:rPr>
        <w:t>杭州市拱墅区综合行政执法局</w:t>
      </w:r>
      <w:r>
        <w:rPr>
          <w:rFonts w:hint="eastAsia" w:ascii="宋体" w:hAnsi="宋体" w:eastAsia="宋体" w:cs="宋体"/>
          <w:color w:val="000000" w:themeColor="text1"/>
          <w:sz w:val="24"/>
          <w:highlight w:val="none"/>
          <w14:textFill>
            <w14:solidFill>
              <w14:schemeClr w14:val="tx1"/>
            </w14:solidFill>
          </w14:textFill>
        </w:rPr>
        <w:t>、</w:t>
      </w:r>
      <w:r>
        <w:rPr>
          <w:rFonts w:hint="eastAsia" w:ascii="宋体" w:hAnsi="宋体" w:eastAsia="宋体" w:cs="宋体"/>
          <w:color w:val="000000" w:themeColor="text1"/>
          <w:sz w:val="24"/>
          <w:highlight w:val="none"/>
          <w:lang w:eastAsia="zh-CN"/>
          <w14:textFill>
            <w14:solidFill>
              <w14:schemeClr w14:val="tx1"/>
            </w14:solidFill>
          </w14:textFill>
        </w:rPr>
        <w:t>杭州华鼎世纪项目管理咨询有限公司</w:t>
      </w:r>
      <w:r>
        <w:rPr>
          <w:rFonts w:hint="eastAsia" w:ascii="宋体" w:hAnsi="宋体" w:eastAsia="宋体" w:cs="宋体"/>
          <w:color w:val="000000" w:themeColor="text1"/>
          <w:sz w:val="24"/>
          <w:highlight w:val="none"/>
          <w14:textFill>
            <w14:solidFill>
              <w14:schemeClr w14:val="tx1"/>
            </w14:solidFill>
          </w14:textFill>
        </w:rPr>
        <w:t>：</w:t>
      </w:r>
    </w:p>
    <w:p>
      <w:pPr>
        <w:snapToGrid w:val="0"/>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我方参加你方组织的</w:t>
      </w:r>
      <w:r>
        <w:rPr>
          <w:rFonts w:hint="eastAsia" w:ascii="宋体" w:hAnsi="宋体" w:eastAsia="宋体" w:cs="宋体"/>
          <w:color w:val="000000" w:themeColor="text1"/>
          <w:sz w:val="24"/>
          <w:highlight w:val="none"/>
          <w:lang w:eastAsia="zh-CN"/>
          <w14:textFill>
            <w14:solidFill>
              <w14:schemeClr w14:val="tx1"/>
            </w14:solidFill>
          </w14:textFill>
        </w:rPr>
        <w:t>拱墅区临丁路等7条、东新路等8条市属区管道路市政环卫一体化综合养护服务项目（标项</w:t>
      </w:r>
      <w:r>
        <w:rPr>
          <w:rFonts w:hint="eastAsia" w:ascii="宋体" w:hAnsi="宋体" w:eastAsia="宋体" w:cs="宋体"/>
          <w:color w:val="000000" w:themeColor="text1"/>
          <w:sz w:val="24"/>
          <w:highlight w:val="none"/>
          <w:u w:val="single"/>
          <w:lang w:eastAsia="zh-CN"/>
          <w14:textFill>
            <w14:solidFill>
              <w14:schemeClr w14:val="tx1"/>
            </w14:solidFill>
          </w14:textFill>
        </w:rPr>
        <w:t xml:space="preserve">           </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【招标编号：</w:t>
      </w:r>
      <w:r>
        <w:rPr>
          <w:rFonts w:hint="eastAsia" w:ascii="宋体" w:hAnsi="宋体" w:eastAsia="宋体" w:cs="宋体"/>
          <w:color w:val="000000" w:themeColor="text1"/>
          <w:sz w:val="24"/>
          <w:highlight w:val="none"/>
          <w:lang w:eastAsia="zh-CN"/>
          <w14:textFill>
            <w14:solidFill>
              <w14:schemeClr w14:val="tx1"/>
            </w14:solidFill>
          </w14:textFill>
        </w:rPr>
        <w:t>HDSJ-2023-006</w:t>
      </w:r>
      <w:r>
        <w:rPr>
          <w:rFonts w:hint="eastAsia" w:ascii="宋体" w:hAnsi="宋体" w:eastAsia="宋体" w:cs="宋体"/>
          <w:color w:val="000000" w:themeColor="text1"/>
          <w:sz w:val="24"/>
          <w:highlight w:val="none"/>
          <w14:textFill>
            <w14:solidFill>
              <w14:schemeClr w14:val="tx1"/>
            </w14:solidFill>
          </w14:textFill>
        </w:rPr>
        <w:t>】招标的有关活动，并对此项目进行投标。为此：</w:t>
      </w:r>
    </w:p>
    <w:p>
      <w:pPr>
        <w:snapToGrid w:val="0"/>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1、我方承诺投标有效期从提交投标文件的截止之日起</w:t>
      </w:r>
      <w:r>
        <w:rPr>
          <w:rFonts w:hint="eastAsia" w:ascii="宋体" w:hAnsi="宋体" w:eastAsia="宋体" w:cs="宋体"/>
          <w:color w:val="000000" w:themeColor="text1"/>
          <w:sz w:val="24"/>
          <w:highlight w:val="none"/>
          <w:u w:val="single"/>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天（不少于90天）</w:t>
      </w:r>
      <w:r>
        <w:rPr>
          <w:rFonts w:hint="eastAsia" w:ascii="宋体" w:hAnsi="宋体" w:eastAsia="宋体" w:cs="宋体"/>
          <w:color w:val="000000" w:themeColor="text1"/>
          <w:highlight w:val="none"/>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本投标文件在投标有效期满之前均具有约束力。</w:t>
      </w:r>
    </w:p>
    <w:p>
      <w:pPr>
        <w:snapToGrid w:val="0"/>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2、我方的投标文件包括以下内容：</w:t>
      </w:r>
    </w:p>
    <w:p>
      <w:pPr>
        <w:snapToGrid w:val="0"/>
        <w:spacing w:line="360" w:lineRule="auto"/>
        <w:ind w:left="210" w:leftChars="100"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2.1资格文件：</w:t>
      </w:r>
    </w:p>
    <w:p>
      <w:pPr>
        <w:snapToGrid w:val="0"/>
        <w:spacing w:line="360" w:lineRule="auto"/>
        <w:ind w:left="420" w:leftChars="200"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2.1.1承诺函；</w:t>
      </w:r>
    </w:p>
    <w:p>
      <w:pPr>
        <w:snapToGrid w:val="0"/>
        <w:spacing w:line="360" w:lineRule="auto"/>
        <w:ind w:left="420" w:leftChars="200"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2.1.2</w:t>
      </w:r>
      <w:r>
        <w:rPr>
          <w:rFonts w:hint="eastAsia" w:ascii="宋体" w:hAnsi="宋体" w:eastAsia="宋体" w:cs="宋体"/>
          <w:snapToGrid w:val="0"/>
          <w:color w:val="000000" w:themeColor="text1"/>
          <w:kern w:val="28"/>
          <w:sz w:val="24"/>
          <w:szCs w:val="20"/>
          <w:highlight w:val="none"/>
          <w14:textFill>
            <w14:solidFill>
              <w14:schemeClr w14:val="tx1"/>
            </w14:solidFill>
          </w14:textFill>
        </w:rPr>
        <w:t>联合协议</w:t>
      </w:r>
      <w:bookmarkStart w:id="413" w:name="_Hlk101257010"/>
      <w:r>
        <w:rPr>
          <w:rFonts w:hint="eastAsia" w:ascii="宋体" w:hAnsi="宋体" w:eastAsia="宋体" w:cs="宋体"/>
          <w:color w:val="000000" w:themeColor="text1"/>
          <w:sz w:val="24"/>
          <w:highlight w:val="none"/>
          <w14:textFill>
            <w14:solidFill>
              <w14:schemeClr w14:val="tx1"/>
            </w14:solidFill>
          </w14:textFill>
        </w:rPr>
        <w:t>（如果有)</w:t>
      </w:r>
      <w:bookmarkEnd w:id="413"/>
      <w:r>
        <w:rPr>
          <w:rFonts w:hint="eastAsia" w:ascii="宋体" w:hAnsi="宋体" w:eastAsia="宋体" w:cs="宋体"/>
          <w:snapToGrid w:val="0"/>
          <w:color w:val="000000" w:themeColor="text1"/>
          <w:kern w:val="28"/>
          <w:sz w:val="24"/>
          <w:szCs w:val="20"/>
          <w:highlight w:val="none"/>
          <w14:textFill>
            <w14:solidFill>
              <w14:schemeClr w14:val="tx1"/>
            </w14:solidFill>
          </w14:textFill>
        </w:rPr>
        <w:t>；</w:t>
      </w:r>
    </w:p>
    <w:p>
      <w:pPr>
        <w:snapToGrid w:val="0"/>
        <w:spacing w:line="360" w:lineRule="auto"/>
        <w:ind w:left="420" w:leftChars="200"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2.1.3落实政府采购政策需满足的资格要求（如果有）；</w:t>
      </w:r>
    </w:p>
    <w:p>
      <w:pPr>
        <w:snapToGrid w:val="0"/>
        <w:spacing w:line="360" w:lineRule="auto"/>
        <w:ind w:left="420" w:leftChars="200"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2.1.4本项目的特定资格要求（如果有)。</w:t>
      </w:r>
    </w:p>
    <w:p>
      <w:pPr>
        <w:snapToGrid w:val="0"/>
        <w:spacing w:line="360" w:lineRule="auto"/>
        <w:ind w:left="210" w:leftChars="100" w:firstLine="480" w:firstLineChars="200"/>
        <w:rPr>
          <w:rFonts w:hint="eastAsia" w:ascii="宋体" w:hAnsi="宋体" w:eastAsia="宋体" w:cs="宋体"/>
          <w:color w:val="000000" w:themeColor="text1"/>
          <w:sz w:val="24"/>
          <w:highlight w:val="none"/>
          <w:lang w:val="zh-CN"/>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w:t>
      </w:r>
      <w:r>
        <w:rPr>
          <w:rFonts w:hint="eastAsia" w:ascii="宋体" w:hAnsi="宋体" w:eastAsia="宋体" w:cs="宋体"/>
          <w:color w:val="000000" w:themeColor="text1"/>
          <w:sz w:val="24"/>
          <w:highlight w:val="none"/>
          <w:lang w:val="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2</w:t>
      </w:r>
      <w:r>
        <w:rPr>
          <w:rFonts w:hint="eastAsia" w:ascii="宋体" w:hAnsi="宋体" w:eastAsia="宋体" w:cs="宋体"/>
          <w:color w:val="000000" w:themeColor="text1"/>
          <w:sz w:val="24"/>
          <w:highlight w:val="none"/>
          <w:lang w:val="zh-CN"/>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商务技术</w:t>
      </w:r>
      <w:r>
        <w:rPr>
          <w:rFonts w:hint="eastAsia" w:ascii="宋体" w:hAnsi="宋体" w:eastAsia="宋体" w:cs="宋体"/>
          <w:color w:val="000000" w:themeColor="text1"/>
          <w:sz w:val="24"/>
          <w:highlight w:val="none"/>
          <w:lang w:val="zh-CN"/>
          <w14:textFill>
            <w14:solidFill>
              <w14:schemeClr w14:val="tx1"/>
            </w14:solidFill>
          </w14:textFill>
        </w:rPr>
        <w:t>文件：</w:t>
      </w:r>
    </w:p>
    <w:p>
      <w:pPr>
        <w:snapToGrid w:val="0"/>
        <w:spacing w:line="360" w:lineRule="auto"/>
        <w:ind w:left="420" w:leftChars="200"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2.2.1投标函；</w:t>
      </w:r>
      <w:r>
        <w:rPr>
          <w:rFonts w:hint="eastAsia" w:ascii="宋体" w:hAnsi="宋体" w:eastAsia="宋体" w:cs="宋体"/>
          <w:color w:val="000000" w:themeColor="text1"/>
          <w:sz w:val="24"/>
          <w:highlight w:val="none"/>
          <w:lang w:val="zh-CN"/>
          <w14:textFill>
            <w14:solidFill>
              <w14:schemeClr w14:val="tx1"/>
            </w14:solidFill>
          </w14:textFill>
        </w:rPr>
        <w:t xml:space="preserve"> </w:t>
      </w:r>
    </w:p>
    <w:p>
      <w:pPr>
        <w:snapToGrid w:val="0"/>
        <w:spacing w:line="360" w:lineRule="auto"/>
        <w:ind w:left="420" w:leftChars="200"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2.2.2授权委托书或法定代表人（单位负责人）身份证明；</w:t>
      </w:r>
    </w:p>
    <w:p>
      <w:pPr>
        <w:snapToGrid w:val="0"/>
        <w:spacing w:line="360" w:lineRule="auto"/>
        <w:ind w:left="420" w:leftChars="200"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2.2.3分包意向协议（如果有)；</w:t>
      </w:r>
    </w:p>
    <w:p>
      <w:pPr>
        <w:snapToGrid w:val="0"/>
        <w:spacing w:line="360" w:lineRule="auto"/>
        <w:ind w:left="420" w:leftChars="200"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2.2.4符合性审查资料；</w:t>
      </w:r>
    </w:p>
    <w:p>
      <w:pPr>
        <w:snapToGrid w:val="0"/>
        <w:spacing w:line="360" w:lineRule="auto"/>
        <w:ind w:left="420" w:leftChars="200"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2.2.5评标标准相应的商务技术资料；</w:t>
      </w:r>
    </w:p>
    <w:p>
      <w:pPr>
        <w:snapToGrid w:val="0"/>
        <w:spacing w:line="360" w:lineRule="auto"/>
        <w:ind w:left="420" w:leftChars="200"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2.2.6投标标的清单；</w:t>
      </w:r>
    </w:p>
    <w:p>
      <w:pPr>
        <w:snapToGrid w:val="0"/>
        <w:spacing w:line="360" w:lineRule="auto"/>
        <w:ind w:left="420" w:leftChars="200"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2.2.7商务技术偏离表；</w:t>
      </w:r>
    </w:p>
    <w:p>
      <w:pPr>
        <w:snapToGrid w:val="0"/>
        <w:spacing w:line="360" w:lineRule="auto"/>
        <w:ind w:left="420" w:leftChars="200" w:firstLine="480" w:firstLineChars="200"/>
        <w:rPr>
          <w:rFonts w:hint="eastAsia" w:ascii="宋体" w:hAnsi="宋体" w:eastAsia="宋体" w:cs="宋体"/>
          <w:color w:val="000000" w:themeColor="text1"/>
          <w:sz w:val="24"/>
          <w:highlight w:val="none"/>
          <w:lang w:val="zh-CN"/>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w:t>
      </w:r>
      <w:r>
        <w:rPr>
          <w:rFonts w:hint="eastAsia" w:ascii="宋体" w:hAnsi="宋体" w:eastAsia="宋体" w:cs="宋体"/>
          <w:color w:val="000000" w:themeColor="text1"/>
          <w:sz w:val="24"/>
          <w:highlight w:val="none"/>
          <w:lang w:val="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2</w:t>
      </w:r>
      <w:r>
        <w:rPr>
          <w:rFonts w:hint="eastAsia" w:ascii="宋体" w:hAnsi="宋体" w:eastAsia="宋体" w:cs="宋体"/>
          <w:color w:val="000000" w:themeColor="text1"/>
          <w:sz w:val="24"/>
          <w:highlight w:val="none"/>
          <w:lang w:val="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8</w:t>
      </w:r>
      <w:r>
        <w:rPr>
          <w:rFonts w:hint="eastAsia" w:ascii="宋体" w:hAnsi="宋体" w:eastAsia="宋体" w:cs="宋体"/>
          <w:color w:val="000000" w:themeColor="text1"/>
          <w:sz w:val="24"/>
          <w:highlight w:val="none"/>
          <w:lang w:val="zh-CN"/>
          <w14:textFill>
            <w14:solidFill>
              <w14:schemeClr w14:val="tx1"/>
            </w14:solidFill>
          </w14:textFill>
        </w:rPr>
        <w:t>政府采购供应商廉洁自律承诺书；</w:t>
      </w:r>
    </w:p>
    <w:p>
      <w:pPr>
        <w:snapToGrid w:val="0"/>
        <w:spacing w:line="360" w:lineRule="auto"/>
        <w:ind w:left="210" w:leftChars="100"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w:t>
      </w:r>
      <w:r>
        <w:rPr>
          <w:rFonts w:hint="eastAsia" w:ascii="宋体" w:hAnsi="宋体" w:eastAsia="宋体" w:cs="宋体"/>
          <w:color w:val="000000" w:themeColor="text1"/>
          <w:sz w:val="24"/>
          <w:highlight w:val="none"/>
          <w:lang w:val="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3报价文件</w:t>
      </w:r>
    </w:p>
    <w:p>
      <w:pPr>
        <w:snapToGrid w:val="0"/>
        <w:spacing w:line="360" w:lineRule="auto"/>
        <w:ind w:left="420" w:leftChars="200"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2.3.1开标一览表（报价表）；</w:t>
      </w:r>
    </w:p>
    <w:p>
      <w:pPr>
        <w:snapToGrid w:val="0"/>
        <w:spacing w:line="360" w:lineRule="auto"/>
        <w:ind w:left="420" w:leftChars="200"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2.3.2中小企业声明函（如果有）。</w:t>
      </w:r>
    </w:p>
    <w:p>
      <w:pPr>
        <w:snapToGrid w:val="0"/>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3、我方承诺除商务技术偏离表列出的偏离外，我方响应</w:t>
      </w:r>
      <w:r>
        <w:rPr>
          <w:rFonts w:hint="eastAsia" w:ascii="宋体" w:hAnsi="宋体" w:eastAsia="宋体" w:cs="宋体"/>
          <w:color w:val="000000" w:themeColor="text1"/>
          <w:sz w:val="24"/>
          <w:highlight w:val="none"/>
          <w:lang w:eastAsia="zh-CN"/>
          <w14:textFill>
            <w14:solidFill>
              <w14:schemeClr w14:val="tx1"/>
            </w14:solidFill>
          </w14:textFill>
        </w:rPr>
        <w:t>投标文件</w:t>
      </w:r>
      <w:r>
        <w:rPr>
          <w:rFonts w:hint="eastAsia" w:ascii="宋体" w:hAnsi="宋体" w:eastAsia="宋体" w:cs="宋体"/>
          <w:color w:val="000000" w:themeColor="text1"/>
          <w:sz w:val="24"/>
          <w:highlight w:val="none"/>
          <w14:textFill>
            <w14:solidFill>
              <w14:schemeClr w14:val="tx1"/>
            </w14:solidFill>
          </w14:textFill>
        </w:rPr>
        <w:t>的全部要求。</w:t>
      </w:r>
    </w:p>
    <w:p>
      <w:pPr>
        <w:snapToGrid w:val="0"/>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4、如我方中标，我方承诺：</w:t>
      </w:r>
    </w:p>
    <w:p>
      <w:pPr>
        <w:snapToGrid w:val="0"/>
        <w:spacing w:line="360" w:lineRule="auto"/>
        <w:ind w:left="210" w:leftChars="100"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 xml:space="preserve">4.1在收到中标通知书后，在中标通知书规定的期限内与你方签订合同； </w:t>
      </w:r>
    </w:p>
    <w:p>
      <w:pPr>
        <w:snapToGrid w:val="0"/>
        <w:spacing w:line="360" w:lineRule="auto"/>
        <w:ind w:left="210" w:leftChars="100"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 xml:space="preserve">4.2在签订合同时不向你方提出附加条件； </w:t>
      </w:r>
    </w:p>
    <w:p>
      <w:pPr>
        <w:snapToGrid w:val="0"/>
        <w:spacing w:line="360" w:lineRule="auto"/>
        <w:ind w:left="210" w:leftChars="100"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4.3按照</w:t>
      </w:r>
      <w:r>
        <w:rPr>
          <w:rFonts w:hint="eastAsia" w:ascii="宋体" w:hAnsi="宋体" w:eastAsia="宋体" w:cs="宋体"/>
          <w:color w:val="000000" w:themeColor="text1"/>
          <w:sz w:val="24"/>
          <w:highlight w:val="none"/>
          <w:lang w:eastAsia="zh-CN"/>
          <w14:textFill>
            <w14:solidFill>
              <w14:schemeClr w14:val="tx1"/>
            </w14:solidFill>
          </w14:textFill>
        </w:rPr>
        <w:t>投标文件</w:t>
      </w:r>
      <w:r>
        <w:rPr>
          <w:rFonts w:hint="eastAsia" w:ascii="宋体" w:hAnsi="宋体" w:eastAsia="宋体" w:cs="宋体"/>
          <w:color w:val="000000" w:themeColor="text1"/>
          <w:sz w:val="24"/>
          <w:highlight w:val="none"/>
          <w14:textFill>
            <w14:solidFill>
              <w14:schemeClr w14:val="tx1"/>
            </w14:solidFill>
          </w14:textFill>
        </w:rPr>
        <w:t xml:space="preserve">要求提交履约保证金； </w:t>
      </w:r>
    </w:p>
    <w:p>
      <w:pPr>
        <w:snapToGrid w:val="0"/>
        <w:spacing w:line="360" w:lineRule="auto"/>
        <w:ind w:left="210" w:leftChars="100"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 xml:space="preserve">4.4在合同约定的期限内完成合同规定的全部义务。 </w:t>
      </w:r>
    </w:p>
    <w:p>
      <w:pPr>
        <w:snapToGrid w:val="0"/>
        <w:spacing w:line="360" w:lineRule="auto"/>
        <w:ind w:left="210" w:leftChars="100"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5、其他补充说明:</w:t>
      </w:r>
      <w:r>
        <w:rPr>
          <w:rFonts w:hint="eastAsia" w:ascii="宋体" w:hAnsi="宋体" w:eastAsia="宋体" w:cs="宋体"/>
          <w:color w:val="000000" w:themeColor="text1"/>
          <w:sz w:val="24"/>
          <w:highlight w:val="none"/>
          <w:u w:val="single"/>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w:t>
      </w:r>
    </w:p>
    <w:p>
      <w:pPr>
        <w:spacing w:line="360" w:lineRule="auto"/>
        <w:ind w:firstLine="3600" w:firstLineChars="15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lang w:eastAsia="zh-CN"/>
          <w14:textFill>
            <w14:solidFill>
              <w14:schemeClr w14:val="tx1"/>
            </w14:solidFill>
          </w14:textFill>
        </w:rPr>
        <w:t>供应商</w:t>
      </w:r>
      <w:r>
        <w:rPr>
          <w:rFonts w:hint="eastAsia" w:ascii="宋体" w:hAnsi="宋体" w:eastAsia="宋体" w:cs="宋体"/>
          <w:color w:val="000000" w:themeColor="text1"/>
          <w:sz w:val="24"/>
          <w:highlight w:val="none"/>
          <w14:textFill>
            <w14:solidFill>
              <w14:schemeClr w14:val="tx1"/>
            </w14:solidFill>
          </w14:textFill>
        </w:rPr>
        <w:t xml:space="preserve">名称（电子签名）：                          </w:t>
      </w:r>
    </w:p>
    <w:p>
      <w:pPr>
        <w:spacing w:line="360" w:lineRule="auto"/>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 xml:space="preserve">     日期：  年   月   日</w:t>
      </w:r>
    </w:p>
    <w:p>
      <w:pPr>
        <w:snapToGrid w:val="0"/>
        <w:spacing w:line="360" w:lineRule="auto"/>
        <w:ind w:left="420" w:leftChars="200" w:firstLine="4200" w:firstLineChars="1750"/>
        <w:rPr>
          <w:rFonts w:hint="eastAsia" w:ascii="宋体" w:hAnsi="宋体" w:eastAsia="宋体" w:cs="宋体"/>
          <w:color w:val="000000" w:themeColor="text1"/>
          <w:kern w:val="0"/>
          <w:sz w:val="24"/>
          <w:highlight w:val="none"/>
          <w:u w:val="single"/>
          <w14:textFill>
            <w14:solidFill>
              <w14:schemeClr w14:val="tx1"/>
            </w14:solidFill>
          </w14:textFill>
        </w:rPr>
      </w:pPr>
    </w:p>
    <w:p>
      <w:pPr>
        <w:spacing w:line="360" w:lineRule="auto"/>
        <w:ind w:right="42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注：按本格式和要求提供。</w:t>
      </w:r>
    </w:p>
    <w:p>
      <w:pPr>
        <w:snapToGrid w:val="0"/>
        <w:spacing w:line="360" w:lineRule="auto"/>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snapToGrid w:val="0"/>
        <w:spacing w:line="360" w:lineRule="auto"/>
        <w:rPr>
          <w:rFonts w:hint="eastAsia" w:ascii="宋体" w:hAnsi="宋体" w:eastAsia="宋体" w:cs="宋体"/>
          <w:color w:val="000000" w:themeColor="text1"/>
          <w:sz w:val="24"/>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pStyle w:val="6"/>
        <w:rPr>
          <w:rFonts w:hint="eastAsia" w:ascii="宋体" w:hAnsi="宋体" w:eastAsia="宋体" w:cs="宋体"/>
          <w:color w:val="000000" w:themeColor="text1"/>
          <w:highlight w:val="none"/>
          <w:lang w:val="en-US"/>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lang w:val="zh-CN"/>
          <w14:textFill>
            <w14:solidFill>
              <w14:schemeClr w14:val="tx1"/>
            </w14:solidFill>
          </w14:textFill>
        </w:rPr>
      </w:pPr>
      <w:r>
        <w:rPr>
          <w:rFonts w:hint="eastAsia" w:ascii="宋体" w:hAnsi="宋体" w:eastAsia="宋体" w:cs="宋体"/>
          <w:b/>
          <w:color w:val="000000" w:themeColor="text1"/>
          <w:kern w:val="0"/>
          <w:sz w:val="32"/>
          <w:szCs w:val="32"/>
          <w:highlight w:val="none"/>
          <w:lang w:val="zh-CN"/>
          <w14:textFill>
            <w14:solidFill>
              <w14:schemeClr w14:val="tx1"/>
            </w14:solidFill>
          </w14:textFill>
        </w:rPr>
        <w:t>二、授权委托书或法定代表人（单位负责人、自然人本人）身份证明</w:t>
      </w:r>
    </w:p>
    <w:p>
      <w:pPr>
        <w:snapToGrid w:val="0"/>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 xml:space="preserve">                                </w:t>
      </w:r>
    </w:p>
    <w:p>
      <w:pPr>
        <w:snapToGrid w:val="0"/>
        <w:spacing w:line="360" w:lineRule="auto"/>
        <w:ind w:firstLine="480" w:firstLineChars="200"/>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 xml:space="preserve"> </w:t>
      </w:r>
      <w:r>
        <w:rPr>
          <w:rFonts w:hint="eastAsia" w:ascii="宋体" w:hAnsi="宋体" w:eastAsia="宋体" w:cs="宋体"/>
          <w:color w:val="000000" w:themeColor="text1"/>
          <w:kern w:val="0"/>
          <w:sz w:val="24"/>
          <w:highlight w:val="none"/>
          <w:lang w:val="zh-CN"/>
          <w14:textFill>
            <w14:solidFill>
              <w14:schemeClr w14:val="tx1"/>
            </w14:solidFill>
          </w14:textFill>
        </w:rPr>
        <w:t>注：▲供应商委派不在本单位缴纳社保的人员作为授权代表（代理人）的，应当在投标（响应）文件中，说明具体原因、授权代表缴纳社保的单位，并附列该授权代表缴纳社保清单。</w:t>
      </w:r>
    </w:p>
    <w:p>
      <w:pPr>
        <w:snapToGrid w:val="0"/>
        <w:spacing w:line="360" w:lineRule="auto"/>
        <w:ind w:firstLine="2872" w:firstLineChars="894"/>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b/>
          <w:color w:val="000000" w:themeColor="text1"/>
          <w:kern w:val="0"/>
          <w:sz w:val="32"/>
          <w:szCs w:val="32"/>
          <w:highlight w:val="none"/>
          <w:lang w:val="zh-CN"/>
          <w14:textFill>
            <w14:solidFill>
              <w14:schemeClr w14:val="tx1"/>
            </w14:solidFill>
          </w14:textFill>
        </w:rPr>
        <w:t>授权委托书（适用于非联合体投标）</w:t>
      </w:r>
      <w:r>
        <w:rPr>
          <w:rFonts w:hint="eastAsia" w:ascii="宋体" w:hAnsi="宋体" w:eastAsia="宋体" w:cs="宋体"/>
          <w:color w:val="000000" w:themeColor="text1"/>
          <w:highlight w:val="none"/>
          <w14:textFill>
            <w14:solidFill>
              <w14:schemeClr w14:val="tx1"/>
            </w14:solidFill>
          </w14:textFill>
        </w:rPr>
        <w:t xml:space="preserve">                               </w:t>
      </w:r>
    </w:p>
    <w:p>
      <w:pPr>
        <w:snapToGrid w:val="0"/>
        <w:spacing w:line="360" w:lineRule="auto"/>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sz w:val="24"/>
          <w:highlight w:val="none"/>
          <w:lang w:eastAsia="zh-CN"/>
          <w14:textFill>
            <w14:solidFill>
              <w14:schemeClr w14:val="tx1"/>
            </w14:solidFill>
          </w14:textFill>
        </w:rPr>
        <w:t>杭州市拱墅区综合行政执法局</w:t>
      </w:r>
      <w:r>
        <w:rPr>
          <w:rFonts w:hint="eastAsia" w:ascii="宋体" w:hAnsi="宋体" w:eastAsia="宋体" w:cs="宋体"/>
          <w:color w:val="000000" w:themeColor="text1"/>
          <w:sz w:val="24"/>
          <w:highlight w:val="none"/>
          <w14:textFill>
            <w14:solidFill>
              <w14:schemeClr w14:val="tx1"/>
            </w14:solidFill>
          </w14:textFill>
        </w:rPr>
        <w:t>、</w:t>
      </w:r>
      <w:r>
        <w:rPr>
          <w:rFonts w:hint="eastAsia" w:ascii="宋体" w:hAnsi="宋体" w:eastAsia="宋体" w:cs="宋体"/>
          <w:color w:val="000000" w:themeColor="text1"/>
          <w:sz w:val="24"/>
          <w:highlight w:val="none"/>
          <w:lang w:eastAsia="zh-CN"/>
          <w14:textFill>
            <w14:solidFill>
              <w14:schemeClr w14:val="tx1"/>
            </w14:solidFill>
          </w14:textFill>
        </w:rPr>
        <w:t>杭州华鼎世纪项目管理咨询有限公司</w:t>
      </w:r>
      <w:r>
        <w:rPr>
          <w:rFonts w:hint="eastAsia" w:ascii="宋体" w:hAnsi="宋体" w:eastAsia="宋体" w:cs="宋体"/>
          <w:color w:val="000000" w:themeColor="text1"/>
          <w:kern w:val="0"/>
          <w:sz w:val="24"/>
          <w:highlight w:val="none"/>
          <w:lang w:val="zh-CN"/>
          <w14:textFill>
            <w14:solidFill>
              <w14:schemeClr w14:val="tx1"/>
            </w14:solidFill>
          </w14:textFill>
        </w:rPr>
        <w:t>：</w:t>
      </w:r>
    </w:p>
    <w:p>
      <w:pPr>
        <w:snapToGrid w:val="0"/>
        <w:spacing w:line="360" w:lineRule="auto"/>
        <w:ind w:firstLine="576"/>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现</w:t>
      </w:r>
      <w:r>
        <w:rPr>
          <w:rFonts w:hint="eastAsia" w:ascii="宋体" w:hAnsi="宋体" w:eastAsia="宋体" w:cs="宋体"/>
          <w:color w:val="000000" w:themeColor="text1"/>
          <w:kern w:val="0"/>
          <w:sz w:val="24"/>
          <w:highlight w:val="none"/>
          <w:lang w:val="zh-CN"/>
          <w14:textFill>
            <w14:solidFill>
              <w14:schemeClr w14:val="tx1"/>
            </w14:solidFill>
          </w14:textFill>
        </w:rPr>
        <w:t>委托</w:t>
      </w:r>
      <w:r>
        <w:rPr>
          <w:rFonts w:hint="eastAsia" w:ascii="宋体" w:hAnsi="宋体" w:eastAsia="宋体" w:cs="宋体"/>
          <w:color w:val="000000" w:themeColor="text1"/>
          <w:kern w:val="0"/>
          <w:sz w:val="24"/>
          <w:highlight w:val="none"/>
          <w:u w:val="single"/>
          <w:lang w:val="zh-CN"/>
          <w14:textFill>
            <w14:solidFill>
              <w14:schemeClr w14:val="tx1"/>
            </w14:solidFill>
          </w14:textFill>
        </w:rPr>
        <w:t xml:space="preserve">          </w:t>
      </w:r>
      <w:r>
        <w:rPr>
          <w:rFonts w:hint="eastAsia" w:ascii="宋体" w:hAnsi="宋体" w:eastAsia="宋体" w:cs="宋体"/>
          <w:color w:val="000000" w:themeColor="text1"/>
          <w:kern w:val="0"/>
          <w:sz w:val="24"/>
          <w:highlight w:val="none"/>
          <w:lang w:val="zh-CN"/>
          <w14:textFill>
            <w14:solidFill>
              <w14:schemeClr w14:val="tx1"/>
            </w14:solidFill>
          </w14:textFill>
        </w:rPr>
        <w:t>（姓名）为我方代理人（身份证号码：</w:t>
      </w:r>
      <w:r>
        <w:rPr>
          <w:rFonts w:hint="eastAsia" w:ascii="宋体" w:hAnsi="宋体" w:eastAsia="宋体" w:cs="宋体"/>
          <w:color w:val="000000" w:themeColor="text1"/>
          <w:kern w:val="0"/>
          <w:sz w:val="24"/>
          <w:highlight w:val="none"/>
          <w:u w:val="single"/>
          <w:lang w:val="zh-CN"/>
          <w14:textFill>
            <w14:solidFill>
              <w14:schemeClr w14:val="tx1"/>
            </w14:solidFill>
          </w14:textFill>
        </w:rPr>
        <w:t xml:space="preserve">          </w:t>
      </w:r>
      <w:r>
        <w:rPr>
          <w:rFonts w:hint="eastAsia" w:ascii="宋体" w:hAnsi="宋体" w:eastAsia="宋体" w:cs="宋体"/>
          <w:color w:val="000000" w:themeColor="text1"/>
          <w:kern w:val="0"/>
          <w:sz w:val="24"/>
          <w:highlight w:val="none"/>
          <w:lang w:val="zh-CN"/>
          <w14:textFill>
            <w14:solidFill>
              <w14:schemeClr w14:val="tx1"/>
            </w14:solidFill>
          </w14:textFill>
        </w:rPr>
        <w:t>，手机：</w:t>
      </w:r>
      <w:r>
        <w:rPr>
          <w:rFonts w:hint="eastAsia" w:ascii="宋体" w:hAnsi="宋体" w:eastAsia="宋体" w:cs="宋体"/>
          <w:color w:val="000000" w:themeColor="text1"/>
          <w:kern w:val="0"/>
          <w:sz w:val="24"/>
          <w:highlight w:val="none"/>
          <w:u w:val="single"/>
          <w:lang w:val="zh-CN"/>
          <w14:textFill>
            <w14:solidFill>
              <w14:schemeClr w14:val="tx1"/>
            </w14:solidFill>
          </w14:textFill>
        </w:rPr>
        <w:t xml:space="preserve">          </w:t>
      </w:r>
      <w:r>
        <w:rPr>
          <w:rFonts w:hint="eastAsia" w:ascii="宋体" w:hAnsi="宋体" w:eastAsia="宋体" w:cs="宋体"/>
          <w:color w:val="000000" w:themeColor="text1"/>
          <w:kern w:val="0"/>
          <w:sz w:val="24"/>
          <w:highlight w:val="none"/>
          <w:lang w:val="zh-CN"/>
          <w14:textFill>
            <w14:solidFill>
              <w14:schemeClr w14:val="tx1"/>
            </w14:solidFill>
          </w14:textFill>
        </w:rPr>
        <w:t>），以我方名义处理</w:t>
      </w:r>
      <w:r>
        <w:rPr>
          <w:rFonts w:hint="eastAsia" w:ascii="宋体" w:hAnsi="宋体" w:eastAsia="宋体" w:cs="宋体"/>
          <w:color w:val="000000" w:themeColor="text1"/>
          <w:sz w:val="24"/>
          <w:highlight w:val="none"/>
          <w:lang w:eastAsia="zh-CN"/>
          <w14:textFill>
            <w14:solidFill>
              <w14:schemeClr w14:val="tx1"/>
            </w14:solidFill>
          </w14:textFill>
        </w:rPr>
        <w:t>拱墅区临丁路等7条、东新路等8条市属区管道路市政环卫一体化综合养护服务项目（标项           ）</w:t>
      </w:r>
      <w:r>
        <w:rPr>
          <w:rFonts w:hint="eastAsia" w:ascii="宋体" w:hAnsi="宋体" w:eastAsia="宋体" w:cs="宋体"/>
          <w:color w:val="000000" w:themeColor="text1"/>
          <w:sz w:val="24"/>
          <w:highlight w:val="none"/>
          <w14:textFill>
            <w14:solidFill>
              <w14:schemeClr w14:val="tx1"/>
            </w14:solidFill>
          </w14:textFill>
        </w:rPr>
        <w:t>【招标编号：</w:t>
      </w:r>
      <w:r>
        <w:rPr>
          <w:rFonts w:hint="eastAsia" w:ascii="宋体" w:hAnsi="宋体" w:eastAsia="宋体" w:cs="宋体"/>
          <w:color w:val="000000" w:themeColor="text1"/>
          <w:sz w:val="24"/>
          <w:highlight w:val="none"/>
          <w:lang w:eastAsia="zh-CN"/>
          <w14:textFill>
            <w14:solidFill>
              <w14:schemeClr w14:val="tx1"/>
            </w14:solidFill>
          </w14:textFill>
        </w:rPr>
        <w:t>HDSJ-2023-006</w:t>
      </w:r>
      <w:r>
        <w:rPr>
          <w:rFonts w:hint="eastAsia" w:ascii="宋体" w:hAnsi="宋体" w:eastAsia="宋体" w:cs="宋体"/>
          <w:color w:val="000000" w:themeColor="text1"/>
          <w:sz w:val="24"/>
          <w:highlight w:val="none"/>
          <w14:textFill>
            <w14:solidFill>
              <w14:schemeClr w14:val="tx1"/>
            </w14:solidFill>
          </w14:textFill>
        </w:rPr>
        <w:t>】</w:t>
      </w:r>
      <w:r>
        <w:rPr>
          <w:rFonts w:hint="eastAsia" w:ascii="宋体" w:hAnsi="宋体" w:eastAsia="宋体" w:cs="宋体"/>
          <w:color w:val="000000" w:themeColor="text1"/>
          <w:kern w:val="0"/>
          <w:sz w:val="24"/>
          <w:highlight w:val="none"/>
          <w:lang w:val="zh-CN"/>
          <w14:textFill>
            <w14:solidFill>
              <w14:schemeClr w14:val="tx1"/>
            </w14:solidFill>
          </w14:textFill>
        </w:rPr>
        <w:t>政府采购投标的一切事项，其法律后果由我方承担。</w:t>
      </w:r>
    </w:p>
    <w:p>
      <w:pPr>
        <w:snapToGrid w:val="0"/>
        <w:spacing w:line="360" w:lineRule="auto"/>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 xml:space="preserve">    </w:t>
      </w:r>
      <w:r>
        <w:rPr>
          <w:rFonts w:hint="eastAsia" w:ascii="宋体" w:hAnsi="宋体" w:eastAsia="宋体" w:cs="宋体"/>
          <w:color w:val="000000" w:themeColor="text1"/>
          <w:kern w:val="0"/>
          <w:sz w:val="24"/>
          <w:highlight w:val="none"/>
          <w:lang w:val="zh-CN"/>
          <w14:textFill>
            <w14:solidFill>
              <w14:schemeClr w14:val="tx1"/>
            </w14:solidFill>
          </w14:textFill>
        </w:rPr>
        <w:t>委托期限</w:t>
      </w:r>
      <w:r>
        <w:rPr>
          <w:rFonts w:hint="eastAsia" w:ascii="宋体" w:hAnsi="宋体" w:eastAsia="宋体" w:cs="宋体"/>
          <w:color w:val="000000" w:themeColor="text1"/>
          <w:kern w:val="0"/>
          <w:sz w:val="24"/>
          <w:highlight w:val="none"/>
          <w14:textFill>
            <w14:solidFill>
              <w14:schemeClr w14:val="tx1"/>
            </w14:solidFill>
          </w14:textFill>
        </w:rPr>
        <w:t>：</w:t>
      </w:r>
      <w:r>
        <w:rPr>
          <w:rFonts w:hint="eastAsia" w:ascii="宋体" w:hAnsi="宋体" w:eastAsia="宋体" w:cs="宋体"/>
          <w:color w:val="000000" w:themeColor="text1"/>
          <w:kern w:val="0"/>
          <w:sz w:val="24"/>
          <w:highlight w:val="none"/>
          <w:lang w:val="zh-CN"/>
          <w14:textFill>
            <w14:solidFill>
              <w14:schemeClr w14:val="tx1"/>
            </w14:solidFill>
          </w14:textFill>
        </w:rPr>
        <w:t>自</w:t>
      </w:r>
      <w:r>
        <w:rPr>
          <w:rFonts w:hint="eastAsia" w:ascii="宋体" w:hAnsi="宋体" w:eastAsia="宋体" w:cs="宋体"/>
          <w:color w:val="000000" w:themeColor="text1"/>
          <w:kern w:val="0"/>
          <w:sz w:val="24"/>
          <w:highlight w:val="none"/>
          <w14:textFill>
            <w14:solidFill>
              <w14:schemeClr w14:val="tx1"/>
            </w14:solidFill>
          </w14:textFill>
        </w:rPr>
        <w:t xml:space="preserve">   </w:t>
      </w:r>
      <w:r>
        <w:rPr>
          <w:rFonts w:hint="eastAsia" w:ascii="宋体" w:hAnsi="宋体" w:eastAsia="宋体" w:cs="宋体"/>
          <w:color w:val="000000" w:themeColor="text1"/>
          <w:kern w:val="0"/>
          <w:sz w:val="24"/>
          <w:highlight w:val="none"/>
          <w:lang w:val="zh-CN"/>
          <w14:textFill>
            <w14:solidFill>
              <w14:schemeClr w14:val="tx1"/>
            </w14:solidFill>
          </w14:textFill>
        </w:rPr>
        <w:t>年</w:t>
      </w:r>
      <w:r>
        <w:rPr>
          <w:rFonts w:hint="eastAsia" w:ascii="宋体" w:hAnsi="宋体" w:eastAsia="宋体" w:cs="宋体"/>
          <w:color w:val="000000" w:themeColor="text1"/>
          <w:kern w:val="0"/>
          <w:sz w:val="24"/>
          <w:highlight w:val="none"/>
          <w14:textFill>
            <w14:solidFill>
              <w14:schemeClr w14:val="tx1"/>
            </w14:solidFill>
          </w14:textFill>
        </w:rPr>
        <w:t xml:space="preserve"> </w:t>
      </w:r>
      <w:r>
        <w:rPr>
          <w:rFonts w:hint="eastAsia" w:ascii="宋体" w:hAnsi="宋体" w:eastAsia="宋体" w:cs="宋体"/>
          <w:color w:val="000000" w:themeColor="text1"/>
          <w:kern w:val="0"/>
          <w:sz w:val="24"/>
          <w:highlight w:val="none"/>
          <w:lang w:val="zh-CN"/>
          <w14:textFill>
            <w14:solidFill>
              <w14:schemeClr w14:val="tx1"/>
            </w14:solidFill>
          </w14:textFill>
        </w:rPr>
        <w:t>月</w:t>
      </w:r>
      <w:r>
        <w:rPr>
          <w:rFonts w:hint="eastAsia" w:ascii="宋体" w:hAnsi="宋体" w:eastAsia="宋体" w:cs="宋体"/>
          <w:color w:val="000000" w:themeColor="text1"/>
          <w:kern w:val="0"/>
          <w:sz w:val="24"/>
          <w:highlight w:val="none"/>
          <w14:textFill>
            <w14:solidFill>
              <w14:schemeClr w14:val="tx1"/>
            </w14:solidFill>
          </w14:textFill>
        </w:rPr>
        <w:t xml:space="preserve">  </w:t>
      </w:r>
      <w:r>
        <w:rPr>
          <w:rFonts w:hint="eastAsia" w:ascii="宋体" w:hAnsi="宋体" w:eastAsia="宋体" w:cs="宋体"/>
          <w:color w:val="000000" w:themeColor="text1"/>
          <w:kern w:val="0"/>
          <w:sz w:val="24"/>
          <w:highlight w:val="none"/>
          <w:lang w:val="zh-CN"/>
          <w14:textFill>
            <w14:solidFill>
              <w14:schemeClr w14:val="tx1"/>
            </w14:solidFill>
          </w14:textFill>
        </w:rPr>
        <w:t>日起至</w:t>
      </w:r>
      <w:r>
        <w:rPr>
          <w:rFonts w:hint="eastAsia" w:ascii="宋体" w:hAnsi="宋体" w:eastAsia="宋体" w:cs="宋体"/>
          <w:color w:val="000000" w:themeColor="text1"/>
          <w:kern w:val="0"/>
          <w:sz w:val="24"/>
          <w:highlight w:val="none"/>
          <w14:textFill>
            <w14:solidFill>
              <w14:schemeClr w14:val="tx1"/>
            </w14:solidFill>
          </w14:textFill>
        </w:rPr>
        <w:t xml:space="preserve">  </w:t>
      </w:r>
      <w:r>
        <w:rPr>
          <w:rFonts w:hint="eastAsia" w:ascii="宋体" w:hAnsi="宋体" w:eastAsia="宋体" w:cs="宋体"/>
          <w:color w:val="000000" w:themeColor="text1"/>
          <w:kern w:val="0"/>
          <w:sz w:val="24"/>
          <w:highlight w:val="none"/>
          <w:lang w:val="zh-CN"/>
          <w14:textFill>
            <w14:solidFill>
              <w14:schemeClr w14:val="tx1"/>
            </w14:solidFill>
          </w14:textFill>
        </w:rPr>
        <w:t>年</w:t>
      </w:r>
      <w:r>
        <w:rPr>
          <w:rFonts w:hint="eastAsia" w:ascii="宋体" w:hAnsi="宋体" w:eastAsia="宋体" w:cs="宋体"/>
          <w:color w:val="000000" w:themeColor="text1"/>
          <w:kern w:val="0"/>
          <w:sz w:val="24"/>
          <w:highlight w:val="none"/>
          <w14:textFill>
            <w14:solidFill>
              <w14:schemeClr w14:val="tx1"/>
            </w14:solidFill>
          </w14:textFill>
        </w:rPr>
        <w:t xml:space="preserve">  </w:t>
      </w:r>
      <w:r>
        <w:rPr>
          <w:rFonts w:hint="eastAsia" w:ascii="宋体" w:hAnsi="宋体" w:eastAsia="宋体" w:cs="宋体"/>
          <w:color w:val="000000" w:themeColor="text1"/>
          <w:kern w:val="0"/>
          <w:sz w:val="24"/>
          <w:highlight w:val="none"/>
          <w:lang w:val="zh-CN"/>
          <w14:textFill>
            <w14:solidFill>
              <w14:schemeClr w14:val="tx1"/>
            </w14:solidFill>
          </w14:textFill>
        </w:rPr>
        <w:t>月</w:t>
      </w:r>
      <w:r>
        <w:rPr>
          <w:rFonts w:hint="eastAsia" w:ascii="宋体" w:hAnsi="宋体" w:eastAsia="宋体" w:cs="宋体"/>
          <w:color w:val="000000" w:themeColor="text1"/>
          <w:kern w:val="0"/>
          <w:sz w:val="24"/>
          <w:highlight w:val="none"/>
          <w14:textFill>
            <w14:solidFill>
              <w14:schemeClr w14:val="tx1"/>
            </w14:solidFill>
          </w14:textFill>
        </w:rPr>
        <w:t xml:space="preserve">  </w:t>
      </w:r>
      <w:r>
        <w:rPr>
          <w:rFonts w:hint="eastAsia" w:ascii="宋体" w:hAnsi="宋体" w:eastAsia="宋体" w:cs="宋体"/>
          <w:color w:val="000000" w:themeColor="text1"/>
          <w:kern w:val="0"/>
          <w:sz w:val="24"/>
          <w:highlight w:val="none"/>
          <w:lang w:val="zh-CN"/>
          <w14:textFill>
            <w14:solidFill>
              <w14:schemeClr w14:val="tx1"/>
            </w14:solidFill>
          </w14:textFill>
        </w:rPr>
        <w:t>日止。</w:t>
      </w:r>
    </w:p>
    <w:p>
      <w:pPr>
        <w:snapToGrid w:val="0"/>
        <w:spacing w:line="360" w:lineRule="auto"/>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 xml:space="preserve">    </w:t>
      </w:r>
      <w:r>
        <w:rPr>
          <w:rFonts w:hint="eastAsia" w:ascii="宋体" w:hAnsi="宋体" w:eastAsia="宋体" w:cs="宋体"/>
          <w:color w:val="000000" w:themeColor="text1"/>
          <w:kern w:val="0"/>
          <w:sz w:val="24"/>
          <w:highlight w:val="none"/>
          <w:lang w:val="zh-CN"/>
          <w14:textFill>
            <w14:solidFill>
              <w14:schemeClr w14:val="tx1"/>
            </w14:solidFill>
          </w14:textFill>
        </w:rPr>
        <w:t>特此告知。</w:t>
      </w:r>
    </w:p>
    <w:p>
      <w:pPr>
        <w:snapToGrid w:val="0"/>
        <w:spacing w:line="360" w:lineRule="auto"/>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 xml:space="preserve">                                                 供应商名称(电子签名)：</w:t>
      </w:r>
    </w:p>
    <w:p>
      <w:pPr>
        <w:snapToGrid w:val="0"/>
        <w:spacing w:line="360" w:lineRule="auto"/>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 xml:space="preserve">                                                 签发日期：  年  月   日</w:t>
      </w:r>
    </w:p>
    <w:p>
      <w:pPr>
        <w:snapToGrid w:val="0"/>
        <w:spacing w:line="360" w:lineRule="auto"/>
        <w:rPr>
          <w:rFonts w:hint="eastAsia" w:ascii="宋体" w:hAnsi="宋体" w:eastAsia="宋体" w:cs="宋体"/>
          <w:color w:val="000000" w:themeColor="text1"/>
          <w:sz w:val="24"/>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r>
        <w:rPr>
          <w:rFonts w:hint="eastAsia" w:ascii="宋体" w:hAnsi="宋体" w:eastAsia="宋体" w:cs="宋体"/>
          <w:b/>
          <w:color w:val="000000" w:themeColor="text1"/>
          <w:kern w:val="0"/>
          <w:sz w:val="32"/>
          <w:szCs w:val="32"/>
          <w:highlight w:val="none"/>
          <w:lang w:val="zh-CN"/>
          <w14:textFill>
            <w14:solidFill>
              <w14:schemeClr w14:val="tx1"/>
            </w14:solidFill>
          </w14:textFill>
        </w:rPr>
        <w:t xml:space="preserve">      </w:t>
      </w:r>
      <w:r>
        <w:rPr>
          <w:rFonts w:hint="eastAsia" w:ascii="宋体" w:hAnsi="宋体" w:eastAsia="宋体" w:cs="宋体"/>
          <w:b/>
          <w:color w:val="000000" w:themeColor="text1"/>
          <w:kern w:val="0"/>
          <w:sz w:val="32"/>
          <w:szCs w:val="32"/>
          <w:highlight w:val="none"/>
          <w14:textFill>
            <w14:solidFill>
              <w14:schemeClr w14:val="tx1"/>
            </w14:solidFill>
          </w14:textFill>
        </w:rPr>
        <w:t xml:space="preserve"> </w:t>
      </w:r>
      <w:r>
        <w:rPr>
          <w:rFonts w:hint="eastAsia" w:ascii="宋体" w:hAnsi="宋体" w:eastAsia="宋体" w:cs="宋体"/>
          <w:b/>
          <w:color w:val="000000" w:themeColor="text1"/>
          <w:kern w:val="0"/>
          <w:sz w:val="32"/>
          <w:szCs w:val="32"/>
          <w:highlight w:val="none"/>
          <w:lang w:val="zh-CN"/>
          <w14:textFill>
            <w14:solidFill>
              <w14:schemeClr w14:val="tx1"/>
            </w14:solidFill>
          </w14:textFill>
        </w:rPr>
        <w:t>授权委托书（适用于联合体投标）</w:t>
      </w:r>
    </w:p>
    <w:p>
      <w:pPr>
        <w:snapToGrid w:val="0"/>
        <w:spacing w:line="360" w:lineRule="auto"/>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sz w:val="24"/>
          <w:highlight w:val="none"/>
          <w:lang w:eastAsia="zh-CN"/>
          <w14:textFill>
            <w14:solidFill>
              <w14:schemeClr w14:val="tx1"/>
            </w14:solidFill>
          </w14:textFill>
        </w:rPr>
        <w:t>杭州市拱墅区综合行政执法局</w:t>
      </w:r>
      <w:r>
        <w:rPr>
          <w:rFonts w:hint="eastAsia" w:ascii="宋体" w:hAnsi="宋体" w:eastAsia="宋体" w:cs="宋体"/>
          <w:color w:val="000000" w:themeColor="text1"/>
          <w:sz w:val="24"/>
          <w:highlight w:val="none"/>
          <w14:textFill>
            <w14:solidFill>
              <w14:schemeClr w14:val="tx1"/>
            </w14:solidFill>
          </w14:textFill>
        </w:rPr>
        <w:t>、</w:t>
      </w:r>
      <w:r>
        <w:rPr>
          <w:rFonts w:hint="eastAsia" w:ascii="宋体" w:hAnsi="宋体" w:eastAsia="宋体" w:cs="宋体"/>
          <w:color w:val="000000" w:themeColor="text1"/>
          <w:sz w:val="24"/>
          <w:highlight w:val="none"/>
          <w:lang w:eastAsia="zh-CN"/>
          <w14:textFill>
            <w14:solidFill>
              <w14:schemeClr w14:val="tx1"/>
            </w14:solidFill>
          </w14:textFill>
        </w:rPr>
        <w:t>杭州华鼎世纪项目管理咨询有限公司</w:t>
      </w:r>
      <w:r>
        <w:rPr>
          <w:rFonts w:hint="eastAsia" w:ascii="宋体" w:hAnsi="宋体" w:eastAsia="宋体" w:cs="宋体"/>
          <w:color w:val="000000" w:themeColor="text1"/>
          <w:kern w:val="0"/>
          <w:sz w:val="24"/>
          <w:highlight w:val="none"/>
          <w:lang w:val="zh-CN"/>
          <w14:textFill>
            <w14:solidFill>
              <w14:schemeClr w14:val="tx1"/>
            </w14:solidFill>
          </w14:textFill>
        </w:rPr>
        <w:t>：</w:t>
      </w:r>
    </w:p>
    <w:p>
      <w:pPr>
        <w:snapToGrid w:val="0"/>
        <w:spacing w:line="360" w:lineRule="auto"/>
        <w:ind w:firstLine="576"/>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现</w:t>
      </w:r>
      <w:r>
        <w:rPr>
          <w:rFonts w:hint="eastAsia" w:ascii="宋体" w:hAnsi="宋体" w:eastAsia="宋体" w:cs="宋体"/>
          <w:color w:val="000000" w:themeColor="text1"/>
          <w:kern w:val="0"/>
          <w:sz w:val="24"/>
          <w:highlight w:val="none"/>
          <w:lang w:val="zh-CN"/>
          <w14:textFill>
            <w14:solidFill>
              <w14:schemeClr w14:val="tx1"/>
            </w14:solidFill>
          </w14:textFill>
        </w:rPr>
        <w:t>委托</w:t>
      </w:r>
      <w:r>
        <w:rPr>
          <w:rFonts w:hint="eastAsia" w:ascii="宋体" w:hAnsi="宋体" w:eastAsia="宋体" w:cs="宋体"/>
          <w:color w:val="000000" w:themeColor="text1"/>
          <w:kern w:val="0"/>
          <w:sz w:val="24"/>
          <w:highlight w:val="none"/>
          <w:u w:val="single"/>
          <w:lang w:val="zh-CN"/>
          <w14:textFill>
            <w14:solidFill>
              <w14:schemeClr w14:val="tx1"/>
            </w14:solidFill>
          </w14:textFill>
        </w:rPr>
        <w:t xml:space="preserve">          </w:t>
      </w:r>
      <w:r>
        <w:rPr>
          <w:rFonts w:hint="eastAsia" w:ascii="宋体" w:hAnsi="宋体" w:eastAsia="宋体" w:cs="宋体"/>
          <w:color w:val="000000" w:themeColor="text1"/>
          <w:kern w:val="0"/>
          <w:sz w:val="24"/>
          <w:highlight w:val="none"/>
          <w:lang w:val="zh-CN"/>
          <w14:textFill>
            <w14:solidFill>
              <w14:schemeClr w14:val="tx1"/>
            </w14:solidFill>
          </w14:textFill>
        </w:rPr>
        <w:t>（姓名）为我方代理人（身份证号码：</w:t>
      </w:r>
      <w:r>
        <w:rPr>
          <w:rFonts w:hint="eastAsia" w:ascii="宋体" w:hAnsi="宋体" w:eastAsia="宋体" w:cs="宋体"/>
          <w:color w:val="000000" w:themeColor="text1"/>
          <w:kern w:val="0"/>
          <w:sz w:val="24"/>
          <w:highlight w:val="none"/>
          <w:u w:val="single"/>
          <w:lang w:val="zh-CN"/>
          <w14:textFill>
            <w14:solidFill>
              <w14:schemeClr w14:val="tx1"/>
            </w14:solidFill>
          </w14:textFill>
        </w:rPr>
        <w:t xml:space="preserve">          </w:t>
      </w:r>
      <w:r>
        <w:rPr>
          <w:rFonts w:hint="eastAsia" w:ascii="宋体" w:hAnsi="宋体" w:eastAsia="宋体" w:cs="宋体"/>
          <w:color w:val="000000" w:themeColor="text1"/>
          <w:kern w:val="0"/>
          <w:sz w:val="24"/>
          <w:highlight w:val="none"/>
          <w:lang w:val="zh-CN"/>
          <w14:textFill>
            <w14:solidFill>
              <w14:schemeClr w14:val="tx1"/>
            </w14:solidFill>
          </w14:textFill>
        </w:rPr>
        <w:t>，手机：</w:t>
      </w:r>
      <w:r>
        <w:rPr>
          <w:rFonts w:hint="eastAsia" w:ascii="宋体" w:hAnsi="宋体" w:eastAsia="宋体" w:cs="宋体"/>
          <w:color w:val="000000" w:themeColor="text1"/>
          <w:kern w:val="0"/>
          <w:sz w:val="24"/>
          <w:highlight w:val="none"/>
          <w:u w:val="single"/>
          <w:lang w:val="zh-CN"/>
          <w14:textFill>
            <w14:solidFill>
              <w14:schemeClr w14:val="tx1"/>
            </w14:solidFill>
          </w14:textFill>
        </w:rPr>
        <w:t xml:space="preserve">          </w:t>
      </w:r>
      <w:r>
        <w:rPr>
          <w:rFonts w:hint="eastAsia" w:ascii="宋体" w:hAnsi="宋体" w:eastAsia="宋体" w:cs="宋体"/>
          <w:color w:val="000000" w:themeColor="text1"/>
          <w:kern w:val="0"/>
          <w:sz w:val="24"/>
          <w:highlight w:val="none"/>
          <w:lang w:val="zh-CN"/>
          <w14:textFill>
            <w14:solidFill>
              <w14:schemeClr w14:val="tx1"/>
            </w14:solidFill>
          </w14:textFill>
        </w:rPr>
        <w:t>），以我方名义处理</w:t>
      </w:r>
      <w:r>
        <w:rPr>
          <w:rFonts w:hint="eastAsia" w:ascii="宋体" w:hAnsi="宋体" w:eastAsia="宋体" w:cs="宋体"/>
          <w:color w:val="000000" w:themeColor="text1"/>
          <w:sz w:val="24"/>
          <w:highlight w:val="none"/>
          <w:lang w:eastAsia="zh-CN"/>
          <w14:textFill>
            <w14:solidFill>
              <w14:schemeClr w14:val="tx1"/>
            </w14:solidFill>
          </w14:textFill>
        </w:rPr>
        <w:t>拱墅区临丁路等7条、东新路等8条市属区管道路市政环卫一体化综合养护服务项目（标项           ）</w:t>
      </w:r>
      <w:r>
        <w:rPr>
          <w:rFonts w:hint="eastAsia" w:ascii="宋体" w:hAnsi="宋体" w:eastAsia="宋体" w:cs="宋体"/>
          <w:color w:val="000000" w:themeColor="text1"/>
          <w:sz w:val="24"/>
          <w:highlight w:val="none"/>
          <w14:textFill>
            <w14:solidFill>
              <w14:schemeClr w14:val="tx1"/>
            </w14:solidFill>
          </w14:textFill>
        </w:rPr>
        <w:t>【招标编号：</w:t>
      </w:r>
      <w:r>
        <w:rPr>
          <w:rFonts w:hint="eastAsia" w:ascii="宋体" w:hAnsi="宋体" w:eastAsia="宋体" w:cs="宋体"/>
          <w:color w:val="000000" w:themeColor="text1"/>
          <w:sz w:val="24"/>
          <w:highlight w:val="none"/>
          <w:lang w:eastAsia="zh-CN"/>
          <w14:textFill>
            <w14:solidFill>
              <w14:schemeClr w14:val="tx1"/>
            </w14:solidFill>
          </w14:textFill>
        </w:rPr>
        <w:t>HDSJ-2023-006</w:t>
      </w:r>
      <w:r>
        <w:rPr>
          <w:rFonts w:hint="eastAsia" w:ascii="宋体" w:hAnsi="宋体" w:eastAsia="宋体" w:cs="宋体"/>
          <w:color w:val="000000" w:themeColor="text1"/>
          <w:sz w:val="24"/>
          <w:highlight w:val="none"/>
          <w14:textFill>
            <w14:solidFill>
              <w14:schemeClr w14:val="tx1"/>
            </w14:solidFill>
          </w14:textFill>
        </w:rPr>
        <w:t>】</w:t>
      </w:r>
      <w:r>
        <w:rPr>
          <w:rFonts w:hint="eastAsia" w:ascii="宋体" w:hAnsi="宋体" w:eastAsia="宋体" w:cs="宋体"/>
          <w:color w:val="000000" w:themeColor="text1"/>
          <w:kern w:val="0"/>
          <w:sz w:val="24"/>
          <w:highlight w:val="none"/>
          <w:lang w:val="zh-CN"/>
          <w14:textFill>
            <w14:solidFill>
              <w14:schemeClr w14:val="tx1"/>
            </w14:solidFill>
          </w14:textFill>
        </w:rPr>
        <w:t>政府采购投标的一切事项，其法律后果由我方承担。</w:t>
      </w:r>
    </w:p>
    <w:p>
      <w:pPr>
        <w:snapToGrid w:val="0"/>
        <w:spacing w:line="360" w:lineRule="auto"/>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 xml:space="preserve">    </w:t>
      </w:r>
      <w:r>
        <w:rPr>
          <w:rFonts w:hint="eastAsia" w:ascii="宋体" w:hAnsi="宋体" w:eastAsia="宋体" w:cs="宋体"/>
          <w:color w:val="000000" w:themeColor="text1"/>
          <w:kern w:val="0"/>
          <w:sz w:val="24"/>
          <w:highlight w:val="none"/>
          <w:lang w:val="zh-CN"/>
          <w14:textFill>
            <w14:solidFill>
              <w14:schemeClr w14:val="tx1"/>
            </w14:solidFill>
          </w14:textFill>
        </w:rPr>
        <w:t>委托期限</w:t>
      </w:r>
      <w:r>
        <w:rPr>
          <w:rFonts w:hint="eastAsia" w:ascii="宋体" w:hAnsi="宋体" w:eastAsia="宋体" w:cs="宋体"/>
          <w:color w:val="000000" w:themeColor="text1"/>
          <w:kern w:val="0"/>
          <w:sz w:val="24"/>
          <w:highlight w:val="none"/>
          <w14:textFill>
            <w14:solidFill>
              <w14:schemeClr w14:val="tx1"/>
            </w14:solidFill>
          </w14:textFill>
        </w:rPr>
        <w:t>：</w:t>
      </w:r>
      <w:r>
        <w:rPr>
          <w:rFonts w:hint="eastAsia" w:ascii="宋体" w:hAnsi="宋体" w:eastAsia="宋体" w:cs="宋体"/>
          <w:color w:val="000000" w:themeColor="text1"/>
          <w:kern w:val="0"/>
          <w:sz w:val="24"/>
          <w:highlight w:val="none"/>
          <w:lang w:val="zh-CN"/>
          <w14:textFill>
            <w14:solidFill>
              <w14:schemeClr w14:val="tx1"/>
            </w14:solidFill>
          </w14:textFill>
        </w:rPr>
        <w:t>自</w:t>
      </w:r>
      <w:r>
        <w:rPr>
          <w:rFonts w:hint="eastAsia" w:ascii="宋体" w:hAnsi="宋体" w:eastAsia="宋体" w:cs="宋体"/>
          <w:color w:val="000000" w:themeColor="text1"/>
          <w:kern w:val="0"/>
          <w:sz w:val="24"/>
          <w:highlight w:val="none"/>
          <w14:textFill>
            <w14:solidFill>
              <w14:schemeClr w14:val="tx1"/>
            </w14:solidFill>
          </w14:textFill>
        </w:rPr>
        <w:t xml:space="preserve">   </w:t>
      </w:r>
      <w:r>
        <w:rPr>
          <w:rFonts w:hint="eastAsia" w:ascii="宋体" w:hAnsi="宋体" w:eastAsia="宋体" w:cs="宋体"/>
          <w:color w:val="000000" w:themeColor="text1"/>
          <w:kern w:val="0"/>
          <w:sz w:val="24"/>
          <w:highlight w:val="none"/>
          <w:lang w:val="zh-CN"/>
          <w14:textFill>
            <w14:solidFill>
              <w14:schemeClr w14:val="tx1"/>
            </w14:solidFill>
          </w14:textFill>
        </w:rPr>
        <w:t>年</w:t>
      </w:r>
      <w:r>
        <w:rPr>
          <w:rFonts w:hint="eastAsia" w:ascii="宋体" w:hAnsi="宋体" w:eastAsia="宋体" w:cs="宋体"/>
          <w:color w:val="000000" w:themeColor="text1"/>
          <w:kern w:val="0"/>
          <w:sz w:val="24"/>
          <w:highlight w:val="none"/>
          <w14:textFill>
            <w14:solidFill>
              <w14:schemeClr w14:val="tx1"/>
            </w14:solidFill>
          </w14:textFill>
        </w:rPr>
        <w:t xml:space="preserve"> </w:t>
      </w:r>
      <w:r>
        <w:rPr>
          <w:rFonts w:hint="eastAsia" w:ascii="宋体" w:hAnsi="宋体" w:eastAsia="宋体" w:cs="宋体"/>
          <w:color w:val="000000" w:themeColor="text1"/>
          <w:kern w:val="0"/>
          <w:sz w:val="24"/>
          <w:highlight w:val="none"/>
          <w:lang w:val="zh-CN"/>
          <w14:textFill>
            <w14:solidFill>
              <w14:schemeClr w14:val="tx1"/>
            </w14:solidFill>
          </w14:textFill>
        </w:rPr>
        <w:t>月</w:t>
      </w:r>
      <w:r>
        <w:rPr>
          <w:rFonts w:hint="eastAsia" w:ascii="宋体" w:hAnsi="宋体" w:eastAsia="宋体" w:cs="宋体"/>
          <w:color w:val="000000" w:themeColor="text1"/>
          <w:kern w:val="0"/>
          <w:sz w:val="24"/>
          <w:highlight w:val="none"/>
          <w14:textFill>
            <w14:solidFill>
              <w14:schemeClr w14:val="tx1"/>
            </w14:solidFill>
          </w14:textFill>
        </w:rPr>
        <w:t xml:space="preserve">  </w:t>
      </w:r>
      <w:r>
        <w:rPr>
          <w:rFonts w:hint="eastAsia" w:ascii="宋体" w:hAnsi="宋体" w:eastAsia="宋体" w:cs="宋体"/>
          <w:color w:val="000000" w:themeColor="text1"/>
          <w:kern w:val="0"/>
          <w:sz w:val="24"/>
          <w:highlight w:val="none"/>
          <w:lang w:val="zh-CN"/>
          <w14:textFill>
            <w14:solidFill>
              <w14:schemeClr w14:val="tx1"/>
            </w14:solidFill>
          </w14:textFill>
        </w:rPr>
        <w:t>日起至</w:t>
      </w:r>
      <w:r>
        <w:rPr>
          <w:rFonts w:hint="eastAsia" w:ascii="宋体" w:hAnsi="宋体" w:eastAsia="宋体" w:cs="宋体"/>
          <w:color w:val="000000" w:themeColor="text1"/>
          <w:kern w:val="0"/>
          <w:sz w:val="24"/>
          <w:highlight w:val="none"/>
          <w14:textFill>
            <w14:solidFill>
              <w14:schemeClr w14:val="tx1"/>
            </w14:solidFill>
          </w14:textFill>
        </w:rPr>
        <w:t xml:space="preserve">  </w:t>
      </w:r>
      <w:r>
        <w:rPr>
          <w:rFonts w:hint="eastAsia" w:ascii="宋体" w:hAnsi="宋体" w:eastAsia="宋体" w:cs="宋体"/>
          <w:color w:val="000000" w:themeColor="text1"/>
          <w:kern w:val="0"/>
          <w:sz w:val="24"/>
          <w:highlight w:val="none"/>
          <w:lang w:val="zh-CN"/>
          <w14:textFill>
            <w14:solidFill>
              <w14:schemeClr w14:val="tx1"/>
            </w14:solidFill>
          </w14:textFill>
        </w:rPr>
        <w:t>年</w:t>
      </w:r>
      <w:r>
        <w:rPr>
          <w:rFonts w:hint="eastAsia" w:ascii="宋体" w:hAnsi="宋体" w:eastAsia="宋体" w:cs="宋体"/>
          <w:color w:val="000000" w:themeColor="text1"/>
          <w:kern w:val="0"/>
          <w:sz w:val="24"/>
          <w:highlight w:val="none"/>
          <w14:textFill>
            <w14:solidFill>
              <w14:schemeClr w14:val="tx1"/>
            </w14:solidFill>
          </w14:textFill>
        </w:rPr>
        <w:t xml:space="preserve">  </w:t>
      </w:r>
      <w:r>
        <w:rPr>
          <w:rFonts w:hint="eastAsia" w:ascii="宋体" w:hAnsi="宋体" w:eastAsia="宋体" w:cs="宋体"/>
          <w:color w:val="000000" w:themeColor="text1"/>
          <w:kern w:val="0"/>
          <w:sz w:val="24"/>
          <w:highlight w:val="none"/>
          <w:lang w:val="zh-CN"/>
          <w14:textFill>
            <w14:solidFill>
              <w14:schemeClr w14:val="tx1"/>
            </w14:solidFill>
          </w14:textFill>
        </w:rPr>
        <w:t>月</w:t>
      </w:r>
      <w:r>
        <w:rPr>
          <w:rFonts w:hint="eastAsia" w:ascii="宋体" w:hAnsi="宋体" w:eastAsia="宋体" w:cs="宋体"/>
          <w:color w:val="000000" w:themeColor="text1"/>
          <w:kern w:val="0"/>
          <w:sz w:val="24"/>
          <w:highlight w:val="none"/>
          <w14:textFill>
            <w14:solidFill>
              <w14:schemeClr w14:val="tx1"/>
            </w14:solidFill>
          </w14:textFill>
        </w:rPr>
        <w:t xml:space="preserve">  </w:t>
      </w:r>
      <w:r>
        <w:rPr>
          <w:rFonts w:hint="eastAsia" w:ascii="宋体" w:hAnsi="宋体" w:eastAsia="宋体" w:cs="宋体"/>
          <w:color w:val="000000" w:themeColor="text1"/>
          <w:kern w:val="0"/>
          <w:sz w:val="24"/>
          <w:highlight w:val="none"/>
          <w:lang w:val="zh-CN"/>
          <w14:textFill>
            <w14:solidFill>
              <w14:schemeClr w14:val="tx1"/>
            </w14:solidFill>
          </w14:textFill>
        </w:rPr>
        <w:t>日止。</w:t>
      </w:r>
    </w:p>
    <w:p>
      <w:pPr>
        <w:snapToGrid w:val="0"/>
        <w:spacing w:line="360" w:lineRule="auto"/>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 xml:space="preserve">    </w:t>
      </w:r>
      <w:r>
        <w:rPr>
          <w:rFonts w:hint="eastAsia" w:ascii="宋体" w:hAnsi="宋体" w:eastAsia="宋体" w:cs="宋体"/>
          <w:color w:val="000000" w:themeColor="text1"/>
          <w:kern w:val="0"/>
          <w:sz w:val="24"/>
          <w:highlight w:val="none"/>
          <w:lang w:val="zh-CN"/>
          <w14:textFill>
            <w14:solidFill>
              <w14:schemeClr w14:val="tx1"/>
            </w14:solidFill>
          </w14:textFill>
        </w:rPr>
        <w:t>特此告知。</w:t>
      </w:r>
    </w:p>
    <w:p>
      <w:pPr>
        <w:snapToGrid w:val="0"/>
        <w:spacing w:line="360" w:lineRule="auto"/>
        <w:ind w:firstLine="5040" w:firstLineChars="2100"/>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联合体成员名称(电子签名/公章)：</w:t>
      </w:r>
    </w:p>
    <w:p>
      <w:pPr>
        <w:snapToGrid w:val="0"/>
        <w:spacing w:line="360" w:lineRule="auto"/>
        <w:ind w:firstLine="5040" w:firstLineChars="2100"/>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联合体成员名称(电子签名/公章)：</w:t>
      </w:r>
    </w:p>
    <w:p>
      <w:pPr>
        <w:snapToGrid w:val="0"/>
        <w:spacing w:line="360" w:lineRule="auto"/>
        <w:ind w:firstLine="5760" w:firstLineChars="2400"/>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w:t>
      </w:r>
    </w:p>
    <w:p>
      <w:pPr>
        <w:snapToGrid w:val="0"/>
        <w:spacing w:line="360" w:lineRule="auto"/>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 xml:space="preserve">                                               日期：  年  月   日</w:t>
      </w:r>
    </w:p>
    <w:p>
      <w:pPr>
        <w:autoSpaceDE w:val="0"/>
        <w:autoSpaceDN w:val="0"/>
        <w:spacing w:line="360" w:lineRule="auto"/>
        <w:jc w:val="center"/>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kern w:val="0"/>
          <w:sz w:val="32"/>
          <w:szCs w:val="32"/>
          <w:highlight w:val="none"/>
          <w:lang w:val="zh-CN"/>
          <w14:textFill>
            <w14:solidFill>
              <w14:schemeClr w14:val="tx1"/>
            </w14:solidFill>
          </w14:textFill>
        </w:rPr>
        <w:t>法定代表人、单位负责人或自然人本人</w:t>
      </w:r>
      <w:r>
        <w:rPr>
          <w:rFonts w:hint="eastAsia" w:ascii="宋体" w:hAnsi="宋体" w:eastAsia="宋体" w:cs="宋体"/>
          <w:b/>
          <w:color w:val="000000" w:themeColor="text1"/>
          <w:sz w:val="30"/>
          <w:szCs w:val="30"/>
          <w:highlight w:val="none"/>
          <w14:textFill>
            <w14:solidFill>
              <w14:schemeClr w14:val="tx1"/>
            </w14:solidFill>
          </w14:textFill>
        </w:rPr>
        <w:t>的身份证明（适用于法定代表人、单位负责人或者自然人本人代表</w:t>
      </w:r>
      <w:r>
        <w:rPr>
          <w:rFonts w:hint="eastAsia" w:ascii="宋体" w:hAnsi="宋体" w:eastAsia="宋体" w:cs="宋体"/>
          <w:b/>
          <w:color w:val="000000" w:themeColor="text1"/>
          <w:sz w:val="30"/>
          <w:szCs w:val="30"/>
          <w:highlight w:val="none"/>
          <w:lang w:eastAsia="zh-CN"/>
          <w14:textFill>
            <w14:solidFill>
              <w14:schemeClr w14:val="tx1"/>
            </w14:solidFill>
          </w14:textFill>
        </w:rPr>
        <w:t>供应商</w:t>
      </w:r>
      <w:r>
        <w:rPr>
          <w:rFonts w:hint="eastAsia" w:ascii="宋体" w:hAnsi="宋体" w:eastAsia="宋体" w:cs="宋体"/>
          <w:b/>
          <w:color w:val="000000" w:themeColor="text1"/>
          <w:sz w:val="30"/>
          <w:szCs w:val="30"/>
          <w:highlight w:val="none"/>
          <w14:textFill>
            <w14:solidFill>
              <w14:schemeClr w14:val="tx1"/>
            </w14:solidFill>
          </w14:textFill>
        </w:rPr>
        <w:t>参加投标）</w:t>
      </w:r>
    </w:p>
    <w:p>
      <w:pPr>
        <w:pStyle w:val="149"/>
        <w:spacing w:line="360" w:lineRule="auto"/>
        <w:rPr>
          <w:rFonts w:hint="eastAsia" w:ascii="宋体" w:hAnsi="宋体" w:eastAsia="宋体" w:cs="宋体"/>
          <w:bCs/>
          <w:color w:val="000000" w:themeColor="text1"/>
          <w:sz w:val="24"/>
          <w:highlight w:val="none"/>
          <w14:textFill>
            <w14:solidFill>
              <w14:schemeClr w14:val="tx1"/>
            </w14:solidFill>
          </w14:textFill>
        </w:rPr>
      </w:pPr>
      <w:r>
        <w:rPr>
          <w:rFonts w:hint="eastAsia" w:ascii="宋体" w:hAnsi="宋体" w:eastAsia="宋体" w:cs="宋体"/>
          <w:bCs/>
          <w:color w:val="000000" w:themeColor="text1"/>
          <w:sz w:val="24"/>
          <w:highlight w:val="none"/>
          <w14:textFill>
            <w14:solidFill>
              <w14:schemeClr w14:val="tx1"/>
            </w14:solidFill>
          </w14:textFill>
        </w:rPr>
        <w:t>身份证件扫描件：</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49"/>
              <w:adjustRightInd w:val="0"/>
              <w:spacing w:line="360" w:lineRule="auto"/>
              <w:rPr>
                <w:rFonts w:hint="eastAsia" w:ascii="宋体" w:hAnsi="宋体" w:eastAsia="宋体" w:cs="宋体"/>
                <w:bCs/>
                <w:color w:val="000000" w:themeColor="text1"/>
                <w:sz w:val="24"/>
                <w:highlight w:val="none"/>
                <w14:textFill>
                  <w14:solidFill>
                    <w14:schemeClr w14:val="tx1"/>
                  </w14:solidFill>
                </w14:textFill>
              </w:rPr>
            </w:pPr>
            <w:r>
              <w:rPr>
                <w:rFonts w:hint="eastAsia" w:ascii="宋体" w:hAnsi="宋体" w:eastAsia="宋体" w:cs="宋体"/>
                <w:bCs/>
                <w:color w:val="000000" w:themeColor="text1"/>
                <w:sz w:val="24"/>
                <w:highlight w:val="none"/>
                <w14:textFill>
                  <w14:solidFill>
                    <w14:schemeClr w14:val="tx1"/>
                  </w14:solidFill>
                </w14:textFill>
              </w:rPr>
              <w:t>正面：                                 反面：</w:t>
            </w:r>
          </w:p>
          <w:p>
            <w:pPr>
              <w:pStyle w:val="149"/>
              <w:adjustRightInd w:val="0"/>
              <w:spacing w:line="360" w:lineRule="auto"/>
              <w:rPr>
                <w:rFonts w:hint="eastAsia" w:ascii="宋体" w:hAnsi="宋体" w:eastAsia="宋体" w:cs="宋体"/>
                <w:bCs/>
                <w:color w:val="000000" w:themeColor="text1"/>
                <w:sz w:val="24"/>
                <w:highlight w:val="none"/>
                <w14:textFill>
                  <w14:solidFill>
                    <w14:schemeClr w14:val="tx1"/>
                  </w14:solidFill>
                </w14:textFill>
              </w:rPr>
            </w:pPr>
          </w:p>
        </w:tc>
      </w:tr>
    </w:tbl>
    <w:p>
      <w:pPr>
        <w:snapToGrid w:val="0"/>
        <w:spacing w:line="360" w:lineRule="auto"/>
        <w:ind w:firstLine="576"/>
        <w:jc w:val="center"/>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 xml:space="preserve">                 </w:t>
      </w:r>
    </w:p>
    <w:p>
      <w:pPr>
        <w:snapToGrid w:val="0"/>
        <w:spacing w:line="360" w:lineRule="auto"/>
        <w:ind w:firstLine="576"/>
        <w:jc w:val="center"/>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 xml:space="preserve">                  供应商名称(电子签名)：                              </w:t>
      </w:r>
    </w:p>
    <w:p>
      <w:pPr>
        <w:spacing w:line="360" w:lineRule="auto"/>
        <w:jc w:val="center"/>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 xml:space="preserve">                   日期：  年  月  日</w:t>
      </w: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snapToGrid w:val="0"/>
        <w:spacing w:line="360" w:lineRule="auto"/>
        <w:ind w:right="480"/>
        <w:rPr>
          <w:rFonts w:hint="eastAsia" w:ascii="宋体" w:hAnsi="宋体" w:eastAsia="宋体" w:cs="宋体"/>
          <w:b/>
          <w:color w:val="000000" w:themeColor="text1"/>
          <w:kern w:val="0"/>
          <w:sz w:val="32"/>
          <w:szCs w:val="32"/>
          <w:highlight w:val="none"/>
          <w14:textFill>
            <w14:solidFill>
              <w14:schemeClr w14:val="tx1"/>
            </w14:solidFill>
          </w14:textFill>
        </w:rPr>
        <w:sectPr>
          <w:headerReference r:id="rId11" w:type="first"/>
          <w:footerReference r:id="rId13" w:type="first"/>
          <w:headerReference r:id="rId10" w:type="default"/>
          <w:footerReference r:id="rId12" w:type="default"/>
          <w:pgSz w:w="11906" w:h="16838"/>
          <w:pgMar w:top="1474" w:right="1587" w:bottom="1474" w:left="1587" w:header="851" w:footer="992" w:gutter="0"/>
          <w:cols w:space="720" w:num="1"/>
          <w:titlePg/>
          <w:docGrid w:linePitch="312" w:charSpace="0"/>
        </w:sectPr>
      </w:pPr>
    </w:p>
    <w:p>
      <w:pPr>
        <w:snapToGrid w:val="0"/>
        <w:spacing w:line="360" w:lineRule="auto"/>
        <w:jc w:val="center"/>
        <w:rPr>
          <w:rFonts w:hint="eastAsia" w:ascii="宋体" w:hAnsi="宋体" w:eastAsia="宋体" w:cs="宋体"/>
          <w:b/>
          <w:color w:val="000000" w:themeColor="text1"/>
          <w:kern w:val="0"/>
          <w:sz w:val="32"/>
          <w:szCs w:val="32"/>
          <w:highlight w:val="none"/>
          <w14:textFill>
            <w14:solidFill>
              <w14:schemeClr w14:val="tx1"/>
            </w14:solidFill>
          </w14:textFill>
        </w:rPr>
      </w:pPr>
      <w:r>
        <w:rPr>
          <w:rFonts w:hint="eastAsia" w:ascii="宋体" w:hAnsi="宋体" w:eastAsia="宋体" w:cs="宋体"/>
          <w:b/>
          <w:color w:val="000000" w:themeColor="text1"/>
          <w:kern w:val="0"/>
          <w:sz w:val="32"/>
          <w:szCs w:val="32"/>
          <w:highlight w:val="none"/>
          <w14:textFill>
            <w14:solidFill>
              <w14:schemeClr w14:val="tx1"/>
            </w14:solidFill>
          </w14:textFill>
        </w:rPr>
        <w:t>三、分包意向协议（如果有）</w:t>
      </w:r>
    </w:p>
    <w:p>
      <w:pPr>
        <w:widowControl/>
        <w:spacing w:line="360" w:lineRule="auto"/>
        <w:ind w:firstLine="120" w:firstLineChars="50"/>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w:t>
      </w:r>
      <w:r>
        <w:rPr>
          <w:rFonts w:hint="eastAsia" w:ascii="宋体" w:hAnsi="宋体" w:eastAsia="宋体" w:cs="宋体"/>
          <w:b/>
          <w:color w:val="000000" w:themeColor="text1"/>
          <w:sz w:val="24"/>
          <w:highlight w:val="none"/>
          <w14:textFill>
            <w14:solidFill>
              <w14:schemeClr w14:val="tx1"/>
            </w14:solidFill>
          </w14:textFill>
        </w:rPr>
        <w:t>中标后以分包方式履行合同的，提供分包意向协议(附件6)；采购人不同意分包或者</w:t>
      </w:r>
      <w:r>
        <w:rPr>
          <w:rFonts w:hint="eastAsia" w:ascii="宋体" w:hAnsi="宋体" w:eastAsia="宋体" w:cs="宋体"/>
          <w:b/>
          <w:color w:val="000000" w:themeColor="text1"/>
          <w:sz w:val="24"/>
          <w:highlight w:val="none"/>
          <w:lang w:eastAsia="zh-CN"/>
          <w14:textFill>
            <w14:solidFill>
              <w14:schemeClr w14:val="tx1"/>
            </w14:solidFill>
          </w14:textFill>
        </w:rPr>
        <w:t>供应商</w:t>
      </w:r>
      <w:r>
        <w:rPr>
          <w:rFonts w:hint="eastAsia" w:ascii="宋体" w:hAnsi="宋体" w:eastAsia="宋体" w:cs="宋体"/>
          <w:b/>
          <w:color w:val="000000" w:themeColor="text1"/>
          <w:sz w:val="24"/>
          <w:highlight w:val="none"/>
          <w14:textFill>
            <w14:solidFill>
              <w14:schemeClr w14:val="tx1"/>
            </w14:solidFill>
          </w14:textFill>
        </w:rPr>
        <w:t>中标后不以分包方式履行合同的，则不需要提供。</w:t>
      </w:r>
      <w:r>
        <w:rPr>
          <w:rFonts w:hint="eastAsia" w:ascii="宋体" w:hAnsi="宋体" w:eastAsia="宋体" w:cs="宋体"/>
          <w:color w:val="000000" w:themeColor="text1"/>
          <w:sz w:val="24"/>
          <w:highlight w:val="none"/>
          <w14:textFill>
            <w14:solidFill>
              <w14:schemeClr w14:val="tx1"/>
            </w14:solidFill>
          </w14:textFill>
        </w:rPr>
        <w:t>]</w:t>
      </w:r>
    </w:p>
    <w:p>
      <w:pPr>
        <w:snapToGrid w:val="0"/>
        <w:spacing w:line="360" w:lineRule="auto"/>
        <w:rPr>
          <w:rFonts w:hint="eastAsia" w:ascii="宋体" w:hAnsi="宋体" w:eastAsia="宋体" w:cs="宋体"/>
          <w:color w:val="000000" w:themeColor="text1"/>
          <w:kern w:val="0"/>
          <w:sz w:val="24"/>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r>
        <w:rPr>
          <w:rFonts w:hint="eastAsia" w:ascii="宋体" w:hAnsi="宋体" w:eastAsia="宋体" w:cs="宋体"/>
          <w:b/>
          <w:color w:val="000000" w:themeColor="text1"/>
          <w:kern w:val="0"/>
          <w:sz w:val="32"/>
          <w:szCs w:val="32"/>
          <w:highlight w:val="none"/>
          <w14:textFill>
            <w14:solidFill>
              <w14:schemeClr w14:val="tx1"/>
            </w14:solidFill>
          </w14:textFill>
        </w:rPr>
        <w:t>四、符合性审查资料</w:t>
      </w: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tbl>
      <w:tblPr>
        <w:tblStyle w:val="6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序号</w:t>
            </w:r>
          </w:p>
        </w:tc>
        <w:tc>
          <w:tcPr>
            <w:tcW w:w="4991" w:type="dxa"/>
            <w:vAlign w:val="center"/>
          </w:tcPr>
          <w:p>
            <w:pPr>
              <w:snapToGrid w:val="0"/>
              <w:spacing w:line="240" w:lineRule="atLeast"/>
              <w:jc w:val="center"/>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实质性要求</w:t>
            </w:r>
          </w:p>
        </w:tc>
        <w:tc>
          <w:tcPr>
            <w:tcW w:w="2551" w:type="dxa"/>
            <w:vAlign w:val="center"/>
          </w:tcPr>
          <w:p>
            <w:pPr>
              <w:snapToGrid w:val="0"/>
              <w:spacing w:line="240" w:lineRule="atLeast"/>
              <w:jc w:val="center"/>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需要提供的符合性审查资料</w:t>
            </w:r>
          </w:p>
        </w:tc>
        <w:tc>
          <w:tcPr>
            <w:tcW w:w="1418" w:type="dxa"/>
            <w:vAlign w:val="center"/>
          </w:tcPr>
          <w:p>
            <w:pPr>
              <w:snapToGrid w:val="0"/>
              <w:spacing w:line="240" w:lineRule="atLeast"/>
              <w:jc w:val="center"/>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投标文件中的</w:t>
            </w:r>
          </w:p>
          <w:p>
            <w:pPr>
              <w:snapToGrid w:val="0"/>
              <w:spacing w:line="240" w:lineRule="atLeast"/>
              <w:jc w:val="center"/>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w:t>
            </w:r>
          </w:p>
        </w:tc>
        <w:tc>
          <w:tcPr>
            <w:tcW w:w="4991" w:type="dxa"/>
          </w:tcPr>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投标文件按照</w:t>
            </w:r>
            <w:r>
              <w:rPr>
                <w:rFonts w:hint="eastAsia" w:ascii="宋体" w:hAnsi="宋体" w:eastAsia="宋体" w:cs="宋体"/>
                <w:color w:val="000000" w:themeColor="text1"/>
                <w:sz w:val="24"/>
                <w:highlight w:val="none"/>
                <w:lang w:eastAsia="zh-CN"/>
                <w14:textFill>
                  <w14:solidFill>
                    <w14:schemeClr w14:val="tx1"/>
                  </w14:solidFill>
                </w14:textFill>
              </w:rPr>
              <w:t>投标文件</w:t>
            </w:r>
            <w:r>
              <w:rPr>
                <w:rFonts w:hint="eastAsia" w:ascii="宋体" w:hAnsi="宋体" w:eastAsia="宋体" w:cs="宋体"/>
                <w:color w:val="000000" w:themeColor="text1"/>
                <w:sz w:val="24"/>
                <w:highlight w:val="none"/>
                <w14:textFill>
                  <w14:solidFill>
                    <w14:schemeClr w14:val="tx1"/>
                  </w14:solidFill>
                </w14:textFill>
              </w:rPr>
              <w:t>要求签署、盖章。</w:t>
            </w:r>
          </w:p>
        </w:tc>
        <w:tc>
          <w:tcPr>
            <w:tcW w:w="2551" w:type="dxa"/>
            <w:vAlign w:val="center"/>
          </w:tcPr>
          <w:p>
            <w:pP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需要使用电子签名或者签字盖章的投标文件的组成部分</w:t>
            </w:r>
          </w:p>
        </w:tc>
        <w:tc>
          <w:tcPr>
            <w:tcW w:w="1418" w:type="dxa"/>
          </w:tcPr>
          <w:p>
            <w:pPr>
              <w:rPr>
                <w:rFonts w:hint="eastAsia" w:ascii="宋体" w:hAnsi="宋体" w:eastAsia="宋体" w:cs="宋体"/>
                <w:color w:val="000000" w:themeColor="text1"/>
                <w:sz w:val="24"/>
                <w:highlight w:val="none"/>
                <w14:textFill>
                  <w14:solidFill>
                    <w14:schemeClr w14:val="tx1"/>
                  </w14:solidFill>
                </w14:textFill>
              </w:rPr>
            </w:pPr>
          </w:p>
          <w:p>
            <w:pP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见投标文件</w:t>
            </w:r>
          </w:p>
          <w:p>
            <w:pPr>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第</w:t>
            </w:r>
            <w:r>
              <w:rPr>
                <w:rFonts w:hint="eastAsia" w:ascii="宋体" w:hAnsi="宋体" w:eastAsia="宋体" w:cs="宋体"/>
                <w:color w:val="000000" w:themeColor="text1"/>
                <w:sz w:val="24"/>
                <w:highlight w:val="none"/>
                <w:u w:val="single"/>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w:t>
            </w:r>
          </w:p>
        </w:tc>
        <w:tc>
          <w:tcPr>
            <w:tcW w:w="4991" w:type="dxa"/>
          </w:tcPr>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投标文件中承诺的投标有效期不少于</w:t>
            </w:r>
            <w:r>
              <w:rPr>
                <w:rFonts w:hint="eastAsia" w:ascii="宋体" w:hAnsi="宋体" w:eastAsia="宋体" w:cs="宋体"/>
                <w:color w:val="000000" w:themeColor="text1"/>
                <w:sz w:val="24"/>
                <w:highlight w:val="none"/>
                <w:lang w:eastAsia="zh-CN"/>
                <w14:textFill>
                  <w14:solidFill>
                    <w14:schemeClr w14:val="tx1"/>
                  </w14:solidFill>
                </w14:textFill>
              </w:rPr>
              <w:t>投标文件</w:t>
            </w:r>
            <w:r>
              <w:rPr>
                <w:rFonts w:hint="eastAsia" w:ascii="宋体" w:hAnsi="宋体" w:eastAsia="宋体" w:cs="宋体"/>
                <w:color w:val="000000" w:themeColor="text1"/>
                <w:sz w:val="24"/>
                <w:highlight w:val="none"/>
                <w14:textFill>
                  <w14:solidFill>
                    <w14:schemeClr w14:val="tx1"/>
                  </w14:solidFill>
                </w14:textFill>
              </w:rPr>
              <w:t>中载明的投标有效期。</w:t>
            </w:r>
          </w:p>
        </w:tc>
        <w:tc>
          <w:tcPr>
            <w:tcW w:w="2551" w:type="dxa"/>
            <w:vAlign w:val="center"/>
          </w:tcPr>
          <w:p>
            <w:pP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投标函</w:t>
            </w:r>
          </w:p>
        </w:tc>
        <w:tc>
          <w:tcPr>
            <w:tcW w:w="1418" w:type="dxa"/>
          </w:tcPr>
          <w:p>
            <w:pPr>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见投标文件第</w:t>
            </w:r>
            <w:r>
              <w:rPr>
                <w:rFonts w:hint="eastAsia" w:ascii="宋体" w:hAnsi="宋体" w:eastAsia="宋体" w:cs="宋体"/>
                <w:color w:val="000000" w:themeColor="text1"/>
                <w:sz w:val="24"/>
                <w:highlight w:val="none"/>
                <w:u w:val="single"/>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3</w:t>
            </w:r>
          </w:p>
        </w:tc>
        <w:tc>
          <w:tcPr>
            <w:tcW w:w="4991" w:type="dxa"/>
          </w:tcPr>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投标文件满足</w:t>
            </w:r>
            <w:r>
              <w:rPr>
                <w:rFonts w:hint="eastAsia" w:ascii="宋体" w:hAnsi="宋体" w:eastAsia="宋体" w:cs="宋体"/>
                <w:color w:val="000000" w:themeColor="text1"/>
                <w:sz w:val="24"/>
                <w:highlight w:val="none"/>
                <w:lang w:eastAsia="zh-CN"/>
                <w14:textFill>
                  <w14:solidFill>
                    <w14:schemeClr w14:val="tx1"/>
                  </w14:solidFill>
                </w14:textFill>
              </w:rPr>
              <w:t>投标文件</w:t>
            </w:r>
            <w:r>
              <w:rPr>
                <w:rFonts w:hint="eastAsia" w:ascii="宋体" w:hAnsi="宋体" w:eastAsia="宋体" w:cs="宋体"/>
                <w:color w:val="000000" w:themeColor="text1"/>
                <w:sz w:val="24"/>
                <w:highlight w:val="none"/>
                <w14:textFill>
                  <w14:solidFill>
                    <w14:schemeClr w14:val="tx1"/>
                  </w14:solidFill>
                </w14:textFill>
              </w:rPr>
              <w:t>的其它实质性要求。</w:t>
            </w:r>
          </w:p>
        </w:tc>
        <w:tc>
          <w:tcPr>
            <w:tcW w:w="2551" w:type="dxa"/>
            <w:vAlign w:val="center"/>
          </w:tcPr>
          <w:p>
            <w:pP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eastAsia="zh-CN"/>
                <w14:textFill>
                  <w14:solidFill>
                    <w14:schemeClr w14:val="tx1"/>
                  </w14:solidFill>
                </w14:textFill>
              </w:rPr>
              <w:t>投标文件</w:t>
            </w:r>
            <w:r>
              <w:rPr>
                <w:rFonts w:hint="eastAsia" w:ascii="宋体" w:hAnsi="宋体" w:eastAsia="宋体" w:cs="宋体"/>
                <w:color w:val="000000" w:themeColor="text1"/>
                <w:kern w:val="0"/>
                <w:sz w:val="24"/>
                <w:highlight w:val="none"/>
                <w14:textFill>
                  <w14:solidFill>
                    <w14:schemeClr w14:val="tx1"/>
                  </w14:solidFill>
                </w14:textFill>
              </w:rPr>
              <w:t>其它实质性要求相应的材料（“▲” 系指实质性要求条款，</w:t>
            </w:r>
            <w:r>
              <w:rPr>
                <w:rFonts w:hint="eastAsia" w:ascii="宋体" w:hAnsi="宋体" w:eastAsia="宋体" w:cs="宋体"/>
                <w:color w:val="000000" w:themeColor="text1"/>
                <w:kern w:val="0"/>
                <w:sz w:val="24"/>
                <w:highlight w:val="none"/>
                <w:lang w:eastAsia="zh-CN"/>
                <w14:textFill>
                  <w14:solidFill>
                    <w14:schemeClr w14:val="tx1"/>
                  </w14:solidFill>
                </w14:textFill>
              </w:rPr>
              <w:t>投标文件</w:t>
            </w:r>
            <w:r>
              <w:rPr>
                <w:rFonts w:hint="eastAsia" w:ascii="宋体" w:hAnsi="宋体" w:eastAsia="宋体" w:cs="宋体"/>
                <w:color w:val="000000" w:themeColor="text1"/>
                <w:kern w:val="0"/>
                <w:sz w:val="24"/>
                <w:highlight w:val="none"/>
                <w14:textFill>
                  <w14:solidFill>
                    <w14:schemeClr w14:val="tx1"/>
                  </w14:solidFill>
                </w14:textFill>
              </w:rPr>
              <w:t>无其它实质性要求的，无需提供）</w:t>
            </w:r>
          </w:p>
        </w:tc>
        <w:tc>
          <w:tcPr>
            <w:tcW w:w="1418" w:type="dxa"/>
          </w:tcPr>
          <w:p>
            <w:pPr>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见投标文件第</w:t>
            </w:r>
            <w:r>
              <w:rPr>
                <w:rFonts w:hint="eastAsia" w:ascii="宋体" w:hAnsi="宋体" w:eastAsia="宋体" w:cs="宋体"/>
                <w:color w:val="000000" w:themeColor="text1"/>
                <w:sz w:val="24"/>
                <w:highlight w:val="none"/>
                <w:u w:val="single"/>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页</w:t>
            </w:r>
          </w:p>
        </w:tc>
      </w:tr>
    </w:tbl>
    <w:p>
      <w:pPr>
        <w:spacing w:line="360" w:lineRule="auto"/>
        <w:ind w:right="42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注：按本格式和要求提供。</w:t>
      </w: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r>
        <w:rPr>
          <w:rFonts w:hint="eastAsia" w:ascii="宋体" w:hAnsi="宋体" w:eastAsia="宋体" w:cs="宋体"/>
          <w:b/>
          <w:color w:val="000000" w:themeColor="text1"/>
          <w:kern w:val="0"/>
          <w:sz w:val="32"/>
          <w:szCs w:val="32"/>
          <w:highlight w:val="none"/>
          <w14:textFill>
            <w14:solidFill>
              <w14:schemeClr w14:val="tx1"/>
            </w14:solidFill>
          </w14:textFill>
        </w:rPr>
        <w:t xml:space="preserve">            </w:t>
      </w: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b/>
          <w:color w:val="000000" w:themeColor="text1"/>
          <w:kern w:val="0"/>
          <w:sz w:val="32"/>
          <w:szCs w:val="32"/>
          <w:highlight w:val="none"/>
          <w14:textFill>
            <w14:solidFill>
              <w14:schemeClr w14:val="tx1"/>
            </w14:solidFill>
          </w14:textFill>
        </w:rPr>
        <w:t>五、评标标准相应的商务技术资料</w:t>
      </w:r>
    </w:p>
    <w:p>
      <w:pPr>
        <w:snapToGrid w:val="0"/>
        <w:spacing w:line="360" w:lineRule="auto"/>
        <w:jc w:val="left"/>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（按</w:t>
      </w:r>
      <w:r>
        <w:rPr>
          <w:rFonts w:hint="eastAsia" w:ascii="宋体" w:hAnsi="宋体" w:eastAsia="宋体" w:cs="宋体"/>
          <w:b/>
          <w:color w:val="000000" w:themeColor="text1"/>
          <w:sz w:val="24"/>
          <w:highlight w:val="none"/>
          <w:lang w:eastAsia="zh-CN"/>
          <w14:textFill>
            <w14:solidFill>
              <w14:schemeClr w14:val="tx1"/>
            </w14:solidFill>
          </w14:textFill>
        </w:rPr>
        <w:t>投标文件</w:t>
      </w:r>
      <w:r>
        <w:rPr>
          <w:rFonts w:hint="eastAsia" w:ascii="宋体" w:hAnsi="宋体" w:eastAsia="宋体" w:cs="宋体"/>
          <w:b/>
          <w:color w:val="000000" w:themeColor="text1"/>
          <w:sz w:val="24"/>
          <w:highlight w:val="none"/>
          <w14:textFill>
            <w14:solidFill>
              <w14:schemeClr w14:val="tx1"/>
            </w14:solidFill>
          </w14:textFill>
        </w:rPr>
        <w:t>第四部分评标办法前附表中“投标文件中评标标准相应的商务技术资料目录”提供资料。）</w:t>
      </w: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ind w:firstLine="2891" w:firstLineChars="900"/>
        <w:rPr>
          <w:rFonts w:hint="eastAsia" w:ascii="宋体" w:hAnsi="宋体" w:eastAsia="宋体" w:cs="宋体"/>
          <w:b/>
          <w:color w:val="000000" w:themeColor="text1"/>
          <w:kern w:val="0"/>
          <w:sz w:val="32"/>
          <w:szCs w:val="32"/>
          <w:highlight w:val="none"/>
          <w14:textFill>
            <w14:solidFill>
              <w14:schemeClr w14:val="tx1"/>
            </w14:solidFill>
          </w14:textFill>
        </w:rPr>
      </w:pPr>
      <w:r>
        <w:rPr>
          <w:rFonts w:hint="eastAsia" w:ascii="宋体" w:hAnsi="宋体" w:eastAsia="宋体" w:cs="宋体"/>
          <w:b/>
          <w:color w:val="000000" w:themeColor="text1"/>
          <w:kern w:val="0"/>
          <w:sz w:val="32"/>
          <w:szCs w:val="32"/>
          <w:highlight w:val="none"/>
          <w14:textFill>
            <w14:solidFill>
              <w14:schemeClr w14:val="tx1"/>
            </w14:solidFill>
          </w14:textFill>
        </w:rPr>
        <w:t>六、投标标的清单</w:t>
      </w:r>
    </w:p>
    <w:tbl>
      <w:tblPr>
        <w:tblStyle w:val="62"/>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名称</w:t>
            </w:r>
          </w:p>
        </w:tc>
        <w:tc>
          <w:tcPr>
            <w:tcW w:w="1114"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宋体" w:hAnsi="宋体" w:eastAsia="宋体" w:cs="宋体"/>
                <w:b/>
                <w:color w:val="000000" w:themeColor="text1"/>
                <w:sz w:val="24"/>
                <w:highlight w:val="none"/>
                <w14:textFill>
                  <w14:solidFill>
                    <w14:schemeClr w14:val="tx1"/>
                  </w14:solidFill>
                </w14:textFill>
              </w:rPr>
            </w:pPr>
          </w:p>
          <w:p>
            <w:pPr>
              <w:spacing w:line="360" w:lineRule="auto"/>
              <w:jc w:val="center"/>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服务范围</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服务要求</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服务时间</w:t>
            </w: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服务标准</w:t>
            </w: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color w:val="000000" w:themeColor="text1"/>
                <w:sz w:val="24"/>
                <w:highlight w:val="none"/>
                <w14:textFill>
                  <w14:solidFill>
                    <w14:schemeClr w14:val="tx1"/>
                  </w14:solidFill>
                </w14:textFill>
              </w:rPr>
            </w:pPr>
          </w:p>
          <w:p>
            <w:pPr>
              <w:spacing w:line="360" w:lineRule="auto"/>
              <w:jc w:val="center"/>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备注（如果有）</w:t>
            </w:r>
          </w:p>
          <w:p>
            <w:pPr>
              <w:spacing w:line="360" w:lineRule="auto"/>
              <w:jc w:val="center"/>
              <w:rPr>
                <w:rFonts w:hint="eastAsia" w:ascii="宋体" w:hAnsi="宋体" w:eastAsia="宋体" w:cs="宋体"/>
                <w:b/>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000000" w:themeColor="text1"/>
                <w:sz w:val="24"/>
                <w:highlight w:val="none"/>
                <w14:textFill>
                  <w14:solidFill>
                    <w14:schemeClr w14:val="tx1"/>
                  </w14:solidFill>
                </w14:textFill>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000000" w:themeColor="text1"/>
                <w:sz w:val="24"/>
                <w:highlight w:val="none"/>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000000" w:themeColor="text1"/>
                <w:sz w:val="24"/>
                <w:highlight w:val="none"/>
                <w14:textFill>
                  <w14:solidFill>
                    <w14:schemeClr w14:val="tx1"/>
                  </w14:solidFill>
                </w14:textFill>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highlight w:val="none"/>
                <w14:textFill>
                  <w14:solidFill>
                    <w14:schemeClr w14:val="tx1"/>
                  </w14:solidFill>
                </w14:textFill>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highlight w:val="none"/>
                <w14:textFill>
                  <w14:solidFill>
                    <w14:schemeClr w14:val="tx1"/>
                  </w14:solidFill>
                </w14:textFill>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000000" w:themeColor="text1"/>
                <w:sz w:val="24"/>
                <w:highlight w:val="none"/>
                <w14:textFill>
                  <w14:solidFill>
                    <w14:schemeClr w14:val="tx1"/>
                  </w14:solidFill>
                </w14:textFill>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000000" w:themeColor="text1"/>
                <w:sz w:val="24"/>
                <w:highlight w:val="none"/>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000000" w:themeColor="text1"/>
                <w:sz w:val="24"/>
                <w:highlight w:val="none"/>
                <w14:textFill>
                  <w14:solidFill>
                    <w14:schemeClr w14:val="tx1"/>
                  </w14:solidFill>
                </w14:textFill>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highlight w:val="none"/>
                <w14:textFill>
                  <w14:solidFill>
                    <w14:schemeClr w14:val="tx1"/>
                  </w14:solidFill>
                </w14:textFill>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highlight w:val="none"/>
                <w14:textFill>
                  <w14:solidFill>
                    <w14:schemeClr w14:val="tx1"/>
                  </w14:solidFill>
                </w14:textFill>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000000" w:themeColor="text1"/>
                <w:sz w:val="24"/>
                <w:highlight w:val="none"/>
                <w14:textFill>
                  <w14:solidFill>
                    <w14:schemeClr w14:val="tx1"/>
                  </w14:solidFill>
                </w14:textFill>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000000" w:themeColor="text1"/>
                <w:sz w:val="24"/>
                <w:highlight w:val="none"/>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000000" w:themeColor="text1"/>
                <w:sz w:val="24"/>
                <w:highlight w:val="none"/>
                <w14:textFill>
                  <w14:solidFill>
                    <w14:schemeClr w14:val="tx1"/>
                  </w14:solidFill>
                </w14:textFill>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highlight w:val="none"/>
                <w14:textFill>
                  <w14:solidFill>
                    <w14:schemeClr w14:val="tx1"/>
                  </w14:solidFill>
                </w14:textFill>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highlight w:val="none"/>
                <w14:textFill>
                  <w14:solidFill>
                    <w14:schemeClr w14:val="tx1"/>
                  </w14:solidFill>
                </w14:textFill>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highlight w:val="none"/>
                <w14:textFill>
                  <w14:solidFill>
                    <w14:schemeClr w14:val="tx1"/>
                  </w14:solidFill>
                </w14:textFill>
              </w:rPr>
            </w:pPr>
          </w:p>
        </w:tc>
      </w:tr>
    </w:tbl>
    <w:p>
      <w:pPr>
        <w:spacing w:line="360" w:lineRule="auto"/>
        <w:ind w:right="42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注：按本格式和要求提供。</w:t>
      </w: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r>
        <w:rPr>
          <w:rFonts w:hint="eastAsia" w:ascii="宋体" w:hAnsi="宋体" w:eastAsia="宋体" w:cs="宋体"/>
          <w:b/>
          <w:color w:val="000000" w:themeColor="text1"/>
          <w:kern w:val="0"/>
          <w:sz w:val="32"/>
          <w:szCs w:val="32"/>
          <w:highlight w:val="none"/>
          <w14:textFill>
            <w14:solidFill>
              <w14:schemeClr w14:val="tx1"/>
            </w14:solidFill>
          </w14:textFill>
        </w:rPr>
        <w:t>七、商务技术偏离表</w:t>
      </w:r>
    </w:p>
    <w:tbl>
      <w:tblPr>
        <w:tblStyle w:val="6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宋体" w:hAnsi="宋体" w:eastAsia="宋体" w:cs="宋体"/>
                <w:b/>
                <w:bCs/>
                <w:color w:val="000000" w:themeColor="text1"/>
                <w:sz w:val="24"/>
                <w:highlight w:val="none"/>
                <w14:textFill>
                  <w14:solidFill>
                    <w14:schemeClr w14:val="tx1"/>
                  </w14:solidFill>
                </w14:textFill>
              </w:rPr>
            </w:pPr>
            <w:r>
              <w:rPr>
                <w:rFonts w:hint="eastAsia" w:ascii="宋体" w:hAnsi="宋体" w:eastAsia="宋体" w:cs="宋体"/>
                <w:b/>
                <w:bCs/>
                <w:color w:val="000000" w:themeColor="text1"/>
                <w:sz w:val="24"/>
                <w:highlight w:val="none"/>
                <w14:textFill>
                  <w14:solidFill>
                    <w14:schemeClr w14:val="tx1"/>
                  </w14:solidFill>
                </w14:textFill>
              </w:rPr>
              <w:t>序号</w:t>
            </w:r>
          </w:p>
        </w:tc>
        <w:tc>
          <w:tcPr>
            <w:tcW w:w="3683" w:type="dxa"/>
          </w:tcPr>
          <w:p>
            <w:pPr>
              <w:jc w:val="center"/>
              <w:rPr>
                <w:rFonts w:hint="eastAsia" w:ascii="宋体" w:hAnsi="宋体" w:eastAsia="宋体" w:cs="宋体"/>
                <w:b/>
                <w:bCs/>
                <w:color w:val="000000" w:themeColor="text1"/>
                <w:sz w:val="24"/>
                <w:highlight w:val="none"/>
                <w14:textFill>
                  <w14:solidFill>
                    <w14:schemeClr w14:val="tx1"/>
                  </w14:solidFill>
                </w14:textFill>
              </w:rPr>
            </w:pPr>
            <w:r>
              <w:rPr>
                <w:rFonts w:hint="eastAsia" w:ascii="宋体" w:hAnsi="宋体" w:eastAsia="宋体" w:cs="宋体"/>
                <w:b/>
                <w:bCs/>
                <w:color w:val="000000" w:themeColor="text1"/>
                <w:sz w:val="24"/>
                <w:highlight w:val="none"/>
                <w:lang w:eastAsia="zh-CN"/>
                <w14:textFill>
                  <w14:solidFill>
                    <w14:schemeClr w14:val="tx1"/>
                  </w14:solidFill>
                </w14:textFill>
              </w:rPr>
              <w:t>投标文件</w:t>
            </w:r>
            <w:r>
              <w:rPr>
                <w:rFonts w:hint="eastAsia" w:ascii="宋体" w:hAnsi="宋体" w:eastAsia="宋体" w:cs="宋体"/>
                <w:b/>
                <w:bCs/>
                <w:color w:val="000000" w:themeColor="text1"/>
                <w:sz w:val="24"/>
                <w:highlight w:val="none"/>
                <w14:textFill>
                  <w14:solidFill>
                    <w14:schemeClr w14:val="tx1"/>
                  </w14:solidFill>
                </w14:textFill>
              </w:rPr>
              <w:t>章节及具体内容</w:t>
            </w:r>
          </w:p>
        </w:tc>
        <w:tc>
          <w:tcPr>
            <w:tcW w:w="3546" w:type="dxa"/>
          </w:tcPr>
          <w:p>
            <w:pPr>
              <w:jc w:val="center"/>
              <w:rPr>
                <w:rFonts w:hint="eastAsia" w:ascii="宋体" w:hAnsi="宋体" w:eastAsia="宋体" w:cs="宋体"/>
                <w:b/>
                <w:bCs/>
                <w:color w:val="000000" w:themeColor="text1"/>
                <w:sz w:val="24"/>
                <w:highlight w:val="none"/>
                <w14:textFill>
                  <w14:solidFill>
                    <w14:schemeClr w14:val="tx1"/>
                  </w14:solidFill>
                </w14:textFill>
              </w:rPr>
            </w:pPr>
            <w:r>
              <w:rPr>
                <w:rFonts w:hint="eastAsia" w:ascii="宋体" w:hAnsi="宋体" w:eastAsia="宋体" w:cs="宋体"/>
                <w:b/>
                <w:bCs/>
                <w:color w:val="000000" w:themeColor="text1"/>
                <w:sz w:val="24"/>
                <w:highlight w:val="none"/>
                <w14:textFill>
                  <w14:solidFill>
                    <w14:schemeClr w14:val="tx1"/>
                  </w14:solidFill>
                </w14:textFill>
              </w:rPr>
              <w:t>投标文件章节及具体内容</w:t>
            </w:r>
          </w:p>
        </w:tc>
        <w:tc>
          <w:tcPr>
            <w:tcW w:w="1276" w:type="dxa"/>
          </w:tcPr>
          <w:p>
            <w:pPr>
              <w:jc w:val="center"/>
              <w:rPr>
                <w:rFonts w:hint="eastAsia" w:ascii="宋体" w:hAnsi="宋体" w:eastAsia="宋体" w:cs="宋体"/>
                <w:b/>
                <w:bCs/>
                <w:color w:val="000000" w:themeColor="text1"/>
                <w:sz w:val="24"/>
                <w:highlight w:val="none"/>
                <w14:textFill>
                  <w14:solidFill>
                    <w14:schemeClr w14:val="tx1"/>
                  </w14:solidFill>
                </w14:textFill>
              </w:rPr>
            </w:pPr>
            <w:r>
              <w:rPr>
                <w:rFonts w:hint="eastAsia" w:ascii="宋体" w:hAnsi="宋体" w:eastAsia="宋体" w:cs="宋体"/>
                <w:b/>
                <w:bCs/>
                <w:color w:val="000000" w:themeColor="text1"/>
                <w:sz w:val="24"/>
                <w:highlight w:val="none"/>
                <w14:textFill>
                  <w14:solidFill>
                    <w14:schemeClr w14:val="tx1"/>
                  </w14:solidFill>
                </w14:textFill>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1</w:t>
            </w:r>
          </w:p>
        </w:tc>
        <w:tc>
          <w:tcPr>
            <w:tcW w:w="3683" w:type="dxa"/>
          </w:tcPr>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tc>
        <w:tc>
          <w:tcPr>
            <w:tcW w:w="3546" w:type="dxa"/>
          </w:tcPr>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tc>
        <w:tc>
          <w:tcPr>
            <w:tcW w:w="1276" w:type="dxa"/>
          </w:tcPr>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2</w:t>
            </w:r>
          </w:p>
        </w:tc>
        <w:tc>
          <w:tcPr>
            <w:tcW w:w="3683" w:type="dxa"/>
          </w:tcPr>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tc>
        <w:tc>
          <w:tcPr>
            <w:tcW w:w="3546" w:type="dxa"/>
          </w:tcPr>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tc>
        <w:tc>
          <w:tcPr>
            <w:tcW w:w="1276" w:type="dxa"/>
          </w:tcPr>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9" w:type="dxa"/>
          </w:tcPr>
          <w:p>
            <w:pPr>
              <w:jc w:val="center"/>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w:t>
            </w:r>
          </w:p>
        </w:tc>
        <w:tc>
          <w:tcPr>
            <w:tcW w:w="3683" w:type="dxa"/>
          </w:tcPr>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tc>
        <w:tc>
          <w:tcPr>
            <w:tcW w:w="3546" w:type="dxa"/>
          </w:tcPr>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tc>
        <w:tc>
          <w:tcPr>
            <w:tcW w:w="1276" w:type="dxa"/>
          </w:tcPr>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tc>
      </w:tr>
    </w:tbl>
    <w:p>
      <w:pPr>
        <w:jc w:val="left"/>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eastAsia="zh-CN"/>
          <w14:textFill>
            <w14:solidFill>
              <w14:schemeClr w14:val="tx1"/>
            </w14:solidFill>
          </w14:textFill>
        </w:rPr>
        <w:t>供应商</w:t>
      </w:r>
      <w:r>
        <w:rPr>
          <w:rFonts w:hint="eastAsia" w:ascii="宋体" w:hAnsi="宋体" w:eastAsia="宋体" w:cs="宋体"/>
          <w:color w:val="000000" w:themeColor="text1"/>
          <w:kern w:val="0"/>
          <w:sz w:val="24"/>
          <w:highlight w:val="none"/>
          <w14:textFill>
            <w14:solidFill>
              <w14:schemeClr w14:val="tx1"/>
            </w14:solidFill>
          </w14:textFill>
        </w:rPr>
        <w:t>保证：除商务技术偏离表列出的偏离外，</w:t>
      </w:r>
      <w:r>
        <w:rPr>
          <w:rFonts w:hint="eastAsia" w:ascii="宋体" w:hAnsi="宋体" w:eastAsia="宋体" w:cs="宋体"/>
          <w:color w:val="000000" w:themeColor="text1"/>
          <w:kern w:val="0"/>
          <w:sz w:val="24"/>
          <w:highlight w:val="none"/>
          <w:lang w:eastAsia="zh-CN"/>
          <w14:textFill>
            <w14:solidFill>
              <w14:schemeClr w14:val="tx1"/>
            </w14:solidFill>
          </w14:textFill>
        </w:rPr>
        <w:t>供应商</w:t>
      </w:r>
      <w:r>
        <w:rPr>
          <w:rFonts w:hint="eastAsia" w:ascii="宋体" w:hAnsi="宋体" w:eastAsia="宋体" w:cs="宋体"/>
          <w:color w:val="000000" w:themeColor="text1"/>
          <w:kern w:val="0"/>
          <w:sz w:val="24"/>
          <w:highlight w:val="none"/>
          <w14:textFill>
            <w14:solidFill>
              <w14:schemeClr w14:val="tx1"/>
            </w14:solidFill>
          </w14:textFill>
        </w:rPr>
        <w:t>响应</w:t>
      </w:r>
      <w:r>
        <w:rPr>
          <w:rFonts w:hint="eastAsia" w:ascii="宋体" w:hAnsi="宋体" w:eastAsia="宋体" w:cs="宋体"/>
          <w:color w:val="000000" w:themeColor="text1"/>
          <w:kern w:val="0"/>
          <w:sz w:val="24"/>
          <w:highlight w:val="none"/>
          <w:lang w:eastAsia="zh-CN"/>
          <w14:textFill>
            <w14:solidFill>
              <w14:schemeClr w14:val="tx1"/>
            </w14:solidFill>
          </w14:textFill>
        </w:rPr>
        <w:t>投标文件</w:t>
      </w:r>
      <w:r>
        <w:rPr>
          <w:rFonts w:hint="eastAsia" w:ascii="宋体" w:hAnsi="宋体" w:eastAsia="宋体" w:cs="宋体"/>
          <w:color w:val="000000" w:themeColor="text1"/>
          <w:kern w:val="0"/>
          <w:sz w:val="24"/>
          <w:highlight w:val="none"/>
          <w14:textFill>
            <w14:solidFill>
              <w14:schemeClr w14:val="tx1"/>
            </w14:solidFill>
          </w14:textFill>
        </w:rPr>
        <w:t>的全部要求</w:t>
      </w: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spacing w:line="360" w:lineRule="auto"/>
        <w:ind w:right="42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注：按本格式和要求提供。</w:t>
      </w:r>
    </w:p>
    <w:p>
      <w:pPr>
        <w:ind w:firstLine="1911" w:firstLineChars="595"/>
        <w:rPr>
          <w:rFonts w:hint="eastAsia" w:ascii="宋体" w:hAnsi="宋体" w:eastAsia="宋体" w:cs="宋体"/>
          <w:b/>
          <w:bCs/>
          <w:color w:val="000000" w:themeColor="text1"/>
          <w:sz w:val="32"/>
          <w:szCs w:val="32"/>
          <w:highlight w:val="none"/>
          <w14:textFill>
            <w14:solidFill>
              <w14:schemeClr w14:val="tx1"/>
            </w14:solidFill>
          </w14:textFill>
        </w:rPr>
      </w:pPr>
    </w:p>
    <w:p>
      <w:pPr>
        <w:ind w:firstLine="1911" w:firstLineChars="595"/>
        <w:rPr>
          <w:rFonts w:hint="eastAsia" w:ascii="宋体" w:hAnsi="宋体" w:eastAsia="宋体" w:cs="宋体"/>
          <w:b/>
          <w:bCs/>
          <w:color w:val="000000" w:themeColor="text1"/>
          <w:sz w:val="32"/>
          <w:szCs w:val="32"/>
          <w:highlight w:val="none"/>
          <w14:textFill>
            <w14:solidFill>
              <w14:schemeClr w14:val="tx1"/>
            </w14:solidFill>
          </w14:textFill>
        </w:rPr>
      </w:pPr>
    </w:p>
    <w:p>
      <w:pPr>
        <w:ind w:firstLine="1911" w:firstLineChars="595"/>
        <w:rPr>
          <w:rFonts w:hint="eastAsia" w:ascii="宋体" w:hAnsi="宋体" w:eastAsia="宋体" w:cs="宋体"/>
          <w:b/>
          <w:bCs/>
          <w:color w:val="000000" w:themeColor="text1"/>
          <w:sz w:val="32"/>
          <w:szCs w:val="32"/>
          <w:highlight w:val="none"/>
          <w14:textFill>
            <w14:solidFill>
              <w14:schemeClr w14:val="tx1"/>
            </w14:solidFill>
          </w14:textFill>
        </w:rPr>
      </w:pPr>
    </w:p>
    <w:p>
      <w:pPr>
        <w:widowControl/>
        <w:adjustRightInd/>
        <w:jc w:val="left"/>
        <w:rPr>
          <w:rFonts w:hint="eastAsia" w:ascii="宋体" w:hAnsi="宋体" w:eastAsia="宋体" w:cs="宋体"/>
          <w:b/>
          <w:bCs/>
          <w:color w:val="000000" w:themeColor="text1"/>
          <w:sz w:val="32"/>
          <w:szCs w:val="32"/>
          <w:highlight w:val="none"/>
          <w14:textFill>
            <w14:solidFill>
              <w14:schemeClr w14:val="tx1"/>
            </w14:solidFill>
          </w14:textFill>
        </w:rPr>
      </w:pPr>
      <w:r>
        <w:rPr>
          <w:rFonts w:hint="eastAsia" w:ascii="宋体" w:hAnsi="宋体" w:eastAsia="宋体" w:cs="宋体"/>
          <w:b/>
          <w:bCs/>
          <w:color w:val="000000" w:themeColor="text1"/>
          <w:sz w:val="32"/>
          <w:szCs w:val="32"/>
          <w:highlight w:val="none"/>
          <w14:textFill>
            <w14:solidFill>
              <w14:schemeClr w14:val="tx1"/>
            </w14:solidFill>
          </w14:textFill>
        </w:rPr>
        <w:br w:type="page"/>
      </w:r>
    </w:p>
    <w:p>
      <w:pPr>
        <w:ind w:firstLine="1911" w:firstLineChars="595"/>
        <w:rPr>
          <w:rFonts w:hint="eastAsia" w:ascii="宋体" w:hAnsi="宋体" w:eastAsia="宋体" w:cs="宋体"/>
          <w:b/>
          <w:color w:val="000000" w:themeColor="text1"/>
          <w:kern w:val="0"/>
          <w:sz w:val="32"/>
          <w:szCs w:val="32"/>
          <w:highlight w:val="none"/>
          <w14:textFill>
            <w14:solidFill>
              <w14:schemeClr w14:val="tx1"/>
            </w14:solidFill>
          </w14:textFill>
        </w:rPr>
      </w:pPr>
      <w:r>
        <w:rPr>
          <w:rFonts w:hint="eastAsia" w:ascii="宋体" w:hAnsi="宋体" w:eastAsia="宋体" w:cs="宋体"/>
          <w:b/>
          <w:bCs/>
          <w:color w:val="000000" w:themeColor="text1"/>
          <w:sz w:val="32"/>
          <w:szCs w:val="32"/>
          <w:highlight w:val="none"/>
          <w14:textFill>
            <w14:solidFill>
              <w14:schemeClr w14:val="tx1"/>
            </w14:solidFill>
          </w14:textFill>
        </w:rPr>
        <w:t>八</w:t>
      </w:r>
      <w:r>
        <w:rPr>
          <w:rFonts w:hint="eastAsia" w:ascii="宋体" w:hAnsi="宋体" w:eastAsia="宋体" w:cs="宋体"/>
          <w:b/>
          <w:color w:val="000000" w:themeColor="text1"/>
          <w:kern w:val="0"/>
          <w:sz w:val="32"/>
          <w:szCs w:val="32"/>
          <w:highlight w:val="none"/>
          <w14:textFill>
            <w14:solidFill>
              <w14:schemeClr w14:val="tx1"/>
            </w14:solidFill>
          </w14:textFill>
        </w:rPr>
        <w:t>、</w:t>
      </w:r>
      <w:r>
        <w:rPr>
          <w:rFonts w:hint="eastAsia" w:ascii="宋体" w:hAnsi="宋体" w:eastAsia="宋体" w:cs="宋体"/>
          <w:b/>
          <w:color w:val="000000" w:themeColor="text1"/>
          <w:kern w:val="0"/>
          <w:sz w:val="32"/>
          <w:szCs w:val="32"/>
          <w:highlight w:val="none"/>
          <w:lang w:val="zh-CN"/>
          <w14:textFill>
            <w14:solidFill>
              <w14:schemeClr w14:val="tx1"/>
            </w14:solidFill>
          </w14:textFill>
        </w:rPr>
        <w:t>政府采购供应商廉洁自律承诺书</w:t>
      </w:r>
    </w:p>
    <w:p>
      <w:pPr>
        <w:snapToGrid w:val="0"/>
        <w:spacing w:line="360" w:lineRule="auto"/>
        <w:rPr>
          <w:rFonts w:hint="eastAsia" w:ascii="宋体" w:hAnsi="宋体" w:eastAsia="宋体" w:cs="宋体"/>
          <w:color w:val="000000" w:themeColor="text1"/>
          <w:sz w:val="24"/>
          <w:highlight w:val="none"/>
          <w14:textFill>
            <w14:solidFill>
              <w14:schemeClr w14:val="tx1"/>
            </w14:solidFill>
          </w14:textFill>
        </w:rPr>
      </w:pPr>
    </w:p>
    <w:p>
      <w:pPr>
        <w:snapToGrid w:val="0"/>
        <w:spacing w:line="360" w:lineRule="auto"/>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sz w:val="24"/>
          <w:highlight w:val="none"/>
          <w:lang w:eastAsia="zh-CN"/>
          <w14:textFill>
            <w14:solidFill>
              <w14:schemeClr w14:val="tx1"/>
            </w14:solidFill>
          </w14:textFill>
        </w:rPr>
        <w:t>杭州市拱墅区综合行政执法局</w:t>
      </w:r>
      <w:r>
        <w:rPr>
          <w:rFonts w:hint="eastAsia" w:ascii="宋体" w:hAnsi="宋体" w:eastAsia="宋体" w:cs="宋体"/>
          <w:color w:val="000000" w:themeColor="text1"/>
          <w:sz w:val="24"/>
          <w:highlight w:val="none"/>
          <w14:textFill>
            <w14:solidFill>
              <w14:schemeClr w14:val="tx1"/>
            </w14:solidFill>
          </w14:textFill>
        </w:rPr>
        <w:t>、</w:t>
      </w:r>
      <w:r>
        <w:rPr>
          <w:rFonts w:hint="eastAsia" w:ascii="宋体" w:hAnsi="宋体" w:eastAsia="宋体" w:cs="宋体"/>
          <w:color w:val="000000" w:themeColor="text1"/>
          <w:sz w:val="24"/>
          <w:highlight w:val="none"/>
          <w:lang w:eastAsia="zh-CN"/>
          <w14:textFill>
            <w14:solidFill>
              <w14:schemeClr w14:val="tx1"/>
            </w14:solidFill>
          </w14:textFill>
        </w:rPr>
        <w:t>杭州华鼎世纪项目管理咨询有限公司</w:t>
      </w:r>
      <w:r>
        <w:rPr>
          <w:rFonts w:hint="eastAsia" w:ascii="宋体" w:hAnsi="宋体" w:eastAsia="宋体" w:cs="宋体"/>
          <w:color w:val="000000" w:themeColor="text1"/>
          <w:kern w:val="0"/>
          <w:sz w:val="24"/>
          <w:highlight w:val="none"/>
          <w:lang w:val="zh-CN"/>
          <w14:textFill>
            <w14:solidFill>
              <w14:schemeClr w14:val="tx1"/>
            </w14:solidFill>
          </w14:textFill>
        </w:rPr>
        <w:t>：</w:t>
      </w:r>
    </w:p>
    <w:p>
      <w:pPr>
        <w:autoSpaceDE w:val="0"/>
        <w:autoSpaceDN w:val="0"/>
        <w:spacing w:line="360" w:lineRule="auto"/>
        <w:ind w:left="2" w:leftChars="1" w:firstLine="480" w:firstLineChars="200"/>
        <w:jc w:val="left"/>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我单位响应你</w:t>
      </w:r>
      <w:r>
        <w:rPr>
          <w:rFonts w:hint="eastAsia" w:ascii="宋体" w:hAnsi="宋体" w:eastAsia="宋体" w:cs="宋体"/>
          <w:color w:val="000000" w:themeColor="text1"/>
          <w:sz w:val="24"/>
          <w:highlight w:val="none"/>
          <w14:textFill>
            <w14:solidFill>
              <w14:schemeClr w14:val="tx1"/>
            </w14:solidFill>
          </w14:textFill>
        </w:rPr>
        <w:t>单位</w:t>
      </w:r>
      <w:r>
        <w:rPr>
          <w:rFonts w:hint="eastAsia" w:ascii="宋体" w:hAnsi="宋体" w:eastAsia="宋体" w:cs="宋体"/>
          <w:color w:val="000000" w:themeColor="text1"/>
          <w:kern w:val="0"/>
          <w:sz w:val="24"/>
          <w:highlight w:val="none"/>
          <w:lang w:val="zh-CN"/>
          <w14:textFill>
            <w14:solidFill>
              <w14:schemeClr w14:val="tx1"/>
            </w14:solidFill>
          </w14:textFill>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四、不为项目有关人员及部门出国（境）、旅游等提供方便；</w:t>
      </w:r>
    </w:p>
    <w:p>
      <w:pPr>
        <w:autoSpaceDE w:val="0"/>
        <w:autoSpaceDN w:val="0"/>
        <w:spacing w:line="360" w:lineRule="auto"/>
        <w:ind w:left="481" w:leftChars="229"/>
        <w:jc w:val="left"/>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五、不为项目有关人员个人装修住房、婚丧嫁娶、配偶子女工作安排等提供</w:t>
      </w:r>
    </w:p>
    <w:p>
      <w:pPr>
        <w:autoSpaceDE w:val="0"/>
        <w:autoSpaceDN w:val="0"/>
        <w:spacing w:line="360" w:lineRule="auto"/>
        <w:jc w:val="left"/>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好处；</w:t>
      </w:r>
    </w:p>
    <w:p>
      <w:pPr>
        <w:autoSpaceDE w:val="0"/>
        <w:autoSpaceDN w:val="0"/>
        <w:spacing w:line="360" w:lineRule="auto"/>
        <w:ind w:left="481" w:leftChars="229"/>
        <w:jc w:val="left"/>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六、严格遵守《</w:t>
      </w:r>
      <w:r>
        <w:rPr>
          <w:rFonts w:hint="eastAsia" w:ascii="宋体" w:hAnsi="宋体" w:eastAsia="宋体" w:cs="宋体"/>
          <w:color w:val="000000" w:themeColor="text1"/>
          <w:sz w:val="24"/>
          <w:highlight w:val="none"/>
          <w:lang w:val="zh-CN"/>
          <w14:textFill>
            <w14:solidFill>
              <w14:schemeClr w14:val="tx1"/>
            </w14:solidFill>
          </w14:textFill>
        </w:rPr>
        <w:t>中华人民共和国</w:t>
      </w:r>
      <w:r>
        <w:rPr>
          <w:rFonts w:hint="eastAsia" w:ascii="宋体" w:hAnsi="宋体" w:eastAsia="宋体" w:cs="宋体"/>
          <w:color w:val="000000" w:themeColor="text1"/>
          <w:kern w:val="0"/>
          <w:sz w:val="24"/>
          <w:highlight w:val="none"/>
          <w:lang w:val="zh-CN"/>
          <w14:textFill>
            <w14:solidFill>
              <w14:schemeClr w14:val="tx1"/>
            </w14:solidFill>
          </w14:textFill>
        </w:rPr>
        <w:t>政府采购法》《</w:t>
      </w:r>
      <w:r>
        <w:rPr>
          <w:rFonts w:hint="eastAsia" w:ascii="宋体" w:hAnsi="宋体" w:eastAsia="宋体" w:cs="宋体"/>
          <w:color w:val="000000" w:themeColor="text1"/>
          <w:sz w:val="24"/>
          <w:highlight w:val="none"/>
          <w:lang w:val="zh-CN"/>
          <w14:textFill>
            <w14:solidFill>
              <w14:schemeClr w14:val="tx1"/>
            </w14:solidFill>
          </w14:textFill>
        </w:rPr>
        <w:t>中华人民共和国</w:t>
      </w:r>
      <w:r>
        <w:rPr>
          <w:rFonts w:hint="eastAsia" w:ascii="宋体" w:hAnsi="宋体" w:eastAsia="宋体" w:cs="宋体"/>
          <w:color w:val="000000" w:themeColor="text1"/>
          <w:kern w:val="0"/>
          <w:sz w:val="24"/>
          <w:highlight w:val="none"/>
          <w:lang w:val="zh-CN"/>
          <w14:textFill>
            <w14:solidFill>
              <w14:schemeClr w14:val="tx1"/>
            </w14:solidFill>
          </w14:textFill>
        </w:rPr>
        <w:t>招标投标</w:t>
      </w:r>
    </w:p>
    <w:p>
      <w:pPr>
        <w:autoSpaceDE w:val="0"/>
        <w:autoSpaceDN w:val="0"/>
        <w:spacing w:line="360" w:lineRule="auto"/>
        <w:jc w:val="left"/>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法》</w:t>
      </w:r>
      <w:r>
        <w:rPr>
          <w:rFonts w:hint="eastAsia" w:ascii="宋体" w:hAnsi="宋体" w:eastAsia="宋体" w:cs="宋体"/>
          <w:color w:val="000000" w:themeColor="text1"/>
          <w:sz w:val="24"/>
          <w:highlight w:val="none"/>
          <w:lang w:val="zh-CN"/>
          <w14:textFill>
            <w14:solidFill>
              <w14:schemeClr w14:val="tx1"/>
            </w14:solidFill>
          </w14:textFill>
        </w:rPr>
        <w:t>《中华人民共和国民法典》</w:t>
      </w:r>
      <w:r>
        <w:rPr>
          <w:rFonts w:hint="eastAsia" w:ascii="宋体" w:hAnsi="宋体" w:eastAsia="宋体" w:cs="宋体"/>
          <w:color w:val="000000" w:themeColor="text1"/>
          <w:kern w:val="0"/>
          <w:sz w:val="24"/>
          <w:highlight w:val="none"/>
          <w:lang w:val="zh-CN"/>
          <w14:textFill>
            <w14:solidFill>
              <w14:schemeClr w14:val="tx1"/>
            </w14:solidFill>
          </w14:textFill>
        </w:rPr>
        <w:t xml:space="preserve">等法律法规，诚实守信，合法经营，坚决抵制各种违法违纪行为。 </w:t>
      </w:r>
    </w:p>
    <w:p>
      <w:pPr>
        <w:autoSpaceDE w:val="0"/>
        <w:autoSpaceDN w:val="0"/>
        <w:spacing w:line="360" w:lineRule="auto"/>
        <w:ind w:firstLine="480" w:firstLineChars="200"/>
        <w:jc w:val="left"/>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如违反上述承诺，你</w:t>
      </w:r>
      <w:r>
        <w:rPr>
          <w:rFonts w:hint="eastAsia" w:ascii="宋体" w:hAnsi="宋体" w:eastAsia="宋体" w:cs="宋体"/>
          <w:color w:val="000000" w:themeColor="text1"/>
          <w:sz w:val="24"/>
          <w:highlight w:val="none"/>
          <w14:textFill>
            <w14:solidFill>
              <w14:schemeClr w14:val="tx1"/>
            </w14:solidFill>
          </w14:textFill>
        </w:rPr>
        <w:t>单位</w:t>
      </w:r>
      <w:r>
        <w:rPr>
          <w:rFonts w:hint="eastAsia" w:ascii="宋体" w:hAnsi="宋体" w:eastAsia="宋体" w:cs="宋体"/>
          <w:color w:val="000000" w:themeColor="text1"/>
          <w:kern w:val="0"/>
          <w:sz w:val="24"/>
          <w:highlight w:val="none"/>
          <w:lang w:val="zh-CN"/>
          <w14:textFill>
            <w14:solidFill>
              <w14:schemeClr w14:val="tx1"/>
            </w14:solidFill>
          </w14:textFill>
        </w:rPr>
        <w:t>有权立即取消我单位投标、中标或在建项目的建设资格，有权拒绝我单位在一定时期内进入你</w:t>
      </w:r>
      <w:r>
        <w:rPr>
          <w:rFonts w:hint="eastAsia" w:ascii="宋体" w:hAnsi="宋体" w:eastAsia="宋体" w:cs="宋体"/>
          <w:color w:val="000000" w:themeColor="text1"/>
          <w:sz w:val="24"/>
          <w:highlight w:val="none"/>
          <w14:textFill>
            <w14:solidFill>
              <w14:schemeClr w14:val="tx1"/>
            </w14:solidFill>
          </w14:textFill>
        </w:rPr>
        <w:t>单位</w:t>
      </w:r>
      <w:r>
        <w:rPr>
          <w:rFonts w:hint="eastAsia" w:ascii="宋体" w:hAnsi="宋体" w:eastAsia="宋体" w:cs="宋体"/>
          <w:color w:val="000000" w:themeColor="text1"/>
          <w:kern w:val="0"/>
          <w:sz w:val="24"/>
          <w:highlight w:val="none"/>
          <w:lang w:val="zh-CN"/>
          <w14:textFill>
            <w14:solidFill>
              <w14:schemeClr w14:val="tx1"/>
            </w14:solidFill>
          </w14:textFill>
        </w:rPr>
        <w:t>进行项目建设或其他经营活动，并通报市财政局。由此引起的相应损失均由我单位承担。</w:t>
      </w:r>
    </w:p>
    <w:p>
      <w:pPr>
        <w:autoSpaceDE w:val="0"/>
        <w:autoSpaceDN w:val="0"/>
        <w:spacing w:line="360" w:lineRule="auto"/>
        <w:ind w:left="2"/>
        <w:jc w:val="left"/>
        <w:rPr>
          <w:rFonts w:hint="eastAsia" w:ascii="宋体" w:hAnsi="宋体" w:eastAsia="宋体" w:cs="宋体"/>
          <w:color w:val="000000" w:themeColor="text1"/>
          <w:kern w:val="0"/>
          <w:sz w:val="24"/>
          <w:highlight w:val="none"/>
          <w:lang w:val="zh-CN"/>
          <w14:textFill>
            <w14:solidFill>
              <w14:schemeClr w14:val="tx1"/>
            </w14:solidFill>
          </w14:textFill>
        </w:rPr>
      </w:pPr>
    </w:p>
    <w:p>
      <w:pPr>
        <w:autoSpaceDE w:val="0"/>
        <w:autoSpaceDN w:val="0"/>
        <w:spacing w:line="360" w:lineRule="auto"/>
        <w:ind w:left="2"/>
        <w:jc w:val="left"/>
        <w:rPr>
          <w:rFonts w:hint="eastAsia" w:ascii="宋体" w:hAnsi="宋体" w:eastAsia="宋体" w:cs="宋体"/>
          <w:color w:val="000000" w:themeColor="text1"/>
          <w:kern w:val="0"/>
          <w:sz w:val="24"/>
          <w:highlight w:val="none"/>
          <w:lang w:val="zh-CN"/>
          <w14:textFill>
            <w14:solidFill>
              <w14:schemeClr w14:val="tx1"/>
            </w14:solidFill>
          </w14:textFill>
        </w:rPr>
      </w:pPr>
    </w:p>
    <w:p>
      <w:pPr>
        <w:autoSpaceDE w:val="0"/>
        <w:autoSpaceDN w:val="0"/>
        <w:spacing w:line="360" w:lineRule="auto"/>
        <w:ind w:left="2"/>
        <w:jc w:val="left"/>
        <w:rPr>
          <w:rFonts w:hint="eastAsia" w:ascii="宋体" w:hAnsi="宋体" w:eastAsia="宋体" w:cs="宋体"/>
          <w:color w:val="000000" w:themeColor="text1"/>
          <w:kern w:val="0"/>
          <w:sz w:val="24"/>
          <w:highlight w:val="none"/>
          <w:lang w:val="zh-CN"/>
          <w14:textFill>
            <w14:solidFill>
              <w14:schemeClr w14:val="tx1"/>
            </w14:solidFill>
          </w14:textFill>
        </w:rPr>
      </w:pPr>
    </w:p>
    <w:p>
      <w:pPr>
        <w:autoSpaceDE w:val="0"/>
        <w:autoSpaceDN w:val="0"/>
        <w:spacing w:line="360" w:lineRule="auto"/>
        <w:ind w:left="2" w:leftChars="1" w:right="1120" w:firstLine="4560" w:firstLineChars="1900"/>
        <w:jc w:val="left"/>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供应商名称（</w:t>
      </w:r>
      <w:r>
        <w:rPr>
          <w:rFonts w:hint="eastAsia" w:ascii="宋体" w:hAnsi="宋体" w:eastAsia="宋体" w:cs="宋体"/>
          <w:color w:val="000000" w:themeColor="text1"/>
          <w:sz w:val="24"/>
          <w:highlight w:val="none"/>
          <w14:textFill>
            <w14:solidFill>
              <w14:schemeClr w14:val="tx1"/>
            </w14:solidFill>
          </w14:textFill>
        </w:rPr>
        <w:t>电子签名</w:t>
      </w:r>
      <w:r>
        <w:rPr>
          <w:rFonts w:hint="eastAsia" w:ascii="宋体" w:hAnsi="宋体" w:eastAsia="宋体" w:cs="宋体"/>
          <w:color w:val="000000" w:themeColor="text1"/>
          <w:kern w:val="0"/>
          <w:sz w:val="24"/>
          <w:highlight w:val="none"/>
          <w:lang w:val="zh-CN"/>
          <w14:textFill>
            <w14:solidFill>
              <w14:schemeClr w14:val="tx1"/>
            </w14:solidFill>
          </w14:textFill>
        </w:rPr>
        <w:t xml:space="preserve">）：                                                                                                                                                                                                               </w:t>
      </w:r>
    </w:p>
    <w:p>
      <w:pPr>
        <w:spacing w:line="360" w:lineRule="auto"/>
        <w:ind w:left="4620" w:leftChars="2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日期</w:t>
      </w:r>
      <w:r>
        <w:rPr>
          <w:rFonts w:hint="eastAsia" w:ascii="宋体" w:hAnsi="宋体" w:eastAsia="宋体" w:cs="宋体"/>
          <w:color w:val="000000" w:themeColor="text1"/>
          <w:kern w:val="0"/>
          <w:sz w:val="24"/>
          <w:highlight w:val="none"/>
          <w14:textFill>
            <w14:solidFill>
              <w14:schemeClr w14:val="tx1"/>
            </w14:solidFill>
          </w14:textFill>
        </w:rPr>
        <w:t>：</w:t>
      </w:r>
      <w:r>
        <w:rPr>
          <w:rFonts w:hint="eastAsia" w:ascii="宋体" w:hAnsi="宋体" w:eastAsia="宋体" w:cs="宋体"/>
          <w:color w:val="000000" w:themeColor="text1"/>
          <w:kern w:val="0"/>
          <w:sz w:val="24"/>
          <w:highlight w:val="none"/>
          <w:lang w:val="zh-CN"/>
          <w14:textFill>
            <w14:solidFill>
              <w14:schemeClr w14:val="tx1"/>
            </w14:solidFill>
          </w14:textFill>
        </w:rPr>
        <w:t xml:space="preserve">   年   月   日</w:t>
      </w:r>
    </w:p>
    <w:p>
      <w:pPr>
        <w:spacing w:line="360" w:lineRule="auto"/>
        <w:jc w:val="center"/>
        <w:rPr>
          <w:rFonts w:hint="eastAsia" w:ascii="宋体" w:hAnsi="宋体" w:eastAsia="宋体" w:cs="宋体"/>
          <w:b/>
          <w:bCs/>
          <w:color w:val="000000" w:themeColor="text1"/>
          <w:sz w:val="24"/>
          <w:highlight w:val="none"/>
          <w14:textFill>
            <w14:solidFill>
              <w14:schemeClr w14:val="tx1"/>
            </w14:solidFill>
          </w14:textFill>
        </w:rPr>
      </w:pPr>
    </w:p>
    <w:p>
      <w:pPr>
        <w:spacing w:line="360" w:lineRule="auto"/>
        <w:ind w:right="42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注：按本格式和要求提供。</w:t>
      </w:r>
    </w:p>
    <w:p>
      <w:pPr>
        <w:spacing w:line="360" w:lineRule="auto"/>
        <w:jc w:val="center"/>
        <w:rPr>
          <w:rFonts w:hint="eastAsia" w:ascii="宋体" w:hAnsi="宋体" w:eastAsia="宋体" w:cs="宋体"/>
          <w:b/>
          <w:bCs/>
          <w:color w:val="000000" w:themeColor="text1"/>
          <w:sz w:val="24"/>
          <w:highlight w:val="none"/>
          <w14:textFill>
            <w14:solidFill>
              <w14:schemeClr w14:val="tx1"/>
            </w14:solidFill>
          </w14:textFill>
        </w:rPr>
        <w:sectPr>
          <w:headerReference r:id="rId15" w:type="first"/>
          <w:footerReference r:id="rId17" w:type="first"/>
          <w:headerReference r:id="rId14" w:type="default"/>
          <w:footerReference r:id="rId16"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hint="eastAsia" w:ascii="宋体" w:hAnsi="宋体" w:eastAsia="宋体" w:cs="宋体"/>
          <w:b/>
          <w:color w:val="000000" w:themeColor="text1"/>
          <w:kern w:val="0"/>
          <w:sz w:val="36"/>
          <w:szCs w:val="36"/>
          <w:highlight w:val="none"/>
          <w14:textFill>
            <w14:solidFill>
              <w14:schemeClr w14:val="tx1"/>
            </w14:solidFill>
          </w14:textFill>
        </w:rPr>
      </w:pPr>
      <w:r>
        <w:rPr>
          <w:rFonts w:hint="eastAsia" w:ascii="宋体" w:hAnsi="宋体" w:eastAsia="宋体" w:cs="宋体"/>
          <w:b/>
          <w:color w:val="000000" w:themeColor="text1"/>
          <w:kern w:val="0"/>
          <w:sz w:val="36"/>
          <w:szCs w:val="36"/>
          <w:highlight w:val="none"/>
          <w14:textFill>
            <w14:solidFill>
              <w14:schemeClr w14:val="tx1"/>
            </w14:solidFill>
          </w14:textFill>
        </w:rPr>
        <w:t>报价文件部分</w:t>
      </w:r>
    </w:p>
    <w:p>
      <w:pPr>
        <w:spacing w:line="360" w:lineRule="auto"/>
        <w:jc w:val="center"/>
        <w:outlineLvl w:val="0"/>
        <w:rPr>
          <w:rFonts w:hint="eastAsia" w:ascii="宋体" w:hAnsi="宋体" w:eastAsia="宋体" w:cs="宋体"/>
          <w:b/>
          <w:color w:val="000000" w:themeColor="text1"/>
          <w:kern w:val="0"/>
          <w:sz w:val="36"/>
          <w:szCs w:val="36"/>
          <w:highlight w:val="none"/>
          <w14:textFill>
            <w14:solidFill>
              <w14:schemeClr w14:val="tx1"/>
            </w14:solidFill>
          </w14:textFill>
        </w:rPr>
      </w:pPr>
      <w:r>
        <w:rPr>
          <w:rFonts w:hint="eastAsia" w:ascii="宋体" w:hAnsi="宋体" w:eastAsia="宋体" w:cs="宋体"/>
          <w:b/>
          <w:color w:val="000000" w:themeColor="text1"/>
          <w:kern w:val="0"/>
          <w:sz w:val="36"/>
          <w:szCs w:val="36"/>
          <w:highlight w:val="none"/>
          <w14:textFill>
            <w14:solidFill>
              <w14:schemeClr w14:val="tx1"/>
            </w14:solidFill>
          </w14:textFill>
        </w:rPr>
        <w:t>目录</w:t>
      </w:r>
    </w:p>
    <w:p>
      <w:pPr>
        <w:spacing w:line="360" w:lineRule="auto"/>
        <w:jc w:val="center"/>
        <w:outlineLvl w:val="0"/>
        <w:rPr>
          <w:rFonts w:hint="eastAsia" w:ascii="宋体" w:hAnsi="宋体" w:eastAsia="宋体" w:cs="宋体"/>
          <w:b/>
          <w:color w:val="000000" w:themeColor="text1"/>
          <w:kern w:val="0"/>
          <w:sz w:val="36"/>
          <w:szCs w:val="36"/>
          <w:highlight w:val="none"/>
          <w14:textFill>
            <w14:solidFill>
              <w14:schemeClr w14:val="tx1"/>
            </w14:solidFill>
          </w14:textFill>
        </w:rPr>
      </w:pPr>
    </w:p>
    <w:p>
      <w:pPr>
        <w:snapToGrid w:val="0"/>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（1）开标一览表（报价表）………………………………………………………（页码）</w:t>
      </w:r>
    </w:p>
    <w:p>
      <w:pPr>
        <w:snapToGrid w:val="0"/>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（2）中小企业声明函………………………………………………………………（页码）</w:t>
      </w:r>
    </w:p>
    <w:p>
      <w:pPr>
        <w:snapToGrid w:val="0"/>
        <w:spacing w:line="360" w:lineRule="auto"/>
        <w:ind w:right="480"/>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pStyle w:val="692"/>
        <w:keepNext w:val="0"/>
        <w:pageBreakBefore w:val="0"/>
        <w:tabs>
          <w:tab w:val="clear" w:pos="720"/>
        </w:tabs>
        <w:snapToGrid w:val="0"/>
        <w:spacing w:before="120" w:after="120"/>
        <w:ind w:firstLine="643"/>
        <w:outlineLvl w:val="9"/>
        <w:rPr>
          <w:rFonts w:hint="eastAsia" w:ascii="宋体" w:hAnsi="宋体" w:eastAsia="宋体" w:cs="宋体"/>
          <w:color w:val="000000" w:themeColor="text1"/>
          <w:kern w:val="2"/>
          <w:sz w:val="32"/>
          <w:szCs w:val="32"/>
          <w:highlight w:val="none"/>
          <w14:textFill>
            <w14:solidFill>
              <w14:schemeClr w14:val="tx1"/>
            </w14:solidFill>
          </w14:textFill>
        </w:rPr>
        <w:sectPr>
          <w:headerReference r:id="rId19" w:type="first"/>
          <w:footerReference r:id="rId21" w:type="first"/>
          <w:headerReference r:id="rId18" w:type="default"/>
          <w:footerReference r:id="rId20" w:type="default"/>
          <w:pgSz w:w="11906" w:h="16838"/>
          <w:pgMar w:top="1276" w:right="1418" w:bottom="1247" w:left="1418" w:header="851" w:footer="992" w:gutter="0"/>
          <w:cols w:space="720" w:num="1"/>
          <w:titlePg/>
          <w:docGrid w:linePitch="312" w:charSpace="0"/>
        </w:sectPr>
      </w:pPr>
    </w:p>
    <w:p>
      <w:pPr>
        <w:pStyle w:val="692"/>
        <w:keepNext w:val="0"/>
        <w:pageBreakBefore w:val="0"/>
        <w:tabs>
          <w:tab w:val="clear" w:pos="720"/>
        </w:tabs>
        <w:snapToGrid w:val="0"/>
        <w:spacing w:before="120" w:after="120"/>
        <w:ind w:firstLine="643"/>
        <w:jc w:val="center"/>
        <w:outlineLvl w:val="9"/>
        <w:rPr>
          <w:rFonts w:hint="eastAsia" w:ascii="宋体" w:hAnsi="宋体" w:eastAsia="宋体" w:cs="宋体"/>
          <w:color w:val="000000" w:themeColor="text1"/>
          <w:kern w:val="2"/>
          <w:sz w:val="32"/>
          <w:szCs w:val="32"/>
          <w:highlight w:val="none"/>
          <w14:textFill>
            <w14:solidFill>
              <w14:schemeClr w14:val="tx1"/>
            </w14:solidFill>
          </w14:textFill>
        </w:rPr>
      </w:pPr>
      <w:r>
        <w:rPr>
          <w:rFonts w:hint="eastAsia" w:ascii="宋体" w:hAnsi="宋体" w:eastAsia="宋体" w:cs="宋体"/>
          <w:color w:val="000000" w:themeColor="text1"/>
          <w:kern w:val="2"/>
          <w:sz w:val="32"/>
          <w:szCs w:val="32"/>
          <w:highlight w:val="none"/>
          <w14:textFill>
            <w14:solidFill>
              <w14:schemeClr w14:val="tx1"/>
            </w14:solidFill>
          </w14:textFill>
        </w:rPr>
        <w:t>一、开标一览表（报价表）</w:t>
      </w:r>
    </w:p>
    <w:p>
      <w:pPr>
        <w:snapToGrid w:val="0"/>
        <w:spacing w:line="360" w:lineRule="auto"/>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sz w:val="24"/>
          <w:highlight w:val="none"/>
          <w:lang w:eastAsia="zh-CN"/>
          <w14:textFill>
            <w14:solidFill>
              <w14:schemeClr w14:val="tx1"/>
            </w14:solidFill>
          </w14:textFill>
        </w:rPr>
        <w:t>杭州市拱墅区综合行政执法局</w:t>
      </w:r>
      <w:r>
        <w:rPr>
          <w:rFonts w:hint="eastAsia" w:ascii="宋体" w:hAnsi="宋体" w:eastAsia="宋体" w:cs="宋体"/>
          <w:color w:val="000000" w:themeColor="text1"/>
          <w:sz w:val="24"/>
          <w:highlight w:val="none"/>
          <w14:textFill>
            <w14:solidFill>
              <w14:schemeClr w14:val="tx1"/>
            </w14:solidFill>
          </w14:textFill>
        </w:rPr>
        <w:t>、</w:t>
      </w:r>
      <w:r>
        <w:rPr>
          <w:rFonts w:hint="eastAsia" w:ascii="宋体" w:hAnsi="宋体" w:eastAsia="宋体" w:cs="宋体"/>
          <w:color w:val="000000" w:themeColor="text1"/>
          <w:sz w:val="24"/>
          <w:highlight w:val="none"/>
          <w:lang w:eastAsia="zh-CN"/>
          <w14:textFill>
            <w14:solidFill>
              <w14:schemeClr w14:val="tx1"/>
            </w14:solidFill>
          </w14:textFill>
        </w:rPr>
        <w:t>杭州华鼎世纪项目管理咨询有限公司</w:t>
      </w:r>
      <w:r>
        <w:rPr>
          <w:rFonts w:hint="eastAsia" w:ascii="宋体" w:hAnsi="宋体" w:eastAsia="宋体" w:cs="宋体"/>
          <w:color w:val="000000" w:themeColor="text1"/>
          <w:kern w:val="0"/>
          <w:sz w:val="24"/>
          <w:highlight w:val="none"/>
          <w:lang w:val="zh-CN"/>
          <w14:textFill>
            <w14:solidFill>
              <w14:schemeClr w14:val="tx1"/>
            </w14:solidFill>
          </w14:textFill>
        </w:rPr>
        <w:t>：</w:t>
      </w:r>
    </w:p>
    <w:p>
      <w:pPr>
        <w:snapToGrid w:val="0"/>
        <w:spacing w:line="360" w:lineRule="auto"/>
        <w:ind w:firstLine="482"/>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按你方投标文件要求，我们，本投标文件签字方，谨此向你方发出要约如下：如你方接受本投标，我方承诺按照如下开标一览表（报价表）的价格完成</w:t>
      </w:r>
      <w:r>
        <w:rPr>
          <w:rFonts w:hint="eastAsia" w:ascii="宋体" w:hAnsi="宋体" w:eastAsia="宋体" w:cs="宋体"/>
          <w:color w:val="000000" w:themeColor="text1"/>
          <w:sz w:val="24"/>
          <w:highlight w:val="none"/>
          <w:lang w:eastAsia="zh-CN"/>
          <w14:textFill>
            <w14:solidFill>
              <w14:schemeClr w14:val="tx1"/>
            </w14:solidFill>
          </w14:textFill>
        </w:rPr>
        <w:t>拱墅区临丁路等7条、东新路等8条市属区管道路市政环卫一体化综合养护服务项目（</w:t>
      </w:r>
      <w:r>
        <w:rPr>
          <w:rFonts w:hint="eastAsia" w:ascii="宋体" w:hAnsi="宋体" w:eastAsia="宋体" w:cs="宋体"/>
          <w:color w:val="000000" w:themeColor="text1"/>
          <w:sz w:val="24"/>
          <w:highlight w:val="none"/>
          <w:lang w:val="en-US" w:eastAsia="zh-CN"/>
          <w14:textFill>
            <w14:solidFill>
              <w14:schemeClr w14:val="tx1"/>
            </w14:solidFill>
          </w14:textFill>
        </w:rPr>
        <w:t>标项</w:t>
      </w:r>
      <w:r>
        <w:rPr>
          <w:rFonts w:hint="eastAsia" w:ascii="宋体" w:hAnsi="宋体" w:cs="宋体"/>
          <w:color w:val="000000" w:themeColor="text1"/>
          <w:sz w:val="24"/>
          <w:highlight w:val="none"/>
          <w:lang w:val="en-US" w:eastAsia="zh-CN"/>
          <w14:textFill>
            <w14:solidFill>
              <w14:schemeClr w14:val="tx1"/>
            </w14:solidFill>
          </w14:textFill>
        </w:rPr>
        <w:t xml:space="preserve">  </w:t>
      </w:r>
      <w:r>
        <w:rPr>
          <w:rFonts w:hint="eastAsia" w:ascii="宋体" w:hAnsi="宋体" w:eastAsia="宋体" w:cs="宋体"/>
          <w:color w:val="000000" w:themeColor="text1"/>
          <w:sz w:val="24"/>
          <w:highlight w:val="none"/>
          <w:lang w:val="en-US" w:eastAsia="zh-CN"/>
          <w14:textFill>
            <w14:solidFill>
              <w14:schemeClr w14:val="tx1"/>
            </w14:solidFill>
          </w14:textFill>
        </w:rPr>
        <w:t>：</w:t>
      </w:r>
      <w:r>
        <w:rPr>
          <w:rFonts w:hint="eastAsia" w:ascii="宋体" w:hAnsi="宋体" w:cs="宋体"/>
          <w:snapToGrid/>
          <w:color w:val="000000" w:themeColor="text1"/>
          <w:kern w:val="2"/>
          <w:sz w:val="24"/>
          <w:szCs w:val="24"/>
          <w:highlight w:val="none"/>
          <w:lang w:val="en-US" w:eastAsia="zh-CN" w:bidi="ar-SA"/>
          <w14:textFill>
            <w14:solidFill>
              <w14:schemeClr w14:val="tx1"/>
            </w14:solidFill>
          </w14:textFill>
        </w:rPr>
        <w:t xml:space="preserve">    </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kern w:val="0"/>
          <w:sz w:val="24"/>
          <w:highlight w:val="none"/>
          <w:lang w:val="zh-CN"/>
          <w14:textFill>
            <w14:solidFill>
              <w14:schemeClr w14:val="tx1"/>
            </w14:solidFill>
          </w14:textFill>
        </w:rPr>
        <w:t>【招标编号：</w:t>
      </w:r>
      <w:r>
        <w:rPr>
          <w:rFonts w:hint="eastAsia" w:ascii="宋体" w:hAnsi="宋体" w:eastAsia="宋体" w:cs="宋体"/>
          <w:color w:val="000000" w:themeColor="text1"/>
          <w:sz w:val="24"/>
          <w:highlight w:val="none"/>
          <w:lang w:eastAsia="zh-CN"/>
          <w14:textFill>
            <w14:solidFill>
              <w14:schemeClr w14:val="tx1"/>
            </w14:solidFill>
          </w14:textFill>
        </w:rPr>
        <w:t>HDSJ-2023-006</w:t>
      </w:r>
      <w:r>
        <w:rPr>
          <w:rFonts w:hint="eastAsia" w:ascii="宋体" w:hAnsi="宋体" w:eastAsia="宋体" w:cs="宋体"/>
          <w:color w:val="000000" w:themeColor="text1"/>
          <w:sz w:val="24"/>
          <w:highlight w:val="none"/>
          <w14:textFill>
            <w14:solidFill>
              <w14:schemeClr w14:val="tx1"/>
            </w14:solidFill>
          </w14:textFill>
        </w:rPr>
        <w:t>】的实施</w:t>
      </w:r>
      <w:r>
        <w:rPr>
          <w:rFonts w:hint="eastAsia" w:ascii="宋体" w:hAnsi="宋体" w:eastAsia="宋体" w:cs="宋体"/>
          <w:color w:val="000000" w:themeColor="text1"/>
          <w:kern w:val="0"/>
          <w:sz w:val="24"/>
          <w:highlight w:val="none"/>
          <w:lang w:val="zh-CN"/>
          <w14:textFill>
            <w14:solidFill>
              <w14:schemeClr w14:val="tx1"/>
            </w14:solidFill>
          </w14:textFill>
        </w:rPr>
        <w:t>。</w:t>
      </w:r>
    </w:p>
    <w:p>
      <w:pPr>
        <w:spacing w:line="360" w:lineRule="auto"/>
        <w:jc w:val="center"/>
        <w:rPr>
          <w:rFonts w:hint="eastAsia" w:ascii="宋体" w:hAnsi="宋体" w:eastAsia="宋体" w:cs="宋体"/>
          <w:b/>
          <w:color w:val="000000" w:themeColor="text1"/>
          <w:kern w:val="0"/>
          <w:sz w:val="24"/>
          <w:highlight w:val="none"/>
          <w:lang w:val="zh-CN"/>
          <w14:textFill>
            <w14:solidFill>
              <w14:schemeClr w14:val="tx1"/>
            </w14:solidFill>
          </w14:textFill>
        </w:rPr>
      </w:pPr>
      <w:r>
        <w:rPr>
          <w:rFonts w:hint="eastAsia" w:ascii="宋体" w:hAnsi="宋体" w:eastAsia="宋体" w:cs="宋体"/>
          <w:b/>
          <w:color w:val="000000" w:themeColor="text1"/>
          <w:kern w:val="0"/>
          <w:sz w:val="24"/>
          <w:highlight w:val="none"/>
          <w:lang w:val="zh-CN"/>
          <w14:textFill>
            <w14:solidFill>
              <w14:schemeClr w14:val="tx1"/>
            </w14:solidFill>
          </w14:textFill>
        </w:rPr>
        <w:t>开标一览表（报价表）(单位均为人民币元)</w:t>
      </w:r>
    </w:p>
    <w:tbl>
      <w:tblPr>
        <w:tblStyle w:val="62"/>
        <w:tblW w:w="124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7"/>
        <w:gridCol w:w="5035"/>
        <w:gridCol w:w="2269"/>
        <w:gridCol w:w="1233"/>
        <w:gridCol w:w="29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967" w:type="dxa"/>
            <w:noWrap w:val="0"/>
            <w:vAlign w:val="center"/>
          </w:tcPr>
          <w:p>
            <w:pPr>
              <w:jc w:val="both"/>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kern w:val="0"/>
                <w:sz w:val="24"/>
                <w:szCs w:val="24"/>
                <w:highlight w:val="none"/>
                <w14:textFill>
                  <w14:solidFill>
                    <w14:schemeClr w14:val="tx1"/>
                  </w14:solidFill>
                </w14:textFill>
              </w:rPr>
              <w:t xml:space="preserve"> </w:t>
            </w:r>
            <w:r>
              <w:rPr>
                <w:rFonts w:hint="eastAsia" w:ascii="宋体" w:hAnsi="宋体" w:cs="宋体"/>
                <w:color w:val="000000" w:themeColor="text1"/>
                <w:sz w:val="24"/>
                <w:szCs w:val="24"/>
                <w:highlight w:val="none"/>
                <w14:textFill>
                  <w14:solidFill>
                    <w14:schemeClr w14:val="tx1"/>
                  </w14:solidFill>
                </w14:textFill>
              </w:rPr>
              <w:t>序号</w:t>
            </w:r>
          </w:p>
        </w:tc>
        <w:tc>
          <w:tcPr>
            <w:tcW w:w="5035" w:type="dxa"/>
            <w:noWrap w:val="0"/>
            <w:vAlign w:val="center"/>
          </w:tcPr>
          <w:p>
            <w:pPr>
              <w:jc w:val="center"/>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分项内容</w:t>
            </w:r>
          </w:p>
        </w:tc>
        <w:tc>
          <w:tcPr>
            <w:tcW w:w="2269" w:type="dxa"/>
            <w:noWrap w:val="0"/>
            <w:vAlign w:val="center"/>
          </w:tcPr>
          <w:p>
            <w:pPr>
              <w:widowControl/>
              <w:spacing w:line="320" w:lineRule="exact"/>
              <w:jc w:val="center"/>
              <w:rPr>
                <w:rFonts w:hint="eastAsia" w:ascii="宋体" w:hAnsi="宋体" w:cs="宋体"/>
                <w:color w:val="000000" w:themeColor="text1"/>
                <w:kern w:val="0"/>
                <w:sz w:val="24"/>
                <w:szCs w:val="24"/>
                <w:highlight w:val="none"/>
                <w14:textFill>
                  <w14:solidFill>
                    <w14:schemeClr w14:val="tx1"/>
                  </w14:solidFill>
                </w14:textFill>
              </w:rPr>
            </w:pPr>
            <w:r>
              <w:rPr>
                <w:rFonts w:hint="eastAsia" w:ascii="宋体" w:hAnsi="宋体" w:cs="宋体"/>
                <w:color w:val="000000" w:themeColor="text1"/>
                <w:kern w:val="0"/>
                <w:sz w:val="24"/>
                <w:szCs w:val="24"/>
                <w:highlight w:val="none"/>
                <w14:textFill>
                  <w14:solidFill>
                    <w14:schemeClr w14:val="tx1"/>
                  </w14:solidFill>
                </w14:textFill>
              </w:rPr>
              <w:t>投标</w:t>
            </w:r>
            <w:r>
              <w:rPr>
                <w:rFonts w:hint="eastAsia" w:ascii="宋体" w:hAnsi="宋体" w:cs="宋体"/>
                <w:color w:val="000000" w:themeColor="text1"/>
                <w:kern w:val="0"/>
                <w:sz w:val="24"/>
                <w:szCs w:val="24"/>
                <w:highlight w:val="none"/>
                <w:lang w:eastAsia="zh-CN"/>
                <w14:textFill>
                  <w14:solidFill>
                    <w14:schemeClr w14:val="tx1"/>
                  </w14:solidFill>
                </w14:textFill>
              </w:rPr>
              <w:t>报</w:t>
            </w:r>
            <w:r>
              <w:rPr>
                <w:rFonts w:hint="eastAsia" w:ascii="宋体" w:hAnsi="宋体" w:cs="宋体"/>
                <w:color w:val="000000" w:themeColor="text1"/>
                <w:kern w:val="0"/>
                <w:sz w:val="24"/>
                <w:szCs w:val="24"/>
                <w:highlight w:val="none"/>
                <w14:textFill>
                  <w14:solidFill>
                    <w14:schemeClr w14:val="tx1"/>
                  </w14:solidFill>
                </w14:textFill>
              </w:rPr>
              <w:t>价</w:t>
            </w:r>
          </w:p>
          <w:p>
            <w:pPr>
              <w:jc w:val="center"/>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kern w:val="0"/>
                <w:sz w:val="24"/>
                <w:szCs w:val="24"/>
                <w:highlight w:val="none"/>
                <w14:textFill>
                  <w14:solidFill>
                    <w14:schemeClr w14:val="tx1"/>
                  </w14:solidFill>
                </w14:textFill>
              </w:rPr>
              <w:t>（元/</w:t>
            </w:r>
            <w:r>
              <w:rPr>
                <w:rFonts w:hint="eastAsia" w:ascii="宋体" w:hAnsi="宋体" w:cs="宋体"/>
                <w:color w:val="000000" w:themeColor="text1"/>
                <w:kern w:val="0"/>
                <w:sz w:val="24"/>
                <w:szCs w:val="24"/>
                <w:highlight w:val="none"/>
                <w:lang w:val="en-US" w:eastAsia="zh-CN"/>
                <w14:textFill>
                  <w14:solidFill>
                    <w14:schemeClr w14:val="tx1"/>
                  </w14:solidFill>
                </w14:textFill>
              </w:rPr>
              <w:t>1</w:t>
            </w:r>
            <w:r>
              <w:rPr>
                <w:rFonts w:hint="eastAsia" w:ascii="宋体" w:hAnsi="宋体" w:cs="宋体"/>
                <w:color w:val="000000" w:themeColor="text1"/>
                <w:kern w:val="0"/>
                <w:sz w:val="24"/>
                <w:szCs w:val="24"/>
                <w:highlight w:val="none"/>
                <w14:textFill>
                  <w14:solidFill>
                    <w14:schemeClr w14:val="tx1"/>
                  </w14:solidFill>
                </w14:textFill>
              </w:rPr>
              <w:t>年）</w:t>
            </w:r>
          </w:p>
        </w:tc>
        <w:tc>
          <w:tcPr>
            <w:tcW w:w="1233" w:type="dxa"/>
            <w:noWrap w:val="0"/>
            <w:vAlign w:val="center"/>
          </w:tcPr>
          <w:p>
            <w:pPr>
              <w:jc w:val="center"/>
              <w:rPr>
                <w:rFonts w:hint="eastAsia" w:ascii="宋体" w:hAnsi="宋体" w:cs="宋体"/>
                <w:color w:val="000000" w:themeColor="text1"/>
                <w:kern w:val="0"/>
                <w:sz w:val="24"/>
                <w:szCs w:val="24"/>
                <w:highlight w:val="none"/>
                <w14:textFill>
                  <w14:solidFill>
                    <w14:schemeClr w14:val="tx1"/>
                  </w14:solidFill>
                </w14:textFill>
              </w:rPr>
            </w:pPr>
            <w:r>
              <w:rPr>
                <w:rFonts w:hint="eastAsia" w:ascii="宋体" w:hAnsi="宋体" w:cs="宋体"/>
                <w:color w:val="000000" w:themeColor="text1"/>
                <w:kern w:val="0"/>
                <w:sz w:val="24"/>
                <w:szCs w:val="24"/>
                <w:highlight w:val="none"/>
                <w14:textFill>
                  <w14:solidFill>
                    <w14:schemeClr w14:val="tx1"/>
                  </w14:solidFill>
                </w14:textFill>
              </w:rPr>
              <w:t>服务期</w:t>
            </w:r>
          </w:p>
        </w:tc>
        <w:tc>
          <w:tcPr>
            <w:tcW w:w="2986" w:type="dxa"/>
            <w:noWrap w:val="0"/>
            <w:vAlign w:val="center"/>
          </w:tcPr>
          <w:p>
            <w:pPr>
              <w:widowControl/>
              <w:spacing w:line="320" w:lineRule="exact"/>
              <w:jc w:val="center"/>
              <w:rPr>
                <w:rFonts w:hint="eastAsia" w:ascii="宋体" w:hAnsi="宋体" w:cs="宋体"/>
                <w:color w:val="000000" w:themeColor="text1"/>
                <w:kern w:val="0"/>
                <w:sz w:val="24"/>
                <w:szCs w:val="24"/>
                <w:highlight w:val="none"/>
                <w14:textFill>
                  <w14:solidFill>
                    <w14:schemeClr w14:val="tx1"/>
                  </w14:solidFill>
                </w14:textFill>
              </w:rPr>
            </w:pPr>
            <w:r>
              <w:rPr>
                <w:rFonts w:hint="eastAsia" w:ascii="宋体" w:hAnsi="宋体" w:cs="宋体"/>
                <w:color w:val="000000" w:themeColor="text1"/>
                <w:kern w:val="0"/>
                <w:sz w:val="24"/>
                <w:szCs w:val="24"/>
                <w:highlight w:val="none"/>
                <w14:textFill>
                  <w14:solidFill>
                    <w14:schemeClr w14:val="tx1"/>
                  </w14:solidFill>
                </w14:textFill>
              </w:rPr>
              <w:t>投标</w:t>
            </w:r>
            <w:r>
              <w:rPr>
                <w:rFonts w:hint="eastAsia" w:ascii="宋体" w:hAnsi="宋体" w:cs="宋体"/>
                <w:color w:val="000000" w:themeColor="text1"/>
                <w:kern w:val="0"/>
                <w:sz w:val="24"/>
                <w:szCs w:val="24"/>
                <w:highlight w:val="none"/>
                <w:lang w:eastAsia="zh-CN"/>
                <w14:textFill>
                  <w14:solidFill>
                    <w14:schemeClr w14:val="tx1"/>
                  </w14:solidFill>
                </w14:textFill>
              </w:rPr>
              <w:t>报</w:t>
            </w:r>
            <w:r>
              <w:rPr>
                <w:rFonts w:hint="eastAsia" w:ascii="宋体" w:hAnsi="宋体" w:cs="宋体"/>
                <w:color w:val="000000" w:themeColor="text1"/>
                <w:kern w:val="0"/>
                <w:sz w:val="24"/>
                <w:szCs w:val="24"/>
                <w:highlight w:val="none"/>
                <w14:textFill>
                  <w14:solidFill>
                    <w14:schemeClr w14:val="tx1"/>
                  </w14:solidFill>
                </w14:textFill>
              </w:rPr>
              <w:t>价</w:t>
            </w:r>
          </w:p>
          <w:p>
            <w:pPr>
              <w:jc w:val="center"/>
              <w:rPr>
                <w:rFonts w:hint="eastAsia" w:ascii="宋体" w:hAnsi="宋体" w:cs="宋体"/>
                <w:color w:val="000000" w:themeColor="text1"/>
                <w:kern w:val="0"/>
                <w:sz w:val="24"/>
                <w:szCs w:val="24"/>
                <w:highlight w:val="none"/>
                <w14:textFill>
                  <w14:solidFill>
                    <w14:schemeClr w14:val="tx1"/>
                  </w14:solidFill>
                </w14:textFill>
              </w:rPr>
            </w:pPr>
            <w:r>
              <w:rPr>
                <w:rFonts w:hint="eastAsia" w:ascii="宋体" w:hAnsi="宋体" w:cs="宋体"/>
                <w:color w:val="000000" w:themeColor="text1"/>
                <w:kern w:val="0"/>
                <w:sz w:val="24"/>
                <w:szCs w:val="24"/>
                <w:highlight w:val="none"/>
                <w14:textFill>
                  <w14:solidFill>
                    <w14:schemeClr w14:val="tx1"/>
                  </w14:solidFill>
                </w14:textFill>
              </w:rPr>
              <w:t>（元/</w:t>
            </w:r>
            <w:r>
              <w:rPr>
                <w:rFonts w:hint="eastAsia" w:ascii="宋体" w:hAnsi="宋体" w:cs="宋体"/>
                <w:color w:val="000000" w:themeColor="text1"/>
                <w:kern w:val="0"/>
                <w:sz w:val="24"/>
                <w:szCs w:val="24"/>
                <w:highlight w:val="none"/>
                <w:lang w:val="en-US" w:eastAsia="zh-CN"/>
                <w14:textFill>
                  <w14:solidFill>
                    <w14:schemeClr w14:val="tx1"/>
                  </w14:solidFill>
                </w14:textFill>
              </w:rPr>
              <w:t>3</w:t>
            </w:r>
            <w:r>
              <w:rPr>
                <w:rFonts w:hint="eastAsia" w:ascii="宋体" w:hAnsi="宋体" w:cs="宋体"/>
                <w:color w:val="000000" w:themeColor="text1"/>
                <w:kern w:val="0"/>
                <w:sz w:val="24"/>
                <w:szCs w:val="24"/>
                <w:highlight w:val="none"/>
                <w14:textFill>
                  <w14:solidFill>
                    <w14:schemeClr w14:val="tx1"/>
                  </w14:solidFill>
                </w14:textFill>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jc w:val="center"/>
        </w:trPr>
        <w:tc>
          <w:tcPr>
            <w:tcW w:w="967" w:type="dxa"/>
            <w:noWrap w:val="0"/>
            <w:vAlign w:val="center"/>
          </w:tcPr>
          <w:p>
            <w:pPr>
              <w:jc w:val="center"/>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kern w:val="0"/>
                <w:sz w:val="24"/>
                <w:szCs w:val="24"/>
                <w:highlight w:val="none"/>
                <w14:textFill>
                  <w14:solidFill>
                    <w14:schemeClr w14:val="tx1"/>
                  </w14:solidFill>
                </w14:textFill>
              </w:rPr>
              <w:t>1</w:t>
            </w:r>
          </w:p>
        </w:tc>
        <w:tc>
          <w:tcPr>
            <w:tcW w:w="5035" w:type="dxa"/>
            <w:noWrap w:val="0"/>
            <w:vAlign w:val="center"/>
          </w:tcPr>
          <w:p>
            <w:pPr>
              <w:jc w:val="center"/>
              <w:rPr>
                <w:rFonts w:hint="eastAsia" w:ascii="宋体" w:hAnsi="宋体" w:cs="宋体"/>
                <w:b/>
                <w:color w:val="000000" w:themeColor="text1"/>
                <w:kern w:val="0"/>
                <w:sz w:val="24"/>
                <w:szCs w:val="24"/>
                <w:highlight w:val="none"/>
                <w14:textFill>
                  <w14:solidFill>
                    <w14:schemeClr w14:val="tx1"/>
                  </w14:solidFill>
                </w14:textFill>
              </w:rPr>
            </w:pPr>
            <w:r>
              <w:rPr>
                <w:rFonts w:hint="eastAsia" w:ascii="宋体" w:hAnsi="宋体" w:cs="宋体"/>
                <w:b/>
                <w:color w:val="000000" w:themeColor="text1"/>
                <w:kern w:val="0"/>
                <w:sz w:val="24"/>
                <w:szCs w:val="24"/>
                <w:highlight w:val="none"/>
                <w14:textFill>
                  <w14:solidFill>
                    <w14:schemeClr w14:val="tx1"/>
                  </w14:solidFill>
                </w14:textFill>
              </w:rPr>
              <w:t>市政道路养护部分</w:t>
            </w:r>
          </w:p>
        </w:tc>
        <w:tc>
          <w:tcPr>
            <w:tcW w:w="2269" w:type="dxa"/>
            <w:noWrap w:val="0"/>
            <w:vAlign w:val="top"/>
          </w:tcPr>
          <w:p>
            <w:pPr>
              <w:rPr>
                <w:rFonts w:hint="eastAsia" w:ascii="宋体" w:hAnsi="宋体" w:cs="宋体"/>
                <w:b/>
                <w:color w:val="000000" w:themeColor="text1"/>
                <w:sz w:val="24"/>
                <w:szCs w:val="24"/>
                <w:highlight w:val="none"/>
                <w14:textFill>
                  <w14:solidFill>
                    <w14:schemeClr w14:val="tx1"/>
                  </w14:solidFill>
                </w14:textFill>
              </w:rPr>
            </w:pPr>
          </w:p>
        </w:tc>
        <w:tc>
          <w:tcPr>
            <w:tcW w:w="1233" w:type="dxa"/>
            <w:vMerge w:val="restart"/>
            <w:noWrap w:val="0"/>
            <w:vAlign w:val="top"/>
          </w:tcPr>
          <w:p>
            <w:pPr>
              <w:ind w:firstLine="960" w:firstLineChars="400"/>
              <w:rPr>
                <w:rFonts w:hint="eastAsia" w:ascii="宋体" w:hAnsi="宋体" w:cs="宋体"/>
                <w:color w:val="000000" w:themeColor="text1"/>
                <w:sz w:val="24"/>
                <w:szCs w:val="24"/>
                <w:highlight w:val="none"/>
                <w14:textFill>
                  <w14:solidFill>
                    <w14:schemeClr w14:val="tx1"/>
                  </w14:solidFill>
                </w14:textFill>
              </w:rPr>
            </w:pPr>
          </w:p>
          <w:p>
            <w:pPr>
              <w:ind w:firstLine="960" w:firstLineChars="400"/>
              <w:rPr>
                <w:rFonts w:hint="eastAsia" w:ascii="宋体" w:hAnsi="宋体" w:cs="宋体"/>
                <w:color w:val="000000" w:themeColor="text1"/>
                <w:sz w:val="24"/>
                <w:szCs w:val="24"/>
                <w:highlight w:val="none"/>
                <w14:textFill>
                  <w14:solidFill>
                    <w14:schemeClr w14:val="tx1"/>
                  </w14:solidFill>
                </w14:textFill>
              </w:rPr>
            </w:pPr>
          </w:p>
          <w:p>
            <w:pPr>
              <w:ind w:firstLine="480" w:firstLineChars="200"/>
              <w:jc w:val="left"/>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3</w:t>
            </w:r>
            <w:r>
              <w:rPr>
                <w:rFonts w:hint="eastAsia" w:ascii="宋体" w:hAnsi="宋体" w:cs="宋体"/>
                <w:color w:val="000000" w:themeColor="text1"/>
                <w:sz w:val="24"/>
                <w:szCs w:val="24"/>
                <w:highlight w:val="none"/>
                <w14:textFill>
                  <w14:solidFill>
                    <w14:schemeClr w14:val="tx1"/>
                  </w14:solidFill>
                </w14:textFill>
              </w:rPr>
              <w:t>年</w:t>
            </w:r>
          </w:p>
        </w:tc>
        <w:tc>
          <w:tcPr>
            <w:tcW w:w="2986" w:type="dxa"/>
            <w:noWrap w:val="0"/>
            <w:vAlign w:val="top"/>
          </w:tcPr>
          <w:p>
            <w:pPr>
              <w:rPr>
                <w:rFonts w:hint="eastAsia" w:ascii="宋体" w:hAnsi="宋体" w:cs="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967" w:type="dxa"/>
            <w:noWrap w:val="0"/>
            <w:vAlign w:val="top"/>
          </w:tcPr>
          <w:p>
            <w:pPr>
              <w:jc w:val="center"/>
              <w:rPr>
                <w:rFonts w:hint="eastAsia" w:ascii="宋体" w:hAnsi="宋体" w:cs="宋体"/>
                <w:color w:val="000000" w:themeColor="text1"/>
                <w:sz w:val="24"/>
                <w:szCs w:val="24"/>
                <w:highlight w:val="none"/>
                <w14:textFill>
                  <w14:solidFill>
                    <w14:schemeClr w14:val="tx1"/>
                  </w14:solidFill>
                </w14:textFill>
              </w:rPr>
            </w:pPr>
          </w:p>
          <w:p>
            <w:pPr>
              <w:jc w:val="center"/>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2</w:t>
            </w:r>
          </w:p>
        </w:tc>
        <w:tc>
          <w:tcPr>
            <w:tcW w:w="5035" w:type="dxa"/>
            <w:noWrap w:val="0"/>
            <w:vAlign w:val="center"/>
          </w:tcPr>
          <w:p>
            <w:pPr>
              <w:jc w:val="center"/>
              <w:rPr>
                <w:rFonts w:hint="eastAsia" w:ascii="宋体" w:hAnsi="宋体" w:cs="宋体"/>
                <w:b/>
                <w:color w:val="000000" w:themeColor="text1"/>
                <w:kern w:val="0"/>
                <w:sz w:val="24"/>
                <w:szCs w:val="24"/>
                <w:highlight w:val="none"/>
                <w14:textFill>
                  <w14:solidFill>
                    <w14:schemeClr w14:val="tx1"/>
                  </w14:solidFill>
                </w14:textFill>
              </w:rPr>
            </w:pPr>
            <w:r>
              <w:rPr>
                <w:rFonts w:hint="eastAsia" w:ascii="宋体" w:hAnsi="宋体" w:cs="宋体"/>
                <w:b/>
                <w:color w:val="000000" w:themeColor="text1"/>
                <w:kern w:val="0"/>
                <w:sz w:val="24"/>
                <w:szCs w:val="24"/>
                <w:highlight w:val="none"/>
                <w14:textFill>
                  <w14:solidFill>
                    <w14:schemeClr w14:val="tx1"/>
                  </w14:solidFill>
                </w14:textFill>
              </w:rPr>
              <w:t>环卫道路保洁部分</w:t>
            </w:r>
          </w:p>
        </w:tc>
        <w:tc>
          <w:tcPr>
            <w:tcW w:w="2269" w:type="dxa"/>
            <w:noWrap w:val="0"/>
            <w:vAlign w:val="top"/>
          </w:tcPr>
          <w:p>
            <w:pPr>
              <w:rPr>
                <w:rFonts w:hint="eastAsia" w:ascii="宋体" w:hAnsi="宋体" w:cs="宋体"/>
                <w:color w:val="000000" w:themeColor="text1"/>
                <w:sz w:val="24"/>
                <w:szCs w:val="24"/>
                <w:highlight w:val="none"/>
                <w14:textFill>
                  <w14:solidFill>
                    <w14:schemeClr w14:val="tx1"/>
                  </w14:solidFill>
                </w14:textFill>
              </w:rPr>
            </w:pPr>
          </w:p>
        </w:tc>
        <w:tc>
          <w:tcPr>
            <w:tcW w:w="1233" w:type="dxa"/>
            <w:vMerge w:val="continue"/>
            <w:noWrap w:val="0"/>
            <w:vAlign w:val="top"/>
          </w:tcPr>
          <w:p>
            <w:pPr>
              <w:rPr>
                <w:rFonts w:hint="eastAsia" w:ascii="宋体" w:hAnsi="宋体" w:cs="宋体"/>
                <w:color w:val="000000" w:themeColor="text1"/>
                <w:sz w:val="24"/>
                <w:szCs w:val="24"/>
                <w:highlight w:val="none"/>
                <w14:textFill>
                  <w14:solidFill>
                    <w14:schemeClr w14:val="tx1"/>
                  </w14:solidFill>
                </w14:textFill>
              </w:rPr>
            </w:pPr>
          </w:p>
        </w:tc>
        <w:tc>
          <w:tcPr>
            <w:tcW w:w="2986" w:type="dxa"/>
            <w:noWrap w:val="0"/>
            <w:vAlign w:val="top"/>
          </w:tcPr>
          <w:p>
            <w:pPr>
              <w:rPr>
                <w:rFonts w:hint="eastAsia" w:ascii="宋体" w:hAnsi="宋体" w:cs="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jc w:val="center"/>
        </w:trPr>
        <w:tc>
          <w:tcPr>
            <w:tcW w:w="967" w:type="dxa"/>
            <w:noWrap w:val="0"/>
            <w:vAlign w:val="top"/>
          </w:tcPr>
          <w:p>
            <w:pPr>
              <w:jc w:val="center"/>
              <w:rPr>
                <w:rFonts w:hint="eastAsia" w:ascii="宋体" w:hAnsi="宋体" w:cs="宋体"/>
                <w:color w:val="000000" w:themeColor="text1"/>
                <w:sz w:val="24"/>
                <w:szCs w:val="24"/>
                <w:highlight w:val="none"/>
                <w14:textFill>
                  <w14:solidFill>
                    <w14:schemeClr w14:val="tx1"/>
                  </w14:solidFill>
                </w14:textFill>
              </w:rPr>
            </w:pPr>
          </w:p>
          <w:p>
            <w:pPr>
              <w:jc w:val="center"/>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3</w:t>
            </w:r>
          </w:p>
        </w:tc>
        <w:tc>
          <w:tcPr>
            <w:tcW w:w="5035" w:type="dxa"/>
            <w:noWrap w:val="0"/>
            <w:vAlign w:val="center"/>
          </w:tcPr>
          <w:p>
            <w:pPr>
              <w:jc w:val="center"/>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eastAsia="宋体" w:cs="宋体"/>
                <w:b/>
                <w:bCs/>
                <w:i w:val="0"/>
                <w:iCs w:val="0"/>
                <w:color w:val="000000" w:themeColor="text1"/>
                <w:kern w:val="0"/>
                <w:sz w:val="24"/>
                <w:szCs w:val="24"/>
                <w:highlight w:val="none"/>
                <w:u w:val="none"/>
                <w:lang w:val="en-US" w:eastAsia="zh-CN" w:bidi="ar"/>
                <w14:textFill>
                  <w14:solidFill>
                    <w14:schemeClr w14:val="tx1"/>
                  </w14:solidFill>
                </w14:textFill>
              </w:rPr>
              <w:t>投标总报价</w:t>
            </w:r>
            <w:r>
              <w:rPr>
                <w:rFonts w:hint="eastAsia" w:ascii="宋体" w:hAnsi="宋体" w:cs="宋体"/>
                <w:b/>
                <w:bCs/>
                <w:i w:val="0"/>
                <w:iCs w:val="0"/>
                <w:color w:val="000000" w:themeColor="text1"/>
                <w:kern w:val="0"/>
                <w:sz w:val="24"/>
                <w:szCs w:val="24"/>
                <w:highlight w:val="none"/>
                <w:u w:val="none"/>
                <w:lang w:val="en-US" w:eastAsia="zh-CN" w:bidi="ar"/>
                <w14:textFill>
                  <w14:solidFill>
                    <w14:schemeClr w14:val="tx1"/>
                  </w14:solidFill>
                </w14:textFill>
              </w:rPr>
              <w:t>（合计）</w:t>
            </w:r>
          </w:p>
        </w:tc>
        <w:tc>
          <w:tcPr>
            <w:tcW w:w="2269" w:type="dxa"/>
            <w:noWrap w:val="0"/>
            <w:vAlign w:val="center"/>
          </w:tcPr>
          <w:p>
            <w:pPr>
              <w:rPr>
                <w:rFonts w:hint="eastAsia" w:ascii="宋体" w:hAnsi="宋体" w:cs="宋体"/>
                <w:color w:val="000000" w:themeColor="text1"/>
                <w:sz w:val="24"/>
                <w:szCs w:val="24"/>
                <w:highlight w:val="none"/>
                <w:lang w:val="en-GB"/>
                <w14:textFill>
                  <w14:solidFill>
                    <w14:schemeClr w14:val="tx1"/>
                  </w14:solidFill>
                </w14:textFill>
              </w:rPr>
            </w:pPr>
          </w:p>
        </w:tc>
        <w:tc>
          <w:tcPr>
            <w:tcW w:w="1233" w:type="dxa"/>
            <w:vMerge w:val="continue"/>
            <w:noWrap w:val="0"/>
            <w:vAlign w:val="center"/>
          </w:tcPr>
          <w:p>
            <w:pPr>
              <w:rPr>
                <w:rFonts w:hint="eastAsia" w:ascii="宋体" w:hAnsi="宋体" w:cs="宋体"/>
                <w:color w:val="000000" w:themeColor="text1"/>
                <w:sz w:val="24"/>
                <w:szCs w:val="24"/>
                <w:highlight w:val="none"/>
                <w:lang w:val="en-GB"/>
                <w14:textFill>
                  <w14:solidFill>
                    <w14:schemeClr w14:val="tx1"/>
                  </w14:solidFill>
                </w14:textFill>
              </w:rPr>
            </w:pPr>
          </w:p>
        </w:tc>
        <w:tc>
          <w:tcPr>
            <w:tcW w:w="2986" w:type="dxa"/>
            <w:noWrap w:val="0"/>
            <w:vAlign w:val="center"/>
          </w:tcPr>
          <w:p>
            <w:pPr>
              <w:rPr>
                <w:rFonts w:hint="eastAsia" w:ascii="宋体" w:hAnsi="宋体" w:cs="宋体"/>
                <w:color w:val="000000" w:themeColor="text1"/>
                <w:sz w:val="24"/>
                <w:szCs w:val="24"/>
                <w:highlight w:val="none"/>
                <w:lang w:val="en-GB"/>
                <w14:textFill>
                  <w14:solidFill>
                    <w14:schemeClr w14:val="tx1"/>
                  </w14:solidFill>
                </w14:textFill>
              </w:rPr>
            </w:pPr>
            <w:r>
              <w:rPr>
                <w:rFonts w:hint="eastAsia" w:ascii="宋体" w:hAnsi="宋体" w:eastAsia="宋体" w:cs="宋体"/>
                <w:b/>
                <w:bCs/>
                <w:i w:val="0"/>
                <w:iCs w:val="0"/>
                <w:color w:val="000000" w:themeColor="text1"/>
                <w:kern w:val="0"/>
                <w:sz w:val="24"/>
                <w:szCs w:val="24"/>
                <w:highlight w:val="none"/>
                <w:u w:val="single"/>
                <w:lang w:val="en-US" w:eastAsia="zh-CN" w:bidi="ar"/>
                <w14:textFill>
                  <w14:solidFill>
                    <w14:schemeClr w14:val="tx1"/>
                  </w14:solidFill>
                </w14:textFill>
              </w:rPr>
              <w:t xml:space="preserve">  （按此价格唱标） </w:t>
            </w:r>
            <w:r>
              <w:rPr>
                <w:rFonts w:hint="eastAsia" w:ascii="宋体" w:hAnsi="宋体" w:eastAsia="宋体" w:cs="宋体"/>
                <w:b/>
                <w:bCs/>
                <w:i w:val="0"/>
                <w:iCs w:val="0"/>
                <w:color w:val="000000" w:themeColor="text1"/>
                <w:kern w:val="0"/>
                <w:sz w:val="24"/>
                <w:szCs w:val="24"/>
                <w:highlight w:val="none"/>
                <w:u w:val="none"/>
                <w:lang w:val="en-US" w:eastAsia="zh-CN" w:bidi="ar"/>
                <w14:textFill>
                  <w14:solidFill>
                    <w14:schemeClr w14:val="tx1"/>
                  </w14:solidFill>
                </w14:textFill>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jc w:val="center"/>
        </w:trPr>
        <w:tc>
          <w:tcPr>
            <w:tcW w:w="12490" w:type="dxa"/>
            <w:gridSpan w:val="5"/>
            <w:noWrap w:val="0"/>
            <w:vAlign w:val="center"/>
          </w:tcPr>
          <w:p>
            <w:pPr>
              <w:keepNext w:val="0"/>
              <w:keepLines w:val="0"/>
              <w:widowControl/>
              <w:suppressLineNumbers w:val="0"/>
              <w:jc w:val="both"/>
              <w:textAlignment w:val="center"/>
              <w:rPr>
                <w:rFonts w:hint="eastAsia" w:ascii="宋体" w:hAnsi="宋体" w:eastAsia="宋体" w:cs="宋体"/>
                <w:b/>
                <w:bCs/>
                <w:i w:val="0"/>
                <w:iCs w:val="0"/>
                <w:color w:val="000000" w:themeColor="text1"/>
                <w:kern w:val="2"/>
                <w:sz w:val="24"/>
                <w:szCs w:val="24"/>
                <w:highlight w:val="none"/>
                <w:u w:val="none"/>
                <w:lang w:val="en-US" w:eastAsia="zh-CN" w:bidi="ar-SA"/>
                <w14:textFill>
                  <w14:solidFill>
                    <w14:schemeClr w14:val="tx1"/>
                  </w14:solidFill>
                </w14:textFill>
              </w:rPr>
            </w:pPr>
            <w:r>
              <w:rPr>
                <w:rFonts w:hint="eastAsia" w:ascii="宋体" w:hAnsi="宋体" w:eastAsia="宋体" w:cs="宋体"/>
                <w:b/>
                <w:bCs/>
                <w:i w:val="0"/>
                <w:iCs w:val="0"/>
                <w:color w:val="000000" w:themeColor="text1"/>
                <w:kern w:val="0"/>
                <w:sz w:val="24"/>
                <w:szCs w:val="24"/>
                <w:highlight w:val="none"/>
                <w:u w:val="none"/>
                <w:lang w:val="en-US" w:eastAsia="zh-CN" w:bidi="ar"/>
                <w14:textFill>
                  <w14:solidFill>
                    <w14:schemeClr w14:val="tx1"/>
                  </w14:solidFill>
                </w14:textFill>
              </w:rPr>
              <w:t>项目负责人：       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jc w:val="center"/>
        </w:trPr>
        <w:tc>
          <w:tcPr>
            <w:tcW w:w="12490" w:type="dxa"/>
            <w:gridSpan w:val="5"/>
            <w:noWrap w:val="0"/>
            <w:vAlign w:val="center"/>
          </w:tcPr>
          <w:p>
            <w:pPr>
              <w:keepNext w:val="0"/>
              <w:keepLines w:val="0"/>
              <w:widowControl/>
              <w:suppressLineNumbers w:val="0"/>
              <w:jc w:val="left"/>
              <w:textAlignment w:val="center"/>
              <w:rPr>
                <w:rFonts w:hint="eastAsia" w:ascii="宋体" w:hAnsi="宋体" w:eastAsia="宋体" w:cs="宋体"/>
                <w:b/>
                <w:bCs/>
                <w:i w:val="0"/>
                <w:iCs w:val="0"/>
                <w:color w:val="000000" w:themeColor="text1"/>
                <w:kern w:val="2"/>
                <w:sz w:val="24"/>
                <w:szCs w:val="24"/>
                <w:highlight w:val="none"/>
                <w:u w:val="none"/>
                <w:lang w:val="en-US" w:eastAsia="zh-CN" w:bidi="ar-SA"/>
                <w14:textFill>
                  <w14:solidFill>
                    <w14:schemeClr w14:val="tx1"/>
                  </w14:solidFill>
                </w14:textFill>
              </w:rPr>
            </w:pPr>
            <w:r>
              <w:rPr>
                <w:rFonts w:hint="eastAsia" w:ascii="宋体" w:hAnsi="宋体" w:eastAsia="宋体" w:cs="宋体"/>
                <w:b/>
                <w:bCs/>
                <w:i w:val="0"/>
                <w:iCs w:val="0"/>
                <w:color w:val="000000" w:themeColor="text1"/>
                <w:kern w:val="0"/>
                <w:sz w:val="24"/>
                <w:szCs w:val="24"/>
                <w:highlight w:val="none"/>
                <w:u w:val="none"/>
                <w:lang w:val="en-US" w:eastAsia="zh-CN" w:bidi="ar"/>
                <w14:textFill>
                  <w14:solidFill>
                    <w14:schemeClr w14:val="tx1"/>
                  </w14:solidFill>
                </w14:textFill>
              </w:rPr>
              <w:t>合同履约期限：3年，</w:t>
            </w:r>
            <w:r>
              <w:rPr>
                <w:rFonts w:hint="eastAsia" w:ascii="宋体" w:hAnsi="宋体" w:cs="宋体"/>
                <w:b/>
                <w:bCs/>
                <w:i w:val="0"/>
                <w:iCs w:val="0"/>
                <w:color w:val="000000" w:themeColor="text1"/>
                <w:kern w:val="0"/>
                <w:sz w:val="24"/>
                <w:szCs w:val="24"/>
                <w:highlight w:val="none"/>
                <w:u w:val="none"/>
                <w:lang w:val="en-US" w:eastAsia="zh-CN" w:bidi="ar"/>
                <w14:textFill>
                  <w14:solidFill>
                    <w14:schemeClr w14:val="tx1"/>
                  </w14:solidFill>
                </w14:textFill>
              </w:rPr>
              <w:t>具体起始日期以合同约定为准，合同期限采取“1+1+1”模式签订</w:t>
            </w:r>
            <w:r>
              <w:rPr>
                <w:rFonts w:hint="eastAsia" w:ascii="宋体" w:hAnsi="宋体" w:eastAsia="宋体" w:cs="宋体"/>
                <w:b/>
                <w:bCs/>
                <w:i w:val="0"/>
                <w:iCs w:val="0"/>
                <w:color w:val="000000" w:themeColor="text1"/>
                <w:kern w:val="0"/>
                <w:sz w:val="24"/>
                <w:szCs w:val="24"/>
                <w:highlight w:val="none"/>
                <w:u w:val="none"/>
                <w:lang w:val="en-US" w:eastAsia="zh-CN" w:bidi="ar"/>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jc w:val="center"/>
        </w:trPr>
        <w:tc>
          <w:tcPr>
            <w:tcW w:w="12490" w:type="dxa"/>
            <w:gridSpan w:val="5"/>
            <w:vAlign w:val="center"/>
          </w:tcPr>
          <w:p>
            <w:pPr>
              <w:keepNext w:val="0"/>
              <w:keepLines w:val="0"/>
              <w:widowControl/>
              <w:suppressLineNumbers w:val="0"/>
              <w:jc w:val="left"/>
              <w:textAlignment w:val="center"/>
              <w:rPr>
                <w:rFonts w:hint="eastAsia" w:ascii="宋体" w:hAnsi="宋体" w:eastAsia="宋体" w:cs="宋体"/>
                <w:b/>
                <w:bCs/>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b/>
                <w:bCs/>
                <w:i w:val="0"/>
                <w:iCs w:val="0"/>
                <w:color w:val="000000" w:themeColor="text1"/>
                <w:kern w:val="0"/>
                <w:sz w:val="24"/>
                <w:szCs w:val="24"/>
                <w:highlight w:val="none"/>
                <w:u w:val="none"/>
                <w:lang w:val="en-US" w:eastAsia="zh-CN" w:bidi="ar"/>
                <w14:textFill>
                  <w14:solidFill>
                    <w14:schemeClr w14:val="tx1"/>
                  </w14:solidFill>
                </w14:textFill>
              </w:rPr>
              <w:t>投标报价明细详见附件：投标报价明细表（一）、表（二）</w:t>
            </w:r>
          </w:p>
        </w:tc>
      </w:tr>
    </w:tbl>
    <w:p>
      <w:pPr>
        <w:snapToGrid w:val="0"/>
        <w:spacing w:line="360" w:lineRule="auto"/>
        <w:ind w:left="480"/>
        <w:rPr>
          <w:rFonts w:hint="eastAsia" w:ascii="宋体" w:hAnsi="宋体" w:eastAsia="宋体" w:cs="宋体"/>
          <w:b/>
          <w:color w:val="000000" w:themeColor="text1"/>
          <w:kern w:val="0"/>
          <w:sz w:val="24"/>
          <w:highlight w:val="none"/>
          <w:lang w:val="zh-CN"/>
          <w14:textFill>
            <w14:solidFill>
              <w14:schemeClr w14:val="tx1"/>
            </w14:solidFill>
          </w14:textFill>
        </w:rPr>
      </w:pPr>
      <w:r>
        <w:rPr>
          <w:rFonts w:hint="eastAsia" w:ascii="宋体" w:hAnsi="宋体" w:eastAsia="宋体" w:cs="宋体"/>
          <w:b/>
          <w:color w:val="000000" w:themeColor="text1"/>
          <w:kern w:val="0"/>
          <w:sz w:val="24"/>
          <w:highlight w:val="none"/>
          <w:lang w:val="zh-CN"/>
          <w14:textFill>
            <w14:solidFill>
              <w14:schemeClr w14:val="tx1"/>
            </w14:solidFill>
          </w14:textFill>
        </w:rPr>
        <w:t>注：</w:t>
      </w:r>
    </w:p>
    <w:p>
      <w:pPr>
        <w:spacing w:line="360" w:lineRule="auto"/>
        <w:ind w:left="-2" w:leftChars="-1" w:firstLine="480" w:firstLineChars="200"/>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1、供应商需按本表格式填写</w:t>
      </w:r>
      <w:r>
        <w:rPr>
          <w:rFonts w:hint="eastAsia" w:ascii="宋体" w:hAnsi="宋体" w:eastAsia="宋体" w:cs="宋体"/>
          <w:b/>
          <w:color w:val="000000" w:themeColor="text1"/>
          <w:kern w:val="0"/>
          <w:sz w:val="24"/>
          <w:highlight w:val="none"/>
          <w:lang w:val="zh-CN"/>
          <w14:textFill>
            <w14:solidFill>
              <w14:schemeClr w14:val="tx1"/>
            </w14:solidFill>
          </w14:textFill>
        </w:rPr>
        <w:t>，</w:t>
      </w:r>
      <w:r>
        <w:rPr>
          <w:rFonts w:hint="eastAsia" w:ascii="宋体" w:hAnsi="宋体" w:eastAsia="宋体" w:cs="宋体"/>
          <w:b/>
          <w:color w:val="000000" w:themeColor="text1"/>
          <w:kern w:val="0"/>
          <w:sz w:val="24"/>
          <w:highlight w:val="none"/>
          <w14:textFill>
            <w14:solidFill>
              <w14:schemeClr w14:val="tx1"/>
            </w14:solidFill>
          </w14:textFill>
        </w:rPr>
        <w:t>否则视为</w:t>
      </w:r>
      <w:r>
        <w:rPr>
          <w:rFonts w:hint="eastAsia" w:ascii="宋体" w:hAnsi="宋体" w:eastAsia="宋体" w:cs="宋体"/>
          <w:b/>
          <w:color w:val="000000" w:themeColor="text1"/>
          <w:sz w:val="24"/>
          <w:highlight w:val="none"/>
          <w14:textFill>
            <w14:solidFill>
              <w14:schemeClr w14:val="tx1"/>
            </w14:solidFill>
          </w14:textFill>
        </w:rPr>
        <w:t>投标文件含有采购人不能接受的附加条件，投标无效</w:t>
      </w:r>
      <w:r>
        <w:rPr>
          <w:rFonts w:hint="eastAsia" w:ascii="宋体" w:hAnsi="宋体" w:eastAsia="宋体" w:cs="宋体"/>
          <w:b/>
          <w:color w:val="000000" w:themeColor="text1"/>
          <w:kern w:val="0"/>
          <w:sz w:val="24"/>
          <w:highlight w:val="none"/>
          <w:lang w:val="zh-CN"/>
          <w14:textFill>
            <w14:solidFill>
              <w14:schemeClr w14:val="tx1"/>
            </w14:solidFill>
          </w14:textFill>
        </w:rPr>
        <w:t>；</w:t>
      </w:r>
    </w:p>
    <w:p>
      <w:pPr>
        <w:spacing w:line="360" w:lineRule="auto"/>
        <w:ind w:firstLine="480" w:firstLineChars="200"/>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2、有关本项目实施所涉及的一切费用均计入报价。</w:t>
      </w:r>
      <w:r>
        <w:rPr>
          <w:rFonts w:hint="eastAsia" w:ascii="宋体" w:hAnsi="宋体" w:eastAsia="宋体" w:cs="宋体"/>
          <w:b/>
          <w:color w:val="000000" w:themeColor="text1"/>
          <w:kern w:val="0"/>
          <w:sz w:val="24"/>
          <w:highlight w:val="none"/>
          <w:lang w:val="zh-CN"/>
          <w14:textFill>
            <w14:solidFill>
              <w14:schemeClr w14:val="tx1"/>
            </w14:solidFill>
          </w14:textFill>
        </w:rPr>
        <w:t>采购人将以合同形式有偿取得货物或服务，不接受供应商给予的赠品、回扣或者与采购无关的其他商品、服务</w:t>
      </w:r>
      <w:r>
        <w:rPr>
          <w:rFonts w:hint="eastAsia" w:ascii="宋体" w:hAnsi="宋体" w:eastAsia="宋体" w:cs="宋体"/>
          <w:color w:val="000000" w:themeColor="text1"/>
          <w:kern w:val="0"/>
          <w:sz w:val="24"/>
          <w:highlight w:val="none"/>
          <w:lang w:val="zh-CN"/>
          <w14:textFill>
            <w14:solidFill>
              <w14:schemeClr w14:val="tx1"/>
            </w14:solidFill>
          </w14:textFill>
        </w:rPr>
        <w:t>，</w:t>
      </w:r>
      <w:r>
        <w:rPr>
          <w:rFonts w:hint="eastAsia" w:ascii="宋体" w:hAnsi="宋体" w:eastAsia="宋体" w:cs="宋体"/>
          <w:b/>
          <w:color w:val="000000" w:themeColor="text1"/>
          <w:kern w:val="0"/>
          <w:sz w:val="24"/>
          <w:highlight w:val="none"/>
          <w:lang w:val="zh-CN"/>
          <w14:textFill>
            <w14:solidFill>
              <w14:schemeClr w14:val="tx1"/>
            </w14:solidFill>
          </w14:textFill>
        </w:rPr>
        <w:t>不得出现“0元”“免费赠送”等形式的无偿报价，</w:t>
      </w:r>
      <w:r>
        <w:rPr>
          <w:rFonts w:hint="eastAsia" w:ascii="宋体" w:hAnsi="宋体" w:eastAsia="宋体" w:cs="宋体"/>
          <w:b/>
          <w:color w:val="000000" w:themeColor="text1"/>
          <w:kern w:val="0"/>
          <w:sz w:val="24"/>
          <w:highlight w:val="none"/>
          <w14:textFill>
            <w14:solidFill>
              <w14:schemeClr w14:val="tx1"/>
            </w14:solidFill>
          </w14:textFill>
        </w:rPr>
        <w:t>否则视为</w:t>
      </w:r>
      <w:r>
        <w:rPr>
          <w:rFonts w:hint="eastAsia" w:ascii="宋体" w:hAnsi="宋体" w:eastAsia="宋体" w:cs="宋体"/>
          <w:b/>
          <w:color w:val="000000" w:themeColor="text1"/>
          <w:sz w:val="24"/>
          <w:highlight w:val="none"/>
          <w14:textFill>
            <w14:solidFill>
              <w14:schemeClr w14:val="tx1"/>
            </w14:solidFill>
          </w14:textFill>
        </w:rPr>
        <w:t>投标文件含有采购人不能接受的附加条件，投标无效</w:t>
      </w:r>
      <w:r>
        <w:rPr>
          <w:rFonts w:hint="eastAsia" w:ascii="宋体" w:hAnsi="宋体" w:eastAsia="宋体" w:cs="宋体"/>
          <w:b/>
          <w:color w:val="000000" w:themeColor="text1"/>
          <w:kern w:val="0"/>
          <w:sz w:val="24"/>
          <w:highlight w:val="none"/>
          <w:lang w:val="zh-CN"/>
          <w14:textFill>
            <w14:solidFill>
              <w14:schemeClr w14:val="tx1"/>
            </w14:solidFill>
          </w14:textFill>
        </w:rPr>
        <w:t>；采购内容未包含在《开标一览表（报价表）》名称栏中，供应商不能作出合理解释的，</w:t>
      </w:r>
      <w:r>
        <w:rPr>
          <w:rFonts w:hint="eastAsia" w:ascii="宋体" w:hAnsi="宋体" w:eastAsia="宋体" w:cs="宋体"/>
          <w:b/>
          <w:color w:val="000000" w:themeColor="text1"/>
          <w:kern w:val="0"/>
          <w:sz w:val="24"/>
          <w:highlight w:val="none"/>
          <w14:textFill>
            <w14:solidFill>
              <w14:schemeClr w14:val="tx1"/>
            </w14:solidFill>
          </w14:textFill>
        </w:rPr>
        <w:t>视为</w:t>
      </w:r>
      <w:r>
        <w:rPr>
          <w:rFonts w:hint="eastAsia" w:ascii="宋体" w:hAnsi="宋体" w:eastAsia="宋体" w:cs="宋体"/>
          <w:b/>
          <w:color w:val="000000" w:themeColor="text1"/>
          <w:sz w:val="24"/>
          <w:highlight w:val="none"/>
          <w14:textFill>
            <w14:solidFill>
              <w14:schemeClr w14:val="tx1"/>
            </w14:solidFill>
          </w14:textFill>
        </w:rPr>
        <w:t>投标文件含有采购人不能接受的附加条件的，投标无效。</w:t>
      </w:r>
    </w:p>
    <w:p>
      <w:pPr>
        <w:snapToGrid w:val="0"/>
        <w:spacing w:line="360" w:lineRule="auto"/>
        <w:ind w:firstLine="480" w:firstLineChars="200"/>
        <w:jc w:val="left"/>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3、特别提示：采购代理机构将对项目名称和项目编号，中标供应商名称、地址和中标金额，主要中标标的名称、服务范围、服务要求、服务时间、服务标准等予以公示。</w:t>
      </w:r>
    </w:p>
    <w:p>
      <w:pPr>
        <w:snapToGrid w:val="0"/>
        <w:spacing w:line="360" w:lineRule="auto"/>
        <w:ind w:firstLine="480" w:firstLineChars="200"/>
        <w:jc w:val="left"/>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szCs w:val="22"/>
          <w:highlight w:val="none"/>
          <w:lang w:val="zh-CN"/>
          <w14:textFill>
            <w14:solidFill>
              <w14:schemeClr w14:val="tx1"/>
            </w14:solidFill>
          </w14:textFill>
        </w:rPr>
        <w:t>4、</w:t>
      </w:r>
      <w:r>
        <w:rPr>
          <w:rFonts w:hint="eastAsia" w:ascii="宋体" w:hAnsi="宋体" w:eastAsia="宋体" w:cs="宋体"/>
          <w:color w:val="000000" w:themeColor="text1"/>
          <w:kern w:val="0"/>
          <w:sz w:val="24"/>
          <w:highlight w:val="none"/>
          <w:lang w:val="zh-CN"/>
          <w14:textFill>
            <w14:solidFill>
              <w14:schemeClr w14:val="tx1"/>
            </w14:solidFill>
          </w14:textFill>
        </w:rPr>
        <w:t>符合投标文件中列明的可享受中小企业扶持政策的供应商，请填写中小企业声明函。注：供应商提供的中小企业声明函内容不实的，属于提供虚假材料谋取中标、成交，依照《中华人民共和国政府采购法》等国家有关规定追究相应责任。</w:t>
      </w:r>
    </w:p>
    <w:p>
      <w:pPr>
        <w:spacing w:line="360" w:lineRule="auto"/>
        <w:ind w:firstLine="482" w:firstLineChars="200"/>
        <w:rPr>
          <w:rFonts w:hint="eastAsia" w:ascii="宋体" w:hAnsi="宋体" w:eastAsia="宋体" w:cs="宋体"/>
          <w:b/>
          <w:color w:val="000000" w:themeColor="text1"/>
          <w:kern w:val="0"/>
          <w:sz w:val="24"/>
          <w:highlight w:val="none"/>
          <w14:textFill>
            <w14:solidFill>
              <w14:schemeClr w14:val="tx1"/>
            </w14:solidFill>
          </w14:textFill>
        </w:rPr>
      </w:pPr>
    </w:p>
    <w:p>
      <w:pPr>
        <w:pStyle w:val="692"/>
        <w:keepNext w:val="0"/>
        <w:pageBreakBefore w:val="0"/>
        <w:tabs>
          <w:tab w:val="clear" w:pos="720"/>
        </w:tabs>
        <w:snapToGrid w:val="0"/>
        <w:spacing w:before="120" w:after="120"/>
        <w:ind w:firstLine="643"/>
        <w:outlineLvl w:val="9"/>
        <w:rPr>
          <w:rFonts w:hint="eastAsia" w:ascii="宋体" w:hAnsi="宋体" w:eastAsia="宋体" w:cs="宋体"/>
          <w:color w:val="000000" w:themeColor="text1"/>
          <w:kern w:val="2"/>
          <w:sz w:val="32"/>
          <w:szCs w:val="32"/>
          <w:highlight w:val="none"/>
          <w14:textFill>
            <w14:solidFill>
              <w14:schemeClr w14:val="tx1"/>
            </w14:solidFill>
          </w14:textFill>
        </w:rPr>
      </w:pPr>
    </w:p>
    <w:p>
      <w:pPr>
        <w:pStyle w:val="692"/>
        <w:keepNext w:val="0"/>
        <w:pageBreakBefore w:val="0"/>
        <w:tabs>
          <w:tab w:val="clear" w:pos="720"/>
        </w:tabs>
        <w:snapToGrid w:val="0"/>
        <w:spacing w:before="120" w:after="120"/>
        <w:ind w:firstLine="643"/>
        <w:outlineLvl w:val="9"/>
        <w:rPr>
          <w:rFonts w:hint="eastAsia" w:ascii="宋体" w:hAnsi="宋体" w:eastAsia="宋体" w:cs="宋体"/>
          <w:color w:val="000000" w:themeColor="text1"/>
          <w:kern w:val="2"/>
          <w:sz w:val="32"/>
          <w:szCs w:val="32"/>
          <w:highlight w:val="none"/>
          <w14:textFill>
            <w14:solidFill>
              <w14:schemeClr w14:val="tx1"/>
            </w14:solidFill>
          </w14:textFill>
        </w:rPr>
        <w:sectPr>
          <w:pgSz w:w="16838" w:h="11906" w:orient="landscape"/>
          <w:pgMar w:top="1418" w:right="1247" w:bottom="1418" w:left="1276" w:header="851" w:footer="992" w:gutter="0"/>
          <w:cols w:space="720" w:num="1"/>
          <w:titlePg/>
          <w:docGrid w:linePitch="312" w:charSpace="0"/>
        </w:sectPr>
      </w:pPr>
    </w:p>
    <w:p>
      <w:pPr>
        <w:jc w:val="left"/>
        <w:rPr>
          <w:rFonts w:hint="eastAsia" w:ascii="宋体" w:hAnsi="宋体" w:eastAsia="宋体" w:cs="宋体"/>
          <w:b/>
          <w:bCs/>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b/>
          <w:bCs/>
          <w:i w:val="0"/>
          <w:iCs w:val="0"/>
          <w:color w:val="000000" w:themeColor="text1"/>
          <w:kern w:val="0"/>
          <w:sz w:val="24"/>
          <w:szCs w:val="24"/>
          <w:highlight w:val="none"/>
          <w:u w:val="none"/>
          <w:lang w:val="en-US" w:eastAsia="zh-CN" w:bidi="ar"/>
          <w14:textFill>
            <w14:solidFill>
              <w14:schemeClr w14:val="tx1"/>
            </w14:solidFill>
          </w14:textFill>
        </w:rPr>
        <w:t>附件：</w:t>
      </w:r>
    </w:p>
    <w:p>
      <w:pPr>
        <w:pStyle w:val="692"/>
        <w:keepNext w:val="0"/>
        <w:pageBreakBefore w:val="0"/>
        <w:numPr>
          <w:ilvl w:val="0"/>
          <w:numId w:val="0"/>
        </w:numPr>
        <w:tabs>
          <w:tab w:val="clear" w:pos="720"/>
        </w:tabs>
        <w:kinsoku/>
        <w:overflowPunct/>
        <w:topLinePunct w:val="0"/>
        <w:bidi w:val="0"/>
        <w:snapToGrid w:val="0"/>
        <w:spacing w:before="120" w:after="120" w:line="360" w:lineRule="auto"/>
        <w:ind w:firstLine="1285" w:firstLineChars="400"/>
        <w:jc w:val="both"/>
        <w:outlineLvl w:val="2"/>
        <w:rPr>
          <w:rFonts w:hint="eastAsia" w:ascii="宋体" w:hAnsi="宋体" w:eastAsia="宋体" w:cs="宋体"/>
          <w:color w:val="000000" w:themeColor="text1"/>
          <w:kern w:val="2"/>
          <w:sz w:val="32"/>
          <w:szCs w:val="32"/>
          <w:highlight w:val="none"/>
          <w14:textFill>
            <w14:solidFill>
              <w14:schemeClr w14:val="tx1"/>
            </w14:solidFill>
          </w14:textFill>
        </w:rPr>
      </w:pPr>
      <w:r>
        <w:rPr>
          <w:rFonts w:hint="eastAsia" w:ascii="宋体" w:hAnsi="宋体" w:eastAsia="宋体" w:cs="宋体"/>
          <w:color w:val="000000" w:themeColor="text1"/>
          <w:kern w:val="2"/>
          <w:sz w:val="32"/>
          <w:szCs w:val="32"/>
          <w:highlight w:val="none"/>
          <w:lang w:val="en-US" w:eastAsia="zh-CN"/>
          <w14:textFill>
            <w14:solidFill>
              <w14:schemeClr w14:val="tx1"/>
            </w14:solidFill>
          </w14:textFill>
        </w:rPr>
        <w:t xml:space="preserve">           </w:t>
      </w:r>
      <w:r>
        <w:rPr>
          <w:rFonts w:hint="eastAsia" w:ascii="宋体" w:hAnsi="宋体" w:eastAsia="宋体" w:cs="宋体"/>
          <w:color w:val="000000" w:themeColor="text1"/>
          <w:kern w:val="2"/>
          <w:sz w:val="32"/>
          <w:szCs w:val="32"/>
          <w:highlight w:val="none"/>
          <w14:textFill>
            <w14:solidFill>
              <w14:schemeClr w14:val="tx1"/>
            </w14:solidFill>
          </w14:textFill>
        </w:rPr>
        <w:t>投标报价明细表（一）</w:t>
      </w:r>
    </w:p>
    <w:p>
      <w:pPr>
        <w:pStyle w:val="692"/>
        <w:keepNext w:val="0"/>
        <w:pageBreakBefore w:val="0"/>
        <w:numPr>
          <w:ilvl w:val="0"/>
          <w:numId w:val="0"/>
        </w:numPr>
        <w:tabs>
          <w:tab w:val="clear" w:pos="720"/>
        </w:tabs>
        <w:kinsoku/>
        <w:overflowPunct/>
        <w:topLinePunct w:val="0"/>
        <w:bidi w:val="0"/>
        <w:snapToGrid w:val="0"/>
        <w:spacing w:before="120" w:after="120" w:line="360" w:lineRule="auto"/>
        <w:jc w:val="center"/>
        <w:outlineLvl w:val="2"/>
        <w:rPr>
          <w:rFonts w:hint="eastAsia" w:ascii="宋体" w:hAnsi="宋体" w:eastAsia="宋体" w:cs="宋体"/>
          <w:color w:val="000000" w:themeColor="text1"/>
          <w:kern w:val="2"/>
          <w:sz w:val="32"/>
          <w:szCs w:val="32"/>
          <w:highlight w:val="none"/>
          <w14:textFill>
            <w14:solidFill>
              <w14:schemeClr w14:val="tx1"/>
            </w14:solidFill>
          </w14:textFill>
        </w:rPr>
      </w:pPr>
      <w:r>
        <w:rPr>
          <w:rFonts w:hint="eastAsia" w:ascii="宋体" w:hAnsi="宋体" w:eastAsia="宋体" w:cs="宋体"/>
          <w:color w:val="000000" w:themeColor="text1"/>
          <w:kern w:val="2"/>
          <w:sz w:val="32"/>
          <w:szCs w:val="32"/>
          <w:highlight w:val="none"/>
          <w14:textFill>
            <w14:solidFill>
              <w14:schemeClr w14:val="tx1"/>
            </w14:solidFill>
          </w14:textFill>
        </w:rPr>
        <w:t>（市政设施</w:t>
      </w:r>
      <w:r>
        <w:rPr>
          <w:rFonts w:hint="eastAsia" w:ascii="宋体" w:hAnsi="宋体" w:eastAsia="宋体" w:cs="宋体"/>
          <w:color w:val="000000" w:themeColor="text1"/>
          <w:kern w:val="2"/>
          <w:sz w:val="32"/>
          <w:szCs w:val="32"/>
          <w:highlight w:val="none"/>
          <w:lang w:eastAsia="zh-CN"/>
          <w14:textFill>
            <w14:solidFill>
              <w14:schemeClr w14:val="tx1"/>
            </w14:solidFill>
          </w14:textFill>
        </w:rPr>
        <w:t>部分</w:t>
      </w:r>
      <w:r>
        <w:rPr>
          <w:rFonts w:hint="eastAsia" w:ascii="宋体" w:hAnsi="宋体" w:eastAsia="宋体" w:cs="宋体"/>
          <w:color w:val="000000" w:themeColor="text1"/>
          <w:kern w:val="2"/>
          <w:sz w:val="32"/>
          <w:szCs w:val="32"/>
          <w:highlight w:val="none"/>
          <w14:textFill>
            <w14:solidFill>
              <w14:schemeClr w14:val="tx1"/>
            </w14:solidFill>
          </w14:textFill>
        </w:rPr>
        <w:t>）</w:t>
      </w:r>
    </w:p>
    <w:tbl>
      <w:tblPr>
        <w:tblStyle w:val="62"/>
        <w:tblpPr w:leftFromText="180" w:rightFromText="180" w:vertAnchor="text" w:horzAnchor="page" w:tblpX="1339" w:tblpY="464"/>
        <w:tblOverlap w:val="never"/>
        <w:tblW w:w="96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0"/>
        <w:gridCol w:w="2585"/>
        <w:gridCol w:w="1453"/>
        <w:gridCol w:w="973"/>
        <w:gridCol w:w="1305"/>
        <w:gridCol w:w="1395"/>
        <w:gridCol w:w="1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30" w:type="dxa"/>
            <w:noWrap w:val="0"/>
            <w:vAlign w:val="center"/>
          </w:tcPr>
          <w:p>
            <w:pPr>
              <w:pageBreakBefore w:val="0"/>
              <w:kinsoku/>
              <w:overflowPunct/>
              <w:topLinePunct w:val="0"/>
              <w:bidi w:val="0"/>
              <w:snapToGrid w:val="0"/>
              <w:spacing w:line="360" w:lineRule="auto"/>
              <w:jc w:val="center"/>
              <w:rPr>
                <w:rFonts w:hint="eastAsia" w:ascii="宋体" w:hAnsi="宋体" w:eastAsia="宋体" w:cs="宋体"/>
                <w:bCs/>
                <w:color w:val="000000" w:themeColor="text1"/>
                <w:szCs w:val="21"/>
                <w:highlight w:val="none"/>
                <w14:textFill>
                  <w14:solidFill>
                    <w14:schemeClr w14:val="tx1"/>
                  </w14:solidFill>
                </w14:textFill>
              </w:rPr>
            </w:pPr>
            <w:r>
              <w:rPr>
                <w:rFonts w:hint="eastAsia" w:ascii="宋体" w:hAnsi="宋体" w:eastAsia="宋体" w:cs="宋体"/>
                <w:bCs/>
                <w:color w:val="000000" w:themeColor="text1"/>
                <w:szCs w:val="21"/>
                <w:highlight w:val="none"/>
                <w14:textFill>
                  <w14:solidFill>
                    <w14:schemeClr w14:val="tx1"/>
                  </w14:solidFill>
                </w14:textFill>
              </w:rPr>
              <w:t>序号</w:t>
            </w:r>
          </w:p>
        </w:tc>
        <w:tc>
          <w:tcPr>
            <w:tcW w:w="2585" w:type="dxa"/>
            <w:noWrap w:val="0"/>
            <w:vAlign w:val="center"/>
          </w:tcPr>
          <w:p>
            <w:pPr>
              <w:pageBreakBefore w:val="0"/>
              <w:kinsoku/>
              <w:overflowPunct/>
              <w:topLinePunct w:val="0"/>
              <w:bidi w:val="0"/>
              <w:snapToGrid w:val="0"/>
              <w:spacing w:line="360" w:lineRule="auto"/>
              <w:jc w:val="center"/>
              <w:rPr>
                <w:rFonts w:hint="eastAsia" w:ascii="宋体" w:hAnsi="宋体" w:eastAsia="宋体" w:cs="宋体"/>
                <w:bCs/>
                <w:color w:val="000000" w:themeColor="text1"/>
                <w:szCs w:val="21"/>
                <w:highlight w:val="none"/>
                <w14:textFill>
                  <w14:solidFill>
                    <w14:schemeClr w14:val="tx1"/>
                  </w14:solidFill>
                </w14:textFill>
              </w:rPr>
            </w:pPr>
            <w:r>
              <w:rPr>
                <w:rFonts w:hint="eastAsia" w:ascii="宋体" w:hAnsi="宋体" w:eastAsia="宋体" w:cs="宋体"/>
                <w:bCs/>
                <w:color w:val="000000" w:themeColor="text1"/>
                <w:szCs w:val="21"/>
                <w:highlight w:val="none"/>
                <w14:textFill>
                  <w14:solidFill>
                    <w14:schemeClr w14:val="tx1"/>
                  </w14:solidFill>
                </w14:textFill>
              </w:rPr>
              <w:t>内容</w:t>
            </w:r>
          </w:p>
        </w:tc>
        <w:tc>
          <w:tcPr>
            <w:tcW w:w="1453" w:type="dxa"/>
            <w:noWrap w:val="0"/>
            <w:vAlign w:val="center"/>
          </w:tcPr>
          <w:p>
            <w:pPr>
              <w:pageBreakBefore w:val="0"/>
              <w:kinsoku/>
              <w:overflowPunct/>
              <w:topLinePunct w:val="0"/>
              <w:bidi w:val="0"/>
              <w:snapToGrid w:val="0"/>
              <w:spacing w:line="360" w:lineRule="auto"/>
              <w:jc w:val="center"/>
              <w:rPr>
                <w:rFonts w:hint="eastAsia" w:ascii="宋体" w:hAnsi="宋体" w:eastAsia="宋体" w:cs="宋体"/>
                <w:bCs/>
                <w:color w:val="000000" w:themeColor="text1"/>
                <w:szCs w:val="21"/>
                <w:highlight w:val="none"/>
                <w14:textFill>
                  <w14:solidFill>
                    <w14:schemeClr w14:val="tx1"/>
                  </w14:solidFill>
                </w14:textFill>
              </w:rPr>
            </w:pPr>
            <w:r>
              <w:rPr>
                <w:rFonts w:hint="eastAsia" w:ascii="宋体" w:hAnsi="宋体" w:eastAsia="宋体" w:cs="宋体"/>
                <w:bCs/>
                <w:color w:val="000000" w:themeColor="text1"/>
                <w:szCs w:val="21"/>
                <w:highlight w:val="none"/>
                <w14:textFill>
                  <w14:solidFill>
                    <w14:schemeClr w14:val="tx1"/>
                  </w14:solidFill>
                </w14:textFill>
              </w:rPr>
              <w:t>单位</w:t>
            </w:r>
          </w:p>
        </w:tc>
        <w:tc>
          <w:tcPr>
            <w:tcW w:w="973" w:type="dxa"/>
            <w:noWrap w:val="0"/>
            <w:vAlign w:val="center"/>
          </w:tcPr>
          <w:p>
            <w:pPr>
              <w:pageBreakBefore w:val="0"/>
              <w:kinsoku/>
              <w:overflowPunct/>
              <w:topLinePunct w:val="0"/>
              <w:bidi w:val="0"/>
              <w:snapToGrid w:val="0"/>
              <w:spacing w:line="360" w:lineRule="auto"/>
              <w:jc w:val="center"/>
              <w:rPr>
                <w:rFonts w:hint="eastAsia" w:ascii="宋体" w:hAnsi="宋体" w:eastAsia="宋体" w:cs="宋体"/>
                <w:bCs/>
                <w:color w:val="000000" w:themeColor="text1"/>
                <w:szCs w:val="21"/>
                <w:highlight w:val="none"/>
                <w:lang w:val="en-US" w:eastAsia="zh-CN"/>
                <w14:textFill>
                  <w14:solidFill>
                    <w14:schemeClr w14:val="tx1"/>
                  </w14:solidFill>
                </w14:textFill>
              </w:rPr>
            </w:pPr>
            <w:r>
              <w:rPr>
                <w:rFonts w:hint="eastAsia" w:ascii="宋体" w:hAnsi="宋体" w:eastAsia="宋体" w:cs="宋体"/>
                <w:bCs/>
                <w:color w:val="000000" w:themeColor="text1"/>
                <w:szCs w:val="21"/>
                <w:highlight w:val="none"/>
                <w14:textFill>
                  <w14:solidFill>
                    <w14:schemeClr w14:val="tx1"/>
                  </w14:solidFill>
                </w14:textFill>
              </w:rPr>
              <w:t>数量</w:t>
            </w:r>
          </w:p>
        </w:tc>
        <w:tc>
          <w:tcPr>
            <w:tcW w:w="1305" w:type="dxa"/>
            <w:noWrap w:val="0"/>
            <w:vAlign w:val="center"/>
          </w:tcPr>
          <w:p>
            <w:pPr>
              <w:pageBreakBefore w:val="0"/>
              <w:kinsoku/>
              <w:overflowPunct/>
              <w:topLinePunct w:val="0"/>
              <w:bidi w:val="0"/>
              <w:snapToGrid w:val="0"/>
              <w:spacing w:line="360" w:lineRule="auto"/>
              <w:jc w:val="center"/>
              <w:rPr>
                <w:rFonts w:hint="eastAsia" w:ascii="宋体" w:hAnsi="宋体" w:eastAsia="宋体" w:cs="宋体"/>
                <w:bCs/>
                <w:color w:val="000000" w:themeColor="text1"/>
                <w:szCs w:val="21"/>
                <w:highlight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综合单价/㎡/元</w:t>
            </w:r>
          </w:p>
        </w:tc>
        <w:tc>
          <w:tcPr>
            <w:tcW w:w="1395" w:type="dxa"/>
            <w:noWrap w:val="0"/>
            <w:vAlign w:val="center"/>
          </w:tcPr>
          <w:p>
            <w:pPr>
              <w:pageBreakBefore w:val="0"/>
              <w:kinsoku/>
              <w:overflowPunct/>
              <w:topLinePunct w:val="0"/>
              <w:bidi w:val="0"/>
              <w:snapToGrid w:val="0"/>
              <w:spacing w:line="360" w:lineRule="auto"/>
              <w:jc w:val="center"/>
              <w:rPr>
                <w:rFonts w:hint="eastAsia" w:ascii="宋体" w:hAnsi="宋体" w:eastAsia="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lang w:val="en-US" w:eastAsia="zh-CN"/>
                <w14:textFill>
                  <w14:solidFill>
                    <w14:schemeClr w14:val="tx1"/>
                  </w14:solidFill>
                </w14:textFill>
              </w:rPr>
              <w:t>小计</w:t>
            </w:r>
            <w:r>
              <w:rPr>
                <w:rFonts w:hint="eastAsia" w:ascii="宋体" w:hAnsi="宋体" w:eastAsia="宋体" w:cs="宋体"/>
                <w:bCs/>
                <w:color w:val="000000" w:themeColor="text1"/>
                <w:szCs w:val="21"/>
                <w:highlight w:val="none"/>
                <w14:textFill>
                  <w14:solidFill>
                    <w14:schemeClr w14:val="tx1"/>
                  </w14:solidFill>
                </w14:textFill>
              </w:rPr>
              <w:t>（元）</w:t>
            </w:r>
          </w:p>
        </w:tc>
        <w:tc>
          <w:tcPr>
            <w:tcW w:w="1109" w:type="dxa"/>
            <w:noWrap w:val="0"/>
            <w:vAlign w:val="center"/>
          </w:tcPr>
          <w:p>
            <w:pPr>
              <w:pageBreakBefore w:val="0"/>
              <w:kinsoku/>
              <w:overflowPunct/>
              <w:topLinePunct w:val="0"/>
              <w:bidi w:val="0"/>
              <w:snapToGrid w:val="0"/>
              <w:spacing w:line="360" w:lineRule="auto"/>
              <w:jc w:val="center"/>
              <w:rPr>
                <w:rFonts w:hint="eastAsia" w:ascii="宋体" w:hAnsi="宋体" w:eastAsia="宋体" w:cs="宋体"/>
                <w:bCs/>
                <w:color w:val="000000" w:themeColor="text1"/>
                <w:szCs w:val="21"/>
                <w:highlight w:val="none"/>
                <w14:textFill>
                  <w14:solidFill>
                    <w14:schemeClr w14:val="tx1"/>
                  </w14:solidFill>
                </w14:textFill>
              </w:rPr>
            </w:pPr>
            <w:r>
              <w:rPr>
                <w:rFonts w:hint="eastAsia" w:ascii="宋体" w:hAnsi="宋体" w:cs="宋体"/>
                <w:i w:val="0"/>
                <w:iCs w:val="0"/>
                <w:color w:val="000000" w:themeColor="text1"/>
                <w:kern w:val="0"/>
                <w:sz w:val="20"/>
                <w:szCs w:val="20"/>
                <w:highlight w:val="none"/>
                <w:u w:val="none"/>
                <w:lang w:val="en-US" w:eastAsia="zh-CN" w:bidi="ar"/>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30" w:type="dxa"/>
            <w:noWrap w:val="0"/>
            <w:vAlign w:val="center"/>
          </w:tcPr>
          <w:p>
            <w:pPr>
              <w:pageBreakBefore w:val="0"/>
              <w:kinsoku/>
              <w:overflowPunct/>
              <w:topLinePunct w:val="0"/>
              <w:bidi w:val="0"/>
              <w:snapToGrid w:val="0"/>
              <w:spacing w:line="360" w:lineRule="auto"/>
              <w:jc w:val="center"/>
              <w:rPr>
                <w:rFonts w:hint="eastAsia" w:ascii="宋体" w:hAnsi="宋体" w:eastAsia="宋体" w:cs="宋体"/>
                <w:bCs/>
                <w:color w:val="000000" w:themeColor="text1"/>
                <w:szCs w:val="21"/>
                <w:highlight w:val="none"/>
                <w14:textFill>
                  <w14:solidFill>
                    <w14:schemeClr w14:val="tx1"/>
                  </w14:solidFill>
                </w14:textFill>
              </w:rPr>
            </w:pPr>
          </w:p>
        </w:tc>
        <w:tc>
          <w:tcPr>
            <w:tcW w:w="2585" w:type="dxa"/>
            <w:noWrap w:val="0"/>
            <w:vAlign w:val="center"/>
          </w:tcPr>
          <w:p>
            <w:pPr>
              <w:pageBreakBefore w:val="0"/>
              <w:kinsoku/>
              <w:overflowPunct/>
              <w:topLinePunct w:val="0"/>
              <w:bidi w:val="0"/>
              <w:snapToGrid w:val="0"/>
              <w:spacing w:line="360" w:lineRule="auto"/>
              <w:jc w:val="center"/>
              <w:rPr>
                <w:rFonts w:hint="eastAsia" w:ascii="宋体" w:hAnsi="宋体" w:eastAsia="宋体" w:cs="宋体"/>
                <w:bCs/>
                <w:color w:val="000000" w:themeColor="text1"/>
                <w:szCs w:val="21"/>
                <w:highlight w:val="none"/>
                <w14:textFill>
                  <w14:solidFill>
                    <w14:schemeClr w14:val="tx1"/>
                  </w14:solidFill>
                </w14:textFill>
              </w:rPr>
            </w:pPr>
          </w:p>
        </w:tc>
        <w:tc>
          <w:tcPr>
            <w:tcW w:w="1453" w:type="dxa"/>
            <w:noWrap w:val="0"/>
            <w:vAlign w:val="center"/>
          </w:tcPr>
          <w:p>
            <w:pPr>
              <w:pageBreakBefore w:val="0"/>
              <w:kinsoku/>
              <w:overflowPunct/>
              <w:topLinePunct w:val="0"/>
              <w:bidi w:val="0"/>
              <w:snapToGrid w:val="0"/>
              <w:spacing w:line="360" w:lineRule="auto"/>
              <w:jc w:val="center"/>
              <w:rPr>
                <w:rFonts w:hint="eastAsia" w:ascii="宋体" w:hAnsi="宋体" w:eastAsia="宋体" w:cs="宋体"/>
                <w:bCs/>
                <w:color w:val="000000" w:themeColor="text1"/>
                <w:szCs w:val="21"/>
                <w:highlight w:val="none"/>
                <w14:textFill>
                  <w14:solidFill>
                    <w14:schemeClr w14:val="tx1"/>
                  </w14:solidFill>
                </w14:textFill>
              </w:rPr>
            </w:pPr>
          </w:p>
        </w:tc>
        <w:tc>
          <w:tcPr>
            <w:tcW w:w="973" w:type="dxa"/>
            <w:noWrap w:val="0"/>
            <w:vAlign w:val="center"/>
          </w:tcPr>
          <w:p>
            <w:pPr>
              <w:pageBreakBefore w:val="0"/>
              <w:kinsoku/>
              <w:overflowPunct/>
              <w:topLinePunct w:val="0"/>
              <w:bidi w:val="0"/>
              <w:snapToGrid w:val="0"/>
              <w:spacing w:line="360" w:lineRule="auto"/>
              <w:jc w:val="center"/>
              <w:rPr>
                <w:rFonts w:hint="eastAsia" w:ascii="宋体" w:hAnsi="宋体" w:eastAsia="宋体" w:cs="宋体"/>
                <w:bCs/>
                <w:color w:val="000000" w:themeColor="text1"/>
                <w:szCs w:val="21"/>
                <w:highlight w:val="none"/>
                <w14:textFill>
                  <w14:solidFill>
                    <w14:schemeClr w14:val="tx1"/>
                  </w14:solidFill>
                </w14:textFill>
              </w:rPr>
            </w:pPr>
          </w:p>
        </w:tc>
        <w:tc>
          <w:tcPr>
            <w:tcW w:w="1305" w:type="dxa"/>
            <w:noWrap w:val="0"/>
            <w:vAlign w:val="center"/>
          </w:tcPr>
          <w:p>
            <w:pPr>
              <w:pageBreakBefore w:val="0"/>
              <w:kinsoku/>
              <w:overflowPunct/>
              <w:topLinePunct w:val="0"/>
              <w:bidi w:val="0"/>
              <w:snapToGrid w:val="0"/>
              <w:spacing w:line="360" w:lineRule="auto"/>
              <w:jc w:val="center"/>
              <w:rPr>
                <w:rFonts w:hint="eastAsia" w:ascii="宋体" w:hAnsi="宋体" w:eastAsia="宋体" w:cs="宋体"/>
                <w:bCs/>
                <w:color w:val="000000" w:themeColor="text1"/>
                <w:szCs w:val="21"/>
                <w:highlight w:val="none"/>
                <w14:textFill>
                  <w14:solidFill>
                    <w14:schemeClr w14:val="tx1"/>
                  </w14:solidFill>
                </w14:textFill>
              </w:rPr>
            </w:pPr>
          </w:p>
        </w:tc>
        <w:tc>
          <w:tcPr>
            <w:tcW w:w="1395" w:type="dxa"/>
            <w:noWrap w:val="0"/>
            <w:vAlign w:val="center"/>
          </w:tcPr>
          <w:p>
            <w:pPr>
              <w:pageBreakBefore w:val="0"/>
              <w:kinsoku/>
              <w:overflowPunct/>
              <w:topLinePunct w:val="0"/>
              <w:bidi w:val="0"/>
              <w:snapToGrid w:val="0"/>
              <w:spacing w:line="360" w:lineRule="auto"/>
              <w:jc w:val="center"/>
              <w:rPr>
                <w:rFonts w:hint="eastAsia" w:ascii="宋体" w:hAnsi="宋体" w:eastAsia="宋体" w:cs="宋体"/>
                <w:bCs/>
                <w:color w:val="000000" w:themeColor="text1"/>
                <w:szCs w:val="21"/>
                <w:highlight w:val="none"/>
                <w14:textFill>
                  <w14:solidFill>
                    <w14:schemeClr w14:val="tx1"/>
                  </w14:solidFill>
                </w14:textFill>
              </w:rPr>
            </w:pPr>
          </w:p>
        </w:tc>
        <w:tc>
          <w:tcPr>
            <w:tcW w:w="1109" w:type="dxa"/>
            <w:noWrap w:val="0"/>
            <w:vAlign w:val="center"/>
          </w:tcPr>
          <w:p>
            <w:pPr>
              <w:pageBreakBefore w:val="0"/>
              <w:kinsoku/>
              <w:overflowPunct/>
              <w:topLinePunct w:val="0"/>
              <w:bidi w:val="0"/>
              <w:snapToGrid w:val="0"/>
              <w:spacing w:line="360" w:lineRule="auto"/>
              <w:jc w:val="left"/>
              <w:rPr>
                <w:rFonts w:hint="eastAsia" w:ascii="宋体" w:hAnsi="宋体" w:eastAsia="宋体" w:cs="宋体"/>
                <w:bCs/>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30" w:type="dxa"/>
            <w:noWrap w:val="0"/>
            <w:vAlign w:val="center"/>
          </w:tcPr>
          <w:p>
            <w:pPr>
              <w:pageBreakBefore w:val="0"/>
              <w:kinsoku/>
              <w:overflowPunct/>
              <w:topLinePunct w:val="0"/>
              <w:bidi w:val="0"/>
              <w:snapToGrid w:val="0"/>
              <w:spacing w:line="360" w:lineRule="auto"/>
              <w:jc w:val="center"/>
              <w:rPr>
                <w:rFonts w:hint="eastAsia" w:ascii="宋体" w:hAnsi="宋体" w:eastAsia="宋体" w:cs="宋体"/>
                <w:bCs/>
                <w:color w:val="000000" w:themeColor="text1"/>
                <w:szCs w:val="21"/>
                <w:highlight w:val="none"/>
                <w14:textFill>
                  <w14:solidFill>
                    <w14:schemeClr w14:val="tx1"/>
                  </w14:solidFill>
                </w14:textFill>
              </w:rPr>
            </w:pPr>
          </w:p>
        </w:tc>
        <w:tc>
          <w:tcPr>
            <w:tcW w:w="2585" w:type="dxa"/>
            <w:noWrap w:val="0"/>
            <w:vAlign w:val="center"/>
          </w:tcPr>
          <w:p>
            <w:pPr>
              <w:pageBreakBefore w:val="0"/>
              <w:kinsoku/>
              <w:overflowPunct/>
              <w:topLinePunct w:val="0"/>
              <w:bidi w:val="0"/>
              <w:snapToGrid w:val="0"/>
              <w:spacing w:line="360" w:lineRule="auto"/>
              <w:jc w:val="center"/>
              <w:rPr>
                <w:rFonts w:hint="eastAsia" w:ascii="宋体" w:hAnsi="宋体" w:eastAsia="宋体" w:cs="宋体"/>
                <w:bCs/>
                <w:color w:val="000000" w:themeColor="text1"/>
                <w:szCs w:val="21"/>
                <w:highlight w:val="none"/>
                <w14:textFill>
                  <w14:solidFill>
                    <w14:schemeClr w14:val="tx1"/>
                  </w14:solidFill>
                </w14:textFill>
              </w:rPr>
            </w:pPr>
          </w:p>
        </w:tc>
        <w:tc>
          <w:tcPr>
            <w:tcW w:w="1453" w:type="dxa"/>
            <w:noWrap w:val="0"/>
            <w:vAlign w:val="center"/>
          </w:tcPr>
          <w:p>
            <w:pPr>
              <w:pageBreakBefore w:val="0"/>
              <w:kinsoku/>
              <w:overflowPunct/>
              <w:topLinePunct w:val="0"/>
              <w:bidi w:val="0"/>
              <w:snapToGrid w:val="0"/>
              <w:spacing w:line="360" w:lineRule="auto"/>
              <w:jc w:val="center"/>
              <w:rPr>
                <w:rFonts w:hint="eastAsia" w:ascii="宋体" w:hAnsi="宋体" w:eastAsia="宋体" w:cs="宋体"/>
                <w:b/>
                <w:color w:val="000000" w:themeColor="text1"/>
                <w:szCs w:val="21"/>
                <w:highlight w:val="none"/>
                <w14:textFill>
                  <w14:solidFill>
                    <w14:schemeClr w14:val="tx1"/>
                  </w14:solidFill>
                </w14:textFill>
              </w:rPr>
            </w:pPr>
          </w:p>
        </w:tc>
        <w:tc>
          <w:tcPr>
            <w:tcW w:w="973" w:type="dxa"/>
            <w:noWrap w:val="0"/>
            <w:vAlign w:val="center"/>
          </w:tcPr>
          <w:p>
            <w:pPr>
              <w:pageBreakBefore w:val="0"/>
              <w:kinsoku/>
              <w:overflowPunct/>
              <w:topLinePunct w:val="0"/>
              <w:bidi w:val="0"/>
              <w:snapToGrid w:val="0"/>
              <w:spacing w:line="360" w:lineRule="auto"/>
              <w:jc w:val="center"/>
              <w:rPr>
                <w:rFonts w:hint="eastAsia" w:ascii="宋体" w:hAnsi="宋体" w:eastAsia="宋体" w:cs="宋体"/>
                <w:b/>
                <w:color w:val="000000" w:themeColor="text1"/>
                <w:szCs w:val="21"/>
                <w:highlight w:val="none"/>
                <w14:textFill>
                  <w14:solidFill>
                    <w14:schemeClr w14:val="tx1"/>
                  </w14:solidFill>
                </w14:textFill>
              </w:rPr>
            </w:pPr>
          </w:p>
        </w:tc>
        <w:tc>
          <w:tcPr>
            <w:tcW w:w="1305" w:type="dxa"/>
            <w:noWrap w:val="0"/>
            <w:vAlign w:val="center"/>
          </w:tcPr>
          <w:p>
            <w:pPr>
              <w:pageBreakBefore w:val="0"/>
              <w:kinsoku/>
              <w:overflowPunct/>
              <w:topLinePunct w:val="0"/>
              <w:bidi w:val="0"/>
              <w:snapToGrid w:val="0"/>
              <w:spacing w:line="360" w:lineRule="auto"/>
              <w:jc w:val="center"/>
              <w:rPr>
                <w:rFonts w:hint="eastAsia" w:ascii="宋体" w:hAnsi="宋体" w:eastAsia="宋体" w:cs="宋体"/>
                <w:b/>
                <w:color w:val="000000" w:themeColor="text1"/>
                <w:szCs w:val="21"/>
                <w:highlight w:val="none"/>
                <w14:textFill>
                  <w14:solidFill>
                    <w14:schemeClr w14:val="tx1"/>
                  </w14:solidFill>
                </w14:textFill>
              </w:rPr>
            </w:pPr>
          </w:p>
        </w:tc>
        <w:tc>
          <w:tcPr>
            <w:tcW w:w="1395" w:type="dxa"/>
            <w:noWrap w:val="0"/>
            <w:vAlign w:val="center"/>
          </w:tcPr>
          <w:p>
            <w:pPr>
              <w:pageBreakBefore w:val="0"/>
              <w:kinsoku/>
              <w:overflowPunct/>
              <w:topLinePunct w:val="0"/>
              <w:bidi w:val="0"/>
              <w:snapToGrid w:val="0"/>
              <w:spacing w:line="360" w:lineRule="auto"/>
              <w:jc w:val="center"/>
              <w:rPr>
                <w:rFonts w:hint="eastAsia" w:ascii="宋体" w:hAnsi="宋体" w:eastAsia="宋体" w:cs="宋体"/>
                <w:b/>
                <w:color w:val="000000" w:themeColor="text1"/>
                <w:szCs w:val="21"/>
                <w:highlight w:val="none"/>
                <w14:textFill>
                  <w14:solidFill>
                    <w14:schemeClr w14:val="tx1"/>
                  </w14:solidFill>
                </w14:textFill>
              </w:rPr>
            </w:pPr>
          </w:p>
        </w:tc>
        <w:tc>
          <w:tcPr>
            <w:tcW w:w="1109" w:type="dxa"/>
            <w:noWrap w:val="0"/>
            <w:vAlign w:val="center"/>
          </w:tcPr>
          <w:p>
            <w:pPr>
              <w:pageBreakBefore w:val="0"/>
              <w:kinsoku/>
              <w:overflowPunct/>
              <w:topLinePunct w:val="0"/>
              <w:bidi w:val="0"/>
              <w:snapToGrid w:val="0"/>
              <w:spacing w:line="360" w:lineRule="auto"/>
              <w:jc w:val="left"/>
              <w:rPr>
                <w:rFonts w:hint="eastAsia" w:ascii="宋体" w:hAnsi="宋体" w:eastAsia="宋体" w:cs="宋体"/>
                <w:b/>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30" w:type="dxa"/>
            <w:noWrap w:val="0"/>
            <w:vAlign w:val="center"/>
          </w:tcPr>
          <w:p>
            <w:pPr>
              <w:pageBreakBefore w:val="0"/>
              <w:kinsoku/>
              <w:overflowPunct/>
              <w:topLinePunct w:val="0"/>
              <w:bidi w:val="0"/>
              <w:snapToGrid w:val="0"/>
              <w:spacing w:line="360" w:lineRule="auto"/>
              <w:jc w:val="center"/>
              <w:rPr>
                <w:rFonts w:hint="eastAsia" w:ascii="宋体" w:hAnsi="宋体" w:eastAsia="宋体" w:cs="宋体"/>
                <w:bCs/>
                <w:color w:val="000000" w:themeColor="text1"/>
                <w:szCs w:val="21"/>
                <w:highlight w:val="none"/>
                <w14:textFill>
                  <w14:solidFill>
                    <w14:schemeClr w14:val="tx1"/>
                  </w14:solidFill>
                </w14:textFill>
              </w:rPr>
            </w:pPr>
          </w:p>
        </w:tc>
        <w:tc>
          <w:tcPr>
            <w:tcW w:w="2585" w:type="dxa"/>
            <w:noWrap w:val="0"/>
            <w:vAlign w:val="center"/>
          </w:tcPr>
          <w:p>
            <w:pPr>
              <w:pageBreakBefore w:val="0"/>
              <w:kinsoku/>
              <w:overflowPunct/>
              <w:topLinePunct w:val="0"/>
              <w:bidi w:val="0"/>
              <w:snapToGrid w:val="0"/>
              <w:spacing w:line="360" w:lineRule="auto"/>
              <w:jc w:val="center"/>
              <w:rPr>
                <w:rFonts w:hint="eastAsia" w:ascii="宋体" w:hAnsi="宋体" w:eastAsia="宋体" w:cs="宋体"/>
                <w:bCs/>
                <w:color w:val="000000" w:themeColor="text1"/>
                <w:szCs w:val="21"/>
                <w:highlight w:val="none"/>
                <w14:textFill>
                  <w14:solidFill>
                    <w14:schemeClr w14:val="tx1"/>
                  </w14:solidFill>
                </w14:textFill>
              </w:rPr>
            </w:pPr>
          </w:p>
        </w:tc>
        <w:tc>
          <w:tcPr>
            <w:tcW w:w="1453" w:type="dxa"/>
            <w:noWrap w:val="0"/>
            <w:vAlign w:val="center"/>
          </w:tcPr>
          <w:p>
            <w:pPr>
              <w:pageBreakBefore w:val="0"/>
              <w:kinsoku/>
              <w:overflowPunct/>
              <w:topLinePunct w:val="0"/>
              <w:bidi w:val="0"/>
              <w:snapToGrid w:val="0"/>
              <w:spacing w:line="360" w:lineRule="auto"/>
              <w:jc w:val="center"/>
              <w:rPr>
                <w:rFonts w:hint="eastAsia" w:ascii="宋体" w:hAnsi="宋体" w:eastAsia="宋体" w:cs="宋体"/>
                <w:b/>
                <w:color w:val="000000" w:themeColor="text1"/>
                <w:szCs w:val="21"/>
                <w:highlight w:val="none"/>
                <w14:textFill>
                  <w14:solidFill>
                    <w14:schemeClr w14:val="tx1"/>
                  </w14:solidFill>
                </w14:textFill>
              </w:rPr>
            </w:pPr>
          </w:p>
        </w:tc>
        <w:tc>
          <w:tcPr>
            <w:tcW w:w="973" w:type="dxa"/>
            <w:noWrap w:val="0"/>
            <w:vAlign w:val="center"/>
          </w:tcPr>
          <w:p>
            <w:pPr>
              <w:pageBreakBefore w:val="0"/>
              <w:kinsoku/>
              <w:overflowPunct/>
              <w:topLinePunct w:val="0"/>
              <w:bidi w:val="0"/>
              <w:snapToGrid w:val="0"/>
              <w:spacing w:line="360" w:lineRule="auto"/>
              <w:jc w:val="center"/>
              <w:rPr>
                <w:rFonts w:hint="eastAsia" w:ascii="宋体" w:hAnsi="宋体" w:eastAsia="宋体" w:cs="宋体"/>
                <w:b/>
                <w:color w:val="000000" w:themeColor="text1"/>
                <w:szCs w:val="21"/>
                <w:highlight w:val="none"/>
                <w14:textFill>
                  <w14:solidFill>
                    <w14:schemeClr w14:val="tx1"/>
                  </w14:solidFill>
                </w14:textFill>
              </w:rPr>
            </w:pPr>
          </w:p>
        </w:tc>
        <w:tc>
          <w:tcPr>
            <w:tcW w:w="1305" w:type="dxa"/>
            <w:noWrap w:val="0"/>
            <w:vAlign w:val="center"/>
          </w:tcPr>
          <w:p>
            <w:pPr>
              <w:pageBreakBefore w:val="0"/>
              <w:kinsoku/>
              <w:overflowPunct/>
              <w:topLinePunct w:val="0"/>
              <w:bidi w:val="0"/>
              <w:snapToGrid w:val="0"/>
              <w:spacing w:line="360" w:lineRule="auto"/>
              <w:jc w:val="center"/>
              <w:rPr>
                <w:rFonts w:hint="eastAsia" w:ascii="宋体" w:hAnsi="宋体" w:eastAsia="宋体" w:cs="宋体"/>
                <w:b/>
                <w:color w:val="000000" w:themeColor="text1"/>
                <w:szCs w:val="21"/>
                <w:highlight w:val="none"/>
                <w14:textFill>
                  <w14:solidFill>
                    <w14:schemeClr w14:val="tx1"/>
                  </w14:solidFill>
                </w14:textFill>
              </w:rPr>
            </w:pPr>
          </w:p>
        </w:tc>
        <w:tc>
          <w:tcPr>
            <w:tcW w:w="1395" w:type="dxa"/>
            <w:noWrap w:val="0"/>
            <w:vAlign w:val="center"/>
          </w:tcPr>
          <w:p>
            <w:pPr>
              <w:pageBreakBefore w:val="0"/>
              <w:kinsoku/>
              <w:overflowPunct/>
              <w:topLinePunct w:val="0"/>
              <w:bidi w:val="0"/>
              <w:snapToGrid w:val="0"/>
              <w:spacing w:line="360" w:lineRule="auto"/>
              <w:jc w:val="center"/>
              <w:rPr>
                <w:rFonts w:hint="eastAsia" w:ascii="宋体" w:hAnsi="宋体" w:eastAsia="宋体" w:cs="宋体"/>
                <w:b/>
                <w:color w:val="000000" w:themeColor="text1"/>
                <w:szCs w:val="21"/>
                <w:highlight w:val="none"/>
                <w14:textFill>
                  <w14:solidFill>
                    <w14:schemeClr w14:val="tx1"/>
                  </w14:solidFill>
                </w14:textFill>
              </w:rPr>
            </w:pPr>
          </w:p>
        </w:tc>
        <w:tc>
          <w:tcPr>
            <w:tcW w:w="1109" w:type="dxa"/>
            <w:noWrap w:val="0"/>
            <w:vAlign w:val="center"/>
          </w:tcPr>
          <w:p>
            <w:pPr>
              <w:pageBreakBefore w:val="0"/>
              <w:kinsoku/>
              <w:overflowPunct/>
              <w:topLinePunct w:val="0"/>
              <w:bidi w:val="0"/>
              <w:snapToGrid w:val="0"/>
              <w:spacing w:line="360" w:lineRule="auto"/>
              <w:jc w:val="left"/>
              <w:rPr>
                <w:rFonts w:hint="eastAsia" w:ascii="宋体" w:hAnsi="宋体" w:eastAsia="宋体" w:cs="宋体"/>
                <w:b/>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30" w:type="dxa"/>
            <w:noWrap w:val="0"/>
            <w:vAlign w:val="center"/>
          </w:tcPr>
          <w:p>
            <w:pPr>
              <w:pageBreakBefore w:val="0"/>
              <w:kinsoku/>
              <w:overflowPunct/>
              <w:topLinePunct w:val="0"/>
              <w:bidi w:val="0"/>
              <w:snapToGrid w:val="0"/>
              <w:spacing w:line="360" w:lineRule="auto"/>
              <w:jc w:val="center"/>
              <w:rPr>
                <w:rFonts w:hint="eastAsia" w:ascii="宋体" w:hAnsi="宋体" w:eastAsia="宋体" w:cs="宋体"/>
                <w:bCs/>
                <w:color w:val="000000" w:themeColor="text1"/>
                <w:szCs w:val="21"/>
                <w:highlight w:val="none"/>
                <w14:textFill>
                  <w14:solidFill>
                    <w14:schemeClr w14:val="tx1"/>
                  </w14:solidFill>
                </w14:textFill>
              </w:rPr>
            </w:pPr>
          </w:p>
        </w:tc>
        <w:tc>
          <w:tcPr>
            <w:tcW w:w="2585" w:type="dxa"/>
            <w:noWrap w:val="0"/>
            <w:vAlign w:val="center"/>
          </w:tcPr>
          <w:p>
            <w:pPr>
              <w:pageBreakBefore w:val="0"/>
              <w:kinsoku/>
              <w:overflowPunct/>
              <w:topLinePunct w:val="0"/>
              <w:bidi w:val="0"/>
              <w:snapToGrid w:val="0"/>
              <w:spacing w:line="360" w:lineRule="auto"/>
              <w:jc w:val="center"/>
              <w:rPr>
                <w:rFonts w:hint="eastAsia" w:ascii="宋体" w:hAnsi="宋体" w:eastAsia="宋体" w:cs="宋体"/>
                <w:bCs/>
                <w:color w:val="000000" w:themeColor="text1"/>
                <w:szCs w:val="21"/>
                <w:highlight w:val="none"/>
                <w14:textFill>
                  <w14:solidFill>
                    <w14:schemeClr w14:val="tx1"/>
                  </w14:solidFill>
                </w14:textFill>
              </w:rPr>
            </w:pPr>
          </w:p>
        </w:tc>
        <w:tc>
          <w:tcPr>
            <w:tcW w:w="1453" w:type="dxa"/>
            <w:noWrap w:val="0"/>
            <w:vAlign w:val="center"/>
          </w:tcPr>
          <w:p>
            <w:pPr>
              <w:pageBreakBefore w:val="0"/>
              <w:kinsoku/>
              <w:overflowPunct/>
              <w:topLinePunct w:val="0"/>
              <w:bidi w:val="0"/>
              <w:snapToGrid w:val="0"/>
              <w:spacing w:line="360" w:lineRule="auto"/>
              <w:jc w:val="center"/>
              <w:rPr>
                <w:rFonts w:hint="eastAsia" w:ascii="宋体" w:hAnsi="宋体" w:eastAsia="宋体" w:cs="宋体"/>
                <w:b/>
                <w:color w:val="000000" w:themeColor="text1"/>
                <w:szCs w:val="21"/>
                <w:highlight w:val="none"/>
                <w14:textFill>
                  <w14:solidFill>
                    <w14:schemeClr w14:val="tx1"/>
                  </w14:solidFill>
                </w14:textFill>
              </w:rPr>
            </w:pPr>
          </w:p>
        </w:tc>
        <w:tc>
          <w:tcPr>
            <w:tcW w:w="973" w:type="dxa"/>
            <w:noWrap w:val="0"/>
            <w:vAlign w:val="center"/>
          </w:tcPr>
          <w:p>
            <w:pPr>
              <w:pageBreakBefore w:val="0"/>
              <w:kinsoku/>
              <w:overflowPunct/>
              <w:topLinePunct w:val="0"/>
              <w:bidi w:val="0"/>
              <w:snapToGrid w:val="0"/>
              <w:spacing w:line="360" w:lineRule="auto"/>
              <w:jc w:val="center"/>
              <w:rPr>
                <w:rFonts w:hint="eastAsia" w:ascii="宋体" w:hAnsi="宋体" w:eastAsia="宋体" w:cs="宋体"/>
                <w:b/>
                <w:color w:val="000000" w:themeColor="text1"/>
                <w:szCs w:val="21"/>
                <w:highlight w:val="none"/>
                <w14:textFill>
                  <w14:solidFill>
                    <w14:schemeClr w14:val="tx1"/>
                  </w14:solidFill>
                </w14:textFill>
              </w:rPr>
            </w:pPr>
          </w:p>
        </w:tc>
        <w:tc>
          <w:tcPr>
            <w:tcW w:w="1305" w:type="dxa"/>
            <w:noWrap w:val="0"/>
            <w:vAlign w:val="center"/>
          </w:tcPr>
          <w:p>
            <w:pPr>
              <w:pageBreakBefore w:val="0"/>
              <w:kinsoku/>
              <w:overflowPunct/>
              <w:topLinePunct w:val="0"/>
              <w:bidi w:val="0"/>
              <w:snapToGrid w:val="0"/>
              <w:spacing w:line="360" w:lineRule="auto"/>
              <w:jc w:val="center"/>
              <w:rPr>
                <w:rFonts w:hint="eastAsia" w:ascii="宋体" w:hAnsi="宋体" w:eastAsia="宋体" w:cs="宋体"/>
                <w:b/>
                <w:color w:val="000000" w:themeColor="text1"/>
                <w:szCs w:val="21"/>
                <w:highlight w:val="none"/>
                <w14:textFill>
                  <w14:solidFill>
                    <w14:schemeClr w14:val="tx1"/>
                  </w14:solidFill>
                </w14:textFill>
              </w:rPr>
            </w:pPr>
          </w:p>
        </w:tc>
        <w:tc>
          <w:tcPr>
            <w:tcW w:w="1395" w:type="dxa"/>
            <w:noWrap w:val="0"/>
            <w:vAlign w:val="center"/>
          </w:tcPr>
          <w:p>
            <w:pPr>
              <w:pageBreakBefore w:val="0"/>
              <w:kinsoku/>
              <w:overflowPunct/>
              <w:topLinePunct w:val="0"/>
              <w:bidi w:val="0"/>
              <w:snapToGrid w:val="0"/>
              <w:spacing w:line="360" w:lineRule="auto"/>
              <w:jc w:val="center"/>
              <w:rPr>
                <w:rFonts w:hint="eastAsia" w:ascii="宋体" w:hAnsi="宋体" w:eastAsia="宋体" w:cs="宋体"/>
                <w:b/>
                <w:color w:val="000000" w:themeColor="text1"/>
                <w:szCs w:val="21"/>
                <w:highlight w:val="none"/>
                <w14:textFill>
                  <w14:solidFill>
                    <w14:schemeClr w14:val="tx1"/>
                  </w14:solidFill>
                </w14:textFill>
              </w:rPr>
            </w:pPr>
          </w:p>
        </w:tc>
        <w:tc>
          <w:tcPr>
            <w:tcW w:w="1109" w:type="dxa"/>
            <w:noWrap w:val="0"/>
            <w:vAlign w:val="center"/>
          </w:tcPr>
          <w:p>
            <w:pPr>
              <w:pageBreakBefore w:val="0"/>
              <w:kinsoku/>
              <w:overflowPunct/>
              <w:topLinePunct w:val="0"/>
              <w:bidi w:val="0"/>
              <w:snapToGrid w:val="0"/>
              <w:spacing w:line="360" w:lineRule="auto"/>
              <w:jc w:val="left"/>
              <w:rPr>
                <w:rFonts w:hint="eastAsia" w:ascii="宋体" w:hAnsi="宋体" w:eastAsia="宋体" w:cs="宋体"/>
                <w:b/>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30" w:type="dxa"/>
            <w:noWrap w:val="0"/>
            <w:vAlign w:val="center"/>
          </w:tcPr>
          <w:p>
            <w:pPr>
              <w:pageBreakBefore w:val="0"/>
              <w:kinsoku/>
              <w:overflowPunct/>
              <w:topLinePunct w:val="0"/>
              <w:bidi w:val="0"/>
              <w:snapToGrid w:val="0"/>
              <w:spacing w:line="360" w:lineRule="auto"/>
              <w:jc w:val="center"/>
              <w:rPr>
                <w:rFonts w:hint="eastAsia" w:ascii="宋体" w:hAnsi="宋体" w:eastAsia="宋体" w:cs="宋体"/>
                <w:bCs/>
                <w:color w:val="000000" w:themeColor="text1"/>
                <w:szCs w:val="21"/>
                <w:highlight w:val="none"/>
                <w14:textFill>
                  <w14:solidFill>
                    <w14:schemeClr w14:val="tx1"/>
                  </w14:solidFill>
                </w14:textFill>
              </w:rPr>
            </w:pPr>
          </w:p>
        </w:tc>
        <w:tc>
          <w:tcPr>
            <w:tcW w:w="2585" w:type="dxa"/>
            <w:noWrap w:val="0"/>
            <w:vAlign w:val="center"/>
          </w:tcPr>
          <w:p>
            <w:pPr>
              <w:pageBreakBefore w:val="0"/>
              <w:kinsoku/>
              <w:overflowPunct/>
              <w:topLinePunct w:val="0"/>
              <w:bidi w:val="0"/>
              <w:snapToGrid w:val="0"/>
              <w:spacing w:line="360" w:lineRule="auto"/>
              <w:jc w:val="center"/>
              <w:rPr>
                <w:rFonts w:hint="eastAsia" w:ascii="宋体" w:hAnsi="宋体" w:eastAsia="宋体" w:cs="宋体"/>
                <w:b/>
                <w:color w:val="000000" w:themeColor="text1"/>
                <w:szCs w:val="21"/>
                <w:highlight w:val="none"/>
                <w14:textFill>
                  <w14:solidFill>
                    <w14:schemeClr w14:val="tx1"/>
                  </w14:solidFill>
                </w14:textFill>
              </w:rPr>
            </w:pPr>
          </w:p>
        </w:tc>
        <w:tc>
          <w:tcPr>
            <w:tcW w:w="1453" w:type="dxa"/>
            <w:noWrap w:val="0"/>
            <w:vAlign w:val="center"/>
          </w:tcPr>
          <w:p>
            <w:pPr>
              <w:pageBreakBefore w:val="0"/>
              <w:kinsoku/>
              <w:overflowPunct/>
              <w:topLinePunct w:val="0"/>
              <w:bidi w:val="0"/>
              <w:snapToGrid w:val="0"/>
              <w:spacing w:line="360" w:lineRule="auto"/>
              <w:jc w:val="center"/>
              <w:rPr>
                <w:rFonts w:hint="eastAsia" w:ascii="宋体" w:hAnsi="宋体" w:eastAsia="宋体" w:cs="宋体"/>
                <w:b/>
                <w:color w:val="000000" w:themeColor="text1"/>
                <w:szCs w:val="21"/>
                <w:highlight w:val="none"/>
                <w14:textFill>
                  <w14:solidFill>
                    <w14:schemeClr w14:val="tx1"/>
                  </w14:solidFill>
                </w14:textFill>
              </w:rPr>
            </w:pPr>
          </w:p>
        </w:tc>
        <w:tc>
          <w:tcPr>
            <w:tcW w:w="973" w:type="dxa"/>
            <w:noWrap w:val="0"/>
            <w:vAlign w:val="center"/>
          </w:tcPr>
          <w:p>
            <w:pPr>
              <w:pageBreakBefore w:val="0"/>
              <w:kinsoku/>
              <w:overflowPunct/>
              <w:topLinePunct w:val="0"/>
              <w:bidi w:val="0"/>
              <w:snapToGrid w:val="0"/>
              <w:spacing w:line="360" w:lineRule="auto"/>
              <w:jc w:val="center"/>
              <w:rPr>
                <w:rFonts w:hint="eastAsia" w:ascii="宋体" w:hAnsi="宋体" w:eastAsia="宋体" w:cs="宋体"/>
                <w:b/>
                <w:color w:val="000000" w:themeColor="text1"/>
                <w:szCs w:val="21"/>
                <w:highlight w:val="none"/>
                <w14:textFill>
                  <w14:solidFill>
                    <w14:schemeClr w14:val="tx1"/>
                  </w14:solidFill>
                </w14:textFill>
              </w:rPr>
            </w:pPr>
          </w:p>
        </w:tc>
        <w:tc>
          <w:tcPr>
            <w:tcW w:w="1305" w:type="dxa"/>
            <w:noWrap w:val="0"/>
            <w:vAlign w:val="center"/>
          </w:tcPr>
          <w:p>
            <w:pPr>
              <w:pageBreakBefore w:val="0"/>
              <w:kinsoku/>
              <w:overflowPunct/>
              <w:topLinePunct w:val="0"/>
              <w:bidi w:val="0"/>
              <w:snapToGrid w:val="0"/>
              <w:spacing w:line="360" w:lineRule="auto"/>
              <w:jc w:val="center"/>
              <w:rPr>
                <w:rFonts w:hint="eastAsia" w:ascii="宋体" w:hAnsi="宋体" w:eastAsia="宋体" w:cs="宋体"/>
                <w:b/>
                <w:color w:val="000000" w:themeColor="text1"/>
                <w:szCs w:val="21"/>
                <w:highlight w:val="none"/>
                <w14:textFill>
                  <w14:solidFill>
                    <w14:schemeClr w14:val="tx1"/>
                  </w14:solidFill>
                </w14:textFill>
              </w:rPr>
            </w:pPr>
          </w:p>
        </w:tc>
        <w:tc>
          <w:tcPr>
            <w:tcW w:w="1395" w:type="dxa"/>
            <w:noWrap w:val="0"/>
            <w:vAlign w:val="center"/>
          </w:tcPr>
          <w:p>
            <w:pPr>
              <w:pageBreakBefore w:val="0"/>
              <w:kinsoku/>
              <w:overflowPunct/>
              <w:topLinePunct w:val="0"/>
              <w:bidi w:val="0"/>
              <w:snapToGrid w:val="0"/>
              <w:spacing w:line="360" w:lineRule="auto"/>
              <w:jc w:val="center"/>
              <w:rPr>
                <w:rFonts w:hint="eastAsia" w:ascii="宋体" w:hAnsi="宋体" w:eastAsia="宋体" w:cs="宋体"/>
                <w:b/>
                <w:color w:val="000000" w:themeColor="text1"/>
                <w:szCs w:val="21"/>
                <w:highlight w:val="none"/>
                <w14:textFill>
                  <w14:solidFill>
                    <w14:schemeClr w14:val="tx1"/>
                  </w14:solidFill>
                </w14:textFill>
              </w:rPr>
            </w:pPr>
          </w:p>
        </w:tc>
        <w:tc>
          <w:tcPr>
            <w:tcW w:w="1109" w:type="dxa"/>
            <w:noWrap w:val="0"/>
            <w:vAlign w:val="center"/>
          </w:tcPr>
          <w:p>
            <w:pPr>
              <w:pageBreakBefore w:val="0"/>
              <w:kinsoku/>
              <w:overflowPunct/>
              <w:topLinePunct w:val="0"/>
              <w:bidi w:val="0"/>
              <w:snapToGrid w:val="0"/>
              <w:spacing w:line="360" w:lineRule="auto"/>
              <w:jc w:val="left"/>
              <w:rPr>
                <w:rFonts w:hint="eastAsia" w:ascii="宋体" w:hAnsi="宋体" w:eastAsia="宋体" w:cs="宋体"/>
                <w:b/>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30" w:type="dxa"/>
            <w:noWrap w:val="0"/>
            <w:vAlign w:val="center"/>
          </w:tcPr>
          <w:p>
            <w:pPr>
              <w:pageBreakBefore w:val="0"/>
              <w:kinsoku/>
              <w:overflowPunct/>
              <w:topLinePunct w:val="0"/>
              <w:bidi w:val="0"/>
              <w:snapToGrid w:val="0"/>
              <w:spacing w:line="360" w:lineRule="auto"/>
              <w:jc w:val="center"/>
              <w:rPr>
                <w:rFonts w:hint="eastAsia" w:ascii="宋体" w:hAnsi="宋体" w:eastAsia="宋体" w:cs="宋体"/>
                <w:bCs/>
                <w:color w:val="000000" w:themeColor="text1"/>
                <w:szCs w:val="21"/>
                <w:highlight w:val="none"/>
                <w14:textFill>
                  <w14:solidFill>
                    <w14:schemeClr w14:val="tx1"/>
                  </w14:solidFill>
                </w14:textFill>
              </w:rPr>
            </w:pPr>
          </w:p>
        </w:tc>
        <w:tc>
          <w:tcPr>
            <w:tcW w:w="2585" w:type="dxa"/>
            <w:noWrap w:val="0"/>
            <w:vAlign w:val="center"/>
          </w:tcPr>
          <w:p>
            <w:pPr>
              <w:pageBreakBefore w:val="0"/>
              <w:kinsoku/>
              <w:overflowPunct/>
              <w:topLinePunct w:val="0"/>
              <w:bidi w:val="0"/>
              <w:snapToGrid w:val="0"/>
              <w:spacing w:line="360" w:lineRule="auto"/>
              <w:jc w:val="center"/>
              <w:rPr>
                <w:rFonts w:hint="eastAsia" w:ascii="宋体" w:hAnsi="宋体" w:eastAsia="宋体" w:cs="宋体"/>
                <w:b/>
                <w:color w:val="000000" w:themeColor="text1"/>
                <w:szCs w:val="21"/>
                <w:highlight w:val="none"/>
                <w14:textFill>
                  <w14:solidFill>
                    <w14:schemeClr w14:val="tx1"/>
                  </w14:solidFill>
                </w14:textFill>
              </w:rPr>
            </w:pPr>
          </w:p>
        </w:tc>
        <w:tc>
          <w:tcPr>
            <w:tcW w:w="1453" w:type="dxa"/>
            <w:noWrap w:val="0"/>
            <w:vAlign w:val="center"/>
          </w:tcPr>
          <w:p>
            <w:pPr>
              <w:pageBreakBefore w:val="0"/>
              <w:kinsoku/>
              <w:overflowPunct/>
              <w:topLinePunct w:val="0"/>
              <w:bidi w:val="0"/>
              <w:snapToGrid w:val="0"/>
              <w:spacing w:line="360" w:lineRule="auto"/>
              <w:jc w:val="center"/>
              <w:rPr>
                <w:rFonts w:hint="eastAsia" w:ascii="宋体" w:hAnsi="宋体" w:eastAsia="宋体" w:cs="宋体"/>
                <w:b/>
                <w:color w:val="000000" w:themeColor="text1"/>
                <w:szCs w:val="21"/>
                <w:highlight w:val="none"/>
                <w14:textFill>
                  <w14:solidFill>
                    <w14:schemeClr w14:val="tx1"/>
                  </w14:solidFill>
                </w14:textFill>
              </w:rPr>
            </w:pPr>
          </w:p>
        </w:tc>
        <w:tc>
          <w:tcPr>
            <w:tcW w:w="973" w:type="dxa"/>
            <w:noWrap w:val="0"/>
            <w:vAlign w:val="center"/>
          </w:tcPr>
          <w:p>
            <w:pPr>
              <w:pageBreakBefore w:val="0"/>
              <w:kinsoku/>
              <w:overflowPunct/>
              <w:topLinePunct w:val="0"/>
              <w:bidi w:val="0"/>
              <w:snapToGrid w:val="0"/>
              <w:spacing w:line="360" w:lineRule="auto"/>
              <w:jc w:val="center"/>
              <w:rPr>
                <w:rFonts w:hint="eastAsia" w:ascii="宋体" w:hAnsi="宋体" w:eastAsia="宋体" w:cs="宋体"/>
                <w:b/>
                <w:color w:val="000000" w:themeColor="text1"/>
                <w:szCs w:val="21"/>
                <w:highlight w:val="none"/>
                <w14:textFill>
                  <w14:solidFill>
                    <w14:schemeClr w14:val="tx1"/>
                  </w14:solidFill>
                </w14:textFill>
              </w:rPr>
            </w:pPr>
          </w:p>
        </w:tc>
        <w:tc>
          <w:tcPr>
            <w:tcW w:w="1305" w:type="dxa"/>
            <w:noWrap w:val="0"/>
            <w:vAlign w:val="center"/>
          </w:tcPr>
          <w:p>
            <w:pPr>
              <w:pageBreakBefore w:val="0"/>
              <w:kinsoku/>
              <w:overflowPunct/>
              <w:topLinePunct w:val="0"/>
              <w:bidi w:val="0"/>
              <w:snapToGrid w:val="0"/>
              <w:spacing w:line="360" w:lineRule="auto"/>
              <w:jc w:val="center"/>
              <w:rPr>
                <w:rFonts w:hint="eastAsia" w:ascii="宋体" w:hAnsi="宋体" w:eastAsia="宋体" w:cs="宋体"/>
                <w:b/>
                <w:color w:val="000000" w:themeColor="text1"/>
                <w:szCs w:val="21"/>
                <w:highlight w:val="none"/>
                <w14:textFill>
                  <w14:solidFill>
                    <w14:schemeClr w14:val="tx1"/>
                  </w14:solidFill>
                </w14:textFill>
              </w:rPr>
            </w:pPr>
          </w:p>
        </w:tc>
        <w:tc>
          <w:tcPr>
            <w:tcW w:w="1395" w:type="dxa"/>
            <w:noWrap w:val="0"/>
            <w:vAlign w:val="center"/>
          </w:tcPr>
          <w:p>
            <w:pPr>
              <w:pageBreakBefore w:val="0"/>
              <w:kinsoku/>
              <w:overflowPunct/>
              <w:topLinePunct w:val="0"/>
              <w:bidi w:val="0"/>
              <w:snapToGrid w:val="0"/>
              <w:spacing w:line="360" w:lineRule="auto"/>
              <w:jc w:val="center"/>
              <w:rPr>
                <w:rFonts w:hint="eastAsia" w:ascii="宋体" w:hAnsi="宋体" w:eastAsia="宋体" w:cs="宋体"/>
                <w:b/>
                <w:color w:val="000000" w:themeColor="text1"/>
                <w:szCs w:val="21"/>
                <w:highlight w:val="none"/>
                <w14:textFill>
                  <w14:solidFill>
                    <w14:schemeClr w14:val="tx1"/>
                  </w14:solidFill>
                </w14:textFill>
              </w:rPr>
            </w:pPr>
          </w:p>
        </w:tc>
        <w:tc>
          <w:tcPr>
            <w:tcW w:w="1109" w:type="dxa"/>
            <w:noWrap w:val="0"/>
            <w:vAlign w:val="center"/>
          </w:tcPr>
          <w:p>
            <w:pPr>
              <w:pageBreakBefore w:val="0"/>
              <w:kinsoku/>
              <w:overflowPunct/>
              <w:topLinePunct w:val="0"/>
              <w:bidi w:val="0"/>
              <w:snapToGrid w:val="0"/>
              <w:spacing w:line="360" w:lineRule="auto"/>
              <w:jc w:val="left"/>
              <w:rPr>
                <w:rFonts w:hint="eastAsia" w:ascii="宋体" w:hAnsi="宋体" w:eastAsia="宋体" w:cs="宋体"/>
                <w:b/>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415" w:type="dxa"/>
            <w:gridSpan w:val="2"/>
            <w:noWrap w:val="0"/>
            <w:vAlign w:val="center"/>
          </w:tcPr>
          <w:p>
            <w:pPr>
              <w:pageBreakBefore w:val="0"/>
              <w:kinsoku/>
              <w:overflowPunct/>
              <w:topLinePunct w:val="0"/>
              <w:bidi w:val="0"/>
              <w:snapToGrid w:val="0"/>
              <w:spacing w:line="360" w:lineRule="auto"/>
              <w:jc w:val="center"/>
              <w:rPr>
                <w:rFonts w:hint="eastAsia" w:ascii="宋体" w:hAnsi="宋体" w:eastAsia="宋体" w:cs="宋体"/>
                <w:b/>
                <w:color w:val="000000" w:themeColor="text1"/>
                <w:szCs w:val="21"/>
                <w:highlight w:val="none"/>
                <w14:textFill>
                  <w14:solidFill>
                    <w14:schemeClr w14:val="tx1"/>
                  </w14:solidFill>
                </w14:textFill>
              </w:rPr>
            </w:pPr>
            <w:r>
              <w:rPr>
                <w:rFonts w:hint="eastAsia" w:ascii="宋体" w:hAnsi="宋体" w:eastAsia="宋体" w:cs="宋体"/>
                <w:b/>
                <w:color w:val="000000" w:themeColor="text1"/>
                <w:szCs w:val="21"/>
                <w:highlight w:val="none"/>
                <w14:textFill>
                  <w14:solidFill>
                    <w14:schemeClr w14:val="tx1"/>
                  </w14:solidFill>
                </w14:textFill>
              </w:rPr>
              <w:t>合计：</w:t>
            </w:r>
          </w:p>
        </w:tc>
        <w:tc>
          <w:tcPr>
            <w:tcW w:w="5126" w:type="dxa"/>
            <w:gridSpan w:val="4"/>
            <w:noWrap w:val="0"/>
            <w:vAlign w:val="center"/>
          </w:tcPr>
          <w:p>
            <w:pPr>
              <w:pageBreakBefore w:val="0"/>
              <w:kinsoku/>
              <w:overflowPunct/>
              <w:topLinePunct w:val="0"/>
              <w:bidi w:val="0"/>
              <w:snapToGrid w:val="0"/>
              <w:spacing w:line="360" w:lineRule="auto"/>
              <w:jc w:val="left"/>
              <w:rPr>
                <w:rFonts w:hint="eastAsia" w:ascii="宋体" w:hAnsi="宋体" w:eastAsia="宋体" w:cs="宋体"/>
                <w:b/>
                <w:color w:val="000000" w:themeColor="text1"/>
                <w:szCs w:val="21"/>
                <w:highlight w:val="none"/>
                <w14:textFill>
                  <w14:solidFill>
                    <w14:schemeClr w14:val="tx1"/>
                  </w14:solidFill>
                </w14:textFill>
              </w:rPr>
            </w:pPr>
            <w:r>
              <w:rPr>
                <w:rFonts w:hint="eastAsia" w:ascii="宋体" w:hAnsi="宋体" w:eastAsia="宋体" w:cs="宋体"/>
                <w:b/>
                <w:color w:val="000000" w:themeColor="text1"/>
                <w:szCs w:val="21"/>
                <w:highlight w:val="none"/>
                <w14:textFill>
                  <w14:solidFill>
                    <w14:schemeClr w14:val="tx1"/>
                  </w14:solidFill>
                </w14:textFill>
              </w:rPr>
              <w:t>大写：         元</w:t>
            </w:r>
          </w:p>
        </w:tc>
        <w:tc>
          <w:tcPr>
            <w:tcW w:w="1109" w:type="dxa"/>
            <w:noWrap w:val="0"/>
            <w:vAlign w:val="center"/>
          </w:tcPr>
          <w:p>
            <w:pPr>
              <w:pageBreakBefore w:val="0"/>
              <w:kinsoku/>
              <w:overflowPunct/>
              <w:topLinePunct w:val="0"/>
              <w:bidi w:val="0"/>
              <w:snapToGrid w:val="0"/>
              <w:spacing w:line="360" w:lineRule="auto"/>
              <w:jc w:val="left"/>
              <w:rPr>
                <w:rFonts w:hint="eastAsia" w:ascii="宋体" w:hAnsi="宋体" w:eastAsia="宋体" w:cs="宋体"/>
                <w:b/>
                <w:color w:val="000000" w:themeColor="text1"/>
                <w:szCs w:val="21"/>
                <w:highlight w:val="none"/>
                <w14:textFill>
                  <w14:solidFill>
                    <w14:schemeClr w14:val="tx1"/>
                  </w14:solidFill>
                </w14:textFill>
              </w:rPr>
            </w:pPr>
          </w:p>
        </w:tc>
      </w:tr>
    </w:tbl>
    <w:p>
      <w:pPr>
        <w:pageBreakBefore w:val="0"/>
        <w:tabs>
          <w:tab w:val="left" w:pos="8085"/>
        </w:tabs>
        <w:kinsoku/>
        <w:overflowPunct/>
        <w:topLinePunct w:val="0"/>
        <w:bidi w:val="0"/>
        <w:spacing w:line="360" w:lineRule="auto"/>
        <w:jc w:val="center"/>
        <w:rPr>
          <w:rFonts w:hint="eastAsia" w:ascii="宋体" w:hAnsi="宋体" w:eastAsia="宋体" w:cs="宋体"/>
          <w:b/>
          <w:color w:val="000000" w:themeColor="text1"/>
          <w:szCs w:val="21"/>
          <w:highlight w:val="none"/>
          <w14:textFill>
            <w14:solidFill>
              <w14:schemeClr w14:val="tx1"/>
            </w14:solidFill>
          </w14:textFill>
        </w:rPr>
      </w:pPr>
    </w:p>
    <w:p>
      <w:pPr>
        <w:pageBreakBefore w:val="0"/>
        <w:kinsoku/>
        <w:overflowPunct/>
        <w:topLinePunct w:val="0"/>
        <w:bidi w:val="0"/>
        <w:spacing w:line="360" w:lineRule="auto"/>
        <w:rPr>
          <w:rFonts w:hint="eastAsia" w:ascii="宋体" w:hAnsi="宋体" w:eastAsia="宋体" w:cs="宋体"/>
          <w:bCs/>
          <w:color w:val="000000" w:themeColor="text1"/>
          <w:szCs w:val="21"/>
          <w:highlight w:val="none"/>
          <w:lang w:bidi="ar"/>
          <w14:textFill>
            <w14:solidFill>
              <w14:schemeClr w14:val="tx1"/>
            </w14:solidFill>
          </w14:textFill>
        </w:rPr>
      </w:pPr>
    </w:p>
    <w:p>
      <w:pPr>
        <w:pageBreakBefore w:val="0"/>
        <w:kinsoku/>
        <w:overflowPunct/>
        <w:topLinePunct w:val="0"/>
        <w:bidi w:val="0"/>
        <w:spacing w:line="360" w:lineRule="auto"/>
        <w:rPr>
          <w:rFonts w:hint="eastAsia" w:ascii="宋体" w:hAnsi="宋体" w:eastAsia="宋体" w:cs="宋体"/>
          <w:bCs/>
          <w:color w:val="000000" w:themeColor="text1"/>
          <w:szCs w:val="21"/>
          <w:highlight w:val="none"/>
          <w:lang w:bidi="ar"/>
          <w14:textFill>
            <w14:solidFill>
              <w14:schemeClr w14:val="tx1"/>
            </w14:solidFill>
          </w14:textFill>
        </w:rPr>
      </w:pPr>
      <w:r>
        <w:rPr>
          <w:rFonts w:hint="eastAsia" w:ascii="宋体" w:hAnsi="宋体" w:eastAsia="宋体" w:cs="宋体"/>
          <w:bCs/>
          <w:color w:val="000000" w:themeColor="text1"/>
          <w:szCs w:val="21"/>
          <w:highlight w:val="none"/>
          <w:lang w:bidi="ar"/>
          <w14:textFill>
            <w14:solidFill>
              <w14:schemeClr w14:val="tx1"/>
            </w14:solidFill>
          </w14:textFill>
        </w:rPr>
        <w:t>注：上述报价中包含</w:t>
      </w:r>
      <w:r>
        <w:rPr>
          <w:rFonts w:hint="eastAsia" w:ascii="宋体" w:hAnsi="宋体" w:cs="宋体"/>
          <w:bCs/>
          <w:color w:val="000000" w:themeColor="text1"/>
          <w:szCs w:val="21"/>
          <w:highlight w:val="none"/>
          <w:lang w:eastAsia="zh-CN" w:bidi="ar"/>
          <w14:textFill>
            <w14:solidFill>
              <w14:schemeClr w14:val="tx1"/>
            </w14:solidFill>
          </w14:textFill>
        </w:rPr>
        <w:t>采购文件</w:t>
      </w:r>
      <w:r>
        <w:rPr>
          <w:rFonts w:hint="eastAsia" w:ascii="宋体" w:hAnsi="宋体" w:eastAsia="宋体" w:cs="宋体"/>
          <w:bCs/>
          <w:color w:val="000000" w:themeColor="text1"/>
          <w:szCs w:val="21"/>
          <w:highlight w:val="none"/>
          <w:lang w:bidi="ar"/>
          <w14:textFill>
            <w14:solidFill>
              <w14:schemeClr w14:val="tx1"/>
            </w14:solidFill>
          </w14:textFill>
        </w:rPr>
        <w:t>要求的所要求的所有费用。</w:t>
      </w:r>
    </w:p>
    <w:p>
      <w:pPr>
        <w:pStyle w:val="2"/>
        <w:pageBreakBefore w:val="0"/>
        <w:kinsoku/>
        <w:overflowPunct/>
        <w:topLinePunct w:val="0"/>
        <w:bidi w:val="0"/>
        <w:spacing w:line="360" w:lineRule="auto"/>
        <w:rPr>
          <w:rFonts w:hint="eastAsia" w:ascii="宋体" w:hAnsi="宋体" w:eastAsia="宋体" w:cs="宋体"/>
          <w:bCs/>
          <w:color w:val="000000" w:themeColor="text1"/>
          <w:sz w:val="21"/>
          <w:szCs w:val="21"/>
          <w:highlight w:val="none"/>
          <w:lang w:val="en-US" w:eastAsia="zh-CN" w:bidi="ar"/>
          <w14:textFill>
            <w14:solidFill>
              <w14:schemeClr w14:val="tx1"/>
            </w14:solidFill>
          </w14:textFill>
        </w:rPr>
      </w:pPr>
    </w:p>
    <w:p>
      <w:pPr>
        <w:pStyle w:val="4"/>
        <w:pageBreakBefore w:val="0"/>
        <w:kinsoku/>
        <w:overflowPunct/>
        <w:topLinePunct w:val="0"/>
        <w:bidi w:val="0"/>
        <w:spacing w:line="360" w:lineRule="auto"/>
        <w:rPr>
          <w:rFonts w:hint="eastAsia" w:ascii="宋体" w:hAnsi="宋体" w:eastAsia="宋体" w:cs="宋体"/>
          <w:bCs/>
          <w:color w:val="000000" w:themeColor="text1"/>
          <w:szCs w:val="21"/>
          <w:highlight w:val="none"/>
          <w:lang w:bidi="ar"/>
          <w14:textFill>
            <w14:solidFill>
              <w14:schemeClr w14:val="tx1"/>
            </w14:solidFill>
          </w14:textFill>
        </w:rPr>
      </w:pPr>
    </w:p>
    <w:p>
      <w:pPr>
        <w:pageBreakBefore w:val="0"/>
        <w:kinsoku/>
        <w:overflowPunct/>
        <w:topLinePunct w:val="0"/>
        <w:bidi w:val="0"/>
        <w:spacing w:line="360" w:lineRule="auto"/>
        <w:rPr>
          <w:rFonts w:hint="eastAsia" w:ascii="宋体" w:hAnsi="宋体" w:eastAsia="宋体" w:cs="宋体"/>
          <w:color w:val="000000" w:themeColor="text1"/>
          <w:highlight w:val="none"/>
          <w14:textFill>
            <w14:solidFill>
              <w14:schemeClr w14:val="tx1"/>
            </w14:solidFill>
          </w14:textFill>
        </w:rPr>
      </w:pPr>
    </w:p>
    <w:p>
      <w:pPr>
        <w:pageBreakBefore w:val="0"/>
        <w:kinsoku/>
        <w:overflowPunct/>
        <w:topLinePunct w:val="0"/>
        <w:autoSpaceDE w:val="0"/>
        <w:autoSpaceDN w:val="0"/>
        <w:bidi w:val="0"/>
        <w:spacing w:line="360" w:lineRule="auto"/>
        <w:ind w:right="1120"/>
        <w:jc w:val="left"/>
        <w:rPr>
          <w:rFonts w:hint="eastAsia" w:ascii="宋体" w:hAnsi="宋体" w:eastAsia="宋体" w:cs="宋体"/>
          <w:color w:val="000000" w:themeColor="text1"/>
          <w:kern w:val="0"/>
          <w:szCs w:val="21"/>
          <w:highlight w:val="none"/>
          <w:lang w:val="zh-CN"/>
          <w14:textFill>
            <w14:solidFill>
              <w14:schemeClr w14:val="tx1"/>
            </w14:solidFill>
          </w14:textFill>
        </w:rPr>
      </w:pPr>
      <w:r>
        <w:rPr>
          <w:rFonts w:hint="eastAsia" w:ascii="宋体" w:hAnsi="宋体" w:cs="宋体"/>
          <w:color w:val="000000" w:themeColor="text1"/>
          <w:kern w:val="0"/>
          <w:szCs w:val="21"/>
          <w:highlight w:val="none"/>
          <w:lang w:val="zh-CN"/>
          <w14:textFill>
            <w14:solidFill>
              <w14:schemeClr w14:val="tx1"/>
            </w14:solidFill>
          </w14:textFill>
        </w:rPr>
        <w:t>供应商</w:t>
      </w:r>
      <w:r>
        <w:rPr>
          <w:rFonts w:hint="eastAsia" w:ascii="宋体" w:hAnsi="宋体" w:eastAsia="宋体" w:cs="宋体"/>
          <w:color w:val="000000" w:themeColor="text1"/>
          <w:kern w:val="0"/>
          <w:szCs w:val="21"/>
          <w:highlight w:val="none"/>
          <w:lang w:val="zh-CN"/>
          <w14:textFill>
            <w14:solidFill>
              <w14:schemeClr w14:val="tx1"/>
            </w14:solidFill>
          </w14:textFill>
        </w:rPr>
        <w:t>名称（电子签名）：</w:t>
      </w:r>
    </w:p>
    <w:p>
      <w:pPr>
        <w:pageBreakBefore w:val="0"/>
        <w:kinsoku/>
        <w:overflowPunct/>
        <w:topLinePunct w:val="0"/>
        <w:bidi w:val="0"/>
        <w:spacing w:line="360" w:lineRule="auto"/>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lang w:val="zh-CN"/>
          <w14:textFill>
            <w14:solidFill>
              <w14:schemeClr w14:val="tx1"/>
            </w14:solidFill>
          </w14:textFill>
        </w:rPr>
        <w:t>日期</w:t>
      </w:r>
      <w:r>
        <w:rPr>
          <w:rFonts w:hint="eastAsia" w:ascii="宋体" w:hAnsi="宋体" w:eastAsia="宋体" w:cs="宋体"/>
          <w:color w:val="000000" w:themeColor="text1"/>
          <w:kern w:val="0"/>
          <w:szCs w:val="21"/>
          <w:highlight w:val="none"/>
          <w14:textFill>
            <w14:solidFill>
              <w14:schemeClr w14:val="tx1"/>
            </w14:solidFill>
          </w14:textFill>
        </w:rPr>
        <w:t>：</w:t>
      </w:r>
      <w:r>
        <w:rPr>
          <w:rFonts w:hint="eastAsia" w:ascii="宋体" w:hAnsi="宋体" w:eastAsia="宋体" w:cs="宋体"/>
          <w:color w:val="000000" w:themeColor="text1"/>
          <w:kern w:val="0"/>
          <w:szCs w:val="21"/>
          <w:highlight w:val="none"/>
          <w:lang w:val="zh-CN"/>
          <w14:textFill>
            <w14:solidFill>
              <w14:schemeClr w14:val="tx1"/>
            </w14:solidFill>
          </w14:textFill>
        </w:rPr>
        <w:t xml:space="preserve">   年   月   日</w:t>
      </w:r>
    </w:p>
    <w:p>
      <w:pPr>
        <w:pStyle w:val="3"/>
        <w:pageBreakBefore w:val="0"/>
        <w:kinsoku/>
        <w:overflowPunct/>
        <w:topLinePunct w:val="0"/>
        <w:bidi w:val="0"/>
        <w:spacing w:line="360" w:lineRule="auto"/>
        <w:rPr>
          <w:rFonts w:hint="eastAsia" w:ascii="宋体" w:hAnsi="宋体" w:eastAsia="宋体" w:cs="宋体"/>
          <w:b/>
          <w:color w:val="000000" w:themeColor="text1"/>
          <w:sz w:val="32"/>
          <w:szCs w:val="32"/>
          <w:highlight w:val="none"/>
          <w14:textFill>
            <w14:solidFill>
              <w14:schemeClr w14:val="tx1"/>
            </w14:solidFill>
          </w14:textFill>
        </w:rPr>
      </w:pPr>
    </w:p>
    <w:p>
      <w:pPr>
        <w:pStyle w:val="2"/>
        <w:pageBreakBefore w:val="0"/>
        <w:kinsoku/>
        <w:overflowPunct/>
        <w:topLinePunct w:val="0"/>
        <w:bidi w:val="0"/>
        <w:spacing w:line="360" w:lineRule="auto"/>
        <w:rPr>
          <w:rFonts w:hint="eastAsia" w:ascii="宋体" w:hAnsi="宋体" w:eastAsia="宋体" w:cs="宋体"/>
          <w:b/>
          <w:color w:val="000000" w:themeColor="text1"/>
          <w:sz w:val="32"/>
          <w:szCs w:val="32"/>
          <w:highlight w:val="none"/>
          <w14:textFill>
            <w14:solidFill>
              <w14:schemeClr w14:val="tx1"/>
            </w14:solidFill>
          </w14:textFill>
        </w:rPr>
      </w:pPr>
    </w:p>
    <w:p>
      <w:pPr>
        <w:pStyle w:val="4"/>
        <w:pageBreakBefore w:val="0"/>
        <w:kinsoku/>
        <w:overflowPunct/>
        <w:topLinePunct w:val="0"/>
        <w:bidi w:val="0"/>
        <w:spacing w:line="360" w:lineRule="auto"/>
        <w:rPr>
          <w:rFonts w:hint="eastAsia" w:ascii="宋体" w:hAnsi="宋体" w:eastAsia="宋体" w:cs="宋体"/>
          <w:b/>
          <w:color w:val="000000" w:themeColor="text1"/>
          <w:sz w:val="32"/>
          <w:szCs w:val="32"/>
          <w:highlight w:val="none"/>
          <w14:textFill>
            <w14:solidFill>
              <w14:schemeClr w14:val="tx1"/>
            </w14:solidFill>
          </w14:textFill>
        </w:rPr>
      </w:pPr>
    </w:p>
    <w:p>
      <w:pPr>
        <w:pageBreakBefore w:val="0"/>
        <w:widowControl/>
        <w:kinsoku/>
        <w:overflowPunct/>
        <w:topLinePunct w:val="0"/>
        <w:bidi w:val="0"/>
        <w:adjustRightInd/>
        <w:spacing w:line="360" w:lineRule="auto"/>
        <w:jc w:val="left"/>
        <w:rPr>
          <w:rFonts w:hint="eastAsia" w:ascii="宋体" w:hAnsi="宋体" w:eastAsia="宋体" w:cs="宋体"/>
          <w:color w:val="000000" w:themeColor="text1"/>
          <w:sz w:val="32"/>
          <w:szCs w:val="32"/>
          <w:highlight w:val="none"/>
          <w14:textFill>
            <w14:solidFill>
              <w14:schemeClr w14:val="tx1"/>
            </w14:solidFill>
          </w14:textFill>
        </w:rPr>
      </w:pPr>
    </w:p>
    <w:p>
      <w:pPr>
        <w:pStyle w:val="2"/>
        <w:rPr>
          <w:rFonts w:hint="eastAsia" w:ascii="宋体" w:hAnsi="宋体" w:eastAsia="宋体" w:cs="宋体"/>
          <w:color w:val="000000" w:themeColor="text1"/>
          <w:sz w:val="32"/>
          <w:szCs w:val="32"/>
          <w:highlight w:val="none"/>
          <w14:textFill>
            <w14:solidFill>
              <w14:schemeClr w14:val="tx1"/>
            </w14:solidFill>
          </w14:textFill>
        </w:rPr>
      </w:pPr>
    </w:p>
    <w:p>
      <w:pPr>
        <w:pStyle w:val="4"/>
        <w:rPr>
          <w:rFonts w:hint="eastAsia" w:ascii="宋体" w:hAnsi="宋体" w:eastAsia="宋体" w:cs="宋体"/>
          <w:color w:val="000000" w:themeColor="text1"/>
          <w:sz w:val="32"/>
          <w:szCs w:val="32"/>
          <w:highlight w:val="none"/>
          <w14:textFill>
            <w14:solidFill>
              <w14:schemeClr w14:val="tx1"/>
            </w14:solidFill>
          </w14:textFill>
        </w:rPr>
      </w:pPr>
    </w:p>
    <w:p>
      <w:pPr>
        <w:rPr>
          <w:rFonts w:hint="eastAsia" w:ascii="宋体" w:hAnsi="宋体" w:eastAsia="宋体" w:cs="宋体"/>
          <w:color w:val="000000" w:themeColor="text1"/>
          <w:kern w:val="2"/>
          <w:sz w:val="32"/>
          <w:szCs w:val="32"/>
          <w:highlight w:val="none"/>
          <w14:textFill>
            <w14:solidFill>
              <w14:schemeClr w14:val="tx1"/>
            </w14:solidFill>
          </w14:textFill>
        </w:rPr>
      </w:pPr>
      <w:r>
        <w:rPr>
          <w:rFonts w:hint="eastAsia" w:ascii="宋体" w:hAnsi="宋体" w:eastAsia="宋体" w:cs="宋体"/>
          <w:color w:val="000000" w:themeColor="text1"/>
          <w:kern w:val="2"/>
          <w:sz w:val="32"/>
          <w:szCs w:val="32"/>
          <w:highlight w:val="none"/>
          <w14:textFill>
            <w14:solidFill>
              <w14:schemeClr w14:val="tx1"/>
            </w14:solidFill>
          </w14:textFill>
        </w:rPr>
        <w:br w:type="page"/>
      </w:r>
    </w:p>
    <w:p>
      <w:pPr>
        <w:pStyle w:val="692"/>
        <w:keepNext w:val="0"/>
        <w:pageBreakBefore w:val="0"/>
        <w:numPr>
          <w:ilvl w:val="0"/>
          <w:numId w:val="0"/>
        </w:numPr>
        <w:tabs>
          <w:tab w:val="clear" w:pos="720"/>
        </w:tabs>
        <w:kinsoku/>
        <w:overflowPunct/>
        <w:topLinePunct w:val="0"/>
        <w:bidi w:val="0"/>
        <w:snapToGrid w:val="0"/>
        <w:spacing w:before="120" w:after="120" w:line="360" w:lineRule="auto"/>
        <w:jc w:val="center"/>
        <w:outlineLvl w:val="2"/>
        <w:rPr>
          <w:rFonts w:hint="eastAsia" w:ascii="宋体" w:hAnsi="宋体" w:eastAsia="宋体" w:cs="宋体"/>
          <w:color w:val="000000" w:themeColor="text1"/>
          <w:kern w:val="2"/>
          <w:sz w:val="32"/>
          <w:szCs w:val="32"/>
          <w:highlight w:val="none"/>
          <w14:textFill>
            <w14:solidFill>
              <w14:schemeClr w14:val="tx1"/>
            </w14:solidFill>
          </w14:textFill>
        </w:rPr>
      </w:pPr>
      <w:r>
        <w:rPr>
          <w:rFonts w:hint="eastAsia" w:ascii="宋体" w:hAnsi="宋体" w:eastAsia="宋体" w:cs="宋体"/>
          <w:color w:val="000000" w:themeColor="text1"/>
          <w:kern w:val="2"/>
          <w:sz w:val="32"/>
          <w:szCs w:val="32"/>
          <w:highlight w:val="none"/>
          <w14:textFill>
            <w14:solidFill>
              <w14:schemeClr w14:val="tx1"/>
            </w14:solidFill>
          </w14:textFill>
        </w:rPr>
        <w:t>投标报价明细表（</w:t>
      </w:r>
      <w:r>
        <w:rPr>
          <w:rFonts w:hint="eastAsia" w:ascii="宋体" w:hAnsi="宋体" w:eastAsia="宋体" w:cs="宋体"/>
          <w:color w:val="000000" w:themeColor="text1"/>
          <w:kern w:val="2"/>
          <w:sz w:val="32"/>
          <w:szCs w:val="32"/>
          <w:highlight w:val="none"/>
          <w:lang w:val="en-US" w:eastAsia="zh-CN"/>
          <w14:textFill>
            <w14:solidFill>
              <w14:schemeClr w14:val="tx1"/>
            </w14:solidFill>
          </w14:textFill>
        </w:rPr>
        <w:t>二</w:t>
      </w:r>
      <w:r>
        <w:rPr>
          <w:rFonts w:hint="eastAsia" w:ascii="宋体" w:hAnsi="宋体" w:eastAsia="宋体" w:cs="宋体"/>
          <w:color w:val="000000" w:themeColor="text1"/>
          <w:kern w:val="2"/>
          <w:sz w:val="32"/>
          <w:szCs w:val="32"/>
          <w:highlight w:val="none"/>
          <w14:textFill>
            <w14:solidFill>
              <w14:schemeClr w14:val="tx1"/>
            </w14:solidFill>
          </w14:textFill>
        </w:rPr>
        <w:t>）</w:t>
      </w:r>
    </w:p>
    <w:p>
      <w:pPr>
        <w:pStyle w:val="692"/>
        <w:keepNext w:val="0"/>
        <w:pageBreakBefore w:val="0"/>
        <w:numPr>
          <w:ilvl w:val="0"/>
          <w:numId w:val="0"/>
        </w:numPr>
        <w:tabs>
          <w:tab w:val="clear" w:pos="720"/>
        </w:tabs>
        <w:kinsoku/>
        <w:overflowPunct/>
        <w:topLinePunct w:val="0"/>
        <w:bidi w:val="0"/>
        <w:snapToGrid w:val="0"/>
        <w:spacing w:before="120" w:after="120" w:line="360" w:lineRule="auto"/>
        <w:outlineLvl w:val="2"/>
        <w:rPr>
          <w:rFonts w:hint="eastAsia" w:ascii="宋体" w:hAnsi="宋体" w:eastAsia="宋体" w:cs="宋体"/>
          <w:color w:val="000000" w:themeColor="text1"/>
          <w:kern w:val="2"/>
          <w:sz w:val="32"/>
          <w:szCs w:val="32"/>
          <w:highlight w:val="none"/>
          <w14:textFill>
            <w14:solidFill>
              <w14:schemeClr w14:val="tx1"/>
            </w14:solidFill>
          </w14:textFill>
        </w:rPr>
      </w:pPr>
      <w:r>
        <w:rPr>
          <w:rFonts w:hint="eastAsia" w:ascii="宋体" w:hAnsi="宋体" w:eastAsia="宋体" w:cs="宋体"/>
          <w:color w:val="000000" w:themeColor="text1"/>
          <w:kern w:val="2"/>
          <w:sz w:val="32"/>
          <w:szCs w:val="32"/>
          <w:highlight w:val="none"/>
          <w14:textFill>
            <w14:solidFill>
              <w14:schemeClr w14:val="tx1"/>
            </w14:solidFill>
          </w14:textFill>
        </w:rPr>
        <w:t>（</w:t>
      </w:r>
      <w:r>
        <w:rPr>
          <w:rFonts w:hint="eastAsia" w:ascii="宋体" w:hAnsi="宋体" w:eastAsia="宋体" w:cs="宋体"/>
          <w:color w:val="000000" w:themeColor="text1"/>
          <w:kern w:val="2"/>
          <w:sz w:val="32"/>
          <w:szCs w:val="32"/>
          <w:highlight w:val="none"/>
          <w:lang w:eastAsia="zh-CN"/>
          <w14:textFill>
            <w14:solidFill>
              <w14:schemeClr w14:val="tx1"/>
            </w14:solidFill>
          </w14:textFill>
        </w:rPr>
        <w:t>环卫保洁部分</w:t>
      </w:r>
      <w:r>
        <w:rPr>
          <w:rFonts w:hint="eastAsia" w:ascii="宋体" w:hAnsi="宋体" w:eastAsia="宋体" w:cs="宋体"/>
          <w:color w:val="000000" w:themeColor="text1"/>
          <w:kern w:val="2"/>
          <w:sz w:val="32"/>
          <w:szCs w:val="32"/>
          <w:highlight w:val="none"/>
          <w14:textFill>
            <w14:solidFill>
              <w14:schemeClr w14:val="tx1"/>
            </w14:solidFill>
          </w14:textFill>
        </w:rPr>
        <w:t>）</w:t>
      </w:r>
    </w:p>
    <w:tbl>
      <w:tblPr>
        <w:tblStyle w:val="62"/>
        <w:tblpPr w:leftFromText="180" w:rightFromText="180" w:vertAnchor="text" w:horzAnchor="page" w:tblpX="1339" w:tblpY="464"/>
        <w:tblOverlap w:val="never"/>
        <w:tblW w:w="96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0"/>
        <w:gridCol w:w="3091"/>
        <w:gridCol w:w="947"/>
        <w:gridCol w:w="973"/>
        <w:gridCol w:w="1305"/>
        <w:gridCol w:w="1395"/>
        <w:gridCol w:w="1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30" w:type="dxa"/>
            <w:noWrap w:val="0"/>
            <w:vAlign w:val="center"/>
          </w:tcPr>
          <w:p>
            <w:pPr>
              <w:pageBreakBefore w:val="0"/>
              <w:kinsoku/>
              <w:overflowPunct/>
              <w:topLinePunct w:val="0"/>
              <w:bidi w:val="0"/>
              <w:snapToGrid w:val="0"/>
              <w:spacing w:line="360" w:lineRule="auto"/>
              <w:jc w:val="center"/>
              <w:rPr>
                <w:rFonts w:hint="eastAsia" w:ascii="宋体" w:hAnsi="宋体" w:eastAsia="宋体" w:cs="宋体"/>
                <w:bCs/>
                <w:color w:val="000000" w:themeColor="text1"/>
                <w:szCs w:val="21"/>
                <w:highlight w:val="none"/>
                <w14:textFill>
                  <w14:solidFill>
                    <w14:schemeClr w14:val="tx1"/>
                  </w14:solidFill>
                </w14:textFill>
              </w:rPr>
            </w:pPr>
            <w:r>
              <w:rPr>
                <w:rFonts w:hint="eastAsia" w:ascii="宋体" w:hAnsi="宋体" w:eastAsia="宋体" w:cs="宋体"/>
                <w:bCs/>
                <w:color w:val="000000" w:themeColor="text1"/>
                <w:szCs w:val="21"/>
                <w:highlight w:val="none"/>
                <w14:textFill>
                  <w14:solidFill>
                    <w14:schemeClr w14:val="tx1"/>
                  </w14:solidFill>
                </w14:textFill>
              </w:rPr>
              <w:t>序号</w:t>
            </w:r>
          </w:p>
        </w:tc>
        <w:tc>
          <w:tcPr>
            <w:tcW w:w="3091" w:type="dxa"/>
            <w:noWrap w:val="0"/>
            <w:vAlign w:val="center"/>
          </w:tcPr>
          <w:p>
            <w:pPr>
              <w:pageBreakBefore w:val="0"/>
              <w:kinsoku/>
              <w:overflowPunct/>
              <w:topLinePunct w:val="0"/>
              <w:bidi w:val="0"/>
              <w:snapToGrid w:val="0"/>
              <w:spacing w:line="360" w:lineRule="auto"/>
              <w:jc w:val="center"/>
              <w:rPr>
                <w:rFonts w:hint="eastAsia" w:ascii="宋体" w:hAnsi="宋体" w:eastAsia="宋体" w:cs="宋体"/>
                <w:bCs/>
                <w:color w:val="000000" w:themeColor="text1"/>
                <w:szCs w:val="21"/>
                <w:highlight w:val="none"/>
                <w14:textFill>
                  <w14:solidFill>
                    <w14:schemeClr w14:val="tx1"/>
                  </w14:solidFill>
                </w14:textFill>
              </w:rPr>
            </w:pPr>
            <w:r>
              <w:rPr>
                <w:rFonts w:hint="eastAsia" w:ascii="宋体" w:hAnsi="宋体" w:eastAsia="宋体" w:cs="宋体"/>
                <w:bCs/>
                <w:color w:val="000000" w:themeColor="text1"/>
                <w:szCs w:val="21"/>
                <w:highlight w:val="none"/>
                <w14:textFill>
                  <w14:solidFill>
                    <w14:schemeClr w14:val="tx1"/>
                  </w14:solidFill>
                </w14:textFill>
              </w:rPr>
              <w:t>内容</w:t>
            </w:r>
          </w:p>
        </w:tc>
        <w:tc>
          <w:tcPr>
            <w:tcW w:w="947" w:type="dxa"/>
            <w:noWrap w:val="0"/>
            <w:vAlign w:val="center"/>
          </w:tcPr>
          <w:p>
            <w:pPr>
              <w:pageBreakBefore w:val="0"/>
              <w:kinsoku/>
              <w:overflowPunct/>
              <w:topLinePunct w:val="0"/>
              <w:bidi w:val="0"/>
              <w:snapToGrid w:val="0"/>
              <w:spacing w:line="360" w:lineRule="auto"/>
              <w:jc w:val="center"/>
              <w:rPr>
                <w:rFonts w:hint="eastAsia" w:ascii="宋体" w:hAnsi="宋体" w:eastAsia="宋体" w:cs="宋体"/>
                <w:bCs/>
                <w:color w:val="000000" w:themeColor="text1"/>
                <w:szCs w:val="21"/>
                <w:highlight w:val="none"/>
                <w14:textFill>
                  <w14:solidFill>
                    <w14:schemeClr w14:val="tx1"/>
                  </w14:solidFill>
                </w14:textFill>
              </w:rPr>
            </w:pPr>
            <w:r>
              <w:rPr>
                <w:rFonts w:hint="eastAsia" w:ascii="宋体" w:hAnsi="宋体" w:eastAsia="宋体" w:cs="宋体"/>
                <w:bCs/>
                <w:color w:val="000000" w:themeColor="text1"/>
                <w:szCs w:val="21"/>
                <w:highlight w:val="none"/>
                <w14:textFill>
                  <w14:solidFill>
                    <w14:schemeClr w14:val="tx1"/>
                  </w14:solidFill>
                </w14:textFill>
              </w:rPr>
              <w:t>单位</w:t>
            </w:r>
          </w:p>
        </w:tc>
        <w:tc>
          <w:tcPr>
            <w:tcW w:w="973" w:type="dxa"/>
            <w:noWrap w:val="0"/>
            <w:vAlign w:val="center"/>
          </w:tcPr>
          <w:p>
            <w:pPr>
              <w:pageBreakBefore w:val="0"/>
              <w:kinsoku/>
              <w:overflowPunct/>
              <w:topLinePunct w:val="0"/>
              <w:bidi w:val="0"/>
              <w:snapToGrid w:val="0"/>
              <w:spacing w:line="360" w:lineRule="auto"/>
              <w:jc w:val="center"/>
              <w:rPr>
                <w:rFonts w:hint="eastAsia" w:ascii="宋体" w:hAnsi="宋体" w:eastAsia="宋体" w:cs="宋体"/>
                <w:bCs/>
                <w:color w:val="000000" w:themeColor="text1"/>
                <w:szCs w:val="21"/>
                <w:highlight w:val="none"/>
                <w14:textFill>
                  <w14:solidFill>
                    <w14:schemeClr w14:val="tx1"/>
                  </w14:solidFill>
                </w14:textFill>
              </w:rPr>
            </w:pPr>
            <w:r>
              <w:rPr>
                <w:rFonts w:hint="eastAsia" w:ascii="宋体" w:hAnsi="宋体" w:eastAsia="宋体" w:cs="宋体"/>
                <w:bCs/>
                <w:color w:val="000000" w:themeColor="text1"/>
                <w:szCs w:val="21"/>
                <w:highlight w:val="none"/>
                <w14:textFill>
                  <w14:solidFill>
                    <w14:schemeClr w14:val="tx1"/>
                  </w14:solidFill>
                </w14:textFill>
              </w:rPr>
              <w:t>数量</w:t>
            </w:r>
          </w:p>
        </w:tc>
        <w:tc>
          <w:tcPr>
            <w:tcW w:w="1305" w:type="dxa"/>
            <w:noWrap w:val="0"/>
            <w:vAlign w:val="center"/>
          </w:tcPr>
          <w:p>
            <w:pPr>
              <w:pageBreakBefore w:val="0"/>
              <w:kinsoku/>
              <w:overflowPunct/>
              <w:topLinePunct w:val="0"/>
              <w:bidi w:val="0"/>
              <w:snapToGrid w:val="0"/>
              <w:spacing w:line="360" w:lineRule="auto"/>
              <w:jc w:val="center"/>
              <w:rPr>
                <w:rFonts w:hint="eastAsia" w:ascii="宋体" w:hAnsi="宋体" w:eastAsia="宋体" w:cs="宋体"/>
                <w:bCs/>
                <w:color w:val="000000" w:themeColor="text1"/>
                <w:szCs w:val="21"/>
                <w:highlight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综合单价/㎡/元</w:t>
            </w:r>
          </w:p>
        </w:tc>
        <w:tc>
          <w:tcPr>
            <w:tcW w:w="1395" w:type="dxa"/>
            <w:noWrap w:val="0"/>
            <w:vAlign w:val="center"/>
          </w:tcPr>
          <w:p>
            <w:pPr>
              <w:pageBreakBefore w:val="0"/>
              <w:kinsoku/>
              <w:overflowPunct/>
              <w:topLinePunct w:val="0"/>
              <w:bidi w:val="0"/>
              <w:snapToGrid w:val="0"/>
              <w:spacing w:line="360" w:lineRule="auto"/>
              <w:jc w:val="center"/>
              <w:rPr>
                <w:rFonts w:hint="eastAsia" w:ascii="宋体" w:hAnsi="宋体" w:eastAsia="宋体" w:cs="宋体"/>
                <w:bCs/>
                <w:color w:val="000000" w:themeColor="text1"/>
                <w:szCs w:val="21"/>
                <w:highlight w:val="none"/>
                <w14:textFill>
                  <w14:solidFill>
                    <w14:schemeClr w14:val="tx1"/>
                  </w14:solidFill>
                </w14:textFill>
              </w:rPr>
            </w:pPr>
            <w:r>
              <w:rPr>
                <w:rFonts w:hint="eastAsia" w:ascii="宋体" w:hAnsi="宋体" w:eastAsia="宋体" w:cs="宋体"/>
                <w:bCs/>
                <w:color w:val="000000" w:themeColor="text1"/>
                <w:szCs w:val="21"/>
                <w:highlight w:val="none"/>
                <w14:textFill>
                  <w14:solidFill>
                    <w14:schemeClr w14:val="tx1"/>
                  </w14:solidFill>
                </w14:textFill>
              </w:rPr>
              <w:t>合价（元）</w:t>
            </w:r>
          </w:p>
        </w:tc>
        <w:tc>
          <w:tcPr>
            <w:tcW w:w="1109" w:type="dxa"/>
            <w:noWrap w:val="0"/>
            <w:vAlign w:val="center"/>
          </w:tcPr>
          <w:p>
            <w:pPr>
              <w:pageBreakBefore w:val="0"/>
              <w:kinsoku/>
              <w:overflowPunct/>
              <w:topLinePunct w:val="0"/>
              <w:bidi w:val="0"/>
              <w:snapToGrid w:val="0"/>
              <w:spacing w:line="360" w:lineRule="auto"/>
              <w:jc w:val="center"/>
              <w:rPr>
                <w:rFonts w:hint="eastAsia" w:ascii="宋体" w:hAnsi="宋体" w:eastAsia="宋体" w:cs="宋体"/>
                <w:bCs/>
                <w:color w:val="000000" w:themeColor="text1"/>
                <w:szCs w:val="21"/>
                <w:highlight w:val="none"/>
                <w14:textFill>
                  <w14:solidFill>
                    <w14:schemeClr w14:val="tx1"/>
                  </w14:solidFill>
                </w14:textFill>
              </w:rPr>
            </w:pPr>
            <w:r>
              <w:rPr>
                <w:rFonts w:hint="eastAsia" w:ascii="宋体" w:hAnsi="宋体" w:eastAsia="宋体" w:cs="宋体"/>
                <w:bCs/>
                <w:color w:val="000000" w:themeColor="text1"/>
                <w:szCs w:val="21"/>
                <w:highlight w:val="none"/>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30" w:type="dxa"/>
            <w:noWrap w:val="0"/>
            <w:vAlign w:val="center"/>
          </w:tcPr>
          <w:p>
            <w:pPr>
              <w:pageBreakBefore w:val="0"/>
              <w:kinsoku/>
              <w:overflowPunct/>
              <w:topLinePunct w:val="0"/>
              <w:bidi w:val="0"/>
              <w:snapToGrid w:val="0"/>
              <w:spacing w:line="360" w:lineRule="auto"/>
              <w:jc w:val="center"/>
              <w:rPr>
                <w:rFonts w:hint="eastAsia" w:ascii="宋体" w:hAnsi="宋体" w:eastAsia="宋体" w:cs="宋体"/>
                <w:bCs/>
                <w:color w:val="000000" w:themeColor="text1"/>
                <w:szCs w:val="21"/>
                <w:highlight w:val="none"/>
                <w14:textFill>
                  <w14:solidFill>
                    <w14:schemeClr w14:val="tx1"/>
                  </w14:solidFill>
                </w14:textFill>
              </w:rPr>
            </w:pPr>
          </w:p>
        </w:tc>
        <w:tc>
          <w:tcPr>
            <w:tcW w:w="3091" w:type="dxa"/>
            <w:noWrap w:val="0"/>
            <w:vAlign w:val="center"/>
          </w:tcPr>
          <w:p>
            <w:pPr>
              <w:pageBreakBefore w:val="0"/>
              <w:kinsoku/>
              <w:overflowPunct/>
              <w:topLinePunct w:val="0"/>
              <w:bidi w:val="0"/>
              <w:snapToGrid w:val="0"/>
              <w:spacing w:line="360" w:lineRule="auto"/>
              <w:jc w:val="center"/>
              <w:rPr>
                <w:rFonts w:hint="eastAsia" w:ascii="宋体" w:hAnsi="宋体" w:eastAsia="宋体" w:cs="宋体"/>
                <w:bCs/>
                <w:color w:val="000000" w:themeColor="text1"/>
                <w:szCs w:val="21"/>
                <w:highlight w:val="none"/>
                <w14:textFill>
                  <w14:solidFill>
                    <w14:schemeClr w14:val="tx1"/>
                  </w14:solidFill>
                </w14:textFill>
              </w:rPr>
            </w:pPr>
          </w:p>
        </w:tc>
        <w:tc>
          <w:tcPr>
            <w:tcW w:w="947" w:type="dxa"/>
            <w:noWrap w:val="0"/>
            <w:vAlign w:val="center"/>
          </w:tcPr>
          <w:p>
            <w:pPr>
              <w:pageBreakBefore w:val="0"/>
              <w:kinsoku/>
              <w:overflowPunct/>
              <w:topLinePunct w:val="0"/>
              <w:bidi w:val="0"/>
              <w:snapToGrid w:val="0"/>
              <w:spacing w:line="360" w:lineRule="auto"/>
              <w:jc w:val="center"/>
              <w:rPr>
                <w:rFonts w:hint="eastAsia" w:ascii="宋体" w:hAnsi="宋体" w:eastAsia="宋体" w:cs="宋体"/>
                <w:bCs/>
                <w:color w:val="000000" w:themeColor="text1"/>
                <w:szCs w:val="21"/>
                <w:highlight w:val="none"/>
                <w14:textFill>
                  <w14:solidFill>
                    <w14:schemeClr w14:val="tx1"/>
                  </w14:solidFill>
                </w14:textFill>
              </w:rPr>
            </w:pPr>
          </w:p>
        </w:tc>
        <w:tc>
          <w:tcPr>
            <w:tcW w:w="973" w:type="dxa"/>
            <w:noWrap w:val="0"/>
            <w:vAlign w:val="center"/>
          </w:tcPr>
          <w:p>
            <w:pPr>
              <w:pageBreakBefore w:val="0"/>
              <w:kinsoku/>
              <w:overflowPunct/>
              <w:topLinePunct w:val="0"/>
              <w:bidi w:val="0"/>
              <w:snapToGrid w:val="0"/>
              <w:spacing w:line="360" w:lineRule="auto"/>
              <w:jc w:val="center"/>
              <w:rPr>
                <w:rFonts w:hint="eastAsia" w:ascii="宋体" w:hAnsi="宋体" w:eastAsia="宋体" w:cs="宋体"/>
                <w:bCs/>
                <w:color w:val="000000" w:themeColor="text1"/>
                <w:szCs w:val="21"/>
                <w:highlight w:val="none"/>
                <w14:textFill>
                  <w14:solidFill>
                    <w14:schemeClr w14:val="tx1"/>
                  </w14:solidFill>
                </w14:textFill>
              </w:rPr>
            </w:pPr>
          </w:p>
        </w:tc>
        <w:tc>
          <w:tcPr>
            <w:tcW w:w="1305" w:type="dxa"/>
            <w:noWrap w:val="0"/>
            <w:vAlign w:val="center"/>
          </w:tcPr>
          <w:p>
            <w:pPr>
              <w:pageBreakBefore w:val="0"/>
              <w:kinsoku/>
              <w:overflowPunct/>
              <w:topLinePunct w:val="0"/>
              <w:bidi w:val="0"/>
              <w:snapToGrid w:val="0"/>
              <w:spacing w:line="360" w:lineRule="auto"/>
              <w:jc w:val="center"/>
              <w:rPr>
                <w:rFonts w:hint="eastAsia" w:ascii="宋体" w:hAnsi="宋体" w:eastAsia="宋体" w:cs="宋体"/>
                <w:bCs/>
                <w:color w:val="000000" w:themeColor="text1"/>
                <w:szCs w:val="21"/>
                <w:highlight w:val="none"/>
                <w14:textFill>
                  <w14:solidFill>
                    <w14:schemeClr w14:val="tx1"/>
                  </w14:solidFill>
                </w14:textFill>
              </w:rPr>
            </w:pPr>
          </w:p>
        </w:tc>
        <w:tc>
          <w:tcPr>
            <w:tcW w:w="1395" w:type="dxa"/>
            <w:noWrap w:val="0"/>
            <w:vAlign w:val="center"/>
          </w:tcPr>
          <w:p>
            <w:pPr>
              <w:pageBreakBefore w:val="0"/>
              <w:kinsoku/>
              <w:overflowPunct/>
              <w:topLinePunct w:val="0"/>
              <w:bidi w:val="0"/>
              <w:snapToGrid w:val="0"/>
              <w:spacing w:line="360" w:lineRule="auto"/>
              <w:jc w:val="center"/>
              <w:rPr>
                <w:rFonts w:hint="eastAsia" w:ascii="宋体" w:hAnsi="宋体" w:eastAsia="宋体" w:cs="宋体"/>
                <w:bCs/>
                <w:color w:val="000000" w:themeColor="text1"/>
                <w:szCs w:val="21"/>
                <w:highlight w:val="none"/>
                <w14:textFill>
                  <w14:solidFill>
                    <w14:schemeClr w14:val="tx1"/>
                  </w14:solidFill>
                </w14:textFill>
              </w:rPr>
            </w:pPr>
          </w:p>
        </w:tc>
        <w:tc>
          <w:tcPr>
            <w:tcW w:w="1109" w:type="dxa"/>
            <w:noWrap w:val="0"/>
            <w:vAlign w:val="center"/>
          </w:tcPr>
          <w:p>
            <w:pPr>
              <w:pageBreakBefore w:val="0"/>
              <w:kinsoku/>
              <w:overflowPunct/>
              <w:topLinePunct w:val="0"/>
              <w:bidi w:val="0"/>
              <w:snapToGrid w:val="0"/>
              <w:spacing w:line="360" w:lineRule="auto"/>
              <w:jc w:val="left"/>
              <w:rPr>
                <w:rFonts w:hint="eastAsia" w:ascii="宋体" w:hAnsi="宋体" w:eastAsia="宋体" w:cs="宋体"/>
                <w:bCs/>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30" w:type="dxa"/>
            <w:noWrap w:val="0"/>
            <w:vAlign w:val="center"/>
          </w:tcPr>
          <w:p>
            <w:pPr>
              <w:pageBreakBefore w:val="0"/>
              <w:kinsoku/>
              <w:overflowPunct/>
              <w:topLinePunct w:val="0"/>
              <w:bidi w:val="0"/>
              <w:snapToGrid w:val="0"/>
              <w:spacing w:line="360" w:lineRule="auto"/>
              <w:jc w:val="center"/>
              <w:rPr>
                <w:rFonts w:hint="eastAsia" w:ascii="宋体" w:hAnsi="宋体" w:eastAsia="宋体" w:cs="宋体"/>
                <w:bCs/>
                <w:color w:val="000000" w:themeColor="text1"/>
                <w:szCs w:val="21"/>
                <w:highlight w:val="none"/>
                <w14:textFill>
                  <w14:solidFill>
                    <w14:schemeClr w14:val="tx1"/>
                  </w14:solidFill>
                </w14:textFill>
              </w:rPr>
            </w:pPr>
          </w:p>
        </w:tc>
        <w:tc>
          <w:tcPr>
            <w:tcW w:w="3091" w:type="dxa"/>
            <w:noWrap w:val="0"/>
            <w:vAlign w:val="center"/>
          </w:tcPr>
          <w:p>
            <w:pPr>
              <w:pageBreakBefore w:val="0"/>
              <w:kinsoku/>
              <w:overflowPunct/>
              <w:topLinePunct w:val="0"/>
              <w:bidi w:val="0"/>
              <w:snapToGrid w:val="0"/>
              <w:spacing w:line="360" w:lineRule="auto"/>
              <w:jc w:val="center"/>
              <w:rPr>
                <w:rFonts w:hint="eastAsia" w:ascii="宋体" w:hAnsi="宋体" w:eastAsia="宋体" w:cs="宋体"/>
                <w:bCs/>
                <w:color w:val="000000" w:themeColor="text1"/>
                <w:szCs w:val="21"/>
                <w:highlight w:val="none"/>
                <w14:textFill>
                  <w14:solidFill>
                    <w14:schemeClr w14:val="tx1"/>
                  </w14:solidFill>
                </w14:textFill>
              </w:rPr>
            </w:pPr>
          </w:p>
        </w:tc>
        <w:tc>
          <w:tcPr>
            <w:tcW w:w="947" w:type="dxa"/>
            <w:noWrap w:val="0"/>
            <w:vAlign w:val="center"/>
          </w:tcPr>
          <w:p>
            <w:pPr>
              <w:pageBreakBefore w:val="0"/>
              <w:kinsoku/>
              <w:overflowPunct/>
              <w:topLinePunct w:val="0"/>
              <w:bidi w:val="0"/>
              <w:snapToGrid w:val="0"/>
              <w:spacing w:line="360" w:lineRule="auto"/>
              <w:jc w:val="center"/>
              <w:rPr>
                <w:rFonts w:hint="eastAsia" w:ascii="宋体" w:hAnsi="宋体" w:eastAsia="宋体" w:cs="宋体"/>
                <w:b/>
                <w:color w:val="000000" w:themeColor="text1"/>
                <w:szCs w:val="21"/>
                <w:highlight w:val="none"/>
                <w14:textFill>
                  <w14:solidFill>
                    <w14:schemeClr w14:val="tx1"/>
                  </w14:solidFill>
                </w14:textFill>
              </w:rPr>
            </w:pPr>
          </w:p>
        </w:tc>
        <w:tc>
          <w:tcPr>
            <w:tcW w:w="973" w:type="dxa"/>
            <w:noWrap w:val="0"/>
            <w:vAlign w:val="center"/>
          </w:tcPr>
          <w:p>
            <w:pPr>
              <w:pageBreakBefore w:val="0"/>
              <w:kinsoku/>
              <w:overflowPunct/>
              <w:topLinePunct w:val="0"/>
              <w:bidi w:val="0"/>
              <w:snapToGrid w:val="0"/>
              <w:spacing w:line="360" w:lineRule="auto"/>
              <w:jc w:val="center"/>
              <w:rPr>
                <w:rFonts w:hint="eastAsia" w:ascii="宋体" w:hAnsi="宋体" w:eastAsia="宋体" w:cs="宋体"/>
                <w:b/>
                <w:color w:val="000000" w:themeColor="text1"/>
                <w:szCs w:val="21"/>
                <w:highlight w:val="none"/>
                <w14:textFill>
                  <w14:solidFill>
                    <w14:schemeClr w14:val="tx1"/>
                  </w14:solidFill>
                </w14:textFill>
              </w:rPr>
            </w:pPr>
          </w:p>
        </w:tc>
        <w:tc>
          <w:tcPr>
            <w:tcW w:w="1305" w:type="dxa"/>
            <w:noWrap w:val="0"/>
            <w:vAlign w:val="center"/>
          </w:tcPr>
          <w:p>
            <w:pPr>
              <w:pageBreakBefore w:val="0"/>
              <w:kinsoku/>
              <w:overflowPunct/>
              <w:topLinePunct w:val="0"/>
              <w:bidi w:val="0"/>
              <w:snapToGrid w:val="0"/>
              <w:spacing w:line="360" w:lineRule="auto"/>
              <w:jc w:val="center"/>
              <w:rPr>
                <w:rFonts w:hint="eastAsia" w:ascii="宋体" w:hAnsi="宋体" w:eastAsia="宋体" w:cs="宋体"/>
                <w:b/>
                <w:color w:val="000000" w:themeColor="text1"/>
                <w:szCs w:val="21"/>
                <w:highlight w:val="none"/>
                <w14:textFill>
                  <w14:solidFill>
                    <w14:schemeClr w14:val="tx1"/>
                  </w14:solidFill>
                </w14:textFill>
              </w:rPr>
            </w:pPr>
          </w:p>
        </w:tc>
        <w:tc>
          <w:tcPr>
            <w:tcW w:w="1395" w:type="dxa"/>
            <w:noWrap w:val="0"/>
            <w:vAlign w:val="center"/>
          </w:tcPr>
          <w:p>
            <w:pPr>
              <w:pageBreakBefore w:val="0"/>
              <w:kinsoku/>
              <w:overflowPunct/>
              <w:topLinePunct w:val="0"/>
              <w:bidi w:val="0"/>
              <w:snapToGrid w:val="0"/>
              <w:spacing w:line="360" w:lineRule="auto"/>
              <w:jc w:val="center"/>
              <w:rPr>
                <w:rFonts w:hint="eastAsia" w:ascii="宋体" w:hAnsi="宋体" w:eastAsia="宋体" w:cs="宋体"/>
                <w:b/>
                <w:color w:val="000000" w:themeColor="text1"/>
                <w:szCs w:val="21"/>
                <w:highlight w:val="none"/>
                <w14:textFill>
                  <w14:solidFill>
                    <w14:schemeClr w14:val="tx1"/>
                  </w14:solidFill>
                </w14:textFill>
              </w:rPr>
            </w:pPr>
          </w:p>
        </w:tc>
        <w:tc>
          <w:tcPr>
            <w:tcW w:w="1109" w:type="dxa"/>
            <w:noWrap w:val="0"/>
            <w:vAlign w:val="center"/>
          </w:tcPr>
          <w:p>
            <w:pPr>
              <w:pageBreakBefore w:val="0"/>
              <w:kinsoku/>
              <w:overflowPunct/>
              <w:topLinePunct w:val="0"/>
              <w:bidi w:val="0"/>
              <w:snapToGrid w:val="0"/>
              <w:spacing w:line="360" w:lineRule="auto"/>
              <w:jc w:val="left"/>
              <w:rPr>
                <w:rFonts w:hint="eastAsia" w:ascii="宋体" w:hAnsi="宋体" w:eastAsia="宋体" w:cs="宋体"/>
                <w:b/>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30" w:type="dxa"/>
            <w:noWrap w:val="0"/>
            <w:vAlign w:val="center"/>
          </w:tcPr>
          <w:p>
            <w:pPr>
              <w:pageBreakBefore w:val="0"/>
              <w:kinsoku/>
              <w:overflowPunct/>
              <w:topLinePunct w:val="0"/>
              <w:bidi w:val="0"/>
              <w:snapToGrid w:val="0"/>
              <w:spacing w:line="360" w:lineRule="auto"/>
              <w:jc w:val="center"/>
              <w:rPr>
                <w:rFonts w:hint="eastAsia" w:ascii="宋体" w:hAnsi="宋体" w:eastAsia="宋体" w:cs="宋体"/>
                <w:bCs/>
                <w:color w:val="000000" w:themeColor="text1"/>
                <w:szCs w:val="21"/>
                <w:highlight w:val="none"/>
                <w14:textFill>
                  <w14:solidFill>
                    <w14:schemeClr w14:val="tx1"/>
                  </w14:solidFill>
                </w14:textFill>
              </w:rPr>
            </w:pPr>
          </w:p>
        </w:tc>
        <w:tc>
          <w:tcPr>
            <w:tcW w:w="3091" w:type="dxa"/>
            <w:noWrap w:val="0"/>
            <w:vAlign w:val="center"/>
          </w:tcPr>
          <w:p>
            <w:pPr>
              <w:pageBreakBefore w:val="0"/>
              <w:kinsoku/>
              <w:overflowPunct/>
              <w:topLinePunct w:val="0"/>
              <w:bidi w:val="0"/>
              <w:snapToGrid w:val="0"/>
              <w:spacing w:line="360" w:lineRule="auto"/>
              <w:jc w:val="center"/>
              <w:rPr>
                <w:rFonts w:hint="eastAsia" w:ascii="宋体" w:hAnsi="宋体" w:eastAsia="宋体" w:cs="宋体"/>
                <w:bCs/>
                <w:color w:val="000000" w:themeColor="text1"/>
                <w:szCs w:val="21"/>
                <w:highlight w:val="none"/>
                <w14:textFill>
                  <w14:solidFill>
                    <w14:schemeClr w14:val="tx1"/>
                  </w14:solidFill>
                </w14:textFill>
              </w:rPr>
            </w:pPr>
          </w:p>
        </w:tc>
        <w:tc>
          <w:tcPr>
            <w:tcW w:w="947" w:type="dxa"/>
            <w:noWrap w:val="0"/>
            <w:vAlign w:val="center"/>
          </w:tcPr>
          <w:p>
            <w:pPr>
              <w:pageBreakBefore w:val="0"/>
              <w:kinsoku/>
              <w:overflowPunct/>
              <w:topLinePunct w:val="0"/>
              <w:bidi w:val="0"/>
              <w:snapToGrid w:val="0"/>
              <w:spacing w:line="360" w:lineRule="auto"/>
              <w:jc w:val="center"/>
              <w:rPr>
                <w:rFonts w:hint="eastAsia" w:ascii="宋体" w:hAnsi="宋体" w:eastAsia="宋体" w:cs="宋体"/>
                <w:b/>
                <w:color w:val="000000" w:themeColor="text1"/>
                <w:szCs w:val="21"/>
                <w:highlight w:val="none"/>
                <w14:textFill>
                  <w14:solidFill>
                    <w14:schemeClr w14:val="tx1"/>
                  </w14:solidFill>
                </w14:textFill>
              </w:rPr>
            </w:pPr>
          </w:p>
        </w:tc>
        <w:tc>
          <w:tcPr>
            <w:tcW w:w="973" w:type="dxa"/>
            <w:noWrap w:val="0"/>
            <w:vAlign w:val="center"/>
          </w:tcPr>
          <w:p>
            <w:pPr>
              <w:pageBreakBefore w:val="0"/>
              <w:kinsoku/>
              <w:overflowPunct/>
              <w:topLinePunct w:val="0"/>
              <w:bidi w:val="0"/>
              <w:snapToGrid w:val="0"/>
              <w:spacing w:line="360" w:lineRule="auto"/>
              <w:jc w:val="center"/>
              <w:rPr>
                <w:rFonts w:hint="eastAsia" w:ascii="宋体" w:hAnsi="宋体" w:eastAsia="宋体" w:cs="宋体"/>
                <w:b/>
                <w:color w:val="000000" w:themeColor="text1"/>
                <w:szCs w:val="21"/>
                <w:highlight w:val="none"/>
                <w14:textFill>
                  <w14:solidFill>
                    <w14:schemeClr w14:val="tx1"/>
                  </w14:solidFill>
                </w14:textFill>
              </w:rPr>
            </w:pPr>
          </w:p>
        </w:tc>
        <w:tc>
          <w:tcPr>
            <w:tcW w:w="1305" w:type="dxa"/>
            <w:noWrap w:val="0"/>
            <w:vAlign w:val="center"/>
          </w:tcPr>
          <w:p>
            <w:pPr>
              <w:pageBreakBefore w:val="0"/>
              <w:kinsoku/>
              <w:overflowPunct/>
              <w:topLinePunct w:val="0"/>
              <w:bidi w:val="0"/>
              <w:snapToGrid w:val="0"/>
              <w:spacing w:line="360" w:lineRule="auto"/>
              <w:jc w:val="center"/>
              <w:rPr>
                <w:rFonts w:hint="eastAsia" w:ascii="宋体" w:hAnsi="宋体" w:eastAsia="宋体" w:cs="宋体"/>
                <w:b/>
                <w:color w:val="000000" w:themeColor="text1"/>
                <w:szCs w:val="21"/>
                <w:highlight w:val="none"/>
                <w14:textFill>
                  <w14:solidFill>
                    <w14:schemeClr w14:val="tx1"/>
                  </w14:solidFill>
                </w14:textFill>
              </w:rPr>
            </w:pPr>
          </w:p>
        </w:tc>
        <w:tc>
          <w:tcPr>
            <w:tcW w:w="1395" w:type="dxa"/>
            <w:noWrap w:val="0"/>
            <w:vAlign w:val="center"/>
          </w:tcPr>
          <w:p>
            <w:pPr>
              <w:pageBreakBefore w:val="0"/>
              <w:kinsoku/>
              <w:overflowPunct/>
              <w:topLinePunct w:val="0"/>
              <w:bidi w:val="0"/>
              <w:snapToGrid w:val="0"/>
              <w:spacing w:line="360" w:lineRule="auto"/>
              <w:jc w:val="center"/>
              <w:rPr>
                <w:rFonts w:hint="eastAsia" w:ascii="宋体" w:hAnsi="宋体" w:eastAsia="宋体" w:cs="宋体"/>
                <w:b/>
                <w:color w:val="000000" w:themeColor="text1"/>
                <w:szCs w:val="21"/>
                <w:highlight w:val="none"/>
                <w14:textFill>
                  <w14:solidFill>
                    <w14:schemeClr w14:val="tx1"/>
                  </w14:solidFill>
                </w14:textFill>
              </w:rPr>
            </w:pPr>
          </w:p>
        </w:tc>
        <w:tc>
          <w:tcPr>
            <w:tcW w:w="1109" w:type="dxa"/>
            <w:noWrap w:val="0"/>
            <w:vAlign w:val="center"/>
          </w:tcPr>
          <w:p>
            <w:pPr>
              <w:pageBreakBefore w:val="0"/>
              <w:kinsoku/>
              <w:overflowPunct/>
              <w:topLinePunct w:val="0"/>
              <w:bidi w:val="0"/>
              <w:snapToGrid w:val="0"/>
              <w:spacing w:line="360" w:lineRule="auto"/>
              <w:jc w:val="left"/>
              <w:rPr>
                <w:rFonts w:hint="eastAsia" w:ascii="宋体" w:hAnsi="宋体" w:eastAsia="宋体" w:cs="宋体"/>
                <w:b/>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30" w:type="dxa"/>
            <w:noWrap w:val="0"/>
            <w:vAlign w:val="center"/>
          </w:tcPr>
          <w:p>
            <w:pPr>
              <w:pageBreakBefore w:val="0"/>
              <w:kinsoku/>
              <w:overflowPunct/>
              <w:topLinePunct w:val="0"/>
              <w:bidi w:val="0"/>
              <w:snapToGrid w:val="0"/>
              <w:spacing w:line="360" w:lineRule="auto"/>
              <w:jc w:val="center"/>
              <w:rPr>
                <w:rFonts w:hint="eastAsia" w:ascii="宋体" w:hAnsi="宋体" w:eastAsia="宋体" w:cs="宋体"/>
                <w:bCs/>
                <w:color w:val="000000" w:themeColor="text1"/>
                <w:szCs w:val="21"/>
                <w:highlight w:val="none"/>
                <w14:textFill>
                  <w14:solidFill>
                    <w14:schemeClr w14:val="tx1"/>
                  </w14:solidFill>
                </w14:textFill>
              </w:rPr>
            </w:pPr>
          </w:p>
        </w:tc>
        <w:tc>
          <w:tcPr>
            <w:tcW w:w="3091" w:type="dxa"/>
            <w:noWrap w:val="0"/>
            <w:vAlign w:val="center"/>
          </w:tcPr>
          <w:p>
            <w:pPr>
              <w:pageBreakBefore w:val="0"/>
              <w:kinsoku/>
              <w:overflowPunct/>
              <w:topLinePunct w:val="0"/>
              <w:bidi w:val="0"/>
              <w:snapToGrid w:val="0"/>
              <w:spacing w:line="360" w:lineRule="auto"/>
              <w:jc w:val="center"/>
              <w:rPr>
                <w:rFonts w:hint="eastAsia" w:ascii="宋体" w:hAnsi="宋体" w:eastAsia="宋体" w:cs="宋体"/>
                <w:bCs/>
                <w:color w:val="000000" w:themeColor="text1"/>
                <w:szCs w:val="21"/>
                <w:highlight w:val="none"/>
                <w14:textFill>
                  <w14:solidFill>
                    <w14:schemeClr w14:val="tx1"/>
                  </w14:solidFill>
                </w14:textFill>
              </w:rPr>
            </w:pPr>
          </w:p>
        </w:tc>
        <w:tc>
          <w:tcPr>
            <w:tcW w:w="947" w:type="dxa"/>
            <w:noWrap w:val="0"/>
            <w:vAlign w:val="center"/>
          </w:tcPr>
          <w:p>
            <w:pPr>
              <w:pageBreakBefore w:val="0"/>
              <w:kinsoku/>
              <w:overflowPunct/>
              <w:topLinePunct w:val="0"/>
              <w:bidi w:val="0"/>
              <w:snapToGrid w:val="0"/>
              <w:spacing w:line="360" w:lineRule="auto"/>
              <w:jc w:val="center"/>
              <w:rPr>
                <w:rFonts w:hint="eastAsia" w:ascii="宋体" w:hAnsi="宋体" w:eastAsia="宋体" w:cs="宋体"/>
                <w:b/>
                <w:color w:val="000000" w:themeColor="text1"/>
                <w:szCs w:val="21"/>
                <w:highlight w:val="none"/>
                <w14:textFill>
                  <w14:solidFill>
                    <w14:schemeClr w14:val="tx1"/>
                  </w14:solidFill>
                </w14:textFill>
              </w:rPr>
            </w:pPr>
          </w:p>
        </w:tc>
        <w:tc>
          <w:tcPr>
            <w:tcW w:w="973" w:type="dxa"/>
            <w:noWrap w:val="0"/>
            <w:vAlign w:val="center"/>
          </w:tcPr>
          <w:p>
            <w:pPr>
              <w:pageBreakBefore w:val="0"/>
              <w:kinsoku/>
              <w:overflowPunct/>
              <w:topLinePunct w:val="0"/>
              <w:bidi w:val="0"/>
              <w:snapToGrid w:val="0"/>
              <w:spacing w:line="360" w:lineRule="auto"/>
              <w:jc w:val="center"/>
              <w:rPr>
                <w:rFonts w:hint="eastAsia" w:ascii="宋体" w:hAnsi="宋体" w:eastAsia="宋体" w:cs="宋体"/>
                <w:b/>
                <w:color w:val="000000" w:themeColor="text1"/>
                <w:szCs w:val="21"/>
                <w:highlight w:val="none"/>
                <w14:textFill>
                  <w14:solidFill>
                    <w14:schemeClr w14:val="tx1"/>
                  </w14:solidFill>
                </w14:textFill>
              </w:rPr>
            </w:pPr>
          </w:p>
        </w:tc>
        <w:tc>
          <w:tcPr>
            <w:tcW w:w="1305" w:type="dxa"/>
            <w:noWrap w:val="0"/>
            <w:vAlign w:val="center"/>
          </w:tcPr>
          <w:p>
            <w:pPr>
              <w:pageBreakBefore w:val="0"/>
              <w:kinsoku/>
              <w:overflowPunct/>
              <w:topLinePunct w:val="0"/>
              <w:bidi w:val="0"/>
              <w:snapToGrid w:val="0"/>
              <w:spacing w:line="360" w:lineRule="auto"/>
              <w:jc w:val="center"/>
              <w:rPr>
                <w:rFonts w:hint="eastAsia" w:ascii="宋体" w:hAnsi="宋体" w:eastAsia="宋体" w:cs="宋体"/>
                <w:b/>
                <w:color w:val="000000" w:themeColor="text1"/>
                <w:szCs w:val="21"/>
                <w:highlight w:val="none"/>
                <w14:textFill>
                  <w14:solidFill>
                    <w14:schemeClr w14:val="tx1"/>
                  </w14:solidFill>
                </w14:textFill>
              </w:rPr>
            </w:pPr>
          </w:p>
        </w:tc>
        <w:tc>
          <w:tcPr>
            <w:tcW w:w="1395" w:type="dxa"/>
            <w:noWrap w:val="0"/>
            <w:vAlign w:val="center"/>
          </w:tcPr>
          <w:p>
            <w:pPr>
              <w:pageBreakBefore w:val="0"/>
              <w:kinsoku/>
              <w:overflowPunct/>
              <w:topLinePunct w:val="0"/>
              <w:bidi w:val="0"/>
              <w:snapToGrid w:val="0"/>
              <w:spacing w:line="360" w:lineRule="auto"/>
              <w:jc w:val="center"/>
              <w:rPr>
                <w:rFonts w:hint="eastAsia" w:ascii="宋体" w:hAnsi="宋体" w:eastAsia="宋体" w:cs="宋体"/>
                <w:b/>
                <w:color w:val="000000" w:themeColor="text1"/>
                <w:szCs w:val="21"/>
                <w:highlight w:val="none"/>
                <w14:textFill>
                  <w14:solidFill>
                    <w14:schemeClr w14:val="tx1"/>
                  </w14:solidFill>
                </w14:textFill>
              </w:rPr>
            </w:pPr>
          </w:p>
        </w:tc>
        <w:tc>
          <w:tcPr>
            <w:tcW w:w="1109" w:type="dxa"/>
            <w:noWrap w:val="0"/>
            <w:vAlign w:val="center"/>
          </w:tcPr>
          <w:p>
            <w:pPr>
              <w:pageBreakBefore w:val="0"/>
              <w:kinsoku/>
              <w:overflowPunct/>
              <w:topLinePunct w:val="0"/>
              <w:bidi w:val="0"/>
              <w:snapToGrid w:val="0"/>
              <w:spacing w:line="360" w:lineRule="auto"/>
              <w:jc w:val="left"/>
              <w:rPr>
                <w:rFonts w:hint="eastAsia" w:ascii="宋体" w:hAnsi="宋体" w:eastAsia="宋体" w:cs="宋体"/>
                <w:b/>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30" w:type="dxa"/>
            <w:noWrap w:val="0"/>
            <w:vAlign w:val="center"/>
          </w:tcPr>
          <w:p>
            <w:pPr>
              <w:pageBreakBefore w:val="0"/>
              <w:kinsoku/>
              <w:overflowPunct/>
              <w:topLinePunct w:val="0"/>
              <w:bidi w:val="0"/>
              <w:snapToGrid w:val="0"/>
              <w:spacing w:line="360" w:lineRule="auto"/>
              <w:jc w:val="center"/>
              <w:rPr>
                <w:rFonts w:hint="eastAsia" w:ascii="宋体" w:hAnsi="宋体" w:eastAsia="宋体" w:cs="宋体"/>
                <w:bCs/>
                <w:color w:val="000000" w:themeColor="text1"/>
                <w:szCs w:val="21"/>
                <w:highlight w:val="none"/>
                <w14:textFill>
                  <w14:solidFill>
                    <w14:schemeClr w14:val="tx1"/>
                  </w14:solidFill>
                </w14:textFill>
              </w:rPr>
            </w:pPr>
          </w:p>
        </w:tc>
        <w:tc>
          <w:tcPr>
            <w:tcW w:w="3091" w:type="dxa"/>
            <w:noWrap w:val="0"/>
            <w:vAlign w:val="center"/>
          </w:tcPr>
          <w:p>
            <w:pPr>
              <w:pageBreakBefore w:val="0"/>
              <w:kinsoku/>
              <w:overflowPunct/>
              <w:topLinePunct w:val="0"/>
              <w:bidi w:val="0"/>
              <w:snapToGrid w:val="0"/>
              <w:spacing w:line="360" w:lineRule="auto"/>
              <w:jc w:val="center"/>
              <w:rPr>
                <w:rFonts w:hint="eastAsia" w:ascii="宋体" w:hAnsi="宋体" w:eastAsia="宋体" w:cs="宋体"/>
                <w:b/>
                <w:color w:val="000000" w:themeColor="text1"/>
                <w:szCs w:val="21"/>
                <w:highlight w:val="none"/>
                <w14:textFill>
                  <w14:solidFill>
                    <w14:schemeClr w14:val="tx1"/>
                  </w14:solidFill>
                </w14:textFill>
              </w:rPr>
            </w:pPr>
          </w:p>
        </w:tc>
        <w:tc>
          <w:tcPr>
            <w:tcW w:w="947" w:type="dxa"/>
            <w:noWrap w:val="0"/>
            <w:vAlign w:val="center"/>
          </w:tcPr>
          <w:p>
            <w:pPr>
              <w:pageBreakBefore w:val="0"/>
              <w:kinsoku/>
              <w:overflowPunct/>
              <w:topLinePunct w:val="0"/>
              <w:bidi w:val="0"/>
              <w:snapToGrid w:val="0"/>
              <w:spacing w:line="360" w:lineRule="auto"/>
              <w:jc w:val="center"/>
              <w:rPr>
                <w:rFonts w:hint="eastAsia" w:ascii="宋体" w:hAnsi="宋体" w:eastAsia="宋体" w:cs="宋体"/>
                <w:b/>
                <w:color w:val="000000" w:themeColor="text1"/>
                <w:szCs w:val="21"/>
                <w:highlight w:val="none"/>
                <w14:textFill>
                  <w14:solidFill>
                    <w14:schemeClr w14:val="tx1"/>
                  </w14:solidFill>
                </w14:textFill>
              </w:rPr>
            </w:pPr>
          </w:p>
        </w:tc>
        <w:tc>
          <w:tcPr>
            <w:tcW w:w="973" w:type="dxa"/>
            <w:noWrap w:val="0"/>
            <w:vAlign w:val="center"/>
          </w:tcPr>
          <w:p>
            <w:pPr>
              <w:pageBreakBefore w:val="0"/>
              <w:kinsoku/>
              <w:overflowPunct/>
              <w:topLinePunct w:val="0"/>
              <w:bidi w:val="0"/>
              <w:snapToGrid w:val="0"/>
              <w:spacing w:line="360" w:lineRule="auto"/>
              <w:jc w:val="center"/>
              <w:rPr>
                <w:rFonts w:hint="eastAsia" w:ascii="宋体" w:hAnsi="宋体" w:eastAsia="宋体" w:cs="宋体"/>
                <w:b/>
                <w:color w:val="000000" w:themeColor="text1"/>
                <w:szCs w:val="21"/>
                <w:highlight w:val="none"/>
                <w14:textFill>
                  <w14:solidFill>
                    <w14:schemeClr w14:val="tx1"/>
                  </w14:solidFill>
                </w14:textFill>
              </w:rPr>
            </w:pPr>
          </w:p>
        </w:tc>
        <w:tc>
          <w:tcPr>
            <w:tcW w:w="1305" w:type="dxa"/>
            <w:noWrap w:val="0"/>
            <w:vAlign w:val="center"/>
          </w:tcPr>
          <w:p>
            <w:pPr>
              <w:pageBreakBefore w:val="0"/>
              <w:kinsoku/>
              <w:overflowPunct/>
              <w:topLinePunct w:val="0"/>
              <w:bidi w:val="0"/>
              <w:snapToGrid w:val="0"/>
              <w:spacing w:line="360" w:lineRule="auto"/>
              <w:jc w:val="center"/>
              <w:rPr>
                <w:rFonts w:hint="eastAsia" w:ascii="宋体" w:hAnsi="宋体" w:eastAsia="宋体" w:cs="宋体"/>
                <w:b/>
                <w:color w:val="000000" w:themeColor="text1"/>
                <w:szCs w:val="21"/>
                <w:highlight w:val="none"/>
                <w14:textFill>
                  <w14:solidFill>
                    <w14:schemeClr w14:val="tx1"/>
                  </w14:solidFill>
                </w14:textFill>
              </w:rPr>
            </w:pPr>
          </w:p>
        </w:tc>
        <w:tc>
          <w:tcPr>
            <w:tcW w:w="1395" w:type="dxa"/>
            <w:noWrap w:val="0"/>
            <w:vAlign w:val="center"/>
          </w:tcPr>
          <w:p>
            <w:pPr>
              <w:pageBreakBefore w:val="0"/>
              <w:kinsoku/>
              <w:overflowPunct/>
              <w:topLinePunct w:val="0"/>
              <w:bidi w:val="0"/>
              <w:snapToGrid w:val="0"/>
              <w:spacing w:line="360" w:lineRule="auto"/>
              <w:jc w:val="center"/>
              <w:rPr>
                <w:rFonts w:hint="eastAsia" w:ascii="宋体" w:hAnsi="宋体" w:eastAsia="宋体" w:cs="宋体"/>
                <w:b/>
                <w:color w:val="000000" w:themeColor="text1"/>
                <w:szCs w:val="21"/>
                <w:highlight w:val="none"/>
                <w14:textFill>
                  <w14:solidFill>
                    <w14:schemeClr w14:val="tx1"/>
                  </w14:solidFill>
                </w14:textFill>
              </w:rPr>
            </w:pPr>
          </w:p>
        </w:tc>
        <w:tc>
          <w:tcPr>
            <w:tcW w:w="1109" w:type="dxa"/>
            <w:noWrap w:val="0"/>
            <w:vAlign w:val="center"/>
          </w:tcPr>
          <w:p>
            <w:pPr>
              <w:pageBreakBefore w:val="0"/>
              <w:kinsoku/>
              <w:overflowPunct/>
              <w:topLinePunct w:val="0"/>
              <w:bidi w:val="0"/>
              <w:snapToGrid w:val="0"/>
              <w:spacing w:line="360" w:lineRule="auto"/>
              <w:jc w:val="left"/>
              <w:rPr>
                <w:rFonts w:hint="eastAsia" w:ascii="宋体" w:hAnsi="宋体" w:eastAsia="宋体" w:cs="宋体"/>
                <w:b/>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30" w:type="dxa"/>
            <w:noWrap w:val="0"/>
            <w:vAlign w:val="center"/>
          </w:tcPr>
          <w:p>
            <w:pPr>
              <w:pageBreakBefore w:val="0"/>
              <w:kinsoku/>
              <w:overflowPunct/>
              <w:topLinePunct w:val="0"/>
              <w:bidi w:val="0"/>
              <w:snapToGrid w:val="0"/>
              <w:spacing w:line="360" w:lineRule="auto"/>
              <w:jc w:val="center"/>
              <w:rPr>
                <w:rFonts w:hint="eastAsia" w:ascii="宋体" w:hAnsi="宋体" w:eastAsia="宋体" w:cs="宋体"/>
                <w:bCs/>
                <w:color w:val="000000" w:themeColor="text1"/>
                <w:szCs w:val="21"/>
                <w:highlight w:val="none"/>
                <w14:textFill>
                  <w14:solidFill>
                    <w14:schemeClr w14:val="tx1"/>
                  </w14:solidFill>
                </w14:textFill>
              </w:rPr>
            </w:pPr>
          </w:p>
        </w:tc>
        <w:tc>
          <w:tcPr>
            <w:tcW w:w="3091" w:type="dxa"/>
            <w:noWrap w:val="0"/>
            <w:vAlign w:val="center"/>
          </w:tcPr>
          <w:p>
            <w:pPr>
              <w:pageBreakBefore w:val="0"/>
              <w:kinsoku/>
              <w:overflowPunct/>
              <w:topLinePunct w:val="0"/>
              <w:bidi w:val="0"/>
              <w:snapToGrid w:val="0"/>
              <w:spacing w:line="360" w:lineRule="auto"/>
              <w:jc w:val="center"/>
              <w:rPr>
                <w:rFonts w:hint="eastAsia" w:ascii="宋体" w:hAnsi="宋体" w:eastAsia="宋体" w:cs="宋体"/>
                <w:b/>
                <w:color w:val="000000" w:themeColor="text1"/>
                <w:szCs w:val="21"/>
                <w:highlight w:val="none"/>
                <w14:textFill>
                  <w14:solidFill>
                    <w14:schemeClr w14:val="tx1"/>
                  </w14:solidFill>
                </w14:textFill>
              </w:rPr>
            </w:pPr>
          </w:p>
        </w:tc>
        <w:tc>
          <w:tcPr>
            <w:tcW w:w="947" w:type="dxa"/>
            <w:noWrap w:val="0"/>
            <w:vAlign w:val="center"/>
          </w:tcPr>
          <w:p>
            <w:pPr>
              <w:pageBreakBefore w:val="0"/>
              <w:kinsoku/>
              <w:overflowPunct/>
              <w:topLinePunct w:val="0"/>
              <w:bidi w:val="0"/>
              <w:snapToGrid w:val="0"/>
              <w:spacing w:line="360" w:lineRule="auto"/>
              <w:jc w:val="center"/>
              <w:rPr>
                <w:rFonts w:hint="eastAsia" w:ascii="宋体" w:hAnsi="宋体" w:eastAsia="宋体" w:cs="宋体"/>
                <w:b/>
                <w:color w:val="000000" w:themeColor="text1"/>
                <w:szCs w:val="21"/>
                <w:highlight w:val="none"/>
                <w14:textFill>
                  <w14:solidFill>
                    <w14:schemeClr w14:val="tx1"/>
                  </w14:solidFill>
                </w14:textFill>
              </w:rPr>
            </w:pPr>
          </w:p>
        </w:tc>
        <w:tc>
          <w:tcPr>
            <w:tcW w:w="973" w:type="dxa"/>
            <w:noWrap w:val="0"/>
            <w:vAlign w:val="center"/>
          </w:tcPr>
          <w:p>
            <w:pPr>
              <w:pageBreakBefore w:val="0"/>
              <w:kinsoku/>
              <w:overflowPunct/>
              <w:topLinePunct w:val="0"/>
              <w:bidi w:val="0"/>
              <w:snapToGrid w:val="0"/>
              <w:spacing w:line="360" w:lineRule="auto"/>
              <w:jc w:val="center"/>
              <w:rPr>
                <w:rFonts w:hint="eastAsia" w:ascii="宋体" w:hAnsi="宋体" w:eastAsia="宋体" w:cs="宋体"/>
                <w:b/>
                <w:color w:val="000000" w:themeColor="text1"/>
                <w:szCs w:val="21"/>
                <w:highlight w:val="none"/>
                <w14:textFill>
                  <w14:solidFill>
                    <w14:schemeClr w14:val="tx1"/>
                  </w14:solidFill>
                </w14:textFill>
              </w:rPr>
            </w:pPr>
          </w:p>
        </w:tc>
        <w:tc>
          <w:tcPr>
            <w:tcW w:w="1305" w:type="dxa"/>
            <w:noWrap w:val="0"/>
            <w:vAlign w:val="center"/>
          </w:tcPr>
          <w:p>
            <w:pPr>
              <w:pageBreakBefore w:val="0"/>
              <w:kinsoku/>
              <w:overflowPunct/>
              <w:topLinePunct w:val="0"/>
              <w:bidi w:val="0"/>
              <w:snapToGrid w:val="0"/>
              <w:spacing w:line="360" w:lineRule="auto"/>
              <w:jc w:val="center"/>
              <w:rPr>
                <w:rFonts w:hint="eastAsia" w:ascii="宋体" w:hAnsi="宋体" w:eastAsia="宋体" w:cs="宋体"/>
                <w:b/>
                <w:color w:val="000000" w:themeColor="text1"/>
                <w:szCs w:val="21"/>
                <w:highlight w:val="none"/>
                <w14:textFill>
                  <w14:solidFill>
                    <w14:schemeClr w14:val="tx1"/>
                  </w14:solidFill>
                </w14:textFill>
              </w:rPr>
            </w:pPr>
          </w:p>
        </w:tc>
        <w:tc>
          <w:tcPr>
            <w:tcW w:w="1395" w:type="dxa"/>
            <w:noWrap w:val="0"/>
            <w:vAlign w:val="center"/>
          </w:tcPr>
          <w:p>
            <w:pPr>
              <w:pageBreakBefore w:val="0"/>
              <w:kinsoku/>
              <w:overflowPunct/>
              <w:topLinePunct w:val="0"/>
              <w:bidi w:val="0"/>
              <w:snapToGrid w:val="0"/>
              <w:spacing w:line="360" w:lineRule="auto"/>
              <w:jc w:val="center"/>
              <w:rPr>
                <w:rFonts w:hint="eastAsia" w:ascii="宋体" w:hAnsi="宋体" w:eastAsia="宋体" w:cs="宋体"/>
                <w:b/>
                <w:color w:val="000000" w:themeColor="text1"/>
                <w:szCs w:val="21"/>
                <w:highlight w:val="none"/>
                <w14:textFill>
                  <w14:solidFill>
                    <w14:schemeClr w14:val="tx1"/>
                  </w14:solidFill>
                </w14:textFill>
              </w:rPr>
            </w:pPr>
          </w:p>
        </w:tc>
        <w:tc>
          <w:tcPr>
            <w:tcW w:w="1109" w:type="dxa"/>
            <w:noWrap w:val="0"/>
            <w:vAlign w:val="center"/>
          </w:tcPr>
          <w:p>
            <w:pPr>
              <w:pageBreakBefore w:val="0"/>
              <w:kinsoku/>
              <w:overflowPunct/>
              <w:topLinePunct w:val="0"/>
              <w:bidi w:val="0"/>
              <w:snapToGrid w:val="0"/>
              <w:spacing w:line="360" w:lineRule="auto"/>
              <w:jc w:val="left"/>
              <w:rPr>
                <w:rFonts w:hint="eastAsia" w:ascii="宋体" w:hAnsi="宋体" w:eastAsia="宋体" w:cs="宋体"/>
                <w:b/>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921" w:type="dxa"/>
            <w:gridSpan w:val="2"/>
            <w:noWrap w:val="0"/>
            <w:vAlign w:val="center"/>
          </w:tcPr>
          <w:p>
            <w:pPr>
              <w:pageBreakBefore w:val="0"/>
              <w:kinsoku/>
              <w:overflowPunct/>
              <w:topLinePunct w:val="0"/>
              <w:bidi w:val="0"/>
              <w:snapToGrid w:val="0"/>
              <w:spacing w:line="360" w:lineRule="auto"/>
              <w:jc w:val="center"/>
              <w:rPr>
                <w:rFonts w:hint="eastAsia" w:ascii="宋体" w:hAnsi="宋体" w:eastAsia="宋体" w:cs="宋体"/>
                <w:b/>
                <w:color w:val="000000" w:themeColor="text1"/>
                <w:szCs w:val="21"/>
                <w:highlight w:val="none"/>
                <w14:textFill>
                  <w14:solidFill>
                    <w14:schemeClr w14:val="tx1"/>
                  </w14:solidFill>
                </w14:textFill>
              </w:rPr>
            </w:pPr>
            <w:r>
              <w:rPr>
                <w:rFonts w:hint="eastAsia" w:ascii="宋体" w:hAnsi="宋体" w:eastAsia="宋体" w:cs="宋体"/>
                <w:b/>
                <w:color w:val="000000" w:themeColor="text1"/>
                <w:szCs w:val="21"/>
                <w:highlight w:val="none"/>
                <w14:textFill>
                  <w14:solidFill>
                    <w14:schemeClr w14:val="tx1"/>
                  </w14:solidFill>
                </w14:textFill>
              </w:rPr>
              <w:t>合计：</w:t>
            </w:r>
          </w:p>
        </w:tc>
        <w:tc>
          <w:tcPr>
            <w:tcW w:w="4620" w:type="dxa"/>
            <w:gridSpan w:val="4"/>
            <w:noWrap w:val="0"/>
            <w:vAlign w:val="center"/>
          </w:tcPr>
          <w:p>
            <w:pPr>
              <w:pageBreakBefore w:val="0"/>
              <w:kinsoku/>
              <w:overflowPunct/>
              <w:topLinePunct w:val="0"/>
              <w:bidi w:val="0"/>
              <w:snapToGrid w:val="0"/>
              <w:spacing w:line="360" w:lineRule="auto"/>
              <w:jc w:val="left"/>
              <w:rPr>
                <w:rFonts w:hint="eastAsia" w:ascii="宋体" w:hAnsi="宋体" w:eastAsia="宋体" w:cs="宋体"/>
                <w:b/>
                <w:color w:val="000000" w:themeColor="text1"/>
                <w:szCs w:val="21"/>
                <w:highlight w:val="none"/>
                <w14:textFill>
                  <w14:solidFill>
                    <w14:schemeClr w14:val="tx1"/>
                  </w14:solidFill>
                </w14:textFill>
              </w:rPr>
            </w:pPr>
            <w:r>
              <w:rPr>
                <w:rFonts w:hint="eastAsia" w:ascii="宋体" w:hAnsi="宋体" w:eastAsia="宋体" w:cs="宋体"/>
                <w:b/>
                <w:color w:val="000000" w:themeColor="text1"/>
                <w:szCs w:val="21"/>
                <w:highlight w:val="none"/>
                <w14:textFill>
                  <w14:solidFill>
                    <w14:schemeClr w14:val="tx1"/>
                  </w14:solidFill>
                </w14:textFill>
              </w:rPr>
              <w:t>大写：         元</w:t>
            </w:r>
          </w:p>
        </w:tc>
        <w:tc>
          <w:tcPr>
            <w:tcW w:w="1109" w:type="dxa"/>
            <w:noWrap w:val="0"/>
            <w:vAlign w:val="center"/>
          </w:tcPr>
          <w:p>
            <w:pPr>
              <w:pageBreakBefore w:val="0"/>
              <w:kinsoku/>
              <w:overflowPunct/>
              <w:topLinePunct w:val="0"/>
              <w:bidi w:val="0"/>
              <w:snapToGrid w:val="0"/>
              <w:spacing w:line="360" w:lineRule="auto"/>
              <w:jc w:val="left"/>
              <w:rPr>
                <w:rFonts w:hint="eastAsia" w:ascii="宋体" w:hAnsi="宋体" w:eastAsia="宋体" w:cs="宋体"/>
                <w:b/>
                <w:color w:val="000000" w:themeColor="text1"/>
                <w:szCs w:val="21"/>
                <w:highlight w:val="none"/>
                <w14:textFill>
                  <w14:solidFill>
                    <w14:schemeClr w14:val="tx1"/>
                  </w14:solidFill>
                </w14:textFill>
              </w:rPr>
            </w:pPr>
          </w:p>
        </w:tc>
      </w:tr>
    </w:tbl>
    <w:p>
      <w:pPr>
        <w:pageBreakBefore w:val="0"/>
        <w:tabs>
          <w:tab w:val="left" w:pos="8085"/>
        </w:tabs>
        <w:kinsoku/>
        <w:overflowPunct/>
        <w:topLinePunct w:val="0"/>
        <w:bidi w:val="0"/>
        <w:spacing w:line="360" w:lineRule="auto"/>
        <w:jc w:val="center"/>
        <w:rPr>
          <w:rFonts w:hint="eastAsia" w:ascii="宋体" w:hAnsi="宋体" w:eastAsia="宋体" w:cs="宋体"/>
          <w:b/>
          <w:color w:val="000000" w:themeColor="text1"/>
          <w:szCs w:val="21"/>
          <w:highlight w:val="none"/>
          <w14:textFill>
            <w14:solidFill>
              <w14:schemeClr w14:val="tx1"/>
            </w14:solidFill>
          </w14:textFill>
        </w:rPr>
      </w:pPr>
    </w:p>
    <w:p>
      <w:pPr>
        <w:pageBreakBefore w:val="0"/>
        <w:kinsoku/>
        <w:overflowPunct/>
        <w:topLinePunct w:val="0"/>
        <w:bidi w:val="0"/>
        <w:spacing w:line="360" w:lineRule="auto"/>
        <w:rPr>
          <w:rFonts w:hint="eastAsia" w:ascii="宋体" w:hAnsi="宋体" w:eastAsia="宋体" w:cs="宋体"/>
          <w:bCs/>
          <w:color w:val="000000" w:themeColor="text1"/>
          <w:szCs w:val="21"/>
          <w:highlight w:val="none"/>
          <w:lang w:bidi="ar"/>
          <w14:textFill>
            <w14:solidFill>
              <w14:schemeClr w14:val="tx1"/>
            </w14:solidFill>
          </w14:textFill>
        </w:rPr>
      </w:pPr>
      <w:r>
        <w:rPr>
          <w:rFonts w:hint="eastAsia" w:ascii="宋体" w:hAnsi="宋体" w:eastAsia="宋体" w:cs="宋体"/>
          <w:bCs/>
          <w:color w:val="000000" w:themeColor="text1"/>
          <w:szCs w:val="21"/>
          <w:highlight w:val="none"/>
          <w:lang w:bidi="ar"/>
          <w14:textFill>
            <w14:solidFill>
              <w14:schemeClr w14:val="tx1"/>
            </w14:solidFill>
          </w14:textFill>
        </w:rPr>
        <w:t>注：上述报价中包含</w:t>
      </w:r>
      <w:r>
        <w:rPr>
          <w:rFonts w:hint="eastAsia" w:ascii="宋体" w:hAnsi="宋体" w:cs="宋体"/>
          <w:bCs/>
          <w:color w:val="000000" w:themeColor="text1"/>
          <w:szCs w:val="21"/>
          <w:highlight w:val="none"/>
          <w:lang w:eastAsia="zh-CN" w:bidi="ar"/>
          <w14:textFill>
            <w14:solidFill>
              <w14:schemeClr w14:val="tx1"/>
            </w14:solidFill>
          </w14:textFill>
        </w:rPr>
        <w:t>采购文件</w:t>
      </w:r>
      <w:r>
        <w:rPr>
          <w:rFonts w:hint="eastAsia" w:ascii="宋体" w:hAnsi="宋体" w:eastAsia="宋体" w:cs="宋体"/>
          <w:bCs/>
          <w:color w:val="000000" w:themeColor="text1"/>
          <w:szCs w:val="21"/>
          <w:highlight w:val="none"/>
          <w:lang w:bidi="ar"/>
          <w14:textFill>
            <w14:solidFill>
              <w14:schemeClr w14:val="tx1"/>
            </w14:solidFill>
          </w14:textFill>
        </w:rPr>
        <w:t>要求的所要求的所有费用。</w:t>
      </w:r>
    </w:p>
    <w:p>
      <w:pPr>
        <w:pStyle w:val="2"/>
        <w:pageBreakBefore w:val="0"/>
        <w:kinsoku/>
        <w:overflowPunct/>
        <w:topLinePunct w:val="0"/>
        <w:bidi w:val="0"/>
        <w:spacing w:line="360" w:lineRule="auto"/>
        <w:rPr>
          <w:rFonts w:hint="eastAsia" w:ascii="宋体" w:hAnsi="宋体" w:eastAsia="宋体" w:cs="宋体"/>
          <w:bCs/>
          <w:color w:val="000000" w:themeColor="text1"/>
          <w:sz w:val="21"/>
          <w:szCs w:val="21"/>
          <w:highlight w:val="none"/>
          <w:lang w:val="en-US" w:eastAsia="zh-CN" w:bidi="ar"/>
          <w14:textFill>
            <w14:solidFill>
              <w14:schemeClr w14:val="tx1"/>
            </w14:solidFill>
          </w14:textFill>
        </w:rPr>
      </w:pPr>
    </w:p>
    <w:p>
      <w:pPr>
        <w:pStyle w:val="4"/>
        <w:pageBreakBefore w:val="0"/>
        <w:kinsoku/>
        <w:overflowPunct/>
        <w:topLinePunct w:val="0"/>
        <w:bidi w:val="0"/>
        <w:spacing w:line="360" w:lineRule="auto"/>
        <w:rPr>
          <w:rFonts w:hint="eastAsia" w:ascii="宋体" w:hAnsi="宋体" w:eastAsia="宋体" w:cs="宋体"/>
          <w:bCs/>
          <w:color w:val="000000" w:themeColor="text1"/>
          <w:szCs w:val="21"/>
          <w:highlight w:val="none"/>
          <w:lang w:bidi="ar"/>
          <w14:textFill>
            <w14:solidFill>
              <w14:schemeClr w14:val="tx1"/>
            </w14:solidFill>
          </w14:textFill>
        </w:rPr>
      </w:pPr>
    </w:p>
    <w:p>
      <w:pPr>
        <w:pageBreakBefore w:val="0"/>
        <w:kinsoku/>
        <w:overflowPunct/>
        <w:topLinePunct w:val="0"/>
        <w:bidi w:val="0"/>
        <w:spacing w:line="360" w:lineRule="auto"/>
        <w:rPr>
          <w:rFonts w:hint="eastAsia" w:ascii="宋体" w:hAnsi="宋体" w:eastAsia="宋体" w:cs="宋体"/>
          <w:color w:val="000000" w:themeColor="text1"/>
          <w:highlight w:val="none"/>
          <w14:textFill>
            <w14:solidFill>
              <w14:schemeClr w14:val="tx1"/>
            </w14:solidFill>
          </w14:textFill>
        </w:rPr>
      </w:pPr>
    </w:p>
    <w:p>
      <w:pPr>
        <w:pageBreakBefore w:val="0"/>
        <w:kinsoku/>
        <w:overflowPunct/>
        <w:topLinePunct w:val="0"/>
        <w:autoSpaceDE w:val="0"/>
        <w:autoSpaceDN w:val="0"/>
        <w:bidi w:val="0"/>
        <w:spacing w:line="360" w:lineRule="auto"/>
        <w:ind w:right="1120"/>
        <w:jc w:val="left"/>
        <w:rPr>
          <w:rFonts w:hint="eastAsia" w:ascii="宋体" w:hAnsi="宋体" w:eastAsia="宋体" w:cs="宋体"/>
          <w:color w:val="000000" w:themeColor="text1"/>
          <w:kern w:val="0"/>
          <w:szCs w:val="21"/>
          <w:highlight w:val="none"/>
          <w:lang w:val="zh-CN"/>
          <w14:textFill>
            <w14:solidFill>
              <w14:schemeClr w14:val="tx1"/>
            </w14:solidFill>
          </w14:textFill>
        </w:rPr>
      </w:pPr>
      <w:r>
        <w:rPr>
          <w:rFonts w:hint="eastAsia" w:ascii="宋体" w:hAnsi="宋体" w:cs="宋体"/>
          <w:color w:val="000000" w:themeColor="text1"/>
          <w:kern w:val="0"/>
          <w:szCs w:val="21"/>
          <w:highlight w:val="none"/>
          <w:lang w:val="zh-CN"/>
          <w14:textFill>
            <w14:solidFill>
              <w14:schemeClr w14:val="tx1"/>
            </w14:solidFill>
          </w14:textFill>
        </w:rPr>
        <w:t>供应商</w:t>
      </w:r>
      <w:r>
        <w:rPr>
          <w:rFonts w:hint="eastAsia" w:ascii="宋体" w:hAnsi="宋体" w:eastAsia="宋体" w:cs="宋体"/>
          <w:color w:val="000000" w:themeColor="text1"/>
          <w:kern w:val="0"/>
          <w:szCs w:val="21"/>
          <w:highlight w:val="none"/>
          <w:lang w:val="zh-CN"/>
          <w14:textFill>
            <w14:solidFill>
              <w14:schemeClr w14:val="tx1"/>
            </w14:solidFill>
          </w14:textFill>
        </w:rPr>
        <w:t>名称（电子签名）：</w:t>
      </w:r>
    </w:p>
    <w:p>
      <w:pPr>
        <w:pageBreakBefore w:val="0"/>
        <w:kinsoku/>
        <w:overflowPunct/>
        <w:topLinePunct w:val="0"/>
        <w:bidi w:val="0"/>
        <w:spacing w:line="360" w:lineRule="auto"/>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lang w:val="zh-CN"/>
          <w14:textFill>
            <w14:solidFill>
              <w14:schemeClr w14:val="tx1"/>
            </w14:solidFill>
          </w14:textFill>
        </w:rPr>
        <w:t>日期</w:t>
      </w:r>
      <w:r>
        <w:rPr>
          <w:rFonts w:hint="eastAsia" w:ascii="宋体" w:hAnsi="宋体" w:eastAsia="宋体" w:cs="宋体"/>
          <w:color w:val="000000" w:themeColor="text1"/>
          <w:kern w:val="0"/>
          <w:szCs w:val="21"/>
          <w:highlight w:val="none"/>
          <w14:textFill>
            <w14:solidFill>
              <w14:schemeClr w14:val="tx1"/>
            </w14:solidFill>
          </w14:textFill>
        </w:rPr>
        <w:t>：</w:t>
      </w:r>
      <w:r>
        <w:rPr>
          <w:rFonts w:hint="eastAsia" w:ascii="宋体" w:hAnsi="宋体" w:eastAsia="宋体" w:cs="宋体"/>
          <w:color w:val="000000" w:themeColor="text1"/>
          <w:kern w:val="0"/>
          <w:szCs w:val="21"/>
          <w:highlight w:val="none"/>
          <w:lang w:val="zh-CN"/>
          <w14:textFill>
            <w14:solidFill>
              <w14:schemeClr w14:val="tx1"/>
            </w14:solidFill>
          </w14:textFill>
        </w:rPr>
        <w:t xml:space="preserve">   年   月   日</w:t>
      </w:r>
    </w:p>
    <w:p>
      <w:pPr>
        <w:pStyle w:val="3"/>
        <w:pageBreakBefore w:val="0"/>
        <w:kinsoku/>
        <w:overflowPunct/>
        <w:topLinePunct w:val="0"/>
        <w:bidi w:val="0"/>
        <w:spacing w:line="360" w:lineRule="auto"/>
        <w:rPr>
          <w:rFonts w:hint="eastAsia" w:ascii="宋体" w:hAnsi="宋体" w:eastAsia="宋体" w:cs="宋体"/>
          <w:b/>
          <w:color w:val="000000" w:themeColor="text1"/>
          <w:sz w:val="32"/>
          <w:szCs w:val="32"/>
          <w:highlight w:val="none"/>
          <w14:textFill>
            <w14:solidFill>
              <w14:schemeClr w14:val="tx1"/>
            </w14:solidFill>
          </w14:textFill>
        </w:rPr>
      </w:pPr>
    </w:p>
    <w:p>
      <w:pPr>
        <w:rPr>
          <w:color w:val="000000" w:themeColor="text1"/>
          <w:highlight w:val="none"/>
          <w14:textFill>
            <w14:solidFill>
              <w14:schemeClr w14:val="tx1"/>
            </w14:solidFill>
          </w14:textFill>
        </w:rPr>
      </w:pPr>
    </w:p>
    <w:p>
      <w:pPr>
        <w:rPr>
          <w:rFonts w:hint="eastAsia" w:ascii="宋体" w:hAnsi="宋体" w:eastAsia="宋体" w:cs="宋体"/>
          <w:color w:val="000000" w:themeColor="text1"/>
          <w:kern w:val="2"/>
          <w:sz w:val="32"/>
          <w:szCs w:val="32"/>
          <w:highlight w:val="none"/>
          <w14:textFill>
            <w14:solidFill>
              <w14:schemeClr w14:val="tx1"/>
            </w14:solidFill>
          </w14:textFill>
        </w:rPr>
      </w:pPr>
      <w:r>
        <w:rPr>
          <w:rFonts w:hint="eastAsia" w:ascii="宋体" w:hAnsi="宋体" w:eastAsia="宋体" w:cs="宋体"/>
          <w:color w:val="000000" w:themeColor="text1"/>
          <w:kern w:val="2"/>
          <w:sz w:val="32"/>
          <w:szCs w:val="32"/>
          <w:highlight w:val="none"/>
          <w14:textFill>
            <w14:solidFill>
              <w14:schemeClr w14:val="tx1"/>
            </w14:solidFill>
          </w14:textFill>
        </w:rPr>
        <w:br w:type="page"/>
      </w:r>
    </w:p>
    <w:p>
      <w:pPr>
        <w:pStyle w:val="692"/>
        <w:keepNext w:val="0"/>
        <w:pageBreakBefore w:val="0"/>
        <w:tabs>
          <w:tab w:val="clear" w:pos="720"/>
        </w:tabs>
        <w:snapToGrid w:val="0"/>
        <w:spacing w:before="120" w:after="120"/>
        <w:ind w:firstLine="643"/>
        <w:outlineLvl w:val="9"/>
        <w:rPr>
          <w:rFonts w:hint="eastAsia" w:ascii="宋体" w:hAnsi="宋体" w:eastAsia="宋体" w:cs="宋体"/>
          <w:color w:val="000000" w:themeColor="text1"/>
          <w:sz w:val="32"/>
          <w:szCs w:val="32"/>
          <w:highlight w:val="none"/>
          <w14:textFill>
            <w14:solidFill>
              <w14:schemeClr w14:val="tx1"/>
            </w14:solidFill>
          </w14:textFill>
        </w:rPr>
      </w:pPr>
      <w:r>
        <w:rPr>
          <w:rFonts w:hint="eastAsia" w:ascii="宋体" w:hAnsi="宋体" w:eastAsia="宋体" w:cs="宋体"/>
          <w:color w:val="000000" w:themeColor="text1"/>
          <w:kern w:val="2"/>
          <w:sz w:val="32"/>
          <w:szCs w:val="32"/>
          <w:highlight w:val="none"/>
          <w14:textFill>
            <w14:solidFill>
              <w14:schemeClr w14:val="tx1"/>
            </w14:solidFill>
          </w14:textFill>
        </w:rPr>
        <w:t>二、</w:t>
      </w:r>
      <w:r>
        <w:rPr>
          <w:rFonts w:hint="eastAsia" w:ascii="宋体" w:hAnsi="宋体" w:eastAsia="宋体" w:cs="宋体"/>
          <w:color w:val="000000" w:themeColor="text1"/>
          <w:sz w:val="32"/>
          <w:szCs w:val="32"/>
          <w:highlight w:val="none"/>
          <w14:textFill>
            <w14:solidFill>
              <w14:schemeClr w14:val="tx1"/>
            </w14:solidFill>
          </w14:textFill>
        </w:rPr>
        <w:t>中小企业声明函（如果有）</w:t>
      </w:r>
    </w:p>
    <w:p>
      <w:pPr>
        <w:widowControl/>
        <w:spacing w:line="360" w:lineRule="auto"/>
        <w:ind w:firstLine="120" w:firstLineChars="50"/>
        <w:jc w:val="left"/>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招标公告落实政府采购政策需满足的资格要求为“无”即本项目或标项未预留份额专门面向中小企业时，符合《政府采购促进中小企业发展管理办法》规定的小微企业拟享受价格扣除政策的，需提供中小企业声明函（附件7）。]</w:t>
      </w:r>
    </w:p>
    <w:p>
      <w:pPr>
        <w:pStyle w:val="692"/>
        <w:keepNext w:val="0"/>
        <w:pageBreakBefore w:val="0"/>
        <w:tabs>
          <w:tab w:val="clear" w:pos="720"/>
        </w:tabs>
        <w:snapToGrid w:val="0"/>
        <w:spacing w:before="120" w:after="120"/>
        <w:ind w:firstLine="643"/>
        <w:outlineLvl w:val="9"/>
        <w:rPr>
          <w:rFonts w:hint="eastAsia" w:ascii="宋体" w:hAnsi="宋体" w:eastAsia="宋体" w:cs="宋体"/>
          <w:b w:val="0"/>
          <w:color w:val="000000" w:themeColor="text1"/>
          <w:sz w:val="32"/>
          <w:szCs w:val="32"/>
          <w:highlight w:val="none"/>
          <w14:textFill>
            <w14:solidFill>
              <w14:schemeClr w14:val="tx1"/>
            </w14:solidFill>
          </w14:textFill>
        </w:rPr>
      </w:pPr>
    </w:p>
    <w:p>
      <w:pPr>
        <w:spacing w:line="360" w:lineRule="auto"/>
        <w:ind w:right="420" w:firstLine="3614" w:firstLineChars="1000"/>
        <w:rPr>
          <w:rFonts w:hint="eastAsia" w:ascii="宋体" w:hAnsi="宋体" w:eastAsia="宋体" w:cs="宋体"/>
          <w:b/>
          <w:color w:val="000000" w:themeColor="text1"/>
          <w:kern w:val="0"/>
          <w:sz w:val="36"/>
          <w:szCs w:val="36"/>
          <w:highlight w:val="none"/>
          <w14:textFill>
            <w14:solidFill>
              <w14:schemeClr w14:val="tx1"/>
            </w14:solidFill>
          </w14:textFill>
        </w:rPr>
      </w:pPr>
    </w:p>
    <w:p>
      <w:pPr>
        <w:spacing w:line="360" w:lineRule="auto"/>
        <w:ind w:right="420" w:firstLine="3614" w:firstLineChars="1000"/>
        <w:rPr>
          <w:rFonts w:hint="eastAsia" w:ascii="宋体" w:hAnsi="宋体" w:eastAsia="宋体" w:cs="宋体"/>
          <w:b/>
          <w:color w:val="000000" w:themeColor="text1"/>
          <w:kern w:val="0"/>
          <w:sz w:val="36"/>
          <w:szCs w:val="36"/>
          <w:highlight w:val="none"/>
          <w14:textFill>
            <w14:solidFill>
              <w14:schemeClr w14:val="tx1"/>
            </w14:solidFill>
          </w14:textFill>
        </w:rPr>
      </w:pPr>
    </w:p>
    <w:p>
      <w:pPr>
        <w:spacing w:line="360" w:lineRule="auto"/>
        <w:ind w:right="420" w:firstLine="3614" w:firstLineChars="1000"/>
        <w:rPr>
          <w:rFonts w:hint="eastAsia" w:ascii="宋体" w:hAnsi="宋体" w:eastAsia="宋体" w:cs="宋体"/>
          <w:b/>
          <w:color w:val="000000" w:themeColor="text1"/>
          <w:kern w:val="0"/>
          <w:sz w:val="36"/>
          <w:szCs w:val="36"/>
          <w:highlight w:val="none"/>
          <w14:textFill>
            <w14:solidFill>
              <w14:schemeClr w14:val="tx1"/>
            </w14:solidFill>
          </w14:textFill>
        </w:rPr>
      </w:pPr>
    </w:p>
    <w:p>
      <w:pPr>
        <w:spacing w:line="360" w:lineRule="auto"/>
        <w:ind w:right="420" w:firstLine="3614" w:firstLineChars="1000"/>
        <w:rPr>
          <w:rFonts w:hint="eastAsia" w:ascii="宋体" w:hAnsi="宋体" w:eastAsia="宋体" w:cs="宋体"/>
          <w:b/>
          <w:color w:val="000000" w:themeColor="text1"/>
          <w:kern w:val="0"/>
          <w:sz w:val="36"/>
          <w:szCs w:val="36"/>
          <w:highlight w:val="none"/>
          <w14:textFill>
            <w14:solidFill>
              <w14:schemeClr w14:val="tx1"/>
            </w14:solidFill>
          </w14:textFill>
        </w:rPr>
      </w:pPr>
    </w:p>
    <w:p>
      <w:pPr>
        <w:spacing w:line="360" w:lineRule="auto"/>
        <w:ind w:right="420" w:firstLine="3614" w:firstLineChars="1000"/>
        <w:rPr>
          <w:rFonts w:hint="eastAsia" w:ascii="宋体" w:hAnsi="宋体" w:eastAsia="宋体" w:cs="宋体"/>
          <w:b/>
          <w:color w:val="000000" w:themeColor="text1"/>
          <w:kern w:val="0"/>
          <w:sz w:val="36"/>
          <w:szCs w:val="36"/>
          <w:highlight w:val="none"/>
          <w14:textFill>
            <w14:solidFill>
              <w14:schemeClr w14:val="tx1"/>
            </w14:solidFill>
          </w14:textFill>
        </w:rPr>
      </w:pPr>
    </w:p>
    <w:p>
      <w:pPr>
        <w:spacing w:line="360" w:lineRule="auto"/>
        <w:ind w:right="420" w:firstLine="3614" w:firstLineChars="1000"/>
        <w:rPr>
          <w:rFonts w:hint="eastAsia" w:ascii="宋体" w:hAnsi="宋体" w:eastAsia="宋体" w:cs="宋体"/>
          <w:b/>
          <w:color w:val="000000" w:themeColor="text1"/>
          <w:kern w:val="0"/>
          <w:sz w:val="36"/>
          <w:szCs w:val="36"/>
          <w:highlight w:val="none"/>
          <w14:textFill>
            <w14:solidFill>
              <w14:schemeClr w14:val="tx1"/>
            </w14:solidFill>
          </w14:textFill>
        </w:rPr>
      </w:pPr>
    </w:p>
    <w:p>
      <w:pPr>
        <w:spacing w:line="360" w:lineRule="auto"/>
        <w:ind w:right="420" w:firstLine="3614" w:firstLineChars="1000"/>
        <w:rPr>
          <w:rFonts w:hint="eastAsia" w:ascii="宋体" w:hAnsi="宋体" w:eastAsia="宋体" w:cs="宋体"/>
          <w:b/>
          <w:color w:val="000000" w:themeColor="text1"/>
          <w:kern w:val="0"/>
          <w:sz w:val="36"/>
          <w:szCs w:val="36"/>
          <w:highlight w:val="none"/>
          <w14:textFill>
            <w14:solidFill>
              <w14:schemeClr w14:val="tx1"/>
            </w14:solidFill>
          </w14:textFill>
        </w:rPr>
      </w:pPr>
    </w:p>
    <w:p>
      <w:pPr>
        <w:spacing w:line="360" w:lineRule="auto"/>
        <w:ind w:right="420" w:firstLine="3614" w:firstLineChars="1000"/>
        <w:rPr>
          <w:rFonts w:hint="eastAsia" w:ascii="宋体" w:hAnsi="宋体" w:eastAsia="宋体" w:cs="宋体"/>
          <w:b/>
          <w:color w:val="000000" w:themeColor="text1"/>
          <w:kern w:val="0"/>
          <w:sz w:val="36"/>
          <w:szCs w:val="36"/>
          <w:highlight w:val="none"/>
          <w14:textFill>
            <w14:solidFill>
              <w14:schemeClr w14:val="tx1"/>
            </w14:solidFill>
          </w14:textFill>
        </w:rPr>
      </w:pPr>
    </w:p>
    <w:p>
      <w:pPr>
        <w:spacing w:line="360" w:lineRule="auto"/>
        <w:ind w:right="420" w:firstLine="3614" w:firstLineChars="1000"/>
        <w:rPr>
          <w:rFonts w:hint="eastAsia" w:ascii="宋体" w:hAnsi="宋体" w:eastAsia="宋体" w:cs="宋体"/>
          <w:b/>
          <w:color w:val="000000" w:themeColor="text1"/>
          <w:kern w:val="0"/>
          <w:sz w:val="36"/>
          <w:szCs w:val="36"/>
          <w:highlight w:val="none"/>
          <w14:textFill>
            <w14:solidFill>
              <w14:schemeClr w14:val="tx1"/>
            </w14:solidFill>
          </w14:textFill>
        </w:rPr>
      </w:pPr>
    </w:p>
    <w:p>
      <w:pPr>
        <w:spacing w:line="360" w:lineRule="auto"/>
        <w:ind w:right="420" w:firstLine="3614" w:firstLineChars="1000"/>
        <w:rPr>
          <w:rFonts w:hint="eastAsia" w:ascii="宋体" w:hAnsi="宋体" w:eastAsia="宋体" w:cs="宋体"/>
          <w:b/>
          <w:color w:val="000000" w:themeColor="text1"/>
          <w:kern w:val="0"/>
          <w:sz w:val="36"/>
          <w:szCs w:val="36"/>
          <w:highlight w:val="none"/>
          <w14:textFill>
            <w14:solidFill>
              <w14:schemeClr w14:val="tx1"/>
            </w14:solidFill>
          </w14:textFill>
        </w:rPr>
      </w:pPr>
    </w:p>
    <w:p>
      <w:pPr>
        <w:spacing w:line="360" w:lineRule="auto"/>
        <w:ind w:right="420" w:firstLine="3614" w:firstLineChars="1000"/>
        <w:rPr>
          <w:rFonts w:hint="eastAsia" w:ascii="宋体" w:hAnsi="宋体" w:eastAsia="宋体" w:cs="宋体"/>
          <w:b/>
          <w:color w:val="000000" w:themeColor="text1"/>
          <w:kern w:val="0"/>
          <w:sz w:val="36"/>
          <w:szCs w:val="36"/>
          <w:highlight w:val="none"/>
          <w14:textFill>
            <w14:solidFill>
              <w14:schemeClr w14:val="tx1"/>
            </w14:solidFill>
          </w14:textFill>
        </w:rPr>
      </w:pPr>
    </w:p>
    <w:p>
      <w:pPr>
        <w:spacing w:line="360" w:lineRule="auto"/>
        <w:ind w:right="420" w:firstLine="3614" w:firstLineChars="1000"/>
        <w:rPr>
          <w:rFonts w:hint="eastAsia" w:ascii="宋体" w:hAnsi="宋体" w:eastAsia="宋体" w:cs="宋体"/>
          <w:b/>
          <w:color w:val="000000" w:themeColor="text1"/>
          <w:kern w:val="0"/>
          <w:sz w:val="36"/>
          <w:szCs w:val="36"/>
          <w:highlight w:val="none"/>
          <w14:textFill>
            <w14:solidFill>
              <w14:schemeClr w14:val="tx1"/>
            </w14:solidFill>
          </w14:textFill>
        </w:rPr>
      </w:pPr>
    </w:p>
    <w:p>
      <w:pPr>
        <w:spacing w:line="360" w:lineRule="auto"/>
        <w:ind w:right="420" w:firstLine="3614" w:firstLineChars="1000"/>
        <w:rPr>
          <w:rFonts w:hint="eastAsia" w:ascii="宋体" w:hAnsi="宋体" w:eastAsia="宋体" w:cs="宋体"/>
          <w:b/>
          <w:color w:val="000000" w:themeColor="text1"/>
          <w:kern w:val="0"/>
          <w:sz w:val="36"/>
          <w:szCs w:val="36"/>
          <w:highlight w:val="none"/>
          <w14:textFill>
            <w14:solidFill>
              <w14:schemeClr w14:val="tx1"/>
            </w14:solidFill>
          </w14:textFill>
        </w:rPr>
      </w:pPr>
    </w:p>
    <w:p>
      <w:pPr>
        <w:spacing w:line="360" w:lineRule="auto"/>
        <w:ind w:right="420" w:firstLine="3614" w:firstLineChars="1000"/>
        <w:rPr>
          <w:rFonts w:hint="eastAsia" w:ascii="宋体" w:hAnsi="宋体" w:eastAsia="宋体" w:cs="宋体"/>
          <w:b/>
          <w:color w:val="000000" w:themeColor="text1"/>
          <w:kern w:val="0"/>
          <w:sz w:val="36"/>
          <w:szCs w:val="36"/>
          <w:highlight w:val="none"/>
          <w14:textFill>
            <w14:solidFill>
              <w14:schemeClr w14:val="tx1"/>
            </w14:solidFill>
          </w14:textFill>
        </w:rPr>
      </w:pPr>
    </w:p>
    <w:p>
      <w:pPr>
        <w:spacing w:line="360" w:lineRule="auto"/>
        <w:ind w:right="420" w:firstLine="3614" w:firstLineChars="1000"/>
        <w:rPr>
          <w:rFonts w:hint="eastAsia" w:ascii="宋体" w:hAnsi="宋体" w:eastAsia="宋体" w:cs="宋体"/>
          <w:b/>
          <w:color w:val="000000" w:themeColor="text1"/>
          <w:kern w:val="0"/>
          <w:sz w:val="36"/>
          <w:szCs w:val="36"/>
          <w:highlight w:val="none"/>
          <w14:textFill>
            <w14:solidFill>
              <w14:schemeClr w14:val="tx1"/>
            </w14:solidFill>
          </w14:textFill>
        </w:rPr>
      </w:pPr>
    </w:p>
    <w:p>
      <w:pPr>
        <w:spacing w:line="360" w:lineRule="auto"/>
        <w:ind w:right="420" w:firstLine="3614" w:firstLineChars="1000"/>
        <w:rPr>
          <w:rFonts w:hint="eastAsia" w:ascii="宋体" w:hAnsi="宋体" w:eastAsia="宋体" w:cs="宋体"/>
          <w:b/>
          <w:color w:val="000000" w:themeColor="text1"/>
          <w:kern w:val="0"/>
          <w:sz w:val="36"/>
          <w:szCs w:val="36"/>
          <w:highlight w:val="none"/>
          <w14:textFill>
            <w14:solidFill>
              <w14:schemeClr w14:val="tx1"/>
            </w14:solidFill>
          </w14:textFill>
        </w:rPr>
      </w:pPr>
    </w:p>
    <w:p>
      <w:pPr>
        <w:pStyle w:val="5"/>
        <w:keepNext w:val="0"/>
        <w:keepLines w:val="0"/>
        <w:pageBreakBefore/>
        <w:widowControl/>
        <w:kinsoku/>
        <w:wordWrap/>
        <w:overflowPunct/>
        <w:topLinePunct w:val="0"/>
        <w:autoSpaceDE/>
        <w:autoSpaceDN/>
        <w:bidi w:val="0"/>
        <w:adjustRightInd/>
        <w:snapToGrid/>
        <w:spacing w:before="100" w:beforeAutospacing="1" w:after="100" w:afterAutospacing="1" w:line="360" w:lineRule="auto"/>
        <w:ind w:left="0" w:firstLine="0"/>
        <w:jc w:val="left"/>
        <w:textAlignment w:val="auto"/>
        <w:rPr>
          <w:rFonts w:hint="eastAsia" w:ascii="宋体" w:hAnsi="宋体" w:eastAsia="宋体" w:cs="宋体"/>
          <w:color w:val="000000" w:themeColor="text1"/>
          <w:sz w:val="32"/>
          <w:szCs w:val="32"/>
          <w:highlight w:val="none"/>
          <w14:textFill>
            <w14:solidFill>
              <w14:schemeClr w14:val="tx1"/>
            </w14:solidFill>
          </w14:textFill>
        </w:rPr>
      </w:pPr>
      <w:r>
        <w:rPr>
          <w:rFonts w:hint="eastAsia" w:ascii="宋体" w:hAnsi="宋体" w:eastAsia="宋体" w:cs="宋体"/>
          <w:color w:val="000000" w:themeColor="text1"/>
          <w:sz w:val="32"/>
          <w:szCs w:val="32"/>
          <w:highlight w:val="none"/>
          <w14:textFill>
            <w14:solidFill>
              <w14:schemeClr w14:val="tx1"/>
            </w14:solidFill>
          </w14:textFill>
        </w:rPr>
        <w:t>附件</w:t>
      </w:r>
    </w:p>
    <w:p>
      <w:pPr>
        <w:spacing w:line="360" w:lineRule="auto"/>
        <w:rPr>
          <w:rFonts w:hint="eastAsia" w:ascii="宋体" w:hAnsi="宋体" w:eastAsia="宋体" w:cs="宋体"/>
          <w:b/>
          <w:color w:val="000000" w:themeColor="text1"/>
          <w:spacing w:val="6"/>
          <w:sz w:val="32"/>
          <w:szCs w:val="32"/>
          <w:highlight w:val="none"/>
          <w14:textFill>
            <w14:solidFill>
              <w14:schemeClr w14:val="tx1"/>
            </w14:solidFill>
          </w14:textFill>
        </w:rPr>
      </w:pPr>
      <w:r>
        <w:rPr>
          <w:rFonts w:hint="eastAsia" w:ascii="宋体" w:hAnsi="宋体" w:eastAsia="宋体" w:cs="宋体"/>
          <w:b/>
          <w:color w:val="000000" w:themeColor="text1"/>
          <w:spacing w:val="6"/>
          <w:sz w:val="32"/>
          <w:szCs w:val="32"/>
          <w:highlight w:val="none"/>
          <w14:textFill>
            <w14:solidFill>
              <w14:schemeClr w14:val="tx1"/>
            </w14:solidFill>
          </w14:textFill>
        </w:rPr>
        <w:t>附件1：</w:t>
      </w:r>
    </w:p>
    <w:p>
      <w:pPr>
        <w:spacing w:line="360" w:lineRule="auto"/>
        <w:jc w:val="center"/>
        <w:rPr>
          <w:rFonts w:hint="eastAsia" w:ascii="宋体" w:hAnsi="宋体" w:eastAsia="宋体" w:cs="宋体"/>
          <w:b/>
          <w:color w:val="000000" w:themeColor="text1"/>
          <w:spacing w:val="6"/>
          <w:sz w:val="32"/>
          <w:szCs w:val="32"/>
          <w:highlight w:val="none"/>
          <w14:textFill>
            <w14:solidFill>
              <w14:schemeClr w14:val="tx1"/>
            </w14:solidFill>
          </w14:textFill>
        </w:rPr>
      </w:pPr>
      <w:bookmarkStart w:id="414" w:name="OLE_LINK13"/>
      <w:bookmarkStart w:id="415" w:name="OLE_LINK14"/>
      <w:r>
        <w:rPr>
          <w:rFonts w:hint="eastAsia" w:ascii="宋体" w:hAnsi="宋体" w:eastAsia="宋体" w:cs="宋体"/>
          <w:b/>
          <w:color w:val="000000" w:themeColor="text1"/>
          <w:spacing w:val="6"/>
          <w:sz w:val="32"/>
          <w:szCs w:val="32"/>
          <w:highlight w:val="none"/>
          <w14:textFill>
            <w14:solidFill>
              <w14:schemeClr w14:val="tx1"/>
            </w14:solidFill>
          </w14:textFill>
        </w:rPr>
        <w:t>残疾人福利性单位声明函</w:t>
      </w:r>
    </w:p>
    <w:bookmarkEnd w:id="414"/>
    <w:bookmarkEnd w:id="415"/>
    <w:p>
      <w:pPr>
        <w:spacing w:line="360" w:lineRule="auto"/>
        <w:rPr>
          <w:rFonts w:hint="eastAsia" w:ascii="宋体" w:hAnsi="宋体" w:eastAsia="宋体" w:cs="宋体"/>
          <w:b/>
          <w:color w:val="000000" w:themeColor="text1"/>
          <w:spacing w:val="6"/>
          <w:sz w:val="30"/>
          <w:szCs w:val="30"/>
          <w:highlight w:val="none"/>
          <w14:textFill>
            <w14:solidFill>
              <w14:schemeClr w14:val="tx1"/>
            </w14:solidFill>
          </w14:textFill>
        </w:rPr>
      </w:pP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本单位郑重声明，根据《财政部 民政部 中国残疾人联合会关于促进残疾人就业政府采购政策的通知》（财库〔2017〕 141号）的规定，本单位为符合条件的残疾人福利性单位，且本单位参加_</w:t>
      </w:r>
      <w:r>
        <w:rPr>
          <w:rFonts w:hint="eastAsia" w:ascii="宋体" w:hAnsi="宋体" w:eastAsia="宋体" w:cs="宋体"/>
          <w:color w:val="000000" w:themeColor="text1"/>
          <w:sz w:val="24"/>
          <w:highlight w:val="none"/>
          <w:u w:val="single"/>
          <w14:textFill>
            <w14:solidFill>
              <w14:schemeClr w14:val="tx1"/>
            </w14:solidFill>
          </w14:textFill>
        </w:rPr>
        <w:t>(采购人)</w:t>
      </w:r>
      <w:r>
        <w:rPr>
          <w:rFonts w:hint="eastAsia" w:ascii="宋体" w:hAnsi="宋体" w:eastAsia="宋体" w:cs="宋体"/>
          <w:color w:val="000000" w:themeColor="text1"/>
          <w:sz w:val="24"/>
          <w:highlight w:val="none"/>
          <w14:textFill>
            <w14:solidFill>
              <w14:schemeClr w14:val="tx1"/>
            </w14:solidFill>
          </w14:textFill>
        </w:rPr>
        <w:t>_单位的</w:t>
      </w:r>
      <w:r>
        <w:rPr>
          <w:rFonts w:hint="eastAsia" w:ascii="宋体" w:hAnsi="宋体" w:eastAsia="宋体" w:cs="宋体"/>
          <w:color w:val="000000" w:themeColor="text1"/>
          <w:sz w:val="24"/>
          <w:highlight w:val="none"/>
          <w:u w:val="none"/>
          <w:lang w:eastAsia="zh-CN"/>
          <w14:textFill>
            <w14:solidFill>
              <w14:schemeClr w14:val="tx1"/>
            </w14:solidFill>
          </w14:textFill>
        </w:rPr>
        <w:t>拱墅区临丁路等7条、东新路等8条市属区管道路市政环卫一体化综合养护服务项目（</w:t>
      </w:r>
      <w:r>
        <w:rPr>
          <w:rFonts w:hint="eastAsia" w:ascii="宋体" w:hAnsi="宋体" w:eastAsia="宋体" w:cs="宋体"/>
          <w:color w:val="000000" w:themeColor="text1"/>
          <w:sz w:val="24"/>
          <w:highlight w:val="none"/>
          <w:u w:val="none"/>
          <w:lang w:val="en-US" w:eastAsia="zh-CN"/>
          <w14:textFill>
            <w14:solidFill>
              <w14:schemeClr w14:val="tx1"/>
            </w14:solidFill>
          </w14:textFill>
        </w:rPr>
        <w:t>标项</w:t>
      </w:r>
      <w:r>
        <w:rPr>
          <w:rFonts w:hint="eastAsia" w:ascii="宋体" w:hAnsi="宋体" w:eastAsia="宋体" w:cs="宋体"/>
          <w:color w:val="000000" w:themeColor="text1"/>
          <w:sz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highlight w:val="none"/>
          <w:u w:val="none"/>
          <w:lang w:val="en-US" w:eastAsia="zh-CN"/>
          <w14:textFill>
            <w14:solidFill>
              <w14:schemeClr w14:val="tx1"/>
            </w14:solidFill>
          </w14:textFill>
        </w:rPr>
        <w:t xml:space="preserve"> </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本单位对上述声明的真实性负责。如有虚假，将依法承担相应责任。</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p>
    <w:p>
      <w:pPr>
        <w:tabs>
          <w:tab w:val="left" w:pos="4860"/>
        </w:tabs>
        <w:spacing w:line="360" w:lineRule="auto"/>
        <w:ind w:right="1560" w:firstLine="480" w:firstLineChars="200"/>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 xml:space="preserve">               </w:t>
      </w:r>
      <w:r>
        <w:rPr>
          <w:rFonts w:hint="eastAsia" w:ascii="宋体" w:hAnsi="宋体" w:eastAsia="宋体" w:cs="宋体"/>
          <w:color w:val="000000" w:themeColor="text1"/>
          <w:kern w:val="0"/>
          <w:sz w:val="24"/>
          <w:highlight w:val="none"/>
          <w:lang w:val="zh-CN"/>
          <w14:textFill>
            <w14:solidFill>
              <w14:schemeClr w14:val="tx1"/>
            </w14:solidFill>
          </w14:textFill>
        </w:rPr>
        <w:t>供应商名称（电子签名）</w:t>
      </w:r>
      <w:r>
        <w:rPr>
          <w:rFonts w:hint="eastAsia" w:ascii="宋体" w:hAnsi="宋体" w:eastAsia="宋体" w:cs="宋体"/>
          <w:color w:val="000000" w:themeColor="text1"/>
          <w:sz w:val="24"/>
          <w:highlight w:val="none"/>
          <w14:textFill>
            <w14:solidFill>
              <w14:schemeClr w14:val="tx1"/>
            </w14:solidFill>
          </w14:textFill>
        </w:rPr>
        <w:t>：</w:t>
      </w:r>
    </w:p>
    <w:p>
      <w:pPr>
        <w:tabs>
          <w:tab w:val="left" w:pos="4860"/>
        </w:tabs>
        <w:spacing w:line="360" w:lineRule="auto"/>
        <w:ind w:right="1560" w:firstLine="480" w:firstLineChars="200"/>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 xml:space="preserve">       日  期：</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p>
    <w:p>
      <w:pPr>
        <w:spacing w:line="360" w:lineRule="auto"/>
        <w:ind w:firstLine="420" w:firstLineChars="200"/>
        <w:rPr>
          <w:rFonts w:hint="eastAsia" w:ascii="宋体" w:hAnsi="宋体" w:eastAsia="宋体" w:cs="宋体"/>
          <w:color w:val="000000" w:themeColor="text1"/>
          <w:highlight w:val="none"/>
          <w14:textFill>
            <w14:solidFill>
              <w14:schemeClr w14:val="tx1"/>
            </w14:solidFill>
          </w14:textFill>
        </w:rPr>
      </w:pPr>
    </w:p>
    <w:p>
      <w:pPr>
        <w:spacing w:line="360" w:lineRule="auto"/>
        <w:ind w:firstLine="420" w:firstLineChars="200"/>
        <w:rPr>
          <w:rFonts w:hint="eastAsia" w:ascii="宋体" w:hAnsi="宋体" w:eastAsia="宋体" w:cs="宋体"/>
          <w:color w:val="000000" w:themeColor="text1"/>
          <w:highlight w:val="none"/>
          <w14:textFill>
            <w14:solidFill>
              <w14:schemeClr w14:val="tx1"/>
            </w14:solidFill>
          </w14:textFill>
        </w:rPr>
      </w:pPr>
    </w:p>
    <w:p>
      <w:pPr>
        <w:spacing w:line="360" w:lineRule="auto"/>
        <w:ind w:firstLine="420" w:firstLineChars="200"/>
        <w:rPr>
          <w:rFonts w:hint="eastAsia" w:ascii="宋体" w:hAnsi="宋体" w:eastAsia="宋体" w:cs="宋体"/>
          <w:color w:val="000000" w:themeColor="text1"/>
          <w:highlight w:val="none"/>
          <w14:textFill>
            <w14:solidFill>
              <w14:schemeClr w14:val="tx1"/>
            </w14:solidFill>
          </w14:textFill>
        </w:rPr>
      </w:pPr>
    </w:p>
    <w:p>
      <w:pPr>
        <w:spacing w:line="360" w:lineRule="auto"/>
        <w:ind w:firstLine="420" w:firstLineChars="200"/>
        <w:rPr>
          <w:rFonts w:hint="eastAsia" w:ascii="宋体" w:hAnsi="宋体" w:eastAsia="宋体" w:cs="宋体"/>
          <w:color w:val="000000" w:themeColor="text1"/>
          <w:highlight w:val="none"/>
          <w14:textFill>
            <w14:solidFill>
              <w14:schemeClr w14:val="tx1"/>
            </w14:solidFill>
          </w14:textFill>
        </w:rPr>
      </w:pPr>
    </w:p>
    <w:p>
      <w:pPr>
        <w:spacing w:line="360" w:lineRule="auto"/>
        <w:rPr>
          <w:rFonts w:hint="eastAsia" w:ascii="宋体" w:hAnsi="宋体" w:eastAsia="宋体" w:cs="宋体"/>
          <w:b/>
          <w:color w:val="000000" w:themeColor="text1"/>
          <w:sz w:val="24"/>
          <w:highlight w:val="none"/>
          <w14:textFill>
            <w14:solidFill>
              <w14:schemeClr w14:val="tx1"/>
            </w14:solidFill>
          </w14:textFill>
        </w:rPr>
      </w:pPr>
    </w:p>
    <w:p>
      <w:pPr>
        <w:spacing w:line="360" w:lineRule="auto"/>
        <w:rPr>
          <w:rFonts w:hint="eastAsia" w:ascii="宋体" w:hAnsi="宋体" w:eastAsia="宋体" w:cs="宋体"/>
          <w:b/>
          <w:color w:val="000000" w:themeColor="text1"/>
          <w:sz w:val="24"/>
          <w:highlight w:val="none"/>
          <w14:textFill>
            <w14:solidFill>
              <w14:schemeClr w14:val="tx1"/>
            </w14:solidFill>
          </w14:textFill>
        </w:rPr>
      </w:pPr>
    </w:p>
    <w:p>
      <w:pPr>
        <w:spacing w:line="360" w:lineRule="auto"/>
        <w:rPr>
          <w:rFonts w:hint="eastAsia" w:ascii="宋体" w:hAnsi="宋体" w:eastAsia="宋体" w:cs="宋体"/>
          <w:b/>
          <w:color w:val="000000" w:themeColor="text1"/>
          <w:sz w:val="24"/>
          <w:highlight w:val="none"/>
          <w14:textFill>
            <w14:solidFill>
              <w14:schemeClr w14:val="tx1"/>
            </w14:solidFill>
          </w14:textFill>
        </w:rPr>
      </w:pPr>
    </w:p>
    <w:p>
      <w:pPr>
        <w:spacing w:line="360" w:lineRule="auto"/>
        <w:rPr>
          <w:rFonts w:hint="eastAsia" w:ascii="宋体" w:hAnsi="宋体" w:eastAsia="宋体" w:cs="宋体"/>
          <w:b/>
          <w:color w:val="000000" w:themeColor="text1"/>
          <w:sz w:val="24"/>
          <w:highlight w:val="none"/>
          <w14:textFill>
            <w14:solidFill>
              <w14:schemeClr w14:val="tx1"/>
            </w14:solidFill>
          </w14:textFill>
        </w:rPr>
      </w:pPr>
    </w:p>
    <w:p>
      <w:pPr>
        <w:spacing w:line="360" w:lineRule="auto"/>
        <w:rPr>
          <w:rFonts w:hint="eastAsia" w:ascii="宋体" w:hAnsi="宋体" w:eastAsia="宋体" w:cs="宋体"/>
          <w:b/>
          <w:color w:val="000000" w:themeColor="text1"/>
          <w:sz w:val="24"/>
          <w:highlight w:val="none"/>
          <w14:textFill>
            <w14:solidFill>
              <w14:schemeClr w14:val="tx1"/>
            </w14:solidFill>
          </w14:textFill>
        </w:rPr>
      </w:pPr>
    </w:p>
    <w:p>
      <w:pPr>
        <w:spacing w:line="360" w:lineRule="auto"/>
        <w:rPr>
          <w:rFonts w:hint="eastAsia" w:ascii="宋体" w:hAnsi="宋体" w:eastAsia="宋体" w:cs="宋体"/>
          <w:b/>
          <w:color w:val="000000" w:themeColor="text1"/>
          <w:sz w:val="24"/>
          <w:highlight w:val="none"/>
          <w14:textFill>
            <w14:solidFill>
              <w14:schemeClr w14:val="tx1"/>
            </w14:solidFill>
          </w14:textFill>
        </w:rPr>
      </w:pPr>
    </w:p>
    <w:p>
      <w:pPr>
        <w:spacing w:line="360" w:lineRule="auto"/>
        <w:rPr>
          <w:rFonts w:hint="eastAsia" w:ascii="宋体" w:hAnsi="宋体" w:eastAsia="宋体" w:cs="宋体"/>
          <w:b/>
          <w:color w:val="000000" w:themeColor="text1"/>
          <w:sz w:val="24"/>
          <w:highlight w:val="none"/>
          <w14:textFill>
            <w14:solidFill>
              <w14:schemeClr w14:val="tx1"/>
            </w14:solidFill>
          </w14:textFill>
        </w:rPr>
      </w:pPr>
    </w:p>
    <w:p>
      <w:pPr>
        <w:spacing w:line="360" w:lineRule="auto"/>
        <w:rPr>
          <w:rFonts w:hint="eastAsia" w:ascii="宋体" w:hAnsi="宋体" w:eastAsia="宋体" w:cs="宋体"/>
          <w:b/>
          <w:color w:val="000000" w:themeColor="text1"/>
          <w:sz w:val="24"/>
          <w:highlight w:val="none"/>
          <w14:textFill>
            <w14:solidFill>
              <w14:schemeClr w14:val="tx1"/>
            </w14:solidFill>
          </w14:textFill>
        </w:rPr>
      </w:pPr>
    </w:p>
    <w:p>
      <w:pPr>
        <w:spacing w:line="360" w:lineRule="auto"/>
        <w:rPr>
          <w:rFonts w:hint="eastAsia" w:ascii="宋体" w:hAnsi="宋体" w:eastAsia="宋体" w:cs="宋体"/>
          <w:b/>
          <w:color w:val="000000" w:themeColor="text1"/>
          <w:sz w:val="24"/>
          <w:highlight w:val="none"/>
          <w14:textFill>
            <w14:solidFill>
              <w14:schemeClr w14:val="tx1"/>
            </w14:solidFill>
          </w14:textFill>
        </w:rPr>
      </w:pPr>
    </w:p>
    <w:p>
      <w:pPr>
        <w:spacing w:line="360" w:lineRule="auto"/>
        <w:jc w:val="left"/>
        <w:rPr>
          <w:rFonts w:hint="eastAsia" w:ascii="宋体" w:hAnsi="宋体" w:eastAsia="宋体" w:cs="宋体"/>
          <w:b/>
          <w:color w:val="000000" w:themeColor="text1"/>
          <w:spacing w:val="6"/>
          <w:sz w:val="32"/>
          <w:szCs w:val="32"/>
          <w:highlight w:val="none"/>
          <w14:textFill>
            <w14:solidFill>
              <w14:schemeClr w14:val="tx1"/>
            </w14:solidFill>
          </w14:textFill>
        </w:rPr>
      </w:pPr>
      <w:r>
        <w:rPr>
          <w:rFonts w:hint="eastAsia" w:ascii="宋体" w:hAnsi="宋体" w:eastAsia="宋体" w:cs="宋体"/>
          <w:b/>
          <w:color w:val="000000" w:themeColor="text1"/>
          <w:spacing w:val="6"/>
          <w:sz w:val="32"/>
          <w:szCs w:val="32"/>
          <w:highlight w:val="none"/>
          <w14:textFill>
            <w14:solidFill>
              <w14:schemeClr w14:val="tx1"/>
            </w14:solidFill>
          </w14:textFill>
        </w:rPr>
        <w:t>附件2：质疑函范本及制作说明</w:t>
      </w:r>
    </w:p>
    <w:p>
      <w:pPr>
        <w:spacing w:line="360" w:lineRule="auto"/>
        <w:jc w:val="center"/>
        <w:rPr>
          <w:rFonts w:hint="eastAsia" w:ascii="宋体" w:hAnsi="宋体" w:eastAsia="宋体" w:cs="宋体"/>
          <w:b/>
          <w:color w:val="000000" w:themeColor="text1"/>
          <w:spacing w:val="6"/>
          <w:sz w:val="32"/>
          <w:szCs w:val="32"/>
          <w:highlight w:val="none"/>
          <w14:textFill>
            <w14:solidFill>
              <w14:schemeClr w14:val="tx1"/>
            </w14:solidFill>
          </w14:textFill>
        </w:rPr>
      </w:pPr>
      <w:r>
        <w:rPr>
          <w:rFonts w:hint="eastAsia" w:ascii="宋体" w:hAnsi="宋体" w:eastAsia="宋体" w:cs="宋体"/>
          <w:b/>
          <w:color w:val="000000" w:themeColor="text1"/>
          <w:spacing w:val="6"/>
          <w:sz w:val="32"/>
          <w:szCs w:val="32"/>
          <w:highlight w:val="none"/>
          <w14:textFill>
            <w14:solidFill>
              <w14:schemeClr w14:val="tx1"/>
            </w14:solidFill>
          </w14:textFill>
        </w:rPr>
        <w:t>质疑函范本</w:t>
      </w:r>
    </w:p>
    <w:p>
      <w:pPr>
        <w:snapToGrid w:val="0"/>
        <w:spacing w:before="240" w:beforeLines="100" w:line="360" w:lineRule="auto"/>
        <w:rPr>
          <w:rFonts w:hint="eastAsia" w:ascii="宋体" w:hAnsi="宋体" w:eastAsia="宋体" w:cs="宋体"/>
          <w:bCs/>
          <w:color w:val="000000" w:themeColor="text1"/>
          <w:sz w:val="24"/>
          <w:highlight w:val="none"/>
          <w14:textFill>
            <w14:solidFill>
              <w14:schemeClr w14:val="tx1"/>
            </w14:solidFill>
          </w14:textFill>
        </w:rPr>
      </w:pPr>
      <w:r>
        <w:rPr>
          <w:rFonts w:hint="eastAsia" w:ascii="宋体" w:hAnsi="宋体" w:eastAsia="宋体" w:cs="宋体"/>
          <w:bCs/>
          <w:color w:val="000000" w:themeColor="text1"/>
          <w:sz w:val="24"/>
          <w:highlight w:val="none"/>
          <w14:textFill>
            <w14:solidFill>
              <w14:schemeClr w14:val="tx1"/>
            </w14:solidFill>
          </w14:textFill>
        </w:rPr>
        <w:t>一、质疑供应商基本信息</w:t>
      </w:r>
    </w:p>
    <w:p>
      <w:pPr>
        <w:snapToGrid w:val="0"/>
        <w:spacing w:line="360" w:lineRule="auto"/>
        <w:rPr>
          <w:rFonts w:hint="eastAsia" w:ascii="宋体" w:hAnsi="宋体" w:eastAsia="宋体" w:cs="宋体"/>
          <w:color w:val="000000" w:themeColor="text1"/>
          <w:sz w:val="24"/>
          <w:highlight w:val="none"/>
          <w:u w:val="dotted"/>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质疑供应商：</w:t>
      </w:r>
      <w:r>
        <w:rPr>
          <w:rFonts w:hint="eastAsia" w:ascii="宋体" w:hAnsi="宋体" w:eastAsia="宋体" w:cs="宋体"/>
          <w:color w:val="000000" w:themeColor="text1"/>
          <w:sz w:val="24"/>
          <w:highlight w:val="none"/>
          <w:u w:val="dotted"/>
          <w14:textFill>
            <w14:solidFill>
              <w14:schemeClr w14:val="tx1"/>
            </w14:solidFill>
          </w14:textFill>
        </w:rPr>
        <w:t xml:space="preserve">                                        </w:t>
      </w:r>
    </w:p>
    <w:p>
      <w:pPr>
        <w:snapToGrid w:val="0"/>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地址：</w:t>
      </w:r>
      <w:r>
        <w:rPr>
          <w:rFonts w:hint="eastAsia" w:ascii="宋体" w:hAnsi="宋体" w:eastAsia="宋体" w:cs="宋体"/>
          <w:color w:val="000000" w:themeColor="text1"/>
          <w:sz w:val="24"/>
          <w:highlight w:val="none"/>
          <w:u w:val="dotted"/>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邮编：</w:t>
      </w:r>
      <w:r>
        <w:rPr>
          <w:rFonts w:hint="eastAsia" w:ascii="宋体" w:hAnsi="宋体" w:eastAsia="宋体" w:cs="宋体"/>
          <w:color w:val="000000" w:themeColor="text1"/>
          <w:sz w:val="24"/>
          <w:highlight w:val="none"/>
          <w:u w:val="dotted"/>
          <w14:textFill>
            <w14:solidFill>
              <w14:schemeClr w14:val="tx1"/>
            </w14:solidFill>
          </w14:textFill>
        </w:rPr>
        <w:t xml:space="preserve">                                                   </w:t>
      </w:r>
    </w:p>
    <w:p>
      <w:pPr>
        <w:snapToGrid w:val="0"/>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联系人：</w:t>
      </w:r>
      <w:r>
        <w:rPr>
          <w:rFonts w:hint="eastAsia" w:ascii="宋体" w:hAnsi="宋体" w:eastAsia="宋体" w:cs="宋体"/>
          <w:color w:val="000000" w:themeColor="text1"/>
          <w:sz w:val="24"/>
          <w:highlight w:val="none"/>
          <w:u w:val="dotted"/>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联系电话：</w:t>
      </w:r>
      <w:r>
        <w:rPr>
          <w:rFonts w:hint="eastAsia" w:ascii="宋体" w:hAnsi="宋体" w:eastAsia="宋体" w:cs="宋体"/>
          <w:color w:val="000000" w:themeColor="text1"/>
          <w:sz w:val="24"/>
          <w:highlight w:val="none"/>
          <w:u w:val="dotted"/>
          <w14:textFill>
            <w14:solidFill>
              <w14:schemeClr w14:val="tx1"/>
            </w14:solidFill>
          </w14:textFill>
        </w:rPr>
        <w:t xml:space="preserve">                              </w:t>
      </w:r>
    </w:p>
    <w:p>
      <w:pPr>
        <w:snapToGrid w:val="0"/>
        <w:spacing w:line="360" w:lineRule="auto"/>
        <w:rPr>
          <w:rFonts w:hint="eastAsia" w:ascii="宋体" w:hAnsi="宋体" w:eastAsia="宋体" w:cs="宋体"/>
          <w:color w:val="000000" w:themeColor="text1"/>
          <w:sz w:val="24"/>
          <w:highlight w:val="none"/>
          <w:u w:val="dotted"/>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授权代表：</w:t>
      </w:r>
      <w:r>
        <w:rPr>
          <w:rFonts w:hint="eastAsia" w:ascii="宋体" w:hAnsi="宋体" w:eastAsia="宋体" w:cs="宋体"/>
          <w:color w:val="000000" w:themeColor="text1"/>
          <w:sz w:val="24"/>
          <w:highlight w:val="none"/>
          <w:u w:val="dotted"/>
          <w14:textFill>
            <w14:solidFill>
              <w14:schemeClr w14:val="tx1"/>
            </w14:solidFill>
          </w14:textFill>
        </w:rPr>
        <w:t xml:space="preserve">                                          </w:t>
      </w:r>
    </w:p>
    <w:p>
      <w:pPr>
        <w:snapToGrid w:val="0"/>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联系电话：</w:t>
      </w:r>
      <w:r>
        <w:rPr>
          <w:rFonts w:hint="eastAsia" w:ascii="宋体" w:hAnsi="宋体" w:eastAsia="宋体" w:cs="宋体"/>
          <w:color w:val="000000" w:themeColor="text1"/>
          <w:sz w:val="24"/>
          <w:highlight w:val="none"/>
          <w:u w:val="dotted"/>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 xml:space="preserve"> </w:t>
      </w:r>
    </w:p>
    <w:p>
      <w:pPr>
        <w:snapToGrid w:val="0"/>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 xml:space="preserve">地址： </w:t>
      </w:r>
      <w:r>
        <w:rPr>
          <w:rFonts w:hint="eastAsia" w:ascii="宋体" w:hAnsi="宋体" w:eastAsia="宋体" w:cs="宋体"/>
          <w:color w:val="000000" w:themeColor="text1"/>
          <w:sz w:val="24"/>
          <w:highlight w:val="none"/>
          <w:u w:val="dotted"/>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邮编：</w:t>
      </w:r>
      <w:r>
        <w:rPr>
          <w:rFonts w:hint="eastAsia" w:ascii="宋体" w:hAnsi="宋体" w:eastAsia="宋体" w:cs="宋体"/>
          <w:color w:val="000000" w:themeColor="text1"/>
          <w:sz w:val="24"/>
          <w:highlight w:val="none"/>
          <w:u w:val="dotted"/>
          <w14:textFill>
            <w14:solidFill>
              <w14:schemeClr w14:val="tx1"/>
            </w14:solidFill>
          </w14:textFill>
        </w:rPr>
        <w:t xml:space="preserve">                                                </w:t>
      </w:r>
    </w:p>
    <w:p>
      <w:pPr>
        <w:snapToGrid w:val="0"/>
        <w:spacing w:line="360" w:lineRule="auto"/>
        <w:rPr>
          <w:rFonts w:hint="eastAsia" w:ascii="宋体" w:hAnsi="宋体" w:eastAsia="宋体" w:cs="宋体"/>
          <w:bCs/>
          <w:color w:val="000000" w:themeColor="text1"/>
          <w:sz w:val="24"/>
          <w:highlight w:val="none"/>
          <w14:textFill>
            <w14:solidFill>
              <w14:schemeClr w14:val="tx1"/>
            </w14:solidFill>
          </w14:textFill>
        </w:rPr>
      </w:pPr>
      <w:r>
        <w:rPr>
          <w:rFonts w:hint="eastAsia" w:ascii="宋体" w:hAnsi="宋体" w:eastAsia="宋体" w:cs="宋体"/>
          <w:bCs/>
          <w:color w:val="000000" w:themeColor="text1"/>
          <w:sz w:val="24"/>
          <w:highlight w:val="none"/>
          <w14:textFill>
            <w14:solidFill>
              <w14:schemeClr w14:val="tx1"/>
            </w14:solidFill>
          </w14:textFill>
        </w:rPr>
        <w:t>二、质疑项目基本情况</w:t>
      </w:r>
    </w:p>
    <w:p>
      <w:pPr>
        <w:snapToGrid w:val="0"/>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质疑项目的名称：</w:t>
      </w:r>
      <w:r>
        <w:rPr>
          <w:rFonts w:hint="eastAsia" w:ascii="宋体" w:hAnsi="宋体" w:eastAsia="宋体" w:cs="宋体"/>
          <w:color w:val="000000" w:themeColor="text1"/>
          <w:sz w:val="24"/>
          <w:highlight w:val="none"/>
          <w:u w:val="dotted"/>
          <w14:textFill>
            <w14:solidFill>
              <w14:schemeClr w14:val="tx1"/>
            </w14:solidFill>
          </w14:textFill>
        </w:rPr>
        <w:t xml:space="preserve">                                      </w:t>
      </w:r>
    </w:p>
    <w:p>
      <w:pPr>
        <w:snapToGrid w:val="0"/>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质疑项目的编号：</w:t>
      </w:r>
      <w:r>
        <w:rPr>
          <w:rFonts w:hint="eastAsia" w:ascii="宋体" w:hAnsi="宋体" w:eastAsia="宋体" w:cs="宋体"/>
          <w:color w:val="000000" w:themeColor="text1"/>
          <w:sz w:val="24"/>
          <w:highlight w:val="none"/>
          <w:u w:val="dotted"/>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包号：</w:t>
      </w:r>
      <w:r>
        <w:rPr>
          <w:rFonts w:hint="eastAsia" w:ascii="宋体" w:hAnsi="宋体" w:eastAsia="宋体" w:cs="宋体"/>
          <w:color w:val="000000" w:themeColor="text1"/>
          <w:sz w:val="24"/>
          <w:highlight w:val="none"/>
          <w:u w:val="dotted"/>
          <w14:textFill>
            <w14:solidFill>
              <w14:schemeClr w14:val="tx1"/>
            </w14:solidFill>
          </w14:textFill>
        </w:rPr>
        <w:t xml:space="preserve">                 </w:t>
      </w:r>
    </w:p>
    <w:p>
      <w:pPr>
        <w:snapToGrid w:val="0"/>
        <w:spacing w:line="360" w:lineRule="auto"/>
        <w:rPr>
          <w:rFonts w:hint="eastAsia" w:ascii="宋体" w:hAnsi="宋体" w:eastAsia="宋体" w:cs="宋体"/>
          <w:color w:val="000000" w:themeColor="text1"/>
          <w:sz w:val="24"/>
          <w:highlight w:val="none"/>
          <w:u w:val="dotted"/>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采购人名称：</w:t>
      </w:r>
      <w:r>
        <w:rPr>
          <w:rFonts w:hint="eastAsia" w:ascii="宋体" w:hAnsi="宋体" w:eastAsia="宋体" w:cs="宋体"/>
          <w:color w:val="000000" w:themeColor="text1"/>
          <w:sz w:val="24"/>
          <w:highlight w:val="none"/>
          <w:u w:val="dotted"/>
          <w14:textFill>
            <w14:solidFill>
              <w14:schemeClr w14:val="tx1"/>
            </w14:solidFill>
          </w14:textFill>
        </w:rPr>
        <w:t xml:space="preserve">                                         </w:t>
      </w:r>
    </w:p>
    <w:p>
      <w:pPr>
        <w:snapToGrid w:val="0"/>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采购文件获取日期：</w:t>
      </w:r>
      <w:r>
        <w:rPr>
          <w:rFonts w:hint="eastAsia" w:ascii="宋体" w:hAnsi="宋体" w:eastAsia="宋体" w:cs="宋体"/>
          <w:color w:val="000000" w:themeColor="text1"/>
          <w:sz w:val="24"/>
          <w:highlight w:val="none"/>
          <w:u w:val="dotted"/>
          <w14:textFill>
            <w14:solidFill>
              <w14:schemeClr w14:val="tx1"/>
            </w14:solidFill>
          </w14:textFill>
        </w:rPr>
        <w:t xml:space="preserve">                                           </w:t>
      </w:r>
    </w:p>
    <w:p>
      <w:pPr>
        <w:snapToGrid w:val="0"/>
        <w:spacing w:line="360" w:lineRule="auto"/>
        <w:rPr>
          <w:rFonts w:hint="eastAsia" w:ascii="宋体" w:hAnsi="宋体" w:eastAsia="宋体" w:cs="宋体"/>
          <w:bCs/>
          <w:color w:val="000000" w:themeColor="text1"/>
          <w:sz w:val="24"/>
          <w:highlight w:val="none"/>
          <w14:textFill>
            <w14:solidFill>
              <w14:schemeClr w14:val="tx1"/>
            </w14:solidFill>
          </w14:textFill>
        </w:rPr>
      </w:pPr>
      <w:r>
        <w:rPr>
          <w:rFonts w:hint="eastAsia" w:ascii="宋体" w:hAnsi="宋体" w:eastAsia="宋体" w:cs="宋体"/>
          <w:bCs/>
          <w:color w:val="000000" w:themeColor="text1"/>
          <w:sz w:val="24"/>
          <w:highlight w:val="none"/>
          <w14:textFill>
            <w14:solidFill>
              <w14:schemeClr w14:val="tx1"/>
            </w14:solidFill>
          </w14:textFill>
        </w:rPr>
        <w:t>三、质疑事项具体内容</w:t>
      </w:r>
    </w:p>
    <w:p>
      <w:pPr>
        <w:snapToGrid w:val="0"/>
        <w:spacing w:line="360" w:lineRule="auto"/>
        <w:rPr>
          <w:rFonts w:hint="eastAsia" w:ascii="宋体" w:hAnsi="宋体" w:eastAsia="宋体" w:cs="宋体"/>
          <w:color w:val="000000" w:themeColor="text1"/>
          <w:sz w:val="24"/>
          <w:highlight w:val="none"/>
          <w:u w:val="dotted"/>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质疑事项1：</w:t>
      </w:r>
      <w:r>
        <w:rPr>
          <w:rFonts w:hint="eastAsia" w:ascii="宋体" w:hAnsi="宋体" w:eastAsia="宋体" w:cs="宋体"/>
          <w:color w:val="000000" w:themeColor="text1"/>
          <w:sz w:val="24"/>
          <w:highlight w:val="none"/>
          <w:u w:val="dotted"/>
          <w14:textFill>
            <w14:solidFill>
              <w14:schemeClr w14:val="tx1"/>
            </w14:solidFill>
          </w14:textFill>
        </w:rPr>
        <w:t xml:space="preserve">                                         </w:t>
      </w:r>
    </w:p>
    <w:p>
      <w:pPr>
        <w:snapToGrid w:val="0"/>
        <w:spacing w:line="360" w:lineRule="auto"/>
        <w:rPr>
          <w:rFonts w:hint="eastAsia" w:ascii="宋体" w:hAnsi="宋体" w:eastAsia="宋体" w:cs="宋体"/>
          <w:color w:val="000000" w:themeColor="text1"/>
          <w:sz w:val="24"/>
          <w:highlight w:val="none"/>
          <w:u w:val="dotted"/>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事实依据：</w:t>
      </w:r>
      <w:r>
        <w:rPr>
          <w:rFonts w:hint="eastAsia" w:ascii="宋体" w:hAnsi="宋体" w:eastAsia="宋体" w:cs="宋体"/>
          <w:color w:val="000000" w:themeColor="text1"/>
          <w:sz w:val="24"/>
          <w:highlight w:val="none"/>
          <w:u w:val="dotted"/>
          <w14:textFill>
            <w14:solidFill>
              <w14:schemeClr w14:val="tx1"/>
            </w14:solidFill>
          </w14:textFill>
        </w:rPr>
        <w:t xml:space="preserve">                                          </w:t>
      </w:r>
    </w:p>
    <w:p>
      <w:pPr>
        <w:snapToGrid w:val="0"/>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u w:val="dotted"/>
          <w14:textFill>
            <w14:solidFill>
              <w14:schemeClr w14:val="tx1"/>
            </w14:solidFill>
          </w14:textFill>
        </w:rPr>
        <w:t xml:space="preserve">                                                       </w:t>
      </w:r>
    </w:p>
    <w:p>
      <w:pPr>
        <w:snapToGrid w:val="0"/>
        <w:spacing w:line="360" w:lineRule="auto"/>
        <w:rPr>
          <w:rFonts w:hint="eastAsia" w:ascii="宋体" w:hAnsi="宋体" w:eastAsia="宋体" w:cs="宋体"/>
          <w:color w:val="000000" w:themeColor="text1"/>
          <w:sz w:val="24"/>
          <w:highlight w:val="none"/>
          <w:u w:val="dotted"/>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法律依据：</w:t>
      </w:r>
      <w:r>
        <w:rPr>
          <w:rFonts w:hint="eastAsia" w:ascii="宋体" w:hAnsi="宋体" w:eastAsia="宋体" w:cs="宋体"/>
          <w:color w:val="000000" w:themeColor="text1"/>
          <w:sz w:val="24"/>
          <w:highlight w:val="none"/>
          <w:u w:val="dotted"/>
          <w14:textFill>
            <w14:solidFill>
              <w14:schemeClr w14:val="tx1"/>
            </w14:solidFill>
          </w14:textFill>
        </w:rPr>
        <w:t xml:space="preserve">                                          </w:t>
      </w:r>
    </w:p>
    <w:p>
      <w:pPr>
        <w:snapToGrid w:val="0"/>
        <w:spacing w:line="360" w:lineRule="auto"/>
        <w:rPr>
          <w:rFonts w:hint="eastAsia" w:ascii="宋体" w:hAnsi="宋体" w:eastAsia="宋体" w:cs="宋体"/>
          <w:color w:val="000000" w:themeColor="text1"/>
          <w:sz w:val="24"/>
          <w:highlight w:val="none"/>
          <w:u w:val="dotted"/>
          <w14:textFill>
            <w14:solidFill>
              <w14:schemeClr w14:val="tx1"/>
            </w14:solidFill>
          </w14:textFill>
        </w:rPr>
      </w:pPr>
      <w:r>
        <w:rPr>
          <w:rFonts w:hint="eastAsia" w:ascii="宋体" w:hAnsi="宋体" w:eastAsia="宋体" w:cs="宋体"/>
          <w:color w:val="000000" w:themeColor="text1"/>
          <w:sz w:val="24"/>
          <w:highlight w:val="none"/>
          <w:u w:val="dotted"/>
          <w14:textFill>
            <w14:solidFill>
              <w14:schemeClr w14:val="tx1"/>
            </w14:solidFill>
          </w14:textFill>
        </w:rPr>
        <w:t xml:space="preserve">                                                     </w:t>
      </w:r>
    </w:p>
    <w:p>
      <w:pPr>
        <w:snapToGrid w:val="0"/>
        <w:spacing w:line="360" w:lineRule="auto"/>
        <w:rPr>
          <w:rFonts w:hint="eastAsia" w:ascii="宋体" w:hAnsi="宋体" w:eastAsia="宋体" w:cs="宋体"/>
          <w:color w:val="000000" w:themeColor="text1"/>
          <w:sz w:val="24"/>
          <w:highlight w:val="none"/>
          <w:u w:val="dotted"/>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质疑事项2</w:t>
      </w:r>
    </w:p>
    <w:p>
      <w:pPr>
        <w:snapToGrid w:val="0"/>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w:t>
      </w:r>
    </w:p>
    <w:p>
      <w:pPr>
        <w:snapToGrid w:val="0"/>
        <w:spacing w:line="360" w:lineRule="auto"/>
        <w:rPr>
          <w:rFonts w:hint="eastAsia" w:ascii="宋体" w:hAnsi="宋体" w:eastAsia="宋体" w:cs="宋体"/>
          <w:bCs/>
          <w:color w:val="000000" w:themeColor="text1"/>
          <w:sz w:val="24"/>
          <w:highlight w:val="none"/>
          <w14:textFill>
            <w14:solidFill>
              <w14:schemeClr w14:val="tx1"/>
            </w14:solidFill>
          </w14:textFill>
        </w:rPr>
      </w:pPr>
      <w:r>
        <w:rPr>
          <w:rFonts w:hint="eastAsia" w:ascii="宋体" w:hAnsi="宋体" w:eastAsia="宋体" w:cs="宋体"/>
          <w:bCs/>
          <w:color w:val="000000" w:themeColor="text1"/>
          <w:sz w:val="24"/>
          <w:highlight w:val="none"/>
          <w14:textFill>
            <w14:solidFill>
              <w14:schemeClr w14:val="tx1"/>
            </w14:solidFill>
          </w14:textFill>
        </w:rPr>
        <w:t>四、与质疑事项相关的质疑请求</w:t>
      </w:r>
    </w:p>
    <w:p>
      <w:pPr>
        <w:snapToGrid w:val="0"/>
        <w:spacing w:line="360" w:lineRule="auto"/>
        <w:rPr>
          <w:rFonts w:hint="eastAsia" w:ascii="宋体" w:hAnsi="宋体" w:eastAsia="宋体" w:cs="宋体"/>
          <w:color w:val="000000" w:themeColor="text1"/>
          <w:sz w:val="24"/>
          <w:highlight w:val="none"/>
          <w:u w:val="dotted"/>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请求：</w:t>
      </w:r>
      <w:r>
        <w:rPr>
          <w:rFonts w:hint="eastAsia" w:ascii="宋体" w:hAnsi="宋体" w:eastAsia="宋体" w:cs="宋体"/>
          <w:color w:val="000000" w:themeColor="text1"/>
          <w:sz w:val="24"/>
          <w:highlight w:val="none"/>
          <w:u w:val="dotted"/>
          <w14:textFill>
            <w14:solidFill>
              <w14:schemeClr w14:val="tx1"/>
            </w14:solidFill>
          </w14:textFill>
        </w:rPr>
        <w:t xml:space="preserve">                                               </w:t>
      </w:r>
    </w:p>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 xml:space="preserve">签字(签章)：                   公章：                      </w:t>
      </w:r>
    </w:p>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 xml:space="preserve">日期：    </w:t>
      </w:r>
    </w:p>
    <w:p>
      <w:pPr>
        <w:spacing w:line="360" w:lineRule="auto"/>
        <w:jc w:val="center"/>
        <w:rPr>
          <w:rFonts w:hint="eastAsia" w:ascii="宋体" w:hAnsi="宋体" w:eastAsia="宋体" w:cs="宋体"/>
          <w:b/>
          <w:bCs/>
          <w:color w:val="000000" w:themeColor="text1"/>
          <w:sz w:val="24"/>
          <w:highlight w:val="none"/>
          <w14:textFill>
            <w14:solidFill>
              <w14:schemeClr w14:val="tx1"/>
            </w14:solidFill>
          </w14:textFill>
        </w:rPr>
      </w:pPr>
    </w:p>
    <w:p>
      <w:pPr>
        <w:spacing w:line="360" w:lineRule="auto"/>
        <w:rPr>
          <w:rFonts w:hint="eastAsia" w:ascii="宋体" w:hAnsi="宋体" w:eastAsia="宋体" w:cs="宋体"/>
          <w:b/>
          <w:color w:val="000000" w:themeColor="text1"/>
          <w:sz w:val="24"/>
          <w:highlight w:val="none"/>
          <w14:textFill>
            <w14:solidFill>
              <w14:schemeClr w14:val="tx1"/>
            </w14:solidFill>
          </w14:textFill>
        </w:rPr>
      </w:pPr>
    </w:p>
    <w:p>
      <w:pPr>
        <w:spacing w:line="360" w:lineRule="auto"/>
        <w:rPr>
          <w:rFonts w:hint="eastAsia" w:ascii="宋体" w:hAnsi="宋体" w:eastAsia="宋体" w:cs="宋体"/>
          <w:b/>
          <w:color w:val="000000" w:themeColor="text1"/>
          <w:sz w:val="24"/>
          <w:highlight w:val="none"/>
          <w14:textFill>
            <w14:solidFill>
              <w14:schemeClr w14:val="tx1"/>
            </w14:solidFill>
          </w14:textFill>
        </w:rPr>
      </w:pPr>
    </w:p>
    <w:p>
      <w:pPr>
        <w:spacing w:line="360" w:lineRule="auto"/>
        <w:rPr>
          <w:rFonts w:hint="eastAsia" w:ascii="宋体" w:hAnsi="宋体" w:eastAsia="宋体" w:cs="宋体"/>
          <w:b/>
          <w:color w:val="000000" w:themeColor="text1"/>
          <w:sz w:val="24"/>
          <w:highlight w:val="none"/>
          <w14:textFill>
            <w14:solidFill>
              <w14:schemeClr w14:val="tx1"/>
            </w14:solidFill>
          </w14:textFill>
        </w:rPr>
      </w:pPr>
    </w:p>
    <w:p>
      <w:pPr>
        <w:spacing w:line="360" w:lineRule="auto"/>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质疑函制作说明：</w:t>
      </w:r>
    </w:p>
    <w:p>
      <w:pPr>
        <w:widowControl/>
        <w:spacing w:line="360" w:lineRule="auto"/>
        <w:ind w:firstLine="480" w:firstLineChars="200"/>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1.供应商提出质疑时，应提交质疑函和必要的证明材料。</w:t>
      </w:r>
    </w:p>
    <w:p>
      <w:pPr>
        <w:widowControl/>
        <w:spacing w:line="360" w:lineRule="auto"/>
        <w:ind w:firstLine="480" w:firstLineChars="200"/>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2.质疑供应商若委托代理人进行质疑的，质疑函应按要求列明“授权代表”的有关内容，并在附件中提交由质疑</w:t>
      </w:r>
      <w:r>
        <w:rPr>
          <w:rFonts w:hint="eastAsia" w:ascii="宋体" w:hAnsi="宋体" w:eastAsia="宋体" w:cs="宋体"/>
          <w:color w:val="000000" w:themeColor="text1"/>
          <w:kern w:val="0"/>
          <w:sz w:val="24"/>
          <w:highlight w:val="none"/>
          <w14:textFill>
            <w14:solidFill>
              <w14:schemeClr w14:val="tx1"/>
            </w14:solidFill>
          </w14:textFill>
        </w:rPr>
        <w:t>供应商签署的授权委托书。授权委托书应载明代理人的姓名或者名称、代理事项、具体权限、期限和相关事项。</w:t>
      </w:r>
    </w:p>
    <w:p>
      <w:pPr>
        <w:widowControl/>
        <w:spacing w:line="360" w:lineRule="auto"/>
        <w:ind w:firstLine="480" w:firstLineChars="200"/>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3.质疑供应商若对项目的某一分包进行质疑，质疑函中应列明具体分包号。</w:t>
      </w:r>
    </w:p>
    <w:p>
      <w:pPr>
        <w:widowControl/>
        <w:spacing w:line="360" w:lineRule="auto"/>
        <w:ind w:firstLine="480" w:firstLineChars="200"/>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4.质疑函的质疑事项应具体、明确，并有必要的事实依据和法律依据。</w:t>
      </w:r>
    </w:p>
    <w:p>
      <w:pPr>
        <w:widowControl/>
        <w:spacing w:line="360" w:lineRule="auto"/>
        <w:ind w:firstLine="480" w:firstLineChars="200"/>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5.质疑函的质疑请求应与质疑事项相关。</w:t>
      </w:r>
    </w:p>
    <w:p>
      <w:pPr>
        <w:widowControl/>
        <w:spacing w:line="360" w:lineRule="auto"/>
        <w:ind w:firstLine="480" w:firstLineChars="200"/>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hint="eastAsia" w:ascii="宋体" w:hAnsi="宋体" w:eastAsia="宋体" w:cs="宋体"/>
          <w:color w:val="000000" w:themeColor="text1"/>
          <w:sz w:val="30"/>
          <w:szCs w:val="30"/>
          <w:highlight w:val="none"/>
          <w14:textFill>
            <w14:solidFill>
              <w14:schemeClr w14:val="tx1"/>
            </w14:solidFill>
          </w14:textFill>
        </w:rPr>
      </w:pPr>
    </w:p>
    <w:p>
      <w:pPr>
        <w:spacing w:line="360" w:lineRule="auto"/>
        <w:jc w:val="center"/>
        <w:rPr>
          <w:rFonts w:hint="eastAsia" w:ascii="宋体" w:hAnsi="宋体" w:eastAsia="宋体" w:cs="宋体"/>
          <w:b/>
          <w:color w:val="000000" w:themeColor="text1"/>
          <w:spacing w:val="6"/>
          <w:sz w:val="32"/>
          <w:szCs w:val="32"/>
          <w:highlight w:val="none"/>
          <w14:textFill>
            <w14:solidFill>
              <w14:schemeClr w14:val="tx1"/>
            </w14:solidFill>
          </w14:textFill>
        </w:rPr>
      </w:pPr>
    </w:p>
    <w:p>
      <w:pPr>
        <w:spacing w:line="360" w:lineRule="auto"/>
        <w:jc w:val="center"/>
        <w:rPr>
          <w:rFonts w:hint="eastAsia" w:ascii="宋体" w:hAnsi="宋体" w:eastAsia="宋体" w:cs="宋体"/>
          <w:b/>
          <w:color w:val="000000" w:themeColor="text1"/>
          <w:spacing w:val="6"/>
          <w:sz w:val="32"/>
          <w:szCs w:val="32"/>
          <w:highlight w:val="none"/>
          <w14:textFill>
            <w14:solidFill>
              <w14:schemeClr w14:val="tx1"/>
            </w14:solidFill>
          </w14:textFill>
        </w:rPr>
      </w:pPr>
    </w:p>
    <w:p>
      <w:pPr>
        <w:spacing w:line="360" w:lineRule="auto"/>
        <w:jc w:val="center"/>
        <w:rPr>
          <w:rFonts w:hint="eastAsia" w:ascii="宋体" w:hAnsi="宋体" w:eastAsia="宋体" w:cs="宋体"/>
          <w:b/>
          <w:color w:val="000000" w:themeColor="text1"/>
          <w:spacing w:val="6"/>
          <w:sz w:val="32"/>
          <w:szCs w:val="32"/>
          <w:highlight w:val="none"/>
          <w14:textFill>
            <w14:solidFill>
              <w14:schemeClr w14:val="tx1"/>
            </w14:solidFill>
          </w14:textFill>
        </w:rPr>
      </w:pPr>
    </w:p>
    <w:p>
      <w:pPr>
        <w:spacing w:line="360" w:lineRule="auto"/>
        <w:jc w:val="center"/>
        <w:rPr>
          <w:rFonts w:hint="eastAsia" w:ascii="宋体" w:hAnsi="宋体" w:eastAsia="宋体" w:cs="宋体"/>
          <w:b/>
          <w:color w:val="000000" w:themeColor="text1"/>
          <w:spacing w:val="6"/>
          <w:sz w:val="32"/>
          <w:szCs w:val="32"/>
          <w:highlight w:val="none"/>
          <w14:textFill>
            <w14:solidFill>
              <w14:schemeClr w14:val="tx1"/>
            </w14:solidFill>
          </w14:textFill>
        </w:rPr>
      </w:pPr>
    </w:p>
    <w:p>
      <w:pPr>
        <w:spacing w:line="360" w:lineRule="auto"/>
        <w:jc w:val="center"/>
        <w:rPr>
          <w:rFonts w:hint="eastAsia" w:ascii="宋体" w:hAnsi="宋体" w:eastAsia="宋体" w:cs="宋体"/>
          <w:b/>
          <w:color w:val="000000" w:themeColor="text1"/>
          <w:spacing w:val="6"/>
          <w:sz w:val="32"/>
          <w:szCs w:val="32"/>
          <w:highlight w:val="none"/>
          <w14:textFill>
            <w14:solidFill>
              <w14:schemeClr w14:val="tx1"/>
            </w14:solidFill>
          </w14:textFill>
        </w:rPr>
      </w:pPr>
    </w:p>
    <w:p>
      <w:pPr>
        <w:spacing w:line="360" w:lineRule="auto"/>
        <w:jc w:val="center"/>
        <w:rPr>
          <w:rFonts w:hint="eastAsia" w:ascii="宋体" w:hAnsi="宋体" w:eastAsia="宋体" w:cs="宋体"/>
          <w:b/>
          <w:color w:val="000000" w:themeColor="text1"/>
          <w:spacing w:val="6"/>
          <w:sz w:val="32"/>
          <w:szCs w:val="32"/>
          <w:highlight w:val="none"/>
          <w14:textFill>
            <w14:solidFill>
              <w14:schemeClr w14:val="tx1"/>
            </w14:solidFill>
          </w14:textFill>
        </w:rPr>
      </w:pPr>
    </w:p>
    <w:p>
      <w:pPr>
        <w:spacing w:line="360" w:lineRule="auto"/>
        <w:jc w:val="center"/>
        <w:rPr>
          <w:rFonts w:hint="eastAsia" w:ascii="宋体" w:hAnsi="宋体" w:eastAsia="宋体" w:cs="宋体"/>
          <w:b/>
          <w:color w:val="000000" w:themeColor="text1"/>
          <w:spacing w:val="6"/>
          <w:sz w:val="32"/>
          <w:szCs w:val="32"/>
          <w:highlight w:val="none"/>
          <w14:textFill>
            <w14:solidFill>
              <w14:schemeClr w14:val="tx1"/>
            </w14:solidFill>
          </w14:textFill>
        </w:rPr>
      </w:pPr>
    </w:p>
    <w:p>
      <w:pPr>
        <w:spacing w:line="360" w:lineRule="auto"/>
        <w:jc w:val="center"/>
        <w:rPr>
          <w:rFonts w:hint="eastAsia" w:ascii="宋体" w:hAnsi="宋体" w:eastAsia="宋体" w:cs="宋体"/>
          <w:b/>
          <w:color w:val="000000" w:themeColor="text1"/>
          <w:spacing w:val="6"/>
          <w:sz w:val="32"/>
          <w:szCs w:val="32"/>
          <w:highlight w:val="none"/>
          <w14:textFill>
            <w14:solidFill>
              <w14:schemeClr w14:val="tx1"/>
            </w14:solidFill>
          </w14:textFill>
        </w:rPr>
      </w:pPr>
    </w:p>
    <w:p>
      <w:pPr>
        <w:spacing w:line="360" w:lineRule="auto"/>
        <w:jc w:val="center"/>
        <w:rPr>
          <w:rFonts w:hint="eastAsia" w:ascii="宋体" w:hAnsi="宋体" w:eastAsia="宋体" w:cs="宋体"/>
          <w:b/>
          <w:color w:val="000000" w:themeColor="text1"/>
          <w:spacing w:val="6"/>
          <w:sz w:val="32"/>
          <w:szCs w:val="32"/>
          <w:highlight w:val="none"/>
          <w14:textFill>
            <w14:solidFill>
              <w14:schemeClr w14:val="tx1"/>
            </w14:solidFill>
          </w14:textFill>
        </w:rPr>
      </w:pPr>
    </w:p>
    <w:p>
      <w:pPr>
        <w:spacing w:line="360" w:lineRule="auto"/>
        <w:jc w:val="center"/>
        <w:rPr>
          <w:rFonts w:hint="eastAsia" w:ascii="宋体" w:hAnsi="宋体" w:eastAsia="宋体" w:cs="宋体"/>
          <w:b/>
          <w:color w:val="000000" w:themeColor="text1"/>
          <w:spacing w:val="6"/>
          <w:sz w:val="32"/>
          <w:szCs w:val="32"/>
          <w:highlight w:val="none"/>
          <w14:textFill>
            <w14:solidFill>
              <w14:schemeClr w14:val="tx1"/>
            </w14:solidFill>
          </w14:textFill>
        </w:rPr>
      </w:pPr>
    </w:p>
    <w:p>
      <w:pPr>
        <w:spacing w:line="360" w:lineRule="auto"/>
        <w:jc w:val="center"/>
        <w:rPr>
          <w:rFonts w:hint="eastAsia" w:ascii="宋体" w:hAnsi="宋体" w:eastAsia="宋体" w:cs="宋体"/>
          <w:b/>
          <w:color w:val="000000" w:themeColor="text1"/>
          <w:spacing w:val="6"/>
          <w:sz w:val="32"/>
          <w:szCs w:val="32"/>
          <w:highlight w:val="none"/>
          <w14:textFill>
            <w14:solidFill>
              <w14:schemeClr w14:val="tx1"/>
            </w14:solidFill>
          </w14:textFill>
        </w:rPr>
      </w:pPr>
    </w:p>
    <w:p>
      <w:pPr>
        <w:spacing w:line="360" w:lineRule="auto"/>
        <w:jc w:val="center"/>
        <w:rPr>
          <w:rFonts w:hint="eastAsia" w:ascii="宋体" w:hAnsi="宋体" w:eastAsia="宋体" w:cs="宋体"/>
          <w:b/>
          <w:color w:val="000000" w:themeColor="text1"/>
          <w:spacing w:val="6"/>
          <w:sz w:val="32"/>
          <w:szCs w:val="32"/>
          <w:highlight w:val="none"/>
          <w14:textFill>
            <w14:solidFill>
              <w14:schemeClr w14:val="tx1"/>
            </w14:solidFill>
          </w14:textFill>
        </w:rPr>
      </w:pPr>
    </w:p>
    <w:p>
      <w:pPr>
        <w:spacing w:line="360" w:lineRule="auto"/>
        <w:jc w:val="left"/>
        <w:rPr>
          <w:rFonts w:hint="eastAsia" w:ascii="宋体" w:hAnsi="宋体" w:eastAsia="宋体" w:cs="宋体"/>
          <w:b/>
          <w:color w:val="000000" w:themeColor="text1"/>
          <w:spacing w:val="6"/>
          <w:sz w:val="32"/>
          <w:szCs w:val="32"/>
          <w:highlight w:val="none"/>
          <w14:textFill>
            <w14:solidFill>
              <w14:schemeClr w14:val="tx1"/>
            </w14:solidFill>
          </w14:textFill>
        </w:rPr>
      </w:pPr>
    </w:p>
    <w:p>
      <w:pPr>
        <w:spacing w:line="360" w:lineRule="auto"/>
        <w:jc w:val="left"/>
        <w:rPr>
          <w:rFonts w:hint="eastAsia" w:ascii="宋体" w:hAnsi="宋体" w:eastAsia="宋体" w:cs="宋体"/>
          <w:b/>
          <w:color w:val="000000" w:themeColor="text1"/>
          <w:spacing w:val="6"/>
          <w:sz w:val="32"/>
          <w:szCs w:val="32"/>
          <w:highlight w:val="none"/>
          <w14:textFill>
            <w14:solidFill>
              <w14:schemeClr w14:val="tx1"/>
            </w14:solidFill>
          </w14:textFill>
        </w:rPr>
      </w:pPr>
    </w:p>
    <w:p>
      <w:pPr>
        <w:spacing w:line="360" w:lineRule="auto"/>
        <w:jc w:val="left"/>
        <w:rPr>
          <w:rFonts w:hint="eastAsia" w:ascii="宋体" w:hAnsi="宋体" w:eastAsia="宋体" w:cs="宋体"/>
          <w:b/>
          <w:color w:val="000000" w:themeColor="text1"/>
          <w:spacing w:val="6"/>
          <w:sz w:val="32"/>
          <w:szCs w:val="32"/>
          <w:highlight w:val="none"/>
          <w14:textFill>
            <w14:solidFill>
              <w14:schemeClr w14:val="tx1"/>
            </w14:solidFill>
          </w14:textFill>
        </w:rPr>
      </w:pPr>
      <w:r>
        <w:rPr>
          <w:rFonts w:hint="eastAsia" w:ascii="宋体" w:hAnsi="宋体" w:eastAsia="宋体" w:cs="宋体"/>
          <w:b/>
          <w:color w:val="000000" w:themeColor="text1"/>
          <w:spacing w:val="6"/>
          <w:sz w:val="32"/>
          <w:szCs w:val="32"/>
          <w:highlight w:val="none"/>
          <w14:textFill>
            <w14:solidFill>
              <w14:schemeClr w14:val="tx1"/>
            </w14:solidFill>
          </w14:textFill>
        </w:rPr>
        <w:t>附件3：投诉书范本及制作说明</w:t>
      </w:r>
    </w:p>
    <w:p>
      <w:pPr>
        <w:spacing w:line="360" w:lineRule="auto"/>
        <w:jc w:val="center"/>
        <w:rPr>
          <w:rFonts w:hint="eastAsia" w:ascii="宋体" w:hAnsi="宋体" w:eastAsia="宋体" w:cs="宋体"/>
          <w:b/>
          <w:color w:val="000000" w:themeColor="text1"/>
          <w:sz w:val="24"/>
          <w:highlight w:val="none"/>
          <w14:textFill>
            <w14:solidFill>
              <w14:schemeClr w14:val="tx1"/>
            </w14:solidFill>
          </w14:textFill>
        </w:rPr>
      </w:pPr>
    </w:p>
    <w:p>
      <w:pPr>
        <w:spacing w:line="360" w:lineRule="auto"/>
        <w:jc w:val="center"/>
        <w:rPr>
          <w:rFonts w:hint="eastAsia" w:ascii="宋体" w:hAnsi="宋体" w:eastAsia="宋体" w:cs="宋体"/>
          <w:b/>
          <w:color w:val="000000" w:themeColor="text1"/>
          <w:spacing w:val="6"/>
          <w:sz w:val="32"/>
          <w:szCs w:val="32"/>
          <w:highlight w:val="none"/>
          <w14:textFill>
            <w14:solidFill>
              <w14:schemeClr w14:val="tx1"/>
            </w14:solidFill>
          </w14:textFill>
        </w:rPr>
      </w:pPr>
      <w:r>
        <w:rPr>
          <w:rFonts w:hint="eastAsia" w:ascii="宋体" w:hAnsi="宋体" w:eastAsia="宋体" w:cs="宋体"/>
          <w:b/>
          <w:color w:val="000000" w:themeColor="text1"/>
          <w:spacing w:val="6"/>
          <w:sz w:val="32"/>
          <w:szCs w:val="32"/>
          <w:highlight w:val="none"/>
          <w14:textFill>
            <w14:solidFill>
              <w14:schemeClr w14:val="tx1"/>
            </w14:solidFill>
          </w14:textFill>
        </w:rPr>
        <w:t>投诉书范本</w:t>
      </w:r>
    </w:p>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一、投诉相关主体基本情况</w:t>
      </w:r>
    </w:p>
    <w:p>
      <w:pPr>
        <w:spacing w:line="360" w:lineRule="auto"/>
        <w:rPr>
          <w:rFonts w:hint="eastAsia" w:ascii="宋体" w:hAnsi="宋体" w:eastAsia="宋体" w:cs="宋体"/>
          <w:color w:val="000000" w:themeColor="text1"/>
          <w:sz w:val="24"/>
          <w:highlight w:val="none"/>
          <w:u w:val="dotted"/>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投诉人：</w:t>
      </w:r>
      <w:r>
        <w:rPr>
          <w:rFonts w:hint="eastAsia" w:ascii="宋体" w:hAnsi="宋体" w:eastAsia="宋体" w:cs="宋体"/>
          <w:color w:val="000000" w:themeColor="text1"/>
          <w:sz w:val="24"/>
          <w:highlight w:val="none"/>
          <w:u w:val="dotted"/>
          <w14:textFill>
            <w14:solidFill>
              <w14:schemeClr w14:val="tx1"/>
            </w14:solidFill>
          </w14:textFill>
        </w:rPr>
        <w:t xml:space="preserve">                                               </w:t>
      </w:r>
    </w:p>
    <w:p>
      <w:pPr>
        <w:spacing w:line="360" w:lineRule="auto"/>
        <w:rPr>
          <w:rFonts w:hint="eastAsia" w:ascii="宋体" w:hAnsi="宋体" w:eastAsia="宋体" w:cs="宋体"/>
          <w:color w:val="000000" w:themeColor="text1"/>
          <w:sz w:val="24"/>
          <w:highlight w:val="none"/>
          <w:u w:val="singl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地     址：</w:t>
      </w:r>
      <w:r>
        <w:rPr>
          <w:rFonts w:hint="eastAsia" w:ascii="宋体" w:hAnsi="宋体" w:eastAsia="宋体" w:cs="宋体"/>
          <w:color w:val="000000" w:themeColor="text1"/>
          <w:sz w:val="24"/>
          <w:highlight w:val="none"/>
          <w:u w:val="dotted"/>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邮编：</w:t>
      </w:r>
      <w:r>
        <w:rPr>
          <w:rFonts w:hint="eastAsia" w:ascii="宋体" w:hAnsi="宋体" w:eastAsia="宋体" w:cs="宋体"/>
          <w:color w:val="000000" w:themeColor="text1"/>
          <w:sz w:val="24"/>
          <w:highlight w:val="none"/>
          <w:u w:val="dotted"/>
          <w14:textFill>
            <w14:solidFill>
              <w14:schemeClr w14:val="tx1"/>
            </w14:solidFill>
          </w14:textFill>
        </w:rPr>
        <w:t xml:space="preserve">         </w:t>
      </w:r>
      <w:r>
        <w:rPr>
          <w:rFonts w:hint="eastAsia" w:ascii="宋体" w:hAnsi="宋体" w:eastAsia="宋体" w:cs="宋体"/>
          <w:color w:val="000000" w:themeColor="text1"/>
          <w:sz w:val="24"/>
          <w:highlight w:val="none"/>
          <w:u w:val="single"/>
          <w14:textFill>
            <w14:solidFill>
              <w14:schemeClr w14:val="tx1"/>
            </w14:solidFill>
          </w14:textFill>
        </w:rPr>
        <w:t xml:space="preserve">   </w:t>
      </w:r>
    </w:p>
    <w:p>
      <w:pPr>
        <w:tabs>
          <w:tab w:val="left" w:pos="6510"/>
        </w:tabs>
        <w:spacing w:line="360" w:lineRule="auto"/>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法定代表人/主要负责人：</w:t>
      </w:r>
      <w:r>
        <w:rPr>
          <w:rFonts w:hint="eastAsia" w:ascii="宋体" w:hAnsi="宋体" w:eastAsia="宋体" w:cs="宋体"/>
          <w:color w:val="000000" w:themeColor="text1"/>
          <w:sz w:val="24"/>
          <w:highlight w:val="none"/>
          <w:u w:val="dotted"/>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 xml:space="preserve">  </w:t>
      </w:r>
    </w:p>
    <w:p>
      <w:pPr>
        <w:tabs>
          <w:tab w:val="left" w:pos="6510"/>
        </w:tabs>
        <w:spacing w:line="360" w:lineRule="auto"/>
        <w:rPr>
          <w:rFonts w:hint="eastAsia" w:ascii="宋体" w:hAnsi="宋体" w:eastAsia="宋体" w:cs="宋体"/>
          <w:color w:val="000000" w:themeColor="text1"/>
          <w:sz w:val="24"/>
          <w:highlight w:val="none"/>
          <w:u w:val="dotted"/>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联系电话：</w:t>
      </w:r>
      <w:r>
        <w:rPr>
          <w:rFonts w:hint="eastAsia" w:ascii="宋体" w:hAnsi="宋体" w:eastAsia="宋体" w:cs="宋体"/>
          <w:color w:val="000000" w:themeColor="text1"/>
          <w:sz w:val="24"/>
          <w:highlight w:val="none"/>
          <w:u w:val="dotted"/>
          <w14:textFill>
            <w14:solidFill>
              <w14:schemeClr w14:val="tx1"/>
            </w14:solidFill>
          </w14:textFill>
        </w:rPr>
        <w:t xml:space="preserve">                                             </w:t>
      </w:r>
    </w:p>
    <w:p>
      <w:pPr>
        <w:spacing w:line="360" w:lineRule="auto"/>
        <w:rPr>
          <w:rFonts w:hint="eastAsia" w:ascii="宋体" w:hAnsi="宋体" w:eastAsia="宋体" w:cs="宋体"/>
          <w:color w:val="000000" w:themeColor="text1"/>
          <w:sz w:val="24"/>
          <w:highlight w:val="none"/>
          <w:u w:val="dotted"/>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授权代表：</w:t>
      </w:r>
      <w:r>
        <w:rPr>
          <w:rFonts w:hint="eastAsia" w:ascii="宋体" w:hAnsi="宋体" w:eastAsia="宋体" w:cs="宋体"/>
          <w:color w:val="000000" w:themeColor="text1"/>
          <w:sz w:val="24"/>
          <w:highlight w:val="none"/>
          <w:u w:val="dotted"/>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联系电话</w:t>
      </w:r>
      <w:r>
        <w:rPr>
          <w:rFonts w:hint="eastAsia" w:ascii="宋体" w:hAnsi="宋体" w:eastAsia="宋体" w:cs="宋体"/>
          <w:color w:val="000000" w:themeColor="text1"/>
          <w:sz w:val="24"/>
          <w:highlight w:val="none"/>
          <w:u w:val="dotted"/>
          <w14:textFill>
            <w14:solidFill>
              <w14:schemeClr w14:val="tx1"/>
            </w14:solidFill>
          </w14:textFill>
        </w:rPr>
        <w:t xml:space="preserve">：                  </w:t>
      </w:r>
    </w:p>
    <w:p>
      <w:pPr>
        <w:spacing w:line="360" w:lineRule="auto"/>
        <w:rPr>
          <w:rFonts w:hint="eastAsia" w:ascii="宋体" w:hAnsi="宋体" w:eastAsia="宋体" w:cs="宋体"/>
          <w:color w:val="000000" w:themeColor="text1"/>
          <w:sz w:val="24"/>
          <w:highlight w:val="none"/>
          <w:u w:val="dotted"/>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地     址：</w:t>
      </w:r>
      <w:r>
        <w:rPr>
          <w:rFonts w:hint="eastAsia" w:ascii="宋体" w:hAnsi="宋体" w:eastAsia="宋体" w:cs="宋体"/>
          <w:color w:val="000000" w:themeColor="text1"/>
          <w:sz w:val="24"/>
          <w:highlight w:val="none"/>
          <w:u w:val="dotted"/>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邮编：</w:t>
      </w:r>
      <w:r>
        <w:rPr>
          <w:rFonts w:hint="eastAsia" w:ascii="宋体" w:hAnsi="宋体" w:eastAsia="宋体" w:cs="宋体"/>
          <w:color w:val="000000" w:themeColor="text1"/>
          <w:sz w:val="24"/>
          <w:highlight w:val="none"/>
          <w:u w:val="dotted"/>
          <w14:textFill>
            <w14:solidFill>
              <w14:schemeClr w14:val="tx1"/>
            </w14:solidFill>
          </w14:textFill>
        </w:rPr>
        <w:t xml:space="preserve">         </w:t>
      </w:r>
      <w:r>
        <w:rPr>
          <w:rFonts w:hint="eastAsia" w:ascii="宋体" w:hAnsi="宋体" w:eastAsia="宋体" w:cs="宋体"/>
          <w:color w:val="000000" w:themeColor="text1"/>
          <w:sz w:val="24"/>
          <w:highlight w:val="none"/>
          <w:u w:val="single"/>
          <w14:textFill>
            <w14:solidFill>
              <w14:schemeClr w14:val="tx1"/>
            </w14:solidFill>
          </w14:textFill>
        </w:rPr>
        <w:t xml:space="preserve"> </w:t>
      </w:r>
      <w:r>
        <w:rPr>
          <w:rFonts w:hint="eastAsia" w:ascii="宋体" w:hAnsi="宋体" w:eastAsia="宋体" w:cs="宋体"/>
          <w:color w:val="000000" w:themeColor="text1"/>
          <w:sz w:val="24"/>
          <w:highlight w:val="none"/>
          <w:u w:val="dotted"/>
          <w14:textFill>
            <w14:solidFill>
              <w14:schemeClr w14:val="tx1"/>
            </w14:solidFill>
          </w14:textFill>
        </w:rPr>
        <w:t xml:space="preserve">                   </w:t>
      </w:r>
    </w:p>
    <w:p>
      <w:pPr>
        <w:spacing w:line="360" w:lineRule="auto"/>
        <w:rPr>
          <w:rFonts w:hint="eastAsia" w:ascii="宋体" w:hAnsi="宋体" w:eastAsia="宋体" w:cs="宋体"/>
          <w:color w:val="000000" w:themeColor="text1"/>
          <w:sz w:val="24"/>
          <w:highlight w:val="none"/>
          <w:u w:val="singl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被投诉人1：</w:t>
      </w:r>
      <w:r>
        <w:rPr>
          <w:rFonts w:hint="eastAsia" w:ascii="宋体" w:hAnsi="宋体" w:eastAsia="宋体" w:cs="宋体"/>
          <w:color w:val="000000" w:themeColor="text1"/>
          <w:sz w:val="24"/>
          <w:highlight w:val="none"/>
          <w:u w:val="dotted"/>
          <w14:textFill>
            <w14:solidFill>
              <w14:schemeClr w14:val="tx1"/>
            </w14:solidFill>
          </w14:textFill>
        </w:rPr>
        <w:t xml:space="preserve">                                           </w:t>
      </w:r>
      <w:r>
        <w:rPr>
          <w:rFonts w:hint="eastAsia" w:ascii="宋体" w:hAnsi="宋体" w:eastAsia="宋体" w:cs="宋体"/>
          <w:color w:val="000000" w:themeColor="text1"/>
          <w:sz w:val="24"/>
          <w:highlight w:val="none"/>
          <w:u w:val="single"/>
          <w14:textFill>
            <w14:solidFill>
              <w14:schemeClr w14:val="tx1"/>
            </w14:solidFill>
          </w14:textFill>
        </w:rPr>
        <w:t xml:space="preserve">  </w:t>
      </w:r>
    </w:p>
    <w:p>
      <w:pPr>
        <w:spacing w:line="360" w:lineRule="auto"/>
        <w:rPr>
          <w:rFonts w:hint="eastAsia" w:ascii="宋体" w:hAnsi="宋体" w:eastAsia="宋体" w:cs="宋体"/>
          <w:color w:val="000000" w:themeColor="text1"/>
          <w:sz w:val="24"/>
          <w:highlight w:val="none"/>
          <w:u w:val="singl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地     址：</w:t>
      </w:r>
      <w:r>
        <w:rPr>
          <w:rFonts w:hint="eastAsia" w:ascii="宋体" w:hAnsi="宋体" w:eastAsia="宋体" w:cs="宋体"/>
          <w:color w:val="000000" w:themeColor="text1"/>
          <w:sz w:val="24"/>
          <w:highlight w:val="none"/>
          <w:u w:val="dotted"/>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邮编：</w:t>
      </w:r>
      <w:r>
        <w:rPr>
          <w:rFonts w:hint="eastAsia" w:ascii="宋体" w:hAnsi="宋体" w:eastAsia="宋体" w:cs="宋体"/>
          <w:color w:val="000000" w:themeColor="text1"/>
          <w:sz w:val="24"/>
          <w:highlight w:val="none"/>
          <w:u w:val="dotted"/>
          <w14:textFill>
            <w14:solidFill>
              <w14:schemeClr w14:val="tx1"/>
            </w14:solidFill>
          </w14:textFill>
        </w:rPr>
        <w:t xml:space="preserve">          </w:t>
      </w:r>
      <w:r>
        <w:rPr>
          <w:rFonts w:hint="eastAsia" w:ascii="宋体" w:hAnsi="宋体" w:eastAsia="宋体" w:cs="宋体"/>
          <w:color w:val="000000" w:themeColor="text1"/>
          <w:sz w:val="24"/>
          <w:highlight w:val="none"/>
          <w:u w:val="single"/>
          <w14:textFill>
            <w14:solidFill>
              <w14:schemeClr w14:val="tx1"/>
            </w14:solidFill>
          </w14:textFill>
        </w:rPr>
        <w:t xml:space="preserve"> </w:t>
      </w:r>
    </w:p>
    <w:p>
      <w:pPr>
        <w:spacing w:line="360" w:lineRule="auto"/>
        <w:rPr>
          <w:rFonts w:hint="eastAsia" w:ascii="宋体" w:hAnsi="宋体" w:eastAsia="宋体" w:cs="宋体"/>
          <w:color w:val="000000" w:themeColor="text1"/>
          <w:sz w:val="24"/>
          <w:highlight w:val="none"/>
          <w:u w:val="singl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联系人：</w:t>
      </w:r>
      <w:r>
        <w:rPr>
          <w:rFonts w:hint="eastAsia" w:ascii="宋体" w:hAnsi="宋体" w:eastAsia="宋体" w:cs="宋体"/>
          <w:color w:val="000000" w:themeColor="text1"/>
          <w:sz w:val="24"/>
          <w:highlight w:val="none"/>
          <w:u w:val="dotted"/>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联系电话：</w:t>
      </w:r>
      <w:r>
        <w:rPr>
          <w:rFonts w:hint="eastAsia" w:ascii="宋体" w:hAnsi="宋体" w:eastAsia="宋体" w:cs="宋体"/>
          <w:color w:val="000000" w:themeColor="text1"/>
          <w:sz w:val="24"/>
          <w:highlight w:val="none"/>
          <w:u w:val="dotted"/>
          <w14:textFill>
            <w14:solidFill>
              <w14:schemeClr w14:val="tx1"/>
            </w14:solidFill>
          </w14:textFill>
        </w:rPr>
        <w:t xml:space="preserve">                      </w:t>
      </w:r>
      <w:r>
        <w:rPr>
          <w:rFonts w:hint="eastAsia" w:ascii="宋体" w:hAnsi="宋体" w:eastAsia="宋体" w:cs="宋体"/>
          <w:color w:val="000000" w:themeColor="text1"/>
          <w:sz w:val="24"/>
          <w:highlight w:val="none"/>
          <w:u w:val="single"/>
          <w14:textFill>
            <w14:solidFill>
              <w14:schemeClr w14:val="tx1"/>
            </w14:solidFill>
          </w14:textFill>
        </w:rPr>
        <w:t xml:space="preserve"> </w:t>
      </w:r>
    </w:p>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被投诉人2</w:t>
      </w:r>
    </w:p>
    <w:p>
      <w:pPr>
        <w:spacing w:line="360" w:lineRule="auto"/>
        <w:rPr>
          <w:rFonts w:hint="eastAsia" w:ascii="宋体" w:hAnsi="宋体" w:eastAsia="宋体" w:cs="宋体"/>
          <w:color w:val="000000" w:themeColor="text1"/>
          <w:sz w:val="24"/>
          <w:highlight w:val="none"/>
          <w:u w:val="dotted"/>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w:t>
      </w:r>
    </w:p>
    <w:p>
      <w:pPr>
        <w:spacing w:line="360" w:lineRule="auto"/>
        <w:rPr>
          <w:rFonts w:hint="eastAsia" w:ascii="宋体" w:hAnsi="宋体" w:eastAsia="宋体" w:cs="宋体"/>
          <w:color w:val="000000" w:themeColor="text1"/>
          <w:sz w:val="24"/>
          <w:highlight w:val="none"/>
          <w:u w:val="singl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相关供应商：</w:t>
      </w:r>
      <w:r>
        <w:rPr>
          <w:rFonts w:hint="eastAsia" w:ascii="宋体" w:hAnsi="宋体" w:eastAsia="宋体" w:cs="宋体"/>
          <w:color w:val="000000" w:themeColor="text1"/>
          <w:sz w:val="24"/>
          <w:highlight w:val="none"/>
          <w:u w:val="dotted"/>
          <w14:textFill>
            <w14:solidFill>
              <w14:schemeClr w14:val="tx1"/>
            </w14:solidFill>
          </w14:textFill>
        </w:rPr>
        <w:t xml:space="preserve">                                           </w:t>
      </w:r>
      <w:r>
        <w:rPr>
          <w:rFonts w:hint="eastAsia" w:ascii="宋体" w:hAnsi="宋体" w:eastAsia="宋体" w:cs="宋体"/>
          <w:color w:val="000000" w:themeColor="text1"/>
          <w:sz w:val="24"/>
          <w:highlight w:val="none"/>
          <w:u w:val="single"/>
          <w14:textFill>
            <w14:solidFill>
              <w14:schemeClr w14:val="tx1"/>
            </w14:solidFill>
          </w14:textFill>
        </w:rPr>
        <w:t xml:space="preserve">    </w:t>
      </w:r>
    </w:p>
    <w:p>
      <w:pPr>
        <w:spacing w:line="360" w:lineRule="auto"/>
        <w:rPr>
          <w:rFonts w:hint="eastAsia" w:ascii="宋体" w:hAnsi="宋体" w:eastAsia="宋体" w:cs="宋体"/>
          <w:color w:val="000000" w:themeColor="text1"/>
          <w:sz w:val="24"/>
          <w:highlight w:val="none"/>
          <w:u w:val="singl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地     址：</w:t>
      </w:r>
      <w:r>
        <w:rPr>
          <w:rFonts w:hint="eastAsia" w:ascii="宋体" w:hAnsi="宋体" w:eastAsia="宋体" w:cs="宋体"/>
          <w:color w:val="000000" w:themeColor="text1"/>
          <w:sz w:val="24"/>
          <w:highlight w:val="none"/>
          <w:u w:val="dotted"/>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邮编：</w:t>
      </w:r>
      <w:r>
        <w:rPr>
          <w:rFonts w:hint="eastAsia" w:ascii="宋体" w:hAnsi="宋体" w:eastAsia="宋体" w:cs="宋体"/>
          <w:color w:val="000000" w:themeColor="text1"/>
          <w:sz w:val="24"/>
          <w:highlight w:val="none"/>
          <w:u w:val="dotted"/>
          <w14:textFill>
            <w14:solidFill>
              <w14:schemeClr w14:val="tx1"/>
            </w14:solidFill>
          </w14:textFill>
        </w:rPr>
        <w:t xml:space="preserve">          </w:t>
      </w:r>
      <w:r>
        <w:rPr>
          <w:rFonts w:hint="eastAsia" w:ascii="宋体" w:hAnsi="宋体" w:eastAsia="宋体" w:cs="宋体"/>
          <w:color w:val="000000" w:themeColor="text1"/>
          <w:sz w:val="24"/>
          <w:highlight w:val="none"/>
          <w:u w:val="single"/>
          <w14:textFill>
            <w14:solidFill>
              <w14:schemeClr w14:val="tx1"/>
            </w14:solidFill>
          </w14:textFill>
        </w:rPr>
        <w:t xml:space="preserve"> </w:t>
      </w:r>
    </w:p>
    <w:p>
      <w:pPr>
        <w:spacing w:line="360" w:lineRule="auto"/>
        <w:rPr>
          <w:rFonts w:hint="eastAsia" w:ascii="宋体" w:hAnsi="宋体" w:eastAsia="宋体" w:cs="宋体"/>
          <w:color w:val="000000" w:themeColor="text1"/>
          <w:sz w:val="24"/>
          <w:highlight w:val="none"/>
          <w:u w:val="singl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联系人：</w:t>
      </w:r>
      <w:r>
        <w:rPr>
          <w:rFonts w:hint="eastAsia" w:ascii="宋体" w:hAnsi="宋体" w:eastAsia="宋体" w:cs="宋体"/>
          <w:color w:val="000000" w:themeColor="text1"/>
          <w:sz w:val="24"/>
          <w:highlight w:val="none"/>
          <w:u w:val="dotted"/>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联系电话：</w:t>
      </w:r>
      <w:r>
        <w:rPr>
          <w:rFonts w:hint="eastAsia" w:ascii="宋体" w:hAnsi="宋体" w:eastAsia="宋体" w:cs="宋体"/>
          <w:color w:val="000000" w:themeColor="text1"/>
          <w:sz w:val="24"/>
          <w:highlight w:val="none"/>
          <w:u w:val="dotted"/>
          <w14:textFill>
            <w14:solidFill>
              <w14:schemeClr w14:val="tx1"/>
            </w14:solidFill>
          </w14:textFill>
        </w:rPr>
        <w:t xml:space="preserve">                      </w:t>
      </w:r>
      <w:r>
        <w:rPr>
          <w:rFonts w:hint="eastAsia" w:ascii="宋体" w:hAnsi="宋体" w:eastAsia="宋体" w:cs="宋体"/>
          <w:color w:val="000000" w:themeColor="text1"/>
          <w:sz w:val="24"/>
          <w:highlight w:val="none"/>
          <w:u w:val="single"/>
          <w14:textFill>
            <w14:solidFill>
              <w14:schemeClr w14:val="tx1"/>
            </w14:solidFill>
          </w14:textFill>
        </w:rPr>
        <w:t xml:space="preserve">      </w:t>
      </w:r>
    </w:p>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二、投诉项目基本情况</w:t>
      </w:r>
    </w:p>
    <w:p>
      <w:pPr>
        <w:spacing w:line="360" w:lineRule="auto"/>
        <w:rPr>
          <w:rFonts w:hint="eastAsia" w:ascii="宋体" w:hAnsi="宋体" w:eastAsia="宋体" w:cs="宋体"/>
          <w:color w:val="000000" w:themeColor="text1"/>
          <w:sz w:val="24"/>
          <w:highlight w:val="none"/>
          <w:u w:val="dotted"/>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采购项目名称：</w:t>
      </w:r>
      <w:r>
        <w:rPr>
          <w:rFonts w:hint="eastAsia" w:ascii="宋体" w:hAnsi="宋体" w:eastAsia="宋体" w:cs="宋体"/>
          <w:color w:val="000000" w:themeColor="text1"/>
          <w:sz w:val="24"/>
          <w:highlight w:val="none"/>
          <w:u w:val="dotted"/>
          <w14:textFill>
            <w14:solidFill>
              <w14:schemeClr w14:val="tx1"/>
            </w14:solidFill>
          </w14:textFill>
        </w:rPr>
        <w:t xml:space="preserve">                                        </w:t>
      </w:r>
    </w:p>
    <w:p>
      <w:pPr>
        <w:spacing w:line="360" w:lineRule="auto"/>
        <w:rPr>
          <w:rFonts w:hint="eastAsia" w:ascii="宋体" w:hAnsi="宋体" w:eastAsia="宋体" w:cs="宋体"/>
          <w:color w:val="000000" w:themeColor="text1"/>
          <w:sz w:val="24"/>
          <w:highlight w:val="none"/>
          <w:u w:val="singl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采购项目编号：</w:t>
      </w:r>
      <w:r>
        <w:rPr>
          <w:rFonts w:hint="eastAsia" w:ascii="宋体" w:hAnsi="宋体" w:eastAsia="宋体" w:cs="宋体"/>
          <w:color w:val="000000" w:themeColor="text1"/>
          <w:sz w:val="24"/>
          <w:highlight w:val="none"/>
          <w:u w:val="dotted"/>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包号：</w:t>
      </w:r>
      <w:r>
        <w:rPr>
          <w:rFonts w:hint="eastAsia" w:ascii="宋体" w:hAnsi="宋体" w:eastAsia="宋体" w:cs="宋体"/>
          <w:color w:val="000000" w:themeColor="text1"/>
          <w:sz w:val="24"/>
          <w:highlight w:val="none"/>
          <w:u w:val="dotted"/>
          <w14:textFill>
            <w14:solidFill>
              <w14:schemeClr w14:val="tx1"/>
            </w14:solidFill>
          </w14:textFill>
        </w:rPr>
        <w:t xml:space="preserve">              </w:t>
      </w:r>
    </w:p>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采购人名称：</w:t>
      </w:r>
      <w:r>
        <w:rPr>
          <w:rFonts w:hint="eastAsia" w:ascii="宋体" w:hAnsi="宋体" w:eastAsia="宋体" w:cs="宋体"/>
          <w:color w:val="000000" w:themeColor="text1"/>
          <w:sz w:val="24"/>
          <w:highlight w:val="none"/>
          <w:u w:val="dotted"/>
          <w14:textFill>
            <w14:solidFill>
              <w14:schemeClr w14:val="tx1"/>
            </w14:solidFill>
          </w14:textFill>
        </w:rPr>
        <w:t xml:space="preserve">                                           </w:t>
      </w:r>
      <w:r>
        <w:rPr>
          <w:rFonts w:hint="eastAsia" w:ascii="宋体" w:hAnsi="宋体" w:eastAsia="宋体" w:cs="宋体"/>
          <w:color w:val="000000" w:themeColor="text1"/>
          <w:sz w:val="24"/>
          <w:highlight w:val="none"/>
          <w:u w:val="single"/>
          <w14:textFill>
            <w14:solidFill>
              <w14:schemeClr w14:val="tx1"/>
            </w14:solidFill>
          </w14:textFill>
        </w:rPr>
        <w:t xml:space="preserve">  </w:t>
      </w:r>
    </w:p>
    <w:p>
      <w:pPr>
        <w:spacing w:line="360" w:lineRule="auto"/>
        <w:rPr>
          <w:rFonts w:hint="eastAsia" w:ascii="宋体" w:hAnsi="宋体" w:eastAsia="宋体" w:cs="宋体"/>
          <w:color w:val="000000" w:themeColor="text1"/>
          <w:sz w:val="24"/>
          <w:highlight w:val="none"/>
          <w:u w:val="singl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代理机构名称：</w:t>
      </w:r>
      <w:r>
        <w:rPr>
          <w:rFonts w:hint="eastAsia" w:ascii="宋体" w:hAnsi="宋体" w:eastAsia="宋体" w:cs="宋体"/>
          <w:color w:val="000000" w:themeColor="text1"/>
          <w:sz w:val="24"/>
          <w:highlight w:val="none"/>
          <w:u w:val="dotted"/>
          <w14:textFill>
            <w14:solidFill>
              <w14:schemeClr w14:val="tx1"/>
            </w14:solidFill>
          </w14:textFill>
        </w:rPr>
        <w:t xml:space="preserve">                                         </w:t>
      </w:r>
    </w:p>
    <w:p>
      <w:pPr>
        <w:spacing w:line="360" w:lineRule="auto"/>
        <w:rPr>
          <w:rFonts w:hint="eastAsia" w:ascii="宋体" w:hAnsi="宋体" w:eastAsia="宋体" w:cs="宋体"/>
          <w:color w:val="000000" w:themeColor="text1"/>
          <w:sz w:val="24"/>
          <w:highlight w:val="none"/>
          <w:u w:val="dotted"/>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采购文件公告:</w:t>
      </w:r>
      <w:r>
        <w:rPr>
          <w:rFonts w:hint="eastAsia" w:ascii="宋体" w:hAnsi="宋体" w:eastAsia="宋体" w:cs="宋体"/>
          <w:color w:val="000000" w:themeColor="text1"/>
          <w:sz w:val="24"/>
          <w:highlight w:val="none"/>
          <w:u w:val="dotted"/>
          <w14:textFill>
            <w14:solidFill>
              <w14:schemeClr w14:val="tx1"/>
            </w14:solidFill>
          </w14:textFill>
        </w:rPr>
        <w:t xml:space="preserve">是/否 </w:t>
      </w:r>
      <w:r>
        <w:rPr>
          <w:rFonts w:hint="eastAsia" w:ascii="宋体" w:hAnsi="宋体" w:eastAsia="宋体" w:cs="宋体"/>
          <w:color w:val="000000" w:themeColor="text1"/>
          <w:sz w:val="24"/>
          <w:highlight w:val="none"/>
          <w14:textFill>
            <w14:solidFill>
              <w14:schemeClr w14:val="tx1"/>
            </w14:solidFill>
          </w14:textFill>
        </w:rPr>
        <w:t>公告期限：</w:t>
      </w:r>
      <w:r>
        <w:rPr>
          <w:rFonts w:hint="eastAsia" w:ascii="宋体" w:hAnsi="宋体" w:eastAsia="宋体" w:cs="宋体"/>
          <w:color w:val="000000" w:themeColor="text1"/>
          <w:sz w:val="24"/>
          <w:highlight w:val="none"/>
          <w:u w:val="dotted"/>
          <w14:textFill>
            <w14:solidFill>
              <w14:schemeClr w14:val="tx1"/>
            </w14:solidFill>
          </w14:textFill>
        </w:rPr>
        <w:t xml:space="preserve">                                 </w:t>
      </w:r>
    </w:p>
    <w:p>
      <w:pPr>
        <w:spacing w:line="360" w:lineRule="auto"/>
        <w:rPr>
          <w:rFonts w:hint="eastAsia" w:ascii="宋体" w:hAnsi="宋体" w:eastAsia="宋体" w:cs="宋体"/>
          <w:color w:val="000000" w:themeColor="text1"/>
          <w:sz w:val="24"/>
          <w:highlight w:val="none"/>
          <w:u w:val="singl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采购结果公告:</w:t>
      </w:r>
      <w:r>
        <w:rPr>
          <w:rFonts w:hint="eastAsia" w:ascii="宋体" w:hAnsi="宋体" w:eastAsia="宋体" w:cs="宋体"/>
          <w:color w:val="000000" w:themeColor="text1"/>
          <w:sz w:val="24"/>
          <w:highlight w:val="none"/>
          <w:u w:val="dotted"/>
          <w14:textFill>
            <w14:solidFill>
              <w14:schemeClr w14:val="tx1"/>
            </w14:solidFill>
          </w14:textFill>
        </w:rPr>
        <w:t xml:space="preserve">是/否 </w:t>
      </w:r>
      <w:r>
        <w:rPr>
          <w:rFonts w:hint="eastAsia" w:ascii="宋体" w:hAnsi="宋体" w:eastAsia="宋体" w:cs="宋体"/>
          <w:color w:val="000000" w:themeColor="text1"/>
          <w:sz w:val="24"/>
          <w:highlight w:val="none"/>
          <w14:textFill>
            <w14:solidFill>
              <w14:schemeClr w14:val="tx1"/>
            </w14:solidFill>
          </w14:textFill>
        </w:rPr>
        <w:t>公告期限：</w:t>
      </w:r>
      <w:r>
        <w:rPr>
          <w:rFonts w:hint="eastAsia" w:ascii="宋体" w:hAnsi="宋体" w:eastAsia="宋体" w:cs="宋体"/>
          <w:color w:val="000000" w:themeColor="text1"/>
          <w:sz w:val="24"/>
          <w:highlight w:val="none"/>
          <w:u w:val="dotted"/>
          <w14:textFill>
            <w14:solidFill>
              <w14:schemeClr w14:val="tx1"/>
            </w14:solidFill>
          </w14:textFill>
        </w:rPr>
        <w:t xml:space="preserve">                        </w:t>
      </w:r>
    </w:p>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三、质疑基本情况</w:t>
      </w:r>
    </w:p>
    <w:p>
      <w:pPr>
        <w:spacing w:line="360" w:lineRule="auto"/>
        <w:ind w:firstLine="480" w:firstLineChars="200"/>
        <w:rPr>
          <w:rFonts w:hint="eastAsia" w:ascii="宋体" w:hAnsi="宋体" w:eastAsia="宋体" w:cs="宋体"/>
          <w:color w:val="000000" w:themeColor="text1"/>
          <w:sz w:val="24"/>
          <w:highlight w:val="none"/>
          <w:u w:val="dotted"/>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投诉人于</w:t>
      </w:r>
      <w:r>
        <w:rPr>
          <w:rFonts w:hint="eastAsia" w:ascii="宋体" w:hAnsi="宋体" w:eastAsia="宋体" w:cs="宋体"/>
          <w:color w:val="000000" w:themeColor="text1"/>
          <w:sz w:val="24"/>
          <w:highlight w:val="none"/>
          <w:u w:val="dotted"/>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年</w:t>
      </w:r>
      <w:r>
        <w:rPr>
          <w:rFonts w:hint="eastAsia" w:ascii="宋体" w:hAnsi="宋体" w:eastAsia="宋体" w:cs="宋体"/>
          <w:color w:val="000000" w:themeColor="text1"/>
          <w:sz w:val="24"/>
          <w:highlight w:val="none"/>
          <w:u w:val="dotted"/>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月</w:t>
      </w:r>
      <w:r>
        <w:rPr>
          <w:rFonts w:hint="eastAsia" w:ascii="宋体" w:hAnsi="宋体" w:eastAsia="宋体" w:cs="宋体"/>
          <w:color w:val="000000" w:themeColor="text1"/>
          <w:sz w:val="24"/>
          <w:highlight w:val="none"/>
          <w:u w:val="dotted"/>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日,向</w:t>
      </w:r>
      <w:r>
        <w:rPr>
          <w:rFonts w:hint="eastAsia" w:ascii="宋体" w:hAnsi="宋体" w:eastAsia="宋体" w:cs="宋体"/>
          <w:color w:val="000000" w:themeColor="text1"/>
          <w:sz w:val="24"/>
          <w:highlight w:val="none"/>
          <w:u w:val="dotted"/>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提出质疑，质疑事项为：</w:t>
      </w:r>
      <w:r>
        <w:rPr>
          <w:rFonts w:hint="eastAsia" w:ascii="宋体" w:hAnsi="宋体" w:eastAsia="宋体" w:cs="宋体"/>
          <w:color w:val="000000" w:themeColor="text1"/>
          <w:sz w:val="24"/>
          <w:highlight w:val="none"/>
          <w:u w:val="dotted"/>
          <w14:textFill>
            <w14:solidFill>
              <w14:schemeClr w14:val="tx1"/>
            </w14:solidFill>
          </w14:textFill>
        </w:rPr>
        <w:t xml:space="preserve">                                </w:t>
      </w:r>
    </w:p>
    <w:p>
      <w:pPr>
        <w:spacing w:line="360" w:lineRule="auto"/>
        <w:rPr>
          <w:rFonts w:hint="eastAsia" w:ascii="宋体" w:hAnsi="宋体" w:eastAsia="宋体" w:cs="宋体"/>
          <w:color w:val="000000" w:themeColor="text1"/>
          <w:sz w:val="24"/>
          <w:highlight w:val="none"/>
          <w:u w:val="dotted"/>
          <w14:textFill>
            <w14:solidFill>
              <w14:schemeClr w14:val="tx1"/>
            </w14:solidFill>
          </w14:textFill>
        </w:rPr>
      </w:pPr>
      <w:r>
        <w:rPr>
          <w:rFonts w:hint="eastAsia" w:ascii="宋体" w:hAnsi="宋体" w:eastAsia="宋体" w:cs="宋体"/>
          <w:color w:val="000000" w:themeColor="text1"/>
          <w:sz w:val="24"/>
          <w:highlight w:val="none"/>
          <w:u w:val="dotted"/>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 xml:space="preserve">  </w:t>
      </w:r>
    </w:p>
    <w:p>
      <w:pPr>
        <w:spacing w:line="360" w:lineRule="auto"/>
        <w:ind w:firstLine="360" w:firstLineChars="15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u w:val="dotted"/>
          <w14:textFill>
            <w14:solidFill>
              <w14:schemeClr w14:val="tx1"/>
            </w14:solidFill>
          </w14:textFill>
        </w:rPr>
        <w:t>采购人/代理机构</w:t>
      </w:r>
      <w:r>
        <w:rPr>
          <w:rFonts w:hint="eastAsia" w:ascii="宋体" w:hAnsi="宋体" w:eastAsia="宋体" w:cs="宋体"/>
          <w:color w:val="000000" w:themeColor="text1"/>
          <w:sz w:val="24"/>
          <w:highlight w:val="none"/>
          <w14:textFill>
            <w14:solidFill>
              <w14:schemeClr w14:val="tx1"/>
            </w14:solidFill>
          </w14:textFill>
        </w:rPr>
        <w:t>于</w:t>
      </w:r>
      <w:r>
        <w:rPr>
          <w:rFonts w:hint="eastAsia" w:ascii="宋体" w:hAnsi="宋体" w:eastAsia="宋体" w:cs="宋体"/>
          <w:color w:val="000000" w:themeColor="text1"/>
          <w:sz w:val="24"/>
          <w:highlight w:val="none"/>
          <w:u w:val="dotted"/>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年</w:t>
      </w:r>
      <w:r>
        <w:rPr>
          <w:rFonts w:hint="eastAsia" w:ascii="宋体" w:hAnsi="宋体" w:eastAsia="宋体" w:cs="宋体"/>
          <w:color w:val="000000" w:themeColor="text1"/>
          <w:sz w:val="24"/>
          <w:highlight w:val="none"/>
          <w:u w:val="dotted"/>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月</w:t>
      </w:r>
      <w:r>
        <w:rPr>
          <w:rFonts w:hint="eastAsia" w:ascii="宋体" w:hAnsi="宋体" w:eastAsia="宋体" w:cs="宋体"/>
          <w:color w:val="000000" w:themeColor="text1"/>
          <w:sz w:val="24"/>
          <w:highlight w:val="none"/>
          <w:u w:val="dotted"/>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日,就质疑事项作出了答复/没有在法定期限内作出答复。</w:t>
      </w:r>
    </w:p>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四、投诉事项具体内容</w:t>
      </w:r>
    </w:p>
    <w:p>
      <w:pPr>
        <w:spacing w:line="360" w:lineRule="auto"/>
        <w:rPr>
          <w:rFonts w:hint="eastAsia" w:ascii="宋体" w:hAnsi="宋体" w:eastAsia="宋体" w:cs="宋体"/>
          <w:color w:val="000000" w:themeColor="text1"/>
          <w:sz w:val="24"/>
          <w:highlight w:val="none"/>
          <w:u w:val="singl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投诉事项 1：</w:t>
      </w:r>
      <w:r>
        <w:rPr>
          <w:rFonts w:hint="eastAsia" w:ascii="宋体" w:hAnsi="宋体" w:eastAsia="宋体" w:cs="宋体"/>
          <w:color w:val="000000" w:themeColor="text1"/>
          <w:sz w:val="24"/>
          <w:highlight w:val="none"/>
          <w:u w:val="dotted"/>
          <w14:textFill>
            <w14:solidFill>
              <w14:schemeClr w14:val="tx1"/>
            </w14:solidFill>
          </w14:textFill>
        </w:rPr>
        <w:t xml:space="preserve">                                       </w:t>
      </w:r>
    </w:p>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事实依据：</w:t>
      </w:r>
      <w:r>
        <w:rPr>
          <w:rFonts w:hint="eastAsia" w:ascii="宋体" w:hAnsi="宋体" w:eastAsia="宋体" w:cs="宋体"/>
          <w:color w:val="000000" w:themeColor="text1"/>
          <w:sz w:val="24"/>
          <w:highlight w:val="none"/>
          <w:u w:val="dotted"/>
          <w14:textFill>
            <w14:solidFill>
              <w14:schemeClr w14:val="tx1"/>
            </w14:solidFill>
          </w14:textFill>
        </w:rPr>
        <w:t xml:space="preserve">                                         </w:t>
      </w:r>
    </w:p>
    <w:p>
      <w:pPr>
        <w:spacing w:line="360" w:lineRule="auto"/>
        <w:rPr>
          <w:rFonts w:hint="eastAsia" w:ascii="宋体" w:hAnsi="宋体" w:eastAsia="宋体" w:cs="宋体"/>
          <w:color w:val="000000" w:themeColor="text1"/>
          <w:sz w:val="24"/>
          <w:highlight w:val="none"/>
          <w:u w:val="dotted"/>
          <w14:textFill>
            <w14:solidFill>
              <w14:schemeClr w14:val="tx1"/>
            </w14:solidFill>
          </w14:textFill>
        </w:rPr>
      </w:pPr>
      <w:r>
        <w:rPr>
          <w:rFonts w:hint="eastAsia" w:ascii="宋体" w:hAnsi="宋体" w:eastAsia="宋体" w:cs="宋体"/>
          <w:color w:val="000000" w:themeColor="text1"/>
          <w:sz w:val="24"/>
          <w:highlight w:val="none"/>
          <w:u w:val="dotted"/>
          <w14:textFill>
            <w14:solidFill>
              <w14:schemeClr w14:val="tx1"/>
            </w14:solidFill>
          </w14:textFill>
        </w:rPr>
        <w:t xml:space="preserve">                                                      </w:t>
      </w:r>
    </w:p>
    <w:p>
      <w:pPr>
        <w:spacing w:line="360" w:lineRule="auto"/>
        <w:rPr>
          <w:rFonts w:hint="eastAsia" w:ascii="宋体" w:hAnsi="宋体" w:eastAsia="宋体" w:cs="宋体"/>
          <w:color w:val="000000" w:themeColor="text1"/>
          <w:sz w:val="24"/>
          <w:highlight w:val="none"/>
          <w:u w:val="singl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法律依据：</w:t>
      </w:r>
      <w:r>
        <w:rPr>
          <w:rFonts w:hint="eastAsia" w:ascii="宋体" w:hAnsi="宋体" w:eastAsia="宋体" w:cs="宋体"/>
          <w:color w:val="000000" w:themeColor="text1"/>
          <w:sz w:val="24"/>
          <w:highlight w:val="none"/>
          <w:u w:val="dotted"/>
          <w14:textFill>
            <w14:solidFill>
              <w14:schemeClr w14:val="tx1"/>
            </w14:solidFill>
          </w14:textFill>
        </w:rPr>
        <w:t xml:space="preserve">                                          </w:t>
      </w:r>
    </w:p>
    <w:p>
      <w:pPr>
        <w:spacing w:line="360" w:lineRule="auto"/>
        <w:rPr>
          <w:rFonts w:hint="eastAsia" w:ascii="宋体" w:hAnsi="宋体" w:eastAsia="宋体" w:cs="宋体"/>
          <w:color w:val="000000" w:themeColor="text1"/>
          <w:sz w:val="24"/>
          <w:highlight w:val="none"/>
          <w:u w:val="dotted"/>
          <w14:textFill>
            <w14:solidFill>
              <w14:schemeClr w14:val="tx1"/>
            </w14:solidFill>
          </w14:textFill>
        </w:rPr>
      </w:pPr>
      <w:r>
        <w:rPr>
          <w:rFonts w:hint="eastAsia" w:ascii="宋体" w:hAnsi="宋体" w:eastAsia="宋体" w:cs="宋体"/>
          <w:color w:val="000000" w:themeColor="text1"/>
          <w:sz w:val="24"/>
          <w:highlight w:val="none"/>
          <w:u w:val="dotted"/>
          <w14:textFill>
            <w14:solidFill>
              <w14:schemeClr w14:val="tx1"/>
            </w14:solidFill>
          </w14:textFill>
        </w:rPr>
        <w:t xml:space="preserve">                                                      </w:t>
      </w:r>
    </w:p>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投诉事项2</w:t>
      </w:r>
    </w:p>
    <w:p>
      <w:pPr>
        <w:spacing w:line="360" w:lineRule="auto"/>
        <w:rPr>
          <w:rFonts w:hint="eastAsia" w:ascii="宋体" w:hAnsi="宋体" w:eastAsia="宋体" w:cs="宋体"/>
          <w:color w:val="000000" w:themeColor="text1"/>
          <w:sz w:val="24"/>
          <w:highlight w:val="none"/>
          <w:u w:val="dotted"/>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w:t>
      </w:r>
    </w:p>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五、与投诉事项相关的投诉请求</w:t>
      </w:r>
    </w:p>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请求：</w:t>
      </w:r>
      <w:r>
        <w:rPr>
          <w:rFonts w:hint="eastAsia" w:ascii="宋体" w:hAnsi="宋体" w:eastAsia="宋体" w:cs="宋体"/>
          <w:color w:val="000000" w:themeColor="text1"/>
          <w:sz w:val="24"/>
          <w:highlight w:val="none"/>
          <w:u w:val="dotted"/>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 xml:space="preserve"> </w:t>
      </w:r>
    </w:p>
    <w:p>
      <w:pPr>
        <w:spacing w:line="360" w:lineRule="auto"/>
        <w:rPr>
          <w:rFonts w:hint="eastAsia" w:ascii="宋体" w:hAnsi="宋体" w:eastAsia="宋体" w:cs="宋体"/>
          <w:color w:val="000000" w:themeColor="text1"/>
          <w:sz w:val="24"/>
          <w:highlight w:val="none"/>
          <w:u w:val="singl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 xml:space="preserve">                                                                                                    </w:t>
      </w:r>
    </w:p>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 xml:space="preserve">签字(签章)：                   公章：                      </w:t>
      </w:r>
    </w:p>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 xml:space="preserve">日期：    </w:t>
      </w:r>
    </w:p>
    <w:p>
      <w:pPr>
        <w:spacing w:line="360" w:lineRule="auto"/>
        <w:rPr>
          <w:rFonts w:hint="eastAsia" w:ascii="宋体" w:hAnsi="宋体" w:eastAsia="宋体" w:cs="宋体"/>
          <w:b/>
          <w:color w:val="000000" w:themeColor="text1"/>
          <w:sz w:val="24"/>
          <w:highlight w:val="none"/>
          <w14:textFill>
            <w14:solidFill>
              <w14:schemeClr w14:val="tx1"/>
            </w14:solidFill>
          </w14:textFill>
        </w:rPr>
      </w:pPr>
    </w:p>
    <w:p>
      <w:pPr>
        <w:spacing w:line="360" w:lineRule="auto"/>
        <w:rPr>
          <w:rFonts w:hint="eastAsia" w:ascii="宋体" w:hAnsi="宋体" w:eastAsia="宋体" w:cs="宋体"/>
          <w:b/>
          <w:color w:val="000000" w:themeColor="text1"/>
          <w:sz w:val="24"/>
          <w:highlight w:val="none"/>
          <w14:textFill>
            <w14:solidFill>
              <w14:schemeClr w14:val="tx1"/>
            </w14:solidFill>
          </w14:textFill>
        </w:rPr>
      </w:pPr>
    </w:p>
    <w:p>
      <w:pPr>
        <w:spacing w:line="360" w:lineRule="auto"/>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投诉书制作说明：</w:t>
      </w:r>
    </w:p>
    <w:p>
      <w:pPr>
        <w:widowControl/>
        <w:spacing w:line="360" w:lineRule="auto"/>
        <w:ind w:firstLine="480" w:firstLineChars="200"/>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2.投诉人若委托代理人进行投诉的，投诉书应按照要求列明“授权代表”的有关内容，并在附件中提交由</w:t>
      </w:r>
      <w:r>
        <w:rPr>
          <w:rFonts w:hint="eastAsia" w:ascii="宋体" w:hAnsi="宋体" w:eastAsia="宋体" w:cs="宋体"/>
          <w:color w:val="000000" w:themeColor="text1"/>
          <w:kern w:val="0"/>
          <w:sz w:val="24"/>
          <w:highlight w:val="none"/>
          <w14:textFill>
            <w14:solidFill>
              <w14:schemeClr w14:val="tx1"/>
            </w14:solidFill>
          </w14:textFill>
        </w:rPr>
        <w:t>投诉人签署的授权委托书。授权委托书应当载明代理人的姓名或者名称、代理事项、具体权限、期限和相关事项。</w:t>
      </w:r>
    </w:p>
    <w:p>
      <w:pPr>
        <w:widowControl/>
        <w:spacing w:line="360" w:lineRule="auto"/>
        <w:ind w:firstLine="480" w:firstLineChars="200"/>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3.投诉人若对项目的某一分包进行投诉，投诉书应列明具体分包号。</w:t>
      </w:r>
    </w:p>
    <w:p>
      <w:pPr>
        <w:widowControl/>
        <w:spacing w:line="360" w:lineRule="auto"/>
        <w:ind w:firstLine="480" w:firstLineChars="200"/>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4.投诉书应简要列明质疑事项，质疑函、质疑答复等作为附件材料提供。</w:t>
      </w:r>
    </w:p>
    <w:p>
      <w:pPr>
        <w:widowControl/>
        <w:spacing w:line="360" w:lineRule="auto"/>
        <w:ind w:firstLine="480" w:firstLineChars="200"/>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5.投诉书的投诉事项应具体、明确，并有必要的事实依据和法律依据。</w:t>
      </w:r>
    </w:p>
    <w:p>
      <w:pPr>
        <w:widowControl/>
        <w:spacing w:line="360" w:lineRule="auto"/>
        <w:ind w:firstLine="480" w:firstLineChars="200"/>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6.投诉书的投诉请求应与投诉事项相关。</w:t>
      </w:r>
    </w:p>
    <w:p>
      <w:pPr>
        <w:widowControl/>
        <w:spacing w:line="360" w:lineRule="auto"/>
        <w:ind w:firstLine="480" w:firstLineChars="200"/>
        <w:jc w:val="left"/>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7.投诉人为自然人的，投诉书应当由本人签字；投诉人为法人或者其他组织的，投诉书应当由法定代表人、主要负责人，或者其授权代表签字或者盖章，并加盖公章。</w:t>
      </w:r>
    </w:p>
    <w:p>
      <w:pPr>
        <w:spacing w:line="360" w:lineRule="auto"/>
        <w:rPr>
          <w:rFonts w:hint="eastAsia" w:ascii="宋体" w:hAnsi="宋体" w:eastAsia="宋体" w:cs="宋体"/>
          <w:b/>
          <w:color w:val="000000" w:themeColor="text1"/>
          <w:sz w:val="24"/>
          <w:highlight w:val="none"/>
          <w14:textFill>
            <w14:solidFill>
              <w14:schemeClr w14:val="tx1"/>
            </w14:solidFill>
          </w14:textFill>
        </w:rPr>
      </w:pPr>
    </w:p>
    <w:p>
      <w:pPr>
        <w:autoSpaceDE w:val="0"/>
        <w:autoSpaceDN w:val="0"/>
        <w:jc w:val="center"/>
        <w:rPr>
          <w:rFonts w:hint="eastAsia" w:ascii="宋体" w:hAnsi="宋体" w:eastAsia="宋体" w:cs="宋体"/>
          <w:b/>
          <w:color w:val="000000" w:themeColor="text1"/>
          <w:spacing w:val="6"/>
          <w:sz w:val="32"/>
          <w:szCs w:val="32"/>
          <w:highlight w:val="none"/>
          <w14:textFill>
            <w14:solidFill>
              <w14:schemeClr w14:val="tx1"/>
            </w14:solidFill>
          </w14:textFill>
        </w:rPr>
      </w:pPr>
    </w:p>
    <w:p>
      <w:pPr>
        <w:autoSpaceDE w:val="0"/>
        <w:autoSpaceDN w:val="0"/>
        <w:jc w:val="center"/>
        <w:rPr>
          <w:rFonts w:hint="eastAsia" w:ascii="宋体" w:hAnsi="宋体" w:eastAsia="宋体" w:cs="宋体"/>
          <w:b/>
          <w:color w:val="000000" w:themeColor="text1"/>
          <w:spacing w:val="6"/>
          <w:sz w:val="32"/>
          <w:szCs w:val="32"/>
          <w:highlight w:val="none"/>
          <w14:textFill>
            <w14:solidFill>
              <w14:schemeClr w14:val="tx1"/>
            </w14:solidFill>
          </w14:textFill>
        </w:rPr>
      </w:pPr>
    </w:p>
    <w:p>
      <w:pPr>
        <w:autoSpaceDE w:val="0"/>
        <w:autoSpaceDN w:val="0"/>
        <w:jc w:val="left"/>
        <w:rPr>
          <w:rFonts w:hint="eastAsia" w:ascii="宋体" w:hAnsi="宋体" w:eastAsia="宋体" w:cs="宋体"/>
          <w:b/>
          <w:color w:val="000000" w:themeColor="text1"/>
          <w:spacing w:val="6"/>
          <w:sz w:val="32"/>
          <w:szCs w:val="32"/>
          <w:highlight w:val="none"/>
          <w14:textFill>
            <w14:solidFill>
              <w14:schemeClr w14:val="tx1"/>
            </w14:solidFill>
          </w14:textFill>
        </w:rPr>
      </w:pPr>
      <w:r>
        <w:rPr>
          <w:rFonts w:hint="eastAsia" w:ascii="宋体" w:hAnsi="宋体" w:eastAsia="宋体" w:cs="宋体"/>
          <w:b/>
          <w:color w:val="000000" w:themeColor="text1"/>
          <w:spacing w:val="6"/>
          <w:sz w:val="32"/>
          <w:szCs w:val="32"/>
          <w:highlight w:val="none"/>
          <w14:textFill>
            <w14:solidFill>
              <w14:schemeClr w14:val="tx1"/>
            </w14:solidFill>
          </w14:textFill>
        </w:rPr>
        <w:t>附件4：</w:t>
      </w:r>
    </w:p>
    <w:p>
      <w:pPr>
        <w:autoSpaceDE w:val="0"/>
        <w:autoSpaceDN w:val="0"/>
        <w:jc w:val="center"/>
        <w:rPr>
          <w:rFonts w:hint="eastAsia" w:ascii="宋体" w:hAnsi="宋体" w:eastAsia="宋体" w:cs="宋体"/>
          <w:b/>
          <w:bCs/>
          <w:color w:val="000000" w:themeColor="text1"/>
          <w:sz w:val="32"/>
          <w:szCs w:val="32"/>
          <w:highlight w:val="none"/>
          <w14:textFill>
            <w14:solidFill>
              <w14:schemeClr w14:val="tx1"/>
            </w14:solidFill>
          </w14:textFill>
        </w:rPr>
      </w:pPr>
      <w:r>
        <w:rPr>
          <w:rFonts w:hint="eastAsia" w:ascii="宋体" w:hAnsi="宋体" w:eastAsia="宋体" w:cs="宋体"/>
          <w:b/>
          <w:bCs/>
          <w:color w:val="000000" w:themeColor="text1"/>
          <w:sz w:val="32"/>
          <w:szCs w:val="32"/>
          <w:highlight w:val="none"/>
          <w14:textFill>
            <w14:solidFill>
              <w14:schemeClr w14:val="tx1"/>
            </w14:solidFill>
          </w14:textFill>
        </w:rPr>
        <w:t>业务专用章使用说明函</w:t>
      </w:r>
    </w:p>
    <w:p>
      <w:pPr>
        <w:spacing w:line="360" w:lineRule="auto"/>
        <w:rPr>
          <w:rFonts w:hint="eastAsia" w:ascii="宋体" w:hAnsi="宋体" w:eastAsia="宋体" w:cs="宋体"/>
          <w:color w:val="000000" w:themeColor="text1"/>
          <w:sz w:val="24"/>
          <w:highlight w:val="none"/>
          <w:u w:val="single"/>
          <w14:textFill>
            <w14:solidFill>
              <w14:schemeClr w14:val="tx1"/>
            </w14:solidFill>
          </w14:textFill>
        </w:rPr>
      </w:pPr>
    </w:p>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u w:val="single"/>
          <w:lang w:eastAsia="zh-CN"/>
          <w14:textFill>
            <w14:solidFill>
              <w14:schemeClr w14:val="tx1"/>
            </w14:solidFill>
          </w14:textFill>
        </w:rPr>
        <w:t>杭州市拱墅区综合行政执法局</w:t>
      </w:r>
      <w:r>
        <w:rPr>
          <w:rFonts w:hint="eastAsia" w:ascii="宋体" w:hAnsi="宋体" w:eastAsia="宋体" w:cs="宋体"/>
          <w:color w:val="000000" w:themeColor="text1"/>
          <w:sz w:val="24"/>
          <w:highlight w:val="none"/>
          <w:u w:val="single"/>
          <w14:textFill>
            <w14:solidFill>
              <w14:schemeClr w14:val="tx1"/>
            </w14:solidFill>
          </w14:textFill>
        </w:rPr>
        <w:t>、</w:t>
      </w:r>
      <w:r>
        <w:rPr>
          <w:rFonts w:hint="eastAsia" w:ascii="宋体" w:hAnsi="宋体" w:eastAsia="宋体" w:cs="宋体"/>
          <w:color w:val="000000" w:themeColor="text1"/>
          <w:sz w:val="24"/>
          <w:highlight w:val="none"/>
          <w:u w:val="single"/>
          <w:lang w:eastAsia="zh-CN"/>
          <w14:textFill>
            <w14:solidFill>
              <w14:schemeClr w14:val="tx1"/>
            </w14:solidFill>
          </w14:textFill>
        </w:rPr>
        <w:t>杭州华鼎世纪项目管理咨询有限公司</w:t>
      </w:r>
      <w:r>
        <w:rPr>
          <w:rFonts w:hint="eastAsia" w:ascii="宋体" w:hAnsi="宋体" w:eastAsia="宋体" w:cs="宋体"/>
          <w:color w:val="000000" w:themeColor="text1"/>
          <w:sz w:val="24"/>
          <w:highlight w:val="none"/>
          <w:u w:val="single"/>
          <w14:textFill>
            <w14:solidFill>
              <w14:schemeClr w14:val="tx1"/>
            </w14:solidFill>
          </w14:textFill>
        </w:rPr>
        <w:t>：</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我方</w:t>
      </w:r>
      <w:r>
        <w:rPr>
          <w:rFonts w:hint="eastAsia" w:ascii="宋体" w:hAnsi="宋体" w:eastAsia="宋体" w:cs="宋体"/>
          <w:color w:val="000000" w:themeColor="text1"/>
          <w:kern w:val="0"/>
          <w:sz w:val="24"/>
          <w:highlight w:val="none"/>
          <w:u w:val="single"/>
          <w:lang w:val="zh-CN"/>
          <w14:textFill>
            <w14:solidFill>
              <w14:schemeClr w14:val="tx1"/>
            </w14:solidFill>
          </w14:textFill>
        </w:rPr>
        <w:t xml:space="preserve">     </w:t>
      </w:r>
      <w:r>
        <w:rPr>
          <w:rFonts w:hint="eastAsia" w:ascii="宋体" w:hAnsi="宋体" w:eastAsia="宋体" w:cs="宋体"/>
          <w:color w:val="000000" w:themeColor="text1"/>
          <w:sz w:val="24"/>
          <w:highlight w:val="none"/>
          <w:u w:val="single"/>
          <w14:textFill>
            <w14:solidFill>
              <w14:schemeClr w14:val="tx1"/>
            </w14:solidFill>
          </w14:textFill>
        </w:rPr>
        <w:t>(</w:t>
      </w:r>
      <w:r>
        <w:rPr>
          <w:rFonts w:hint="eastAsia" w:ascii="宋体" w:hAnsi="宋体" w:eastAsia="宋体" w:cs="宋体"/>
          <w:color w:val="000000" w:themeColor="text1"/>
          <w:sz w:val="24"/>
          <w:highlight w:val="none"/>
          <w:u w:val="single"/>
          <w:lang w:eastAsia="zh-CN"/>
          <w14:textFill>
            <w14:solidFill>
              <w14:schemeClr w14:val="tx1"/>
            </w14:solidFill>
          </w14:textFill>
        </w:rPr>
        <w:t>供应商</w:t>
      </w:r>
      <w:r>
        <w:rPr>
          <w:rFonts w:hint="eastAsia" w:ascii="宋体" w:hAnsi="宋体" w:eastAsia="宋体" w:cs="宋体"/>
          <w:color w:val="000000" w:themeColor="text1"/>
          <w:sz w:val="24"/>
          <w:highlight w:val="none"/>
          <w:u w:val="single"/>
          <w14:textFill>
            <w14:solidFill>
              <w14:schemeClr w14:val="tx1"/>
            </w14:solidFill>
          </w14:textFill>
        </w:rPr>
        <w:t>全称)</w:t>
      </w:r>
      <w:r>
        <w:rPr>
          <w:rFonts w:hint="eastAsia" w:ascii="宋体" w:hAnsi="宋体" w:eastAsia="宋体" w:cs="宋体"/>
          <w:color w:val="000000" w:themeColor="text1"/>
          <w:sz w:val="24"/>
          <w:highlight w:val="none"/>
          <w14:textFill>
            <w14:solidFill>
              <w14:schemeClr w14:val="tx1"/>
            </w14:solidFill>
          </w14:textFill>
        </w:rPr>
        <w:t>是中华人民共和国依法登记注册的合法企业，</w:t>
      </w:r>
      <w:r>
        <w:rPr>
          <w:rFonts w:hint="eastAsia" w:ascii="宋体" w:hAnsi="宋体" w:eastAsia="宋体" w:cs="宋体"/>
          <w:bCs/>
          <w:color w:val="000000" w:themeColor="text1"/>
          <w:sz w:val="24"/>
          <w:highlight w:val="none"/>
          <w14:textFill>
            <w14:solidFill>
              <w14:schemeClr w14:val="tx1"/>
            </w14:solidFill>
          </w14:textFill>
        </w:rPr>
        <w:t>在参加</w:t>
      </w:r>
      <w:r>
        <w:rPr>
          <w:rFonts w:hint="eastAsia" w:ascii="宋体" w:hAnsi="宋体" w:eastAsia="宋体" w:cs="宋体"/>
          <w:color w:val="000000" w:themeColor="text1"/>
          <w:sz w:val="24"/>
          <w:highlight w:val="none"/>
          <w14:textFill>
            <w14:solidFill>
              <w14:schemeClr w14:val="tx1"/>
            </w14:solidFill>
          </w14:textFill>
        </w:rPr>
        <w:t>你方组织的</w:t>
      </w:r>
      <w:r>
        <w:rPr>
          <w:rFonts w:hint="eastAsia" w:ascii="宋体" w:hAnsi="宋体" w:eastAsia="宋体" w:cs="宋体"/>
          <w:color w:val="000000" w:themeColor="text1"/>
          <w:sz w:val="24"/>
          <w:highlight w:val="none"/>
          <w:lang w:eastAsia="zh-CN"/>
          <w14:textFill>
            <w14:solidFill>
              <w14:schemeClr w14:val="tx1"/>
            </w14:solidFill>
          </w14:textFill>
        </w:rPr>
        <w:t>拱墅区临丁路等7条、东新路等8条市属区管道路市政环卫一体化综合养护服务项目（标项           ）</w:t>
      </w:r>
      <w:r>
        <w:rPr>
          <w:rFonts w:hint="eastAsia" w:ascii="宋体" w:hAnsi="宋体" w:eastAsia="宋体" w:cs="宋体"/>
          <w:color w:val="000000" w:themeColor="text1"/>
          <w:sz w:val="24"/>
          <w:highlight w:val="none"/>
          <w14:textFill>
            <w14:solidFill>
              <w14:schemeClr w14:val="tx1"/>
            </w14:solidFill>
          </w14:textFill>
        </w:rPr>
        <w:t>【招标编号：</w:t>
      </w:r>
      <w:r>
        <w:rPr>
          <w:rFonts w:hint="eastAsia" w:ascii="宋体" w:hAnsi="宋体" w:eastAsia="宋体" w:cs="宋体"/>
          <w:color w:val="000000" w:themeColor="text1"/>
          <w:sz w:val="24"/>
          <w:highlight w:val="none"/>
          <w:lang w:eastAsia="zh-CN"/>
          <w14:textFill>
            <w14:solidFill>
              <w14:schemeClr w14:val="tx1"/>
            </w14:solidFill>
          </w14:textFill>
        </w:rPr>
        <w:t>HDSJ-2023-006</w:t>
      </w:r>
      <w:r>
        <w:rPr>
          <w:rFonts w:hint="eastAsia" w:ascii="宋体" w:hAnsi="宋体" w:eastAsia="宋体" w:cs="宋体"/>
          <w:color w:val="000000" w:themeColor="text1"/>
          <w:sz w:val="24"/>
          <w:highlight w:val="none"/>
          <w14:textFill>
            <w14:solidFill>
              <w14:schemeClr w14:val="tx1"/>
            </w14:solidFill>
          </w14:textFill>
        </w:rPr>
        <w:t>】</w:t>
      </w:r>
      <w:r>
        <w:rPr>
          <w:rFonts w:hint="eastAsia" w:ascii="宋体" w:hAnsi="宋体" w:eastAsia="宋体" w:cs="宋体"/>
          <w:bCs/>
          <w:color w:val="000000" w:themeColor="text1"/>
          <w:sz w:val="24"/>
          <w:highlight w:val="none"/>
          <w14:textFill>
            <w14:solidFill>
              <w14:schemeClr w14:val="tx1"/>
            </w14:solidFill>
          </w14:textFill>
        </w:rPr>
        <w:t>投标活动中作如下说明：</w:t>
      </w:r>
      <w:r>
        <w:rPr>
          <w:rFonts w:hint="eastAsia" w:ascii="宋体" w:hAnsi="宋体" w:eastAsia="宋体" w:cs="宋体"/>
          <w:color w:val="000000" w:themeColor="text1"/>
          <w:sz w:val="24"/>
          <w:highlight w:val="none"/>
          <w14:textFill>
            <w14:solidFill>
              <w14:schemeClr w14:val="tx1"/>
            </w14:solidFill>
          </w14:textFill>
        </w:rPr>
        <w:t xml:space="preserve">我方所使用的“XX专用章”与法定名称章具有同等的法律效力，对使用“XX专用章”的行为予以完全承认，并愿意承担相应责任。   </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特此说明。</w:t>
      </w:r>
    </w:p>
    <w:p>
      <w:pPr>
        <w:spacing w:line="360" w:lineRule="auto"/>
        <w:ind w:firstLine="494"/>
        <w:rPr>
          <w:rFonts w:hint="eastAsia" w:ascii="宋体" w:hAnsi="宋体" w:eastAsia="宋体" w:cs="宋体"/>
          <w:color w:val="000000" w:themeColor="text1"/>
          <w:sz w:val="24"/>
          <w:highlight w:val="none"/>
          <w14:textFill>
            <w14:solidFill>
              <w14:schemeClr w14:val="tx1"/>
            </w14:solidFill>
          </w14:textFill>
        </w:rPr>
      </w:pPr>
    </w:p>
    <w:p>
      <w:pPr>
        <w:spacing w:line="360" w:lineRule="auto"/>
        <w:ind w:firstLine="494"/>
        <w:rPr>
          <w:rFonts w:hint="eastAsia" w:ascii="宋体" w:hAnsi="宋体" w:eastAsia="宋体" w:cs="宋体"/>
          <w:color w:val="000000" w:themeColor="text1"/>
          <w:sz w:val="24"/>
          <w:highlight w:val="none"/>
          <w14:textFill>
            <w14:solidFill>
              <w14:schemeClr w14:val="tx1"/>
            </w14:solidFill>
          </w14:textFill>
        </w:rPr>
      </w:pPr>
    </w:p>
    <w:p>
      <w:pPr>
        <w:spacing w:line="360" w:lineRule="auto"/>
        <w:ind w:firstLine="494"/>
        <w:rPr>
          <w:rFonts w:hint="eastAsia" w:ascii="宋体" w:hAnsi="宋体" w:eastAsia="宋体" w:cs="宋体"/>
          <w:color w:val="000000" w:themeColor="text1"/>
          <w:sz w:val="24"/>
          <w:highlight w:val="none"/>
          <w14:textFill>
            <w14:solidFill>
              <w14:schemeClr w14:val="tx1"/>
            </w14:solidFill>
          </w14:textFill>
        </w:rPr>
      </w:pPr>
    </w:p>
    <w:p>
      <w:pPr>
        <w:spacing w:line="360" w:lineRule="auto"/>
        <w:ind w:firstLine="494"/>
        <w:rPr>
          <w:rFonts w:hint="eastAsia" w:ascii="宋体" w:hAnsi="宋体" w:eastAsia="宋体" w:cs="宋体"/>
          <w:color w:val="000000" w:themeColor="text1"/>
          <w:sz w:val="24"/>
          <w:highlight w:val="none"/>
          <w14:textFill>
            <w14:solidFill>
              <w14:schemeClr w14:val="tx1"/>
            </w14:solidFill>
          </w14:textFill>
        </w:rPr>
      </w:pPr>
    </w:p>
    <w:p>
      <w:pPr>
        <w:spacing w:line="360" w:lineRule="auto"/>
        <w:ind w:right="480" w:firstLine="4080" w:firstLineChars="17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lang w:eastAsia="zh-CN"/>
          <w14:textFill>
            <w14:solidFill>
              <w14:schemeClr w14:val="tx1"/>
            </w14:solidFill>
          </w14:textFill>
        </w:rPr>
        <w:t>供应商</w:t>
      </w:r>
      <w:r>
        <w:rPr>
          <w:rFonts w:hint="eastAsia" w:ascii="宋体" w:hAnsi="宋体" w:eastAsia="宋体" w:cs="宋体"/>
          <w:color w:val="000000" w:themeColor="text1"/>
          <w:sz w:val="24"/>
          <w:highlight w:val="none"/>
          <w14:textFill>
            <w14:solidFill>
              <w14:schemeClr w14:val="tx1"/>
            </w14:solidFill>
          </w14:textFill>
        </w:rPr>
        <w:t>（法定名称章）：</w:t>
      </w:r>
    </w:p>
    <w:p>
      <w:pPr>
        <w:ind w:right="1440" w:firstLine="494"/>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 xml:space="preserve">                              日期：       年     月     日</w:t>
      </w:r>
    </w:p>
    <w:p>
      <w:pP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b/>
          <w:bCs/>
          <w:color w:val="000000" w:themeColor="text1"/>
          <w:sz w:val="24"/>
          <w:highlight w:val="none"/>
          <w14:textFill>
            <w14:solidFill>
              <w14:schemeClr w14:val="tx1"/>
            </w14:solidFill>
          </w14:textFill>
        </w:rPr>
        <w:t>附：</w:t>
      </w:r>
    </w:p>
    <w:p>
      <w:pPr>
        <w:spacing w:line="360" w:lineRule="auto"/>
        <w:rPr>
          <w:rFonts w:hint="eastAsia" w:ascii="宋体" w:hAnsi="宋体" w:eastAsia="宋体" w:cs="宋体"/>
          <w:bCs/>
          <w:color w:val="000000" w:themeColor="text1"/>
          <w:sz w:val="24"/>
          <w:highlight w:val="none"/>
          <w14:textFill>
            <w14:solidFill>
              <w14:schemeClr w14:val="tx1"/>
            </w14:solidFill>
          </w14:textFill>
        </w:rPr>
      </w:pPr>
      <w:r>
        <w:rPr>
          <w:rFonts w:hint="eastAsia" w:ascii="宋体" w:hAnsi="宋体" w:eastAsia="宋体" w:cs="宋体"/>
          <w:b/>
          <w:bCs/>
          <w:color w:val="000000" w:themeColor="text1"/>
          <w:sz w:val="24"/>
          <w:highlight w:val="none"/>
          <w14:textFill>
            <w14:solidFill>
              <w14:schemeClr w14:val="tx1"/>
            </w14:solidFill>
          </w14:textFill>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4teYCS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宋体" w:hAnsi="宋体" w:eastAsia="宋体" w:cs="宋体"/>
          <w:b/>
          <w:bCs/>
          <w:color w:val="000000" w:themeColor="text1"/>
          <w:sz w:val="24"/>
          <w:highlight w:val="none"/>
          <w14:textFill>
            <w14:solidFill>
              <w14:schemeClr w14:val="tx1"/>
            </w14:solidFill>
          </w14:textFill>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d4J9RC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宋体" w:hAnsi="宋体" w:eastAsia="宋体" w:cs="宋体"/>
          <w:color w:val="000000" w:themeColor="text1"/>
          <w:sz w:val="24"/>
          <w:highlight w:val="none"/>
          <w:lang w:eastAsia="zh-CN"/>
          <w14:textFill>
            <w14:solidFill>
              <w14:schemeClr w14:val="tx1"/>
            </w14:solidFill>
          </w14:textFill>
        </w:rPr>
        <w:t>供应商</w:t>
      </w:r>
      <w:r>
        <w:rPr>
          <w:rFonts w:hint="eastAsia" w:ascii="宋体" w:hAnsi="宋体" w:eastAsia="宋体" w:cs="宋体"/>
          <w:color w:val="000000" w:themeColor="text1"/>
          <w:sz w:val="24"/>
          <w:highlight w:val="none"/>
          <w14:textFill>
            <w14:solidFill>
              <w14:schemeClr w14:val="tx1"/>
            </w14:solidFill>
          </w14:textFill>
        </w:rPr>
        <w:t xml:space="preserve">法定名称章（印模）                </w:t>
      </w:r>
      <w:r>
        <w:rPr>
          <w:rFonts w:hint="eastAsia" w:ascii="宋体" w:hAnsi="宋体" w:eastAsia="宋体" w:cs="宋体"/>
          <w:color w:val="000000" w:themeColor="text1"/>
          <w:sz w:val="24"/>
          <w:highlight w:val="none"/>
          <w:lang w:eastAsia="zh-CN"/>
          <w14:textFill>
            <w14:solidFill>
              <w14:schemeClr w14:val="tx1"/>
            </w14:solidFill>
          </w14:textFill>
        </w:rPr>
        <w:t>供应商</w:t>
      </w:r>
      <w:r>
        <w:rPr>
          <w:rFonts w:hint="eastAsia" w:ascii="宋体" w:hAnsi="宋体" w:eastAsia="宋体" w:cs="宋体"/>
          <w:color w:val="000000" w:themeColor="text1"/>
          <w:sz w:val="24"/>
          <w:highlight w:val="none"/>
          <w14:textFill>
            <w14:solidFill>
              <w14:schemeClr w14:val="tx1"/>
            </w14:solidFill>
          </w14:textFill>
        </w:rPr>
        <w:t>“XX专用章”（印模）</w:t>
      </w:r>
    </w:p>
    <w:p>
      <w:pPr>
        <w:autoSpaceDE w:val="0"/>
        <w:autoSpaceDN w:val="0"/>
        <w:jc w:val="center"/>
        <w:rPr>
          <w:rFonts w:hint="eastAsia" w:ascii="宋体" w:hAnsi="宋体" w:eastAsia="宋体" w:cs="宋体"/>
          <w:b/>
          <w:color w:val="000000" w:themeColor="text1"/>
          <w:spacing w:val="6"/>
          <w:sz w:val="32"/>
          <w:szCs w:val="32"/>
          <w:highlight w:val="none"/>
          <w14:textFill>
            <w14:solidFill>
              <w14:schemeClr w14:val="tx1"/>
            </w14:solidFill>
          </w14:textFill>
        </w:rPr>
      </w:pPr>
    </w:p>
    <w:p>
      <w:pPr>
        <w:autoSpaceDE w:val="0"/>
        <w:autoSpaceDN w:val="0"/>
        <w:jc w:val="center"/>
        <w:rPr>
          <w:rFonts w:hint="eastAsia" w:ascii="宋体" w:hAnsi="宋体" w:eastAsia="宋体" w:cs="宋体"/>
          <w:b/>
          <w:color w:val="000000" w:themeColor="text1"/>
          <w:spacing w:val="6"/>
          <w:sz w:val="32"/>
          <w:szCs w:val="32"/>
          <w:highlight w:val="none"/>
          <w14:textFill>
            <w14:solidFill>
              <w14:schemeClr w14:val="tx1"/>
            </w14:solidFill>
          </w14:textFill>
        </w:rPr>
      </w:pPr>
    </w:p>
    <w:p>
      <w:pPr>
        <w:autoSpaceDE w:val="0"/>
        <w:autoSpaceDN w:val="0"/>
        <w:jc w:val="center"/>
        <w:rPr>
          <w:rFonts w:hint="eastAsia" w:ascii="宋体" w:hAnsi="宋体" w:eastAsia="宋体" w:cs="宋体"/>
          <w:b/>
          <w:color w:val="000000" w:themeColor="text1"/>
          <w:spacing w:val="6"/>
          <w:sz w:val="32"/>
          <w:szCs w:val="32"/>
          <w:highlight w:val="none"/>
          <w14:textFill>
            <w14:solidFill>
              <w14:schemeClr w14:val="tx1"/>
            </w14:solidFill>
          </w14:textFill>
        </w:rPr>
      </w:pPr>
    </w:p>
    <w:p>
      <w:pPr>
        <w:autoSpaceDE w:val="0"/>
        <w:autoSpaceDN w:val="0"/>
        <w:jc w:val="center"/>
        <w:rPr>
          <w:rFonts w:hint="eastAsia" w:ascii="宋体" w:hAnsi="宋体" w:eastAsia="宋体" w:cs="宋体"/>
          <w:b/>
          <w:color w:val="000000" w:themeColor="text1"/>
          <w:spacing w:val="6"/>
          <w:sz w:val="32"/>
          <w:szCs w:val="32"/>
          <w:highlight w:val="none"/>
          <w14:textFill>
            <w14:solidFill>
              <w14:schemeClr w14:val="tx1"/>
            </w14:solidFill>
          </w14:textFill>
        </w:rPr>
      </w:pPr>
    </w:p>
    <w:p>
      <w:pPr>
        <w:autoSpaceDE w:val="0"/>
        <w:autoSpaceDN w:val="0"/>
        <w:jc w:val="center"/>
        <w:rPr>
          <w:rFonts w:hint="eastAsia" w:ascii="宋体" w:hAnsi="宋体" w:eastAsia="宋体" w:cs="宋体"/>
          <w:b/>
          <w:color w:val="000000" w:themeColor="text1"/>
          <w:spacing w:val="6"/>
          <w:sz w:val="32"/>
          <w:szCs w:val="32"/>
          <w:highlight w:val="none"/>
          <w14:textFill>
            <w14:solidFill>
              <w14:schemeClr w14:val="tx1"/>
            </w14:solidFill>
          </w14:textFill>
        </w:rPr>
      </w:pPr>
    </w:p>
    <w:p>
      <w:pPr>
        <w:autoSpaceDE w:val="0"/>
        <w:autoSpaceDN w:val="0"/>
        <w:jc w:val="center"/>
        <w:rPr>
          <w:rFonts w:hint="eastAsia" w:ascii="宋体" w:hAnsi="宋体" w:eastAsia="宋体" w:cs="宋体"/>
          <w:b/>
          <w:color w:val="000000" w:themeColor="text1"/>
          <w:spacing w:val="6"/>
          <w:sz w:val="32"/>
          <w:szCs w:val="32"/>
          <w:highlight w:val="none"/>
          <w14:textFill>
            <w14:solidFill>
              <w14:schemeClr w14:val="tx1"/>
            </w14:solidFill>
          </w14:textFill>
        </w:rPr>
      </w:pPr>
    </w:p>
    <w:p>
      <w:pPr>
        <w:autoSpaceDE w:val="0"/>
        <w:autoSpaceDN w:val="0"/>
        <w:jc w:val="center"/>
        <w:rPr>
          <w:rFonts w:hint="eastAsia" w:ascii="宋体" w:hAnsi="宋体" w:eastAsia="宋体" w:cs="宋体"/>
          <w:b/>
          <w:color w:val="000000" w:themeColor="text1"/>
          <w:spacing w:val="6"/>
          <w:sz w:val="32"/>
          <w:szCs w:val="32"/>
          <w:highlight w:val="none"/>
          <w14:textFill>
            <w14:solidFill>
              <w14:schemeClr w14:val="tx1"/>
            </w14:solidFill>
          </w14:textFill>
        </w:rPr>
      </w:pPr>
    </w:p>
    <w:p>
      <w:pPr>
        <w:autoSpaceDE w:val="0"/>
        <w:autoSpaceDN w:val="0"/>
        <w:jc w:val="center"/>
        <w:rPr>
          <w:rFonts w:hint="eastAsia" w:ascii="宋体" w:hAnsi="宋体" w:eastAsia="宋体" w:cs="宋体"/>
          <w:b/>
          <w:color w:val="000000" w:themeColor="text1"/>
          <w:spacing w:val="6"/>
          <w:sz w:val="32"/>
          <w:szCs w:val="32"/>
          <w:highlight w:val="none"/>
          <w14:textFill>
            <w14:solidFill>
              <w14:schemeClr w14:val="tx1"/>
            </w14:solidFill>
          </w14:textFill>
        </w:rPr>
      </w:pPr>
    </w:p>
    <w:p>
      <w:pPr>
        <w:autoSpaceDE w:val="0"/>
        <w:autoSpaceDN w:val="0"/>
        <w:jc w:val="center"/>
        <w:rPr>
          <w:rFonts w:hint="eastAsia" w:ascii="宋体" w:hAnsi="宋体" w:eastAsia="宋体" w:cs="宋体"/>
          <w:b/>
          <w:color w:val="000000" w:themeColor="text1"/>
          <w:spacing w:val="6"/>
          <w:sz w:val="32"/>
          <w:szCs w:val="32"/>
          <w:highlight w:val="none"/>
          <w14:textFill>
            <w14:solidFill>
              <w14:schemeClr w14:val="tx1"/>
            </w14:solidFill>
          </w14:textFill>
        </w:rPr>
      </w:pPr>
    </w:p>
    <w:p>
      <w:pPr>
        <w:autoSpaceDE w:val="0"/>
        <w:autoSpaceDN w:val="0"/>
        <w:jc w:val="center"/>
        <w:rPr>
          <w:rFonts w:hint="eastAsia" w:ascii="宋体" w:hAnsi="宋体" w:eastAsia="宋体" w:cs="宋体"/>
          <w:b/>
          <w:color w:val="000000" w:themeColor="text1"/>
          <w:spacing w:val="6"/>
          <w:sz w:val="32"/>
          <w:szCs w:val="32"/>
          <w:highlight w:val="none"/>
          <w14:textFill>
            <w14:solidFill>
              <w14:schemeClr w14:val="tx1"/>
            </w14:solidFill>
          </w14:textFill>
        </w:rPr>
      </w:pPr>
    </w:p>
    <w:p>
      <w:pPr>
        <w:autoSpaceDE w:val="0"/>
        <w:autoSpaceDN w:val="0"/>
        <w:jc w:val="center"/>
        <w:rPr>
          <w:rFonts w:hint="eastAsia" w:ascii="宋体" w:hAnsi="宋体" w:eastAsia="宋体" w:cs="宋体"/>
          <w:b/>
          <w:color w:val="000000" w:themeColor="text1"/>
          <w:spacing w:val="6"/>
          <w:sz w:val="32"/>
          <w:szCs w:val="32"/>
          <w:highlight w:val="none"/>
          <w14:textFill>
            <w14:solidFill>
              <w14:schemeClr w14:val="tx1"/>
            </w14:solidFill>
          </w14:textFill>
        </w:rPr>
      </w:pPr>
    </w:p>
    <w:p>
      <w:pPr>
        <w:autoSpaceDE w:val="0"/>
        <w:autoSpaceDN w:val="0"/>
        <w:jc w:val="center"/>
        <w:rPr>
          <w:rFonts w:hint="eastAsia" w:ascii="宋体" w:hAnsi="宋体" w:eastAsia="宋体" w:cs="宋体"/>
          <w:b/>
          <w:color w:val="000000" w:themeColor="text1"/>
          <w:spacing w:val="6"/>
          <w:sz w:val="32"/>
          <w:szCs w:val="32"/>
          <w:highlight w:val="none"/>
          <w14:textFill>
            <w14:solidFill>
              <w14:schemeClr w14:val="tx1"/>
            </w14:solidFill>
          </w14:textFill>
        </w:rPr>
      </w:pPr>
    </w:p>
    <w:p>
      <w:pPr>
        <w:autoSpaceDE w:val="0"/>
        <w:autoSpaceDN w:val="0"/>
        <w:jc w:val="center"/>
        <w:rPr>
          <w:rFonts w:hint="eastAsia" w:ascii="宋体" w:hAnsi="宋体" w:eastAsia="宋体" w:cs="宋体"/>
          <w:b/>
          <w:color w:val="000000" w:themeColor="text1"/>
          <w:spacing w:val="6"/>
          <w:sz w:val="32"/>
          <w:szCs w:val="32"/>
          <w:highlight w:val="none"/>
          <w14:textFill>
            <w14:solidFill>
              <w14:schemeClr w14:val="tx1"/>
            </w14:solidFill>
          </w14:textFill>
        </w:rPr>
      </w:pPr>
    </w:p>
    <w:p>
      <w:pPr>
        <w:autoSpaceDE w:val="0"/>
        <w:autoSpaceDN w:val="0"/>
        <w:jc w:val="center"/>
        <w:rPr>
          <w:rFonts w:hint="eastAsia" w:ascii="宋体" w:hAnsi="宋体" w:eastAsia="宋体" w:cs="宋体"/>
          <w:b/>
          <w:color w:val="000000" w:themeColor="text1"/>
          <w:spacing w:val="6"/>
          <w:sz w:val="32"/>
          <w:szCs w:val="32"/>
          <w:highlight w:val="none"/>
          <w14:textFill>
            <w14:solidFill>
              <w14:schemeClr w14:val="tx1"/>
            </w14:solidFill>
          </w14:textFill>
        </w:rPr>
      </w:pPr>
    </w:p>
    <w:p>
      <w:pPr>
        <w:autoSpaceDE w:val="0"/>
        <w:autoSpaceDN w:val="0"/>
        <w:jc w:val="center"/>
        <w:rPr>
          <w:rFonts w:hint="eastAsia" w:ascii="宋体" w:hAnsi="宋体" w:eastAsia="宋体" w:cs="宋体"/>
          <w:b/>
          <w:color w:val="000000" w:themeColor="text1"/>
          <w:spacing w:val="6"/>
          <w:sz w:val="32"/>
          <w:szCs w:val="32"/>
          <w:highlight w:val="none"/>
          <w14:textFill>
            <w14:solidFill>
              <w14:schemeClr w14:val="tx1"/>
            </w14:solidFill>
          </w14:textFill>
        </w:rPr>
      </w:pPr>
    </w:p>
    <w:p>
      <w:pPr>
        <w:autoSpaceDE w:val="0"/>
        <w:autoSpaceDN w:val="0"/>
        <w:spacing w:line="360" w:lineRule="auto"/>
        <w:jc w:val="left"/>
        <w:rPr>
          <w:rFonts w:hint="eastAsia" w:ascii="宋体" w:hAnsi="宋体" w:eastAsia="宋体" w:cs="宋体"/>
          <w:b/>
          <w:color w:val="000000" w:themeColor="text1"/>
          <w:spacing w:val="6"/>
          <w:sz w:val="32"/>
          <w:szCs w:val="32"/>
          <w:highlight w:val="none"/>
          <w14:textFill>
            <w14:solidFill>
              <w14:schemeClr w14:val="tx1"/>
            </w14:solidFill>
          </w14:textFill>
        </w:rPr>
      </w:pPr>
      <w:r>
        <w:rPr>
          <w:rFonts w:hint="eastAsia" w:ascii="宋体" w:hAnsi="宋体" w:eastAsia="宋体" w:cs="宋体"/>
          <w:b/>
          <w:color w:val="000000" w:themeColor="text1"/>
          <w:spacing w:val="6"/>
          <w:sz w:val="32"/>
          <w:szCs w:val="32"/>
          <w:highlight w:val="none"/>
          <w14:textFill>
            <w14:solidFill>
              <w14:schemeClr w14:val="tx1"/>
            </w14:solidFill>
          </w14:textFill>
        </w:rPr>
        <w:t>附件5：</w:t>
      </w:r>
    </w:p>
    <w:p>
      <w:pPr>
        <w:autoSpaceDE w:val="0"/>
        <w:autoSpaceDN w:val="0"/>
        <w:spacing w:line="360" w:lineRule="auto"/>
        <w:jc w:val="center"/>
        <w:rPr>
          <w:rFonts w:hint="eastAsia" w:ascii="宋体" w:hAnsi="宋体" w:eastAsia="宋体" w:cs="宋体"/>
          <w:b/>
          <w:color w:val="000000" w:themeColor="text1"/>
          <w:kern w:val="0"/>
          <w:sz w:val="32"/>
          <w:szCs w:val="32"/>
          <w:highlight w:val="none"/>
          <w:lang w:val="zh-CN"/>
          <w14:textFill>
            <w14:solidFill>
              <w14:schemeClr w14:val="tx1"/>
            </w14:solidFill>
          </w14:textFill>
        </w:rPr>
      </w:pPr>
      <w:r>
        <w:rPr>
          <w:rFonts w:hint="eastAsia" w:ascii="宋体" w:hAnsi="宋体" w:eastAsia="宋体" w:cs="宋体"/>
          <w:b/>
          <w:color w:val="000000" w:themeColor="text1"/>
          <w:kern w:val="0"/>
          <w:sz w:val="32"/>
          <w:szCs w:val="32"/>
          <w:highlight w:val="none"/>
          <w:lang w:val="zh-CN"/>
          <w14:textFill>
            <w14:solidFill>
              <w14:schemeClr w14:val="tx1"/>
            </w14:solidFill>
          </w14:textFill>
        </w:rPr>
        <w:t>联合协议</w:t>
      </w:r>
    </w:p>
    <w:p>
      <w:pPr>
        <w:widowControl/>
        <w:spacing w:line="360" w:lineRule="auto"/>
        <w:ind w:firstLine="482" w:firstLineChars="200"/>
        <w:jc w:val="left"/>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（以联合体形式投标的，提供联合协议；本项目不接受联合体投标或者</w:t>
      </w:r>
      <w:r>
        <w:rPr>
          <w:rFonts w:hint="eastAsia" w:ascii="宋体" w:hAnsi="宋体" w:eastAsia="宋体" w:cs="宋体"/>
          <w:b/>
          <w:color w:val="000000" w:themeColor="text1"/>
          <w:sz w:val="24"/>
          <w:highlight w:val="none"/>
          <w:lang w:eastAsia="zh-CN"/>
          <w14:textFill>
            <w14:solidFill>
              <w14:schemeClr w14:val="tx1"/>
            </w14:solidFill>
          </w14:textFill>
        </w:rPr>
        <w:t>供应商</w:t>
      </w:r>
      <w:r>
        <w:rPr>
          <w:rFonts w:hint="eastAsia" w:ascii="宋体" w:hAnsi="宋体" w:eastAsia="宋体" w:cs="宋体"/>
          <w:b/>
          <w:color w:val="000000" w:themeColor="text1"/>
          <w:sz w:val="24"/>
          <w:highlight w:val="none"/>
          <w14:textFill>
            <w14:solidFill>
              <w14:schemeClr w14:val="tx1"/>
            </w14:solidFill>
          </w14:textFill>
        </w:rPr>
        <w:t>不以联合体形式投标的，则不需要提供）</w:t>
      </w:r>
    </w:p>
    <w:p>
      <w:pPr>
        <w:snapToGrid w:val="0"/>
        <w:spacing w:line="360" w:lineRule="auto"/>
        <w:ind w:firstLine="576"/>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u w:val="single"/>
          <w14:textFill>
            <w14:solidFill>
              <w14:schemeClr w14:val="tx1"/>
            </w14:solidFill>
          </w14:textFill>
        </w:rPr>
        <w:t>（联合体所有成员名称）</w:t>
      </w:r>
      <w:r>
        <w:rPr>
          <w:rFonts w:hint="eastAsia" w:ascii="宋体" w:hAnsi="宋体" w:eastAsia="宋体" w:cs="宋体"/>
          <w:color w:val="000000" w:themeColor="text1"/>
          <w:kern w:val="0"/>
          <w:sz w:val="24"/>
          <w:highlight w:val="none"/>
          <w14:textFill>
            <w14:solidFill>
              <w14:schemeClr w14:val="tx1"/>
            </w14:solidFill>
          </w14:textFill>
        </w:rPr>
        <w:t>自愿</w:t>
      </w:r>
      <w:r>
        <w:rPr>
          <w:rFonts w:hint="eastAsia" w:ascii="宋体" w:hAnsi="宋体" w:eastAsia="宋体" w:cs="宋体"/>
          <w:color w:val="000000" w:themeColor="text1"/>
          <w:kern w:val="0"/>
          <w:sz w:val="24"/>
          <w:highlight w:val="none"/>
          <w:lang w:val="zh-CN"/>
          <w14:textFill>
            <w14:solidFill>
              <w14:schemeClr w14:val="tx1"/>
            </w14:solidFill>
          </w14:textFill>
        </w:rPr>
        <w:t>组成一个联合体，以一个供应商的身份</w:t>
      </w:r>
      <w:r>
        <w:rPr>
          <w:rFonts w:hint="eastAsia" w:ascii="宋体" w:hAnsi="宋体" w:eastAsia="宋体" w:cs="宋体"/>
          <w:color w:val="000000" w:themeColor="text1"/>
          <w:kern w:val="0"/>
          <w:sz w:val="24"/>
          <w:highlight w:val="none"/>
          <w14:textFill>
            <w14:solidFill>
              <w14:schemeClr w14:val="tx1"/>
            </w14:solidFill>
          </w14:textFill>
        </w:rPr>
        <w:t>参加</w:t>
      </w:r>
      <w:r>
        <w:rPr>
          <w:rFonts w:hint="eastAsia" w:ascii="宋体" w:hAnsi="宋体" w:eastAsia="宋体" w:cs="宋体"/>
          <w:color w:val="000000" w:themeColor="text1"/>
          <w:sz w:val="24"/>
          <w:highlight w:val="none"/>
          <w:lang w:eastAsia="zh-CN"/>
          <w14:textFill>
            <w14:solidFill>
              <w14:schemeClr w14:val="tx1"/>
            </w14:solidFill>
          </w14:textFill>
        </w:rPr>
        <w:t>拱墅区临丁路等7条、东新路等8条市属区管道路市政环卫一体化综合养护服务项目（标项           ）</w:t>
      </w:r>
      <w:r>
        <w:rPr>
          <w:rFonts w:hint="eastAsia" w:ascii="宋体" w:hAnsi="宋体" w:eastAsia="宋体" w:cs="宋体"/>
          <w:color w:val="000000" w:themeColor="text1"/>
          <w:sz w:val="24"/>
          <w:highlight w:val="none"/>
          <w14:textFill>
            <w14:solidFill>
              <w14:schemeClr w14:val="tx1"/>
            </w14:solidFill>
          </w14:textFill>
        </w:rPr>
        <w:t>【招标编号：</w:t>
      </w:r>
      <w:r>
        <w:rPr>
          <w:rFonts w:hint="eastAsia" w:ascii="宋体" w:hAnsi="宋体" w:eastAsia="宋体" w:cs="宋体"/>
          <w:color w:val="000000" w:themeColor="text1"/>
          <w:sz w:val="24"/>
          <w:highlight w:val="none"/>
          <w:lang w:eastAsia="zh-CN"/>
          <w14:textFill>
            <w14:solidFill>
              <w14:schemeClr w14:val="tx1"/>
            </w14:solidFill>
          </w14:textFill>
        </w:rPr>
        <w:t>HDSJ-2023-006</w:t>
      </w:r>
      <w:r>
        <w:rPr>
          <w:rFonts w:hint="eastAsia" w:ascii="宋体" w:hAnsi="宋体" w:eastAsia="宋体" w:cs="宋体"/>
          <w:color w:val="000000" w:themeColor="text1"/>
          <w:sz w:val="24"/>
          <w:highlight w:val="none"/>
          <w14:textFill>
            <w14:solidFill>
              <w14:schemeClr w14:val="tx1"/>
            </w14:solidFill>
          </w14:textFill>
        </w:rPr>
        <w:t>】</w:t>
      </w:r>
      <w:r>
        <w:rPr>
          <w:rFonts w:hint="eastAsia" w:ascii="宋体" w:hAnsi="宋体" w:eastAsia="宋体" w:cs="宋体"/>
          <w:color w:val="000000" w:themeColor="text1"/>
          <w:kern w:val="0"/>
          <w:sz w:val="24"/>
          <w:highlight w:val="none"/>
          <w:lang w:val="zh-CN"/>
          <w14:textFill>
            <w14:solidFill>
              <w14:schemeClr w14:val="tx1"/>
            </w14:solidFill>
          </w14:textFill>
        </w:rPr>
        <w:t xml:space="preserve">投标。 </w:t>
      </w:r>
    </w:p>
    <w:p>
      <w:pPr>
        <w:snapToGrid w:val="0"/>
        <w:spacing w:line="360" w:lineRule="auto"/>
        <w:ind w:firstLine="576"/>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一、各方一致决定，</w:t>
      </w:r>
      <w:r>
        <w:rPr>
          <w:rFonts w:hint="eastAsia" w:ascii="宋体" w:hAnsi="宋体" w:eastAsia="宋体" w:cs="宋体"/>
          <w:color w:val="000000" w:themeColor="text1"/>
          <w:kern w:val="0"/>
          <w:sz w:val="24"/>
          <w:highlight w:val="none"/>
          <w:u w:val="single"/>
          <w14:textFill>
            <w14:solidFill>
              <w14:schemeClr w14:val="tx1"/>
            </w14:solidFill>
          </w14:textFill>
        </w:rPr>
        <w:t>（某联合体成员名称）</w:t>
      </w:r>
      <w:r>
        <w:rPr>
          <w:rFonts w:hint="eastAsia" w:ascii="宋体" w:hAnsi="宋体" w:eastAsia="宋体" w:cs="宋体"/>
          <w:color w:val="000000" w:themeColor="text1"/>
          <w:kern w:val="0"/>
          <w:sz w:val="24"/>
          <w:highlight w:val="none"/>
          <w14:textFill>
            <w14:solidFill>
              <w14:schemeClr w14:val="tx1"/>
            </w14:solidFill>
          </w14:textFill>
        </w:rPr>
        <w:t>为联合体</w:t>
      </w:r>
      <w:r>
        <w:rPr>
          <w:rFonts w:hint="eastAsia" w:ascii="宋体" w:hAnsi="宋体" w:eastAsia="宋体" w:cs="宋体"/>
          <w:color w:val="000000" w:themeColor="text1"/>
          <w:kern w:val="0"/>
          <w:sz w:val="24"/>
          <w:highlight w:val="none"/>
          <w:lang w:val="zh-CN"/>
          <w14:textFill>
            <w14:solidFill>
              <w14:schemeClr w14:val="tx1"/>
            </w14:solidFill>
          </w14:textFill>
        </w:rPr>
        <w:t>牵头人</w:t>
      </w:r>
      <w:r>
        <w:rPr>
          <w:rFonts w:hint="eastAsia" w:ascii="宋体" w:hAnsi="宋体" w:eastAsia="宋体" w:cs="宋体"/>
          <w:color w:val="000000" w:themeColor="text1"/>
          <w:sz w:val="24"/>
          <w:highlight w:val="none"/>
          <w14:textFill>
            <w14:solidFill>
              <w14:schemeClr w14:val="tx1"/>
            </w14:solidFill>
          </w14:textFill>
        </w:rPr>
        <w:t>，代表所有联合体成员负责投标和合同实施阶段的主办、协调工作</w:t>
      </w:r>
      <w:r>
        <w:rPr>
          <w:rFonts w:hint="eastAsia" w:ascii="宋体" w:hAnsi="宋体" w:eastAsia="宋体" w:cs="宋体"/>
          <w:color w:val="000000" w:themeColor="text1"/>
          <w:kern w:val="0"/>
          <w:sz w:val="24"/>
          <w:highlight w:val="none"/>
          <w:lang w:val="zh-CN"/>
          <w14:textFill>
            <w14:solidFill>
              <w14:schemeClr w14:val="tx1"/>
            </w14:solidFill>
          </w14:textFill>
        </w:rPr>
        <w:t>。</w:t>
      </w:r>
    </w:p>
    <w:p>
      <w:pPr>
        <w:snapToGrid w:val="0"/>
        <w:spacing w:line="360" w:lineRule="auto"/>
        <w:ind w:firstLine="576"/>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二、</w:t>
      </w:r>
      <w:r>
        <w:rPr>
          <w:rFonts w:hint="eastAsia" w:ascii="宋体" w:hAnsi="宋体" w:eastAsia="宋体" w:cs="宋体"/>
          <w:color w:val="000000" w:themeColor="text1"/>
          <w:sz w:val="24"/>
          <w:highlight w:val="none"/>
          <w14:textFill>
            <w14:solidFill>
              <w14:schemeClr w14:val="tx1"/>
            </w14:solidFill>
          </w14:textFill>
        </w:rPr>
        <w:t>所有联合体成员各方签署授权书，授权书载明的</w:t>
      </w:r>
      <w:r>
        <w:rPr>
          <w:rFonts w:hint="eastAsia" w:ascii="宋体" w:hAnsi="宋体" w:eastAsia="宋体" w:cs="宋体"/>
          <w:color w:val="000000" w:themeColor="text1"/>
          <w:kern w:val="0"/>
          <w:sz w:val="24"/>
          <w:highlight w:val="none"/>
          <w:lang w:val="zh-CN"/>
          <w14:textFill>
            <w14:solidFill>
              <w14:schemeClr w14:val="tx1"/>
            </w14:solidFill>
          </w14:textFill>
        </w:rPr>
        <w:t>授权代表根据投标文件规定及投标内容而对采购人、采购代理机构所作的任何合法承诺，包括书面澄清及相应等均对联合投标各方产生约束力。</w:t>
      </w:r>
    </w:p>
    <w:p>
      <w:pPr>
        <w:snapToGrid w:val="0"/>
        <w:spacing w:line="360" w:lineRule="auto"/>
        <w:ind w:firstLine="576"/>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三、本次联合投标中，分工如下：</w:t>
      </w:r>
    </w:p>
    <w:p>
      <w:pPr>
        <w:snapToGrid w:val="0"/>
        <w:spacing w:line="360" w:lineRule="auto"/>
        <w:ind w:firstLine="576"/>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u w:val="single"/>
          <w14:textFill>
            <w14:solidFill>
              <w14:schemeClr w14:val="tx1"/>
            </w14:solidFill>
          </w14:textFill>
        </w:rPr>
        <w:t>（联合体成员1）</w:t>
      </w:r>
      <w:r>
        <w:rPr>
          <w:rFonts w:hint="eastAsia" w:ascii="宋体" w:hAnsi="宋体" w:eastAsia="宋体" w:cs="宋体"/>
          <w:color w:val="000000" w:themeColor="text1"/>
          <w:kern w:val="0"/>
          <w:sz w:val="24"/>
          <w:highlight w:val="none"/>
          <w:lang w:val="zh-CN"/>
          <w14:textFill>
            <w14:solidFill>
              <w14:schemeClr w14:val="tx1"/>
            </w14:solidFill>
          </w14:textFill>
        </w:rPr>
        <w:t>承担的工作和义务为：</w:t>
      </w:r>
      <w:r>
        <w:rPr>
          <w:rFonts w:hint="eastAsia" w:ascii="宋体" w:hAnsi="宋体" w:eastAsia="宋体" w:cs="宋体"/>
          <w:color w:val="000000" w:themeColor="text1"/>
          <w:highlight w:val="none"/>
          <w:u w:val="single"/>
          <w14:textFill>
            <w14:solidFill>
              <w14:schemeClr w14:val="tx1"/>
            </w14:solidFill>
          </w14:textFill>
        </w:rPr>
        <w:t xml:space="preserve">             </w:t>
      </w:r>
      <w:r>
        <w:rPr>
          <w:rFonts w:hint="eastAsia" w:ascii="宋体" w:hAnsi="宋体" w:eastAsia="宋体" w:cs="宋体"/>
          <w:color w:val="000000" w:themeColor="text1"/>
          <w:kern w:val="0"/>
          <w:sz w:val="24"/>
          <w:highlight w:val="none"/>
          <w:lang w:val="zh-CN"/>
          <w14:textFill>
            <w14:solidFill>
              <w14:schemeClr w14:val="tx1"/>
            </w14:solidFill>
          </w14:textFill>
        </w:rPr>
        <w:t>；</w:t>
      </w:r>
    </w:p>
    <w:p>
      <w:pPr>
        <w:snapToGrid w:val="0"/>
        <w:spacing w:line="360" w:lineRule="auto"/>
        <w:ind w:firstLine="576"/>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u w:val="single"/>
          <w14:textFill>
            <w14:solidFill>
              <w14:schemeClr w14:val="tx1"/>
            </w14:solidFill>
          </w14:textFill>
        </w:rPr>
        <w:t>（联合体成员2）</w:t>
      </w:r>
      <w:r>
        <w:rPr>
          <w:rFonts w:hint="eastAsia" w:ascii="宋体" w:hAnsi="宋体" w:eastAsia="宋体" w:cs="宋体"/>
          <w:color w:val="000000" w:themeColor="text1"/>
          <w:kern w:val="0"/>
          <w:sz w:val="24"/>
          <w:highlight w:val="none"/>
          <w:lang w:val="zh-CN"/>
          <w14:textFill>
            <w14:solidFill>
              <w14:schemeClr w14:val="tx1"/>
            </w14:solidFill>
          </w14:textFill>
        </w:rPr>
        <w:t>承担的工作和义务为：</w:t>
      </w:r>
      <w:r>
        <w:rPr>
          <w:rFonts w:hint="eastAsia" w:ascii="宋体" w:hAnsi="宋体" w:eastAsia="宋体" w:cs="宋体"/>
          <w:color w:val="000000" w:themeColor="text1"/>
          <w:highlight w:val="none"/>
          <w:u w:val="single"/>
          <w14:textFill>
            <w14:solidFill>
              <w14:schemeClr w14:val="tx1"/>
            </w14:solidFill>
          </w14:textFill>
        </w:rPr>
        <w:t xml:space="preserve">             </w:t>
      </w:r>
      <w:r>
        <w:rPr>
          <w:rFonts w:hint="eastAsia" w:ascii="宋体" w:hAnsi="宋体" w:eastAsia="宋体" w:cs="宋体"/>
          <w:color w:val="000000" w:themeColor="text1"/>
          <w:kern w:val="0"/>
          <w:sz w:val="24"/>
          <w:highlight w:val="none"/>
          <w:lang w:val="zh-CN"/>
          <w14:textFill>
            <w14:solidFill>
              <w14:schemeClr w14:val="tx1"/>
            </w14:solidFill>
          </w14:textFill>
        </w:rPr>
        <w:t>；</w:t>
      </w:r>
    </w:p>
    <w:p>
      <w:pPr>
        <w:snapToGrid w:val="0"/>
        <w:spacing w:line="360" w:lineRule="auto"/>
        <w:ind w:firstLine="576"/>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w:t>
      </w:r>
    </w:p>
    <w:p>
      <w:pPr>
        <w:snapToGrid w:val="0"/>
        <w:spacing w:line="360" w:lineRule="auto"/>
        <w:ind w:firstLine="576"/>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四、联合体成员中小企业合同份额。</w:t>
      </w:r>
    </w:p>
    <w:p>
      <w:pPr>
        <w:snapToGrid w:val="0"/>
        <w:spacing w:line="360" w:lineRule="auto"/>
        <w:ind w:firstLine="576"/>
        <w:rPr>
          <w:rFonts w:hint="eastAsia" w:ascii="宋体" w:hAnsi="宋体" w:eastAsia="宋体" w:cs="宋体"/>
          <w:b/>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1、</w:t>
      </w:r>
      <w:r>
        <w:rPr>
          <w:rFonts w:hint="eastAsia" w:ascii="宋体" w:hAnsi="宋体" w:eastAsia="宋体" w:cs="宋体"/>
          <w:color w:val="000000" w:themeColor="text1"/>
          <w:kern w:val="0"/>
          <w:sz w:val="24"/>
          <w:highlight w:val="none"/>
          <w:u w:val="single"/>
          <w14:textFill>
            <w14:solidFill>
              <w14:schemeClr w14:val="tx1"/>
            </w14:solidFill>
          </w14:textFill>
        </w:rPr>
        <w:t>（</w:t>
      </w:r>
      <w:bookmarkStart w:id="416" w:name="_Hlk101131882"/>
      <w:r>
        <w:rPr>
          <w:rFonts w:hint="eastAsia" w:ascii="宋体" w:hAnsi="宋体" w:eastAsia="宋体" w:cs="宋体"/>
          <w:color w:val="000000" w:themeColor="text1"/>
          <w:kern w:val="0"/>
          <w:sz w:val="24"/>
          <w:highlight w:val="none"/>
          <w:u w:val="single"/>
          <w14:textFill>
            <w14:solidFill>
              <w14:schemeClr w14:val="tx1"/>
            </w14:solidFill>
          </w14:textFill>
        </w:rPr>
        <w:t>联合体成员X,……</w:t>
      </w:r>
      <w:bookmarkEnd w:id="416"/>
      <w:r>
        <w:rPr>
          <w:rFonts w:hint="eastAsia" w:ascii="宋体" w:hAnsi="宋体" w:eastAsia="宋体" w:cs="宋体"/>
          <w:color w:val="000000" w:themeColor="text1"/>
          <w:kern w:val="0"/>
          <w:sz w:val="24"/>
          <w:highlight w:val="none"/>
          <w:u w:val="single"/>
          <w14:textFill>
            <w14:solidFill>
              <w14:schemeClr w14:val="tx1"/>
            </w14:solidFill>
          </w14:textFill>
        </w:rPr>
        <w:t>）</w:t>
      </w:r>
      <w:r>
        <w:rPr>
          <w:rFonts w:hint="eastAsia" w:ascii="宋体" w:hAnsi="宋体" w:eastAsia="宋体" w:cs="宋体"/>
          <w:color w:val="000000" w:themeColor="text1"/>
          <w:kern w:val="0"/>
          <w:sz w:val="24"/>
          <w:highlight w:val="none"/>
          <w14:textFill>
            <w14:solidFill>
              <w14:schemeClr w14:val="tx1"/>
            </w14:solidFill>
          </w14:textFill>
        </w:rPr>
        <w:t>提供的服务由小微企业承接，其合同份额占到合同总金额</w:t>
      </w:r>
      <w:r>
        <w:rPr>
          <w:rFonts w:hint="eastAsia" w:ascii="宋体" w:hAnsi="宋体" w:eastAsia="宋体" w:cs="宋体"/>
          <w:color w:val="000000" w:themeColor="text1"/>
          <w:kern w:val="0"/>
          <w:sz w:val="24"/>
          <w:highlight w:val="none"/>
          <w:u w:val="single"/>
          <w14:textFill>
            <w14:solidFill>
              <w14:schemeClr w14:val="tx1"/>
            </w14:solidFill>
          </w14:textFill>
        </w:rPr>
        <w:t xml:space="preserve">     </w:t>
      </w:r>
      <w:r>
        <w:rPr>
          <w:rFonts w:hint="eastAsia" w:ascii="宋体" w:hAnsi="宋体" w:eastAsia="宋体" w:cs="宋体"/>
          <w:color w:val="000000" w:themeColor="text1"/>
          <w:kern w:val="0"/>
          <w:sz w:val="24"/>
          <w:highlight w:val="none"/>
          <w14:textFill>
            <w14:solidFill>
              <w14:schemeClr w14:val="tx1"/>
            </w14:solidFill>
          </w14:textFill>
        </w:rPr>
        <w:t>%以上</w:t>
      </w:r>
      <w:r>
        <w:rPr>
          <w:rFonts w:hint="eastAsia" w:ascii="宋体" w:hAnsi="宋体" w:eastAsia="宋体" w:cs="宋体"/>
          <w:color w:val="000000" w:themeColor="text1"/>
          <w:kern w:val="0"/>
          <w:sz w:val="24"/>
          <w:highlight w:val="none"/>
          <w:lang w:val="zh-CN"/>
          <w14:textFill>
            <w14:solidFill>
              <w14:schemeClr w14:val="tx1"/>
            </w14:solidFill>
          </w14:textFill>
        </w:rPr>
        <w:t>。</w:t>
      </w:r>
      <w:r>
        <w:rPr>
          <w:rFonts w:hint="eastAsia" w:ascii="宋体" w:hAnsi="宋体" w:eastAsia="宋体" w:cs="宋体"/>
          <w:b/>
          <w:color w:val="000000" w:themeColor="text1"/>
          <w:kern w:val="0"/>
          <w:sz w:val="24"/>
          <w:highlight w:val="none"/>
          <w:lang w:val="zh-CN"/>
          <w14:textFill>
            <w14:solidFill>
              <w14:schemeClr w14:val="tx1"/>
            </w14:solidFill>
          </w14:textFill>
        </w:rPr>
        <w:t>（</w:t>
      </w:r>
      <w:bookmarkStart w:id="417" w:name="_Hlk101133598"/>
      <w:r>
        <w:rPr>
          <w:rFonts w:hint="eastAsia" w:ascii="宋体" w:hAnsi="宋体" w:eastAsia="宋体" w:cs="宋体"/>
          <w:b/>
          <w:color w:val="000000" w:themeColor="text1"/>
          <w:kern w:val="0"/>
          <w:sz w:val="24"/>
          <w:highlight w:val="none"/>
          <w:lang w:val="zh-CN"/>
          <w14:textFill>
            <w14:solidFill>
              <w14:schemeClr w14:val="tx1"/>
            </w14:solidFill>
          </w14:textFill>
        </w:rPr>
        <w:t>未预留份额专门面向中小企业采购的的采购项目，以及预留份额中的非预留部分采购包，接受联合体投标的，联合协议约定小微企业的合同份额占到合同总金额30%以上的，对联合体报价按评标标准确定的比例给予扣除。供应商</w:t>
      </w:r>
      <w:r>
        <w:rPr>
          <w:rFonts w:hint="eastAsia" w:ascii="宋体" w:hAnsi="宋体" w:eastAsia="宋体" w:cs="宋体"/>
          <w:b/>
          <w:color w:val="000000" w:themeColor="text1"/>
          <w:sz w:val="24"/>
          <w:highlight w:val="none"/>
          <w14:textFill>
            <w14:solidFill>
              <w14:schemeClr w14:val="tx1"/>
            </w14:solidFill>
          </w14:textFill>
        </w:rPr>
        <w:t>拟享受以上价格扣除政策的，填写有关内容。</w:t>
      </w:r>
      <w:bookmarkEnd w:id="417"/>
      <w:r>
        <w:rPr>
          <w:rFonts w:hint="eastAsia" w:ascii="宋体" w:hAnsi="宋体" w:eastAsia="宋体" w:cs="宋体"/>
          <w:b/>
          <w:color w:val="000000" w:themeColor="text1"/>
          <w:kern w:val="0"/>
          <w:sz w:val="24"/>
          <w:highlight w:val="none"/>
          <w:lang w:val="zh-CN"/>
          <w14:textFill>
            <w14:solidFill>
              <w14:schemeClr w14:val="tx1"/>
            </w14:solidFill>
          </w14:textFill>
        </w:rPr>
        <w:t>）</w:t>
      </w:r>
    </w:p>
    <w:p>
      <w:pPr>
        <w:spacing w:line="360" w:lineRule="auto"/>
        <w:ind w:firstLine="480" w:firstLineChars="200"/>
        <w:rPr>
          <w:rFonts w:hint="eastAsia" w:ascii="宋体" w:hAnsi="宋体" w:eastAsia="宋体" w:cs="宋体"/>
          <w:b/>
          <w:bCs/>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w:t>
      </w:r>
      <w:bookmarkStart w:id="418" w:name="_Hlk101133173"/>
      <w:r>
        <w:rPr>
          <w:rFonts w:hint="eastAsia" w:ascii="宋体" w:hAnsi="宋体" w:eastAsia="宋体" w:cs="宋体"/>
          <w:color w:val="000000" w:themeColor="text1"/>
          <w:sz w:val="24"/>
          <w:highlight w:val="none"/>
          <w14:textFill>
            <w14:solidFill>
              <w14:schemeClr w14:val="tx1"/>
            </w14:solidFill>
          </w14:textFill>
        </w:rPr>
        <w:t>中小企业合同金额达到</w:t>
      </w:r>
      <w:r>
        <w:rPr>
          <w:rFonts w:hint="eastAsia" w:ascii="宋体" w:hAnsi="宋体" w:eastAsia="宋体" w:cs="宋体"/>
          <w:color w:val="000000" w:themeColor="text1"/>
          <w:sz w:val="24"/>
          <w:highlight w:val="none"/>
          <w:u w:val="single"/>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%，小微企业合同金额达到</w:t>
      </w:r>
      <w:r>
        <w:rPr>
          <w:rFonts w:hint="eastAsia" w:ascii="宋体" w:hAnsi="宋体" w:eastAsia="宋体" w:cs="宋体"/>
          <w:color w:val="000000" w:themeColor="text1"/>
          <w:sz w:val="24"/>
          <w:highlight w:val="none"/>
          <w:u w:val="single"/>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w:t>
      </w:r>
      <w:r>
        <w:rPr>
          <w:rFonts w:hint="eastAsia" w:ascii="宋体" w:hAnsi="宋体" w:eastAsia="宋体" w:cs="宋体"/>
          <w:color w:val="000000" w:themeColor="text1"/>
          <w:kern w:val="0"/>
          <w:sz w:val="24"/>
          <w:highlight w:val="none"/>
          <w:lang w:val="zh-CN"/>
          <w14:textFill>
            <w14:solidFill>
              <w14:schemeClr w14:val="tx1"/>
            </w14:solidFill>
          </w14:textFill>
        </w:rPr>
        <w:t>。</w:t>
      </w:r>
      <w:r>
        <w:rPr>
          <w:rFonts w:hint="eastAsia" w:ascii="宋体" w:hAnsi="宋体" w:eastAsia="宋体" w:cs="宋体"/>
          <w:b/>
          <w:bCs/>
          <w:color w:val="000000" w:themeColor="text1"/>
          <w:kern w:val="0"/>
          <w:sz w:val="24"/>
          <w:highlight w:val="none"/>
          <w:lang w:val="zh-CN"/>
          <w14:textFill>
            <w14:solidFill>
              <w14:schemeClr w14:val="tx1"/>
            </w14:solidFill>
          </w14:textFill>
        </w:rPr>
        <w:t>（</w:t>
      </w:r>
      <w:r>
        <w:rPr>
          <w:rFonts w:hint="eastAsia" w:ascii="宋体" w:hAnsi="宋体" w:eastAsia="宋体" w:cs="宋体"/>
          <w:b/>
          <w:bCs/>
          <w:color w:val="000000" w:themeColor="text1"/>
          <w:sz w:val="24"/>
          <w:highlight w:val="none"/>
          <w14:textFill>
            <w14:solidFill>
              <w14:schemeClr w14:val="tx1"/>
            </w14:solidFill>
          </w14:textFill>
        </w:rPr>
        <w:t>要求以联合体形式参加的项目或采购包，供应商按</w:t>
      </w:r>
      <w:r>
        <w:rPr>
          <w:rFonts w:hint="eastAsia" w:ascii="宋体" w:hAnsi="宋体" w:eastAsia="宋体" w:cs="宋体"/>
          <w:b/>
          <w:bCs/>
          <w:color w:val="000000" w:themeColor="text1"/>
          <w:sz w:val="24"/>
          <w:highlight w:val="none"/>
          <w:lang w:eastAsia="zh-CN"/>
          <w14:textFill>
            <w14:solidFill>
              <w14:schemeClr w14:val="tx1"/>
            </w14:solidFill>
          </w14:textFill>
        </w:rPr>
        <w:t>投标文件</w:t>
      </w:r>
      <w:r>
        <w:rPr>
          <w:rFonts w:hint="eastAsia" w:ascii="宋体" w:hAnsi="宋体" w:eastAsia="宋体" w:cs="宋体"/>
          <w:b/>
          <w:bCs/>
          <w:color w:val="000000" w:themeColor="text1"/>
          <w:sz w:val="24"/>
          <w:highlight w:val="none"/>
          <w14:textFill>
            <w14:solidFill>
              <w14:schemeClr w14:val="tx1"/>
            </w14:solidFill>
          </w14:textFill>
        </w:rPr>
        <w:t>第一部分招标公告申请人的资格要求中规定的联合协议中中小企业、小微企业合同金额应当达到的比例要求填写。</w:t>
      </w:r>
      <w:r>
        <w:rPr>
          <w:rFonts w:hint="eastAsia" w:ascii="宋体" w:hAnsi="宋体" w:eastAsia="宋体" w:cs="宋体"/>
          <w:b/>
          <w:bCs/>
          <w:color w:val="000000" w:themeColor="text1"/>
          <w:kern w:val="0"/>
          <w:sz w:val="24"/>
          <w:highlight w:val="none"/>
          <w:lang w:val="zh-CN"/>
          <w14:textFill>
            <w14:solidFill>
              <w14:schemeClr w14:val="tx1"/>
            </w14:solidFill>
          </w14:textFill>
        </w:rPr>
        <w:t>）</w:t>
      </w:r>
      <w:bookmarkEnd w:id="418"/>
    </w:p>
    <w:p>
      <w:pPr>
        <w:snapToGrid w:val="0"/>
        <w:spacing w:line="360" w:lineRule="auto"/>
        <w:ind w:firstLine="576"/>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五、如果中标，</w:t>
      </w:r>
      <w:r>
        <w:rPr>
          <w:rFonts w:hint="eastAsia" w:ascii="宋体" w:hAnsi="宋体" w:eastAsia="宋体" w:cs="宋体"/>
          <w:color w:val="000000" w:themeColor="text1"/>
          <w:sz w:val="24"/>
          <w:highlight w:val="none"/>
          <w14:textFill>
            <w14:solidFill>
              <w14:schemeClr w14:val="tx1"/>
            </w14:solidFill>
          </w14:textFill>
        </w:rPr>
        <w:t>联合体各成员方共同与采购人签订合同，并就采购合同约定的事项对采购人承担连带责任。</w:t>
      </w:r>
    </w:p>
    <w:p>
      <w:pPr>
        <w:snapToGrid w:val="0"/>
        <w:spacing w:line="360" w:lineRule="auto"/>
        <w:ind w:firstLine="576"/>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六、有关本次联合投标的其他事宜：</w:t>
      </w:r>
    </w:p>
    <w:p>
      <w:pPr>
        <w:snapToGrid w:val="0"/>
        <w:spacing w:line="360" w:lineRule="auto"/>
        <w:ind w:firstLine="576"/>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1、联合体各方不再单独参加或者与其他供应商另外组成联合体参加同一合同项下的政府采购活动。</w:t>
      </w:r>
    </w:p>
    <w:p>
      <w:pPr>
        <w:snapToGrid w:val="0"/>
        <w:spacing w:line="360" w:lineRule="auto"/>
        <w:ind w:firstLine="576"/>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2、联合体中有同类资质的各方按照联合体分工承担相同工作的，按照资质等级较低的供应商确定资质等级。</w:t>
      </w:r>
    </w:p>
    <w:p>
      <w:pPr>
        <w:snapToGrid w:val="0"/>
        <w:spacing w:line="360" w:lineRule="auto"/>
        <w:ind w:firstLine="576"/>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3、本协议提交采购人、采购代理机构后，联合体各方不得以任何形式对上述内容进行修改或撤销。</w:t>
      </w:r>
    </w:p>
    <w:p>
      <w:pPr>
        <w:snapToGrid w:val="0"/>
        <w:spacing w:line="360" w:lineRule="auto"/>
        <w:ind w:firstLine="5040" w:firstLineChars="2100"/>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联合体成员名称(电子签名/公章)：</w:t>
      </w:r>
    </w:p>
    <w:p>
      <w:pPr>
        <w:snapToGrid w:val="0"/>
        <w:spacing w:line="360" w:lineRule="auto"/>
        <w:ind w:firstLine="5040" w:firstLineChars="2100"/>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联合体成员名称(电子签名/公章)：</w:t>
      </w:r>
    </w:p>
    <w:p>
      <w:pPr>
        <w:snapToGrid w:val="0"/>
        <w:spacing w:line="360" w:lineRule="auto"/>
        <w:ind w:right="960"/>
        <w:jc w:val="center"/>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 xml:space="preserve">                   ……</w:t>
      </w:r>
    </w:p>
    <w:p>
      <w:pPr>
        <w:snapToGrid w:val="0"/>
        <w:spacing w:line="360" w:lineRule="auto"/>
        <w:jc w:val="right"/>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日期：  年  月   日</w:t>
      </w:r>
    </w:p>
    <w:p>
      <w:pPr>
        <w:spacing w:line="360" w:lineRule="auto"/>
        <w:ind w:right="42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注：按本格式和要求提供。</w:t>
      </w:r>
    </w:p>
    <w:p>
      <w:pPr>
        <w:autoSpaceDE w:val="0"/>
        <w:autoSpaceDN w:val="0"/>
        <w:jc w:val="center"/>
        <w:rPr>
          <w:rFonts w:hint="eastAsia" w:ascii="宋体" w:hAnsi="宋体" w:eastAsia="宋体" w:cs="宋体"/>
          <w:b/>
          <w:color w:val="000000" w:themeColor="text1"/>
          <w:spacing w:val="6"/>
          <w:sz w:val="32"/>
          <w:szCs w:val="32"/>
          <w:highlight w:val="none"/>
          <w14:textFill>
            <w14:solidFill>
              <w14:schemeClr w14:val="tx1"/>
            </w14:solidFill>
          </w14:textFill>
        </w:rPr>
      </w:pPr>
    </w:p>
    <w:p>
      <w:pPr>
        <w:autoSpaceDE w:val="0"/>
        <w:autoSpaceDN w:val="0"/>
        <w:jc w:val="center"/>
        <w:rPr>
          <w:rFonts w:hint="eastAsia" w:ascii="宋体" w:hAnsi="宋体" w:eastAsia="宋体" w:cs="宋体"/>
          <w:b/>
          <w:color w:val="000000" w:themeColor="text1"/>
          <w:spacing w:val="6"/>
          <w:sz w:val="32"/>
          <w:szCs w:val="32"/>
          <w:highlight w:val="none"/>
          <w14:textFill>
            <w14:solidFill>
              <w14:schemeClr w14:val="tx1"/>
            </w14:solidFill>
          </w14:textFill>
        </w:rPr>
      </w:pPr>
    </w:p>
    <w:p>
      <w:pPr>
        <w:autoSpaceDE w:val="0"/>
        <w:autoSpaceDN w:val="0"/>
        <w:jc w:val="center"/>
        <w:rPr>
          <w:rFonts w:hint="eastAsia" w:ascii="宋体" w:hAnsi="宋体" w:eastAsia="宋体" w:cs="宋体"/>
          <w:b/>
          <w:color w:val="000000" w:themeColor="text1"/>
          <w:spacing w:val="6"/>
          <w:sz w:val="32"/>
          <w:szCs w:val="32"/>
          <w:highlight w:val="none"/>
          <w14:textFill>
            <w14:solidFill>
              <w14:schemeClr w14:val="tx1"/>
            </w14:solidFill>
          </w14:textFill>
        </w:rPr>
      </w:pPr>
    </w:p>
    <w:p>
      <w:pPr>
        <w:autoSpaceDE w:val="0"/>
        <w:autoSpaceDN w:val="0"/>
        <w:jc w:val="center"/>
        <w:rPr>
          <w:rFonts w:hint="eastAsia" w:ascii="宋体" w:hAnsi="宋体" w:eastAsia="宋体" w:cs="宋体"/>
          <w:b/>
          <w:color w:val="000000" w:themeColor="text1"/>
          <w:spacing w:val="6"/>
          <w:sz w:val="32"/>
          <w:szCs w:val="32"/>
          <w:highlight w:val="none"/>
          <w14:textFill>
            <w14:solidFill>
              <w14:schemeClr w14:val="tx1"/>
            </w14:solidFill>
          </w14:textFill>
        </w:rPr>
      </w:pPr>
    </w:p>
    <w:p>
      <w:pPr>
        <w:autoSpaceDE w:val="0"/>
        <w:autoSpaceDN w:val="0"/>
        <w:jc w:val="center"/>
        <w:rPr>
          <w:rFonts w:hint="eastAsia" w:ascii="宋体" w:hAnsi="宋体" w:eastAsia="宋体" w:cs="宋体"/>
          <w:b/>
          <w:color w:val="000000" w:themeColor="text1"/>
          <w:spacing w:val="6"/>
          <w:sz w:val="32"/>
          <w:szCs w:val="32"/>
          <w:highlight w:val="none"/>
          <w14:textFill>
            <w14:solidFill>
              <w14:schemeClr w14:val="tx1"/>
            </w14:solidFill>
          </w14:textFill>
        </w:rPr>
      </w:pPr>
    </w:p>
    <w:p>
      <w:pPr>
        <w:autoSpaceDE w:val="0"/>
        <w:autoSpaceDN w:val="0"/>
        <w:jc w:val="center"/>
        <w:rPr>
          <w:rFonts w:hint="eastAsia" w:ascii="宋体" w:hAnsi="宋体" w:eastAsia="宋体" w:cs="宋体"/>
          <w:b/>
          <w:color w:val="000000" w:themeColor="text1"/>
          <w:spacing w:val="6"/>
          <w:sz w:val="32"/>
          <w:szCs w:val="32"/>
          <w:highlight w:val="none"/>
          <w14:textFill>
            <w14:solidFill>
              <w14:schemeClr w14:val="tx1"/>
            </w14:solidFill>
          </w14:textFill>
        </w:rPr>
      </w:pPr>
    </w:p>
    <w:p>
      <w:pPr>
        <w:autoSpaceDE w:val="0"/>
        <w:autoSpaceDN w:val="0"/>
        <w:jc w:val="center"/>
        <w:rPr>
          <w:rFonts w:hint="eastAsia" w:ascii="宋体" w:hAnsi="宋体" w:eastAsia="宋体" w:cs="宋体"/>
          <w:b/>
          <w:color w:val="000000" w:themeColor="text1"/>
          <w:spacing w:val="6"/>
          <w:sz w:val="32"/>
          <w:szCs w:val="32"/>
          <w:highlight w:val="none"/>
          <w14:textFill>
            <w14:solidFill>
              <w14:schemeClr w14:val="tx1"/>
            </w14:solidFill>
          </w14:textFill>
        </w:rPr>
      </w:pPr>
    </w:p>
    <w:p>
      <w:pPr>
        <w:autoSpaceDE w:val="0"/>
        <w:autoSpaceDN w:val="0"/>
        <w:jc w:val="center"/>
        <w:rPr>
          <w:rFonts w:hint="eastAsia" w:ascii="宋体" w:hAnsi="宋体" w:eastAsia="宋体" w:cs="宋体"/>
          <w:b/>
          <w:color w:val="000000" w:themeColor="text1"/>
          <w:spacing w:val="6"/>
          <w:sz w:val="32"/>
          <w:szCs w:val="32"/>
          <w:highlight w:val="none"/>
          <w14:textFill>
            <w14:solidFill>
              <w14:schemeClr w14:val="tx1"/>
            </w14:solidFill>
          </w14:textFill>
        </w:rPr>
      </w:pPr>
    </w:p>
    <w:p>
      <w:pPr>
        <w:autoSpaceDE w:val="0"/>
        <w:autoSpaceDN w:val="0"/>
        <w:jc w:val="center"/>
        <w:rPr>
          <w:rFonts w:hint="eastAsia" w:ascii="宋体" w:hAnsi="宋体" w:eastAsia="宋体" w:cs="宋体"/>
          <w:b/>
          <w:color w:val="000000" w:themeColor="text1"/>
          <w:spacing w:val="6"/>
          <w:sz w:val="32"/>
          <w:szCs w:val="32"/>
          <w:highlight w:val="none"/>
          <w14:textFill>
            <w14:solidFill>
              <w14:schemeClr w14:val="tx1"/>
            </w14:solidFill>
          </w14:textFill>
        </w:rPr>
      </w:pPr>
    </w:p>
    <w:p>
      <w:pPr>
        <w:autoSpaceDE w:val="0"/>
        <w:autoSpaceDN w:val="0"/>
        <w:jc w:val="center"/>
        <w:rPr>
          <w:rFonts w:hint="eastAsia" w:ascii="宋体" w:hAnsi="宋体" w:eastAsia="宋体" w:cs="宋体"/>
          <w:b/>
          <w:color w:val="000000" w:themeColor="text1"/>
          <w:spacing w:val="6"/>
          <w:sz w:val="32"/>
          <w:szCs w:val="32"/>
          <w:highlight w:val="none"/>
          <w14:textFill>
            <w14:solidFill>
              <w14:schemeClr w14:val="tx1"/>
            </w14:solidFill>
          </w14:textFill>
        </w:rPr>
      </w:pPr>
    </w:p>
    <w:p>
      <w:pPr>
        <w:autoSpaceDE w:val="0"/>
        <w:autoSpaceDN w:val="0"/>
        <w:jc w:val="center"/>
        <w:rPr>
          <w:rFonts w:hint="eastAsia" w:ascii="宋体" w:hAnsi="宋体" w:eastAsia="宋体" w:cs="宋体"/>
          <w:b/>
          <w:color w:val="000000" w:themeColor="text1"/>
          <w:spacing w:val="6"/>
          <w:sz w:val="32"/>
          <w:szCs w:val="32"/>
          <w:highlight w:val="none"/>
          <w14:textFill>
            <w14:solidFill>
              <w14:schemeClr w14:val="tx1"/>
            </w14:solidFill>
          </w14:textFill>
        </w:rPr>
      </w:pPr>
    </w:p>
    <w:p>
      <w:pPr>
        <w:autoSpaceDE w:val="0"/>
        <w:autoSpaceDN w:val="0"/>
        <w:jc w:val="center"/>
        <w:rPr>
          <w:rFonts w:hint="eastAsia" w:ascii="宋体" w:hAnsi="宋体" w:eastAsia="宋体" w:cs="宋体"/>
          <w:b/>
          <w:color w:val="000000" w:themeColor="text1"/>
          <w:spacing w:val="6"/>
          <w:sz w:val="32"/>
          <w:szCs w:val="32"/>
          <w:highlight w:val="none"/>
          <w14:textFill>
            <w14:solidFill>
              <w14:schemeClr w14:val="tx1"/>
            </w14:solidFill>
          </w14:textFill>
        </w:rPr>
      </w:pPr>
    </w:p>
    <w:p>
      <w:pPr>
        <w:autoSpaceDE w:val="0"/>
        <w:autoSpaceDN w:val="0"/>
        <w:jc w:val="center"/>
        <w:rPr>
          <w:rFonts w:hint="eastAsia" w:ascii="宋体" w:hAnsi="宋体" w:eastAsia="宋体" w:cs="宋体"/>
          <w:b/>
          <w:color w:val="000000" w:themeColor="text1"/>
          <w:spacing w:val="6"/>
          <w:sz w:val="32"/>
          <w:szCs w:val="32"/>
          <w:highlight w:val="none"/>
          <w14:textFill>
            <w14:solidFill>
              <w14:schemeClr w14:val="tx1"/>
            </w14:solidFill>
          </w14:textFill>
        </w:rPr>
      </w:pPr>
    </w:p>
    <w:p>
      <w:pPr>
        <w:autoSpaceDE w:val="0"/>
        <w:autoSpaceDN w:val="0"/>
        <w:jc w:val="center"/>
        <w:rPr>
          <w:rFonts w:hint="eastAsia" w:ascii="宋体" w:hAnsi="宋体" w:eastAsia="宋体" w:cs="宋体"/>
          <w:b/>
          <w:color w:val="000000" w:themeColor="text1"/>
          <w:spacing w:val="6"/>
          <w:sz w:val="32"/>
          <w:szCs w:val="32"/>
          <w:highlight w:val="none"/>
          <w14:textFill>
            <w14:solidFill>
              <w14:schemeClr w14:val="tx1"/>
            </w14:solidFill>
          </w14:textFill>
        </w:rPr>
      </w:pPr>
    </w:p>
    <w:p>
      <w:pPr>
        <w:autoSpaceDE w:val="0"/>
        <w:autoSpaceDN w:val="0"/>
        <w:jc w:val="center"/>
        <w:rPr>
          <w:rFonts w:hint="eastAsia" w:ascii="宋体" w:hAnsi="宋体" w:eastAsia="宋体" w:cs="宋体"/>
          <w:b/>
          <w:color w:val="000000" w:themeColor="text1"/>
          <w:spacing w:val="6"/>
          <w:sz w:val="32"/>
          <w:szCs w:val="32"/>
          <w:highlight w:val="none"/>
          <w14:textFill>
            <w14:solidFill>
              <w14:schemeClr w14:val="tx1"/>
            </w14:solidFill>
          </w14:textFill>
        </w:rPr>
      </w:pPr>
    </w:p>
    <w:p>
      <w:pPr>
        <w:autoSpaceDE w:val="0"/>
        <w:autoSpaceDN w:val="0"/>
        <w:jc w:val="center"/>
        <w:rPr>
          <w:rFonts w:hint="eastAsia" w:ascii="宋体" w:hAnsi="宋体" w:eastAsia="宋体" w:cs="宋体"/>
          <w:b/>
          <w:color w:val="000000" w:themeColor="text1"/>
          <w:spacing w:val="6"/>
          <w:sz w:val="32"/>
          <w:szCs w:val="32"/>
          <w:highlight w:val="none"/>
          <w14:textFill>
            <w14:solidFill>
              <w14:schemeClr w14:val="tx1"/>
            </w14:solidFill>
          </w14:textFill>
        </w:rPr>
      </w:pPr>
    </w:p>
    <w:p>
      <w:pPr>
        <w:autoSpaceDE w:val="0"/>
        <w:autoSpaceDN w:val="0"/>
        <w:jc w:val="center"/>
        <w:rPr>
          <w:rFonts w:hint="eastAsia" w:ascii="宋体" w:hAnsi="宋体" w:eastAsia="宋体" w:cs="宋体"/>
          <w:b/>
          <w:color w:val="000000" w:themeColor="text1"/>
          <w:spacing w:val="6"/>
          <w:sz w:val="32"/>
          <w:szCs w:val="32"/>
          <w:highlight w:val="none"/>
          <w14:textFill>
            <w14:solidFill>
              <w14:schemeClr w14:val="tx1"/>
            </w14:solidFill>
          </w14:textFill>
        </w:rPr>
      </w:pPr>
    </w:p>
    <w:p>
      <w:pPr>
        <w:autoSpaceDE w:val="0"/>
        <w:autoSpaceDN w:val="0"/>
        <w:jc w:val="center"/>
        <w:rPr>
          <w:rFonts w:hint="eastAsia" w:ascii="宋体" w:hAnsi="宋体" w:eastAsia="宋体" w:cs="宋体"/>
          <w:b/>
          <w:color w:val="000000" w:themeColor="text1"/>
          <w:spacing w:val="6"/>
          <w:sz w:val="32"/>
          <w:szCs w:val="32"/>
          <w:highlight w:val="none"/>
          <w14:textFill>
            <w14:solidFill>
              <w14:schemeClr w14:val="tx1"/>
            </w14:solidFill>
          </w14:textFill>
        </w:rPr>
      </w:pPr>
    </w:p>
    <w:p>
      <w:pPr>
        <w:autoSpaceDE w:val="0"/>
        <w:autoSpaceDN w:val="0"/>
        <w:jc w:val="center"/>
        <w:rPr>
          <w:rFonts w:hint="eastAsia" w:ascii="宋体" w:hAnsi="宋体" w:eastAsia="宋体" w:cs="宋体"/>
          <w:b/>
          <w:color w:val="000000" w:themeColor="text1"/>
          <w:spacing w:val="6"/>
          <w:sz w:val="32"/>
          <w:szCs w:val="32"/>
          <w:highlight w:val="none"/>
          <w14:textFill>
            <w14:solidFill>
              <w14:schemeClr w14:val="tx1"/>
            </w14:solidFill>
          </w14:textFill>
        </w:rPr>
      </w:pPr>
    </w:p>
    <w:p>
      <w:pPr>
        <w:autoSpaceDE w:val="0"/>
        <w:autoSpaceDN w:val="0"/>
        <w:jc w:val="center"/>
        <w:rPr>
          <w:rFonts w:hint="eastAsia" w:ascii="宋体" w:hAnsi="宋体" w:eastAsia="宋体" w:cs="宋体"/>
          <w:b/>
          <w:color w:val="000000" w:themeColor="text1"/>
          <w:spacing w:val="6"/>
          <w:sz w:val="32"/>
          <w:szCs w:val="32"/>
          <w:highlight w:val="none"/>
          <w14:textFill>
            <w14:solidFill>
              <w14:schemeClr w14:val="tx1"/>
            </w14:solidFill>
          </w14:textFill>
        </w:rPr>
      </w:pPr>
    </w:p>
    <w:p>
      <w:pPr>
        <w:autoSpaceDE w:val="0"/>
        <w:autoSpaceDN w:val="0"/>
        <w:jc w:val="center"/>
        <w:rPr>
          <w:rFonts w:hint="eastAsia" w:ascii="宋体" w:hAnsi="宋体" w:eastAsia="宋体" w:cs="宋体"/>
          <w:b/>
          <w:color w:val="000000" w:themeColor="text1"/>
          <w:spacing w:val="6"/>
          <w:sz w:val="32"/>
          <w:szCs w:val="32"/>
          <w:highlight w:val="none"/>
          <w14:textFill>
            <w14:solidFill>
              <w14:schemeClr w14:val="tx1"/>
            </w14:solidFill>
          </w14:textFill>
        </w:rPr>
      </w:pPr>
    </w:p>
    <w:p>
      <w:pPr>
        <w:autoSpaceDE w:val="0"/>
        <w:autoSpaceDN w:val="0"/>
        <w:jc w:val="center"/>
        <w:rPr>
          <w:rFonts w:hint="eastAsia" w:ascii="宋体" w:hAnsi="宋体" w:eastAsia="宋体" w:cs="宋体"/>
          <w:b/>
          <w:color w:val="000000" w:themeColor="text1"/>
          <w:spacing w:val="6"/>
          <w:sz w:val="32"/>
          <w:szCs w:val="32"/>
          <w:highlight w:val="none"/>
          <w14:textFill>
            <w14:solidFill>
              <w14:schemeClr w14:val="tx1"/>
            </w14:solidFill>
          </w14:textFill>
        </w:rPr>
      </w:pPr>
    </w:p>
    <w:p>
      <w:pPr>
        <w:autoSpaceDE w:val="0"/>
        <w:autoSpaceDN w:val="0"/>
        <w:jc w:val="center"/>
        <w:rPr>
          <w:rFonts w:hint="eastAsia" w:ascii="宋体" w:hAnsi="宋体" w:eastAsia="宋体" w:cs="宋体"/>
          <w:b/>
          <w:color w:val="000000" w:themeColor="text1"/>
          <w:spacing w:val="6"/>
          <w:sz w:val="32"/>
          <w:szCs w:val="32"/>
          <w:highlight w:val="none"/>
          <w14:textFill>
            <w14:solidFill>
              <w14:schemeClr w14:val="tx1"/>
            </w14:solidFill>
          </w14:textFill>
        </w:rPr>
      </w:pPr>
    </w:p>
    <w:p>
      <w:pPr>
        <w:snapToGrid w:val="0"/>
        <w:spacing w:line="360" w:lineRule="auto"/>
        <w:ind w:firstLine="3666" w:firstLineChars="1100"/>
        <w:rPr>
          <w:rFonts w:hint="eastAsia" w:ascii="宋体" w:hAnsi="宋体" w:eastAsia="宋体" w:cs="宋体"/>
          <w:b/>
          <w:color w:val="000000" w:themeColor="text1"/>
          <w:spacing w:val="6"/>
          <w:sz w:val="32"/>
          <w:szCs w:val="32"/>
          <w:highlight w:val="none"/>
          <w14:textFill>
            <w14:solidFill>
              <w14:schemeClr w14:val="tx1"/>
            </w14:solidFill>
          </w14:textFill>
        </w:rPr>
      </w:pPr>
    </w:p>
    <w:p>
      <w:pPr>
        <w:widowControl/>
        <w:adjustRightInd/>
        <w:jc w:val="left"/>
        <w:rPr>
          <w:rFonts w:hint="eastAsia" w:ascii="宋体" w:hAnsi="宋体" w:eastAsia="宋体" w:cs="宋体"/>
          <w:b/>
          <w:color w:val="000000" w:themeColor="text1"/>
          <w:spacing w:val="6"/>
          <w:sz w:val="32"/>
          <w:szCs w:val="32"/>
          <w:highlight w:val="none"/>
          <w14:textFill>
            <w14:solidFill>
              <w14:schemeClr w14:val="tx1"/>
            </w14:solidFill>
          </w14:textFill>
        </w:rPr>
      </w:pPr>
      <w:r>
        <w:rPr>
          <w:rFonts w:hint="eastAsia" w:ascii="宋体" w:hAnsi="宋体" w:eastAsia="宋体" w:cs="宋体"/>
          <w:b/>
          <w:color w:val="000000" w:themeColor="text1"/>
          <w:spacing w:val="6"/>
          <w:sz w:val="32"/>
          <w:szCs w:val="32"/>
          <w:highlight w:val="none"/>
          <w14:textFill>
            <w14:solidFill>
              <w14:schemeClr w14:val="tx1"/>
            </w14:solidFill>
          </w14:textFill>
        </w:rPr>
        <w:t>附件6：</w:t>
      </w:r>
    </w:p>
    <w:p>
      <w:pPr>
        <w:widowControl/>
        <w:adjustRightInd/>
        <w:spacing w:line="360" w:lineRule="auto"/>
        <w:jc w:val="center"/>
        <w:rPr>
          <w:rFonts w:hint="eastAsia" w:ascii="宋体" w:hAnsi="宋体" w:eastAsia="宋体" w:cs="宋体"/>
          <w:b/>
          <w:color w:val="000000" w:themeColor="text1"/>
          <w:kern w:val="0"/>
          <w:sz w:val="32"/>
          <w:szCs w:val="32"/>
          <w:highlight w:val="none"/>
          <w14:textFill>
            <w14:solidFill>
              <w14:schemeClr w14:val="tx1"/>
            </w14:solidFill>
          </w14:textFill>
        </w:rPr>
      </w:pPr>
      <w:r>
        <w:rPr>
          <w:rFonts w:hint="eastAsia" w:ascii="宋体" w:hAnsi="宋体" w:eastAsia="宋体" w:cs="宋体"/>
          <w:b/>
          <w:color w:val="000000" w:themeColor="text1"/>
          <w:kern w:val="0"/>
          <w:sz w:val="32"/>
          <w:szCs w:val="32"/>
          <w:highlight w:val="none"/>
          <w14:textFill>
            <w14:solidFill>
              <w14:schemeClr w14:val="tx1"/>
            </w14:solidFill>
          </w14:textFill>
        </w:rPr>
        <w:t>分包意向协议</w:t>
      </w:r>
    </w:p>
    <w:p>
      <w:pPr>
        <w:widowControl/>
        <w:spacing w:line="360" w:lineRule="auto"/>
        <w:ind w:firstLine="120" w:firstLineChars="50"/>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w:t>
      </w:r>
      <w:r>
        <w:rPr>
          <w:rFonts w:hint="eastAsia" w:ascii="宋体" w:hAnsi="宋体" w:eastAsia="宋体" w:cs="宋体"/>
          <w:b/>
          <w:color w:val="000000" w:themeColor="text1"/>
          <w:sz w:val="24"/>
          <w:highlight w:val="none"/>
          <w14:textFill>
            <w14:solidFill>
              <w14:schemeClr w14:val="tx1"/>
            </w14:solidFill>
          </w14:textFill>
        </w:rPr>
        <w:t>中标后以分包方式履行合同的，提供分包意向协议；采购人不同意分包或者</w:t>
      </w:r>
      <w:r>
        <w:rPr>
          <w:rFonts w:hint="eastAsia" w:ascii="宋体" w:hAnsi="宋体" w:eastAsia="宋体" w:cs="宋体"/>
          <w:b/>
          <w:color w:val="000000" w:themeColor="text1"/>
          <w:sz w:val="24"/>
          <w:highlight w:val="none"/>
          <w:lang w:eastAsia="zh-CN"/>
          <w14:textFill>
            <w14:solidFill>
              <w14:schemeClr w14:val="tx1"/>
            </w14:solidFill>
          </w14:textFill>
        </w:rPr>
        <w:t>供应商</w:t>
      </w:r>
      <w:r>
        <w:rPr>
          <w:rFonts w:hint="eastAsia" w:ascii="宋体" w:hAnsi="宋体" w:eastAsia="宋体" w:cs="宋体"/>
          <w:b/>
          <w:color w:val="000000" w:themeColor="text1"/>
          <w:sz w:val="24"/>
          <w:highlight w:val="none"/>
          <w14:textFill>
            <w14:solidFill>
              <w14:schemeClr w14:val="tx1"/>
            </w14:solidFill>
          </w14:textFill>
        </w:rPr>
        <w:t>中标后不以分包方式履行合同的，则不需要提供。</w:t>
      </w:r>
      <w:r>
        <w:rPr>
          <w:rFonts w:hint="eastAsia" w:ascii="宋体" w:hAnsi="宋体" w:eastAsia="宋体" w:cs="宋体"/>
          <w:color w:val="000000" w:themeColor="text1"/>
          <w:sz w:val="24"/>
          <w:highlight w:val="none"/>
          <w14:textFill>
            <w14:solidFill>
              <w14:schemeClr w14:val="tx1"/>
            </w14:solidFill>
          </w14:textFill>
        </w:rPr>
        <w:t>）</w:t>
      </w:r>
    </w:p>
    <w:p>
      <w:pPr>
        <w:snapToGrid w:val="0"/>
        <w:spacing w:line="360" w:lineRule="auto"/>
        <w:ind w:firstLine="576"/>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u w:val="single"/>
          <w14:textFill>
            <w14:solidFill>
              <w14:schemeClr w14:val="tx1"/>
            </w14:solidFill>
          </w14:textFill>
        </w:rPr>
        <w:t>（</w:t>
      </w:r>
      <w:r>
        <w:rPr>
          <w:rFonts w:hint="eastAsia" w:ascii="宋体" w:hAnsi="宋体" w:eastAsia="宋体" w:cs="宋体"/>
          <w:color w:val="000000" w:themeColor="text1"/>
          <w:kern w:val="0"/>
          <w:sz w:val="24"/>
          <w:highlight w:val="none"/>
          <w:u w:val="single"/>
          <w:lang w:eastAsia="zh-CN"/>
          <w14:textFill>
            <w14:solidFill>
              <w14:schemeClr w14:val="tx1"/>
            </w14:solidFill>
          </w14:textFill>
        </w:rPr>
        <w:t>供应商</w:t>
      </w:r>
      <w:r>
        <w:rPr>
          <w:rFonts w:hint="eastAsia" w:ascii="宋体" w:hAnsi="宋体" w:eastAsia="宋体" w:cs="宋体"/>
          <w:color w:val="000000" w:themeColor="text1"/>
          <w:kern w:val="0"/>
          <w:sz w:val="24"/>
          <w:highlight w:val="none"/>
          <w:u w:val="single"/>
          <w14:textFill>
            <w14:solidFill>
              <w14:schemeClr w14:val="tx1"/>
            </w14:solidFill>
          </w14:textFill>
        </w:rPr>
        <w:t>名称）</w:t>
      </w:r>
      <w:r>
        <w:rPr>
          <w:rFonts w:hint="eastAsia" w:ascii="宋体" w:hAnsi="宋体" w:eastAsia="宋体" w:cs="宋体"/>
          <w:color w:val="000000" w:themeColor="text1"/>
          <w:kern w:val="0"/>
          <w:sz w:val="24"/>
          <w:highlight w:val="none"/>
          <w:lang w:val="zh-CN"/>
          <w14:textFill>
            <w14:solidFill>
              <w14:schemeClr w14:val="tx1"/>
            </w14:solidFill>
          </w14:textFill>
        </w:rPr>
        <w:t>若成为</w:t>
      </w:r>
      <w:r>
        <w:rPr>
          <w:rFonts w:hint="eastAsia" w:ascii="宋体" w:hAnsi="宋体" w:eastAsia="宋体" w:cs="宋体"/>
          <w:color w:val="000000" w:themeColor="text1"/>
          <w:sz w:val="24"/>
          <w:highlight w:val="none"/>
          <w:lang w:eastAsia="zh-CN"/>
          <w14:textFill>
            <w14:solidFill>
              <w14:schemeClr w14:val="tx1"/>
            </w14:solidFill>
          </w14:textFill>
        </w:rPr>
        <w:t>拱墅区临丁路等7条、东新路等8条市属区管道路市政环卫一体化综合养护服务项目（标项           ）</w:t>
      </w:r>
      <w:r>
        <w:rPr>
          <w:rFonts w:hint="eastAsia" w:ascii="宋体" w:hAnsi="宋体" w:eastAsia="宋体" w:cs="宋体"/>
          <w:color w:val="000000" w:themeColor="text1"/>
          <w:sz w:val="24"/>
          <w:highlight w:val="none"/>
          <w14:textFill>
            <w14:solidFill>
              <w14:schemeClr w14:val="tx1"/>
            </w14:solidFill>
          </w14:textFill>
        </w:rPr>
        <w:t>【招标编号：</w:t>
      </w:r>
      <w:r>
        <w:rPr>
          <w:rFonts w:hint="eastAsia" w:ascii="宋体" w:hAnsi="宋体" w:eastAsia="宋体" w:cs="宋体"/>
          <w:color w:val="000000" w:themeColor="text1"/>
          <w:sz w:val="24"/>
          <w:highlight w:val="none"/>
          <w:lang w:eastAsia="zh-CN"/>
          <w14:textFill>
            <w14:solidFill>
              <w14:schemeClr w14:val="tx1"/>
            </w14:solidFill>
          </w14:textFill>
        </w:rPr>
        <w:t>HDSJ-2023-006</w:t>
      </w:r>
      <w:r>
        <w:rPr>
          <w:rFonts w:hint="eastAsia" w:ascii="宋体" w:hAnsi="宋体" w:eastAsia="宋体" w:cs="宋体"/>
          <w:color w:val="000000" w:themeColor="text1"/>
          <w:sz w:val="24"/>
          <w:highlight w:val="none"/>
          <w14:textFill>
            <w14:solidFill>
              <w14:schemeClr w14:val="tx1"/>
            </w14:solidFill>
          </w14:textFill>
        </w:rPr>
        <w:t>】</w:t>
      </w:r>
      <w:r>
        <w:rPr>
          <w:rFonts w:hint="eastAsia" w:ascii="宋体" w:hAnsi="宋体" w:eastAsia="宋体" w:cs="宋体"/>
          <w:color w:val="000000" w:themeColor="text1"/>
          <w:kern w:val="0"/>
          <w:sz w:val="24"/>
          <w:highlight w:val="none"/>
          <w:lang w:val="zh-CN"/>
          <w14:textFill>
            <w14:solidFill>
              <w14:schemeClr w14:val="tx1"/>
            </w14:solidFill>
          </w14:textFill>
        </w:rPr>
        <w:t>的中标供应商，将依法采取分包方式履行合同。</w:t>
      </w:r>
      <w:r>
        <w:rPr>
          <w:rFonts w:hint="eastAsia" w:ascii="宋体" w:hAnsi="宋体" w:eastAsia="宋体" w:cs="宋体"/>
          <w:color w:val="000000" w:themeColor="text1"/>
          <w:kern w:val="0"/>
          <w:sz w:val="24"/>
          <w:highlight w:val="none"/>
          <w:u w:val="single"/>
          <w14:textFill>
            <w14:solidFill>
              <w14:schemeClr w14:val="tx1"/>
            </w14:solidFill>
          </w14:textFill>
        </w:rPr>
        <w:t>（</w:t>
      </w:r>
      <w:r>
        <w:rPr>
          <w:rFonts w:hint="eastAsia" w:ascii="宋体" w:hAnsi="宋体" w:eastAsia="宋体" w:cs="宋体"/>
          <w:color w:val="000000" w:themeColor="text1"/>
          <w:kern w:val="0"/>
          <w:sz w:val="24"/>
          <w:highlight w:val="none"/>
          <w:u w:val="single"/>
          <w:lang w:eastAsia="zh-CN"/>
          <w14:textFill>
            <w14:solidFill>
              <w14:schemeClr w14:val="tx1"/>
            </w14:solidFill>
          </w14:textFill>
        </w:rPr>
        <w:t>供应商</w:t>
      </w:r>
      <w:r>
        <w:rPr>
          <w:rFonts w:hint="eastAsia" w:ascii="宋体" w:hAnsi="宋体" w:eastAsia="宋体" w:cs="宋体"/>
          <w:color w:val="000000" w:themeColor="text1"/>
          <w:kern w:val="0"/>
          <w:sz w:val="24"/>
          <w:highlight w:val="none"/>
          <w:u w:val="single"/>
          <w14:textFill>
            <w14:solidFill>
              <w14:schemeClr w14:val="tx1"/>
            </w14:solidFill>
          </w14:textFill>
        </w:rPr>
        <w:t>名称）</w:t>
      </w:r>
      <w:r>
        <w:rPr>
          <w:rFonts w:hint="eastAsia" w:ascii="宋体" w:hAnsi="宋体" w:eastAsia="宋体" w:cs="宋体"/>
          <w:color w:val="000000" w:themeColor="text1"/>
          <w:kern w:val="0"/>
          <w:sz w:val="24"/>
          <w:highlight w:val="none"/>
          <w14:textFill>
            <w14:solidFill>
              <w14:schemeClr w14:val="tx1"/>
            </w14:solidFill>
          </w14:textFill>
        </w:rPr>
        <w:t>与</w:t>
      </w:r>
      <w:r>
        <w:rPr>
          <w:rFonts w:hint="eastAsia" w:ascii="宋体" w:hAnsi="宋体" w:eastAsia="宋体" w:cs="宋体"/>
          <w:color w:val="000000" w:themeColor="text1"/>
          <w:kern w:val="0"/>
          <w:sz w:val="24"/>
          <w:highlight w:val="none"/>
          <w:u w:val="single"/>
          <w14:textFill>
            <w14:solidFill>
              <w14:schemeClr w14:val="tx1"/>
            </w14:solidFill>
          </w14:textFill>
        </w:rPr>
        <w:t>（所有分包供应商名称）</w:t>
      </w:r>
      <w:r>
        <w:rPr>
          <w:rFonts w:hint="eastAsia" w:ascii="宋体" w:hAnsi="宋体" w:eastAsia="宋体" w:cs="宋体"/>
          <w:color w:val="000000" w:themeColor="text1"/>
          <w:kern w:val="0"/>
          <w:sz w:val="24"/>
          <w:highlight w:val="none"/>
          <w14:textFill>
            <w14:solidFill>
              <w14:schemeClr w14:val="tx1"/>
            </w14:solidFill>
          </w14:textFill>
        </w:rPr>
        <w:t>达成分包意向协议</w:t>
      </w:r>
      <w:r>
        <w:rPr>
          <w:rFonts w:hint="eastAsia" w:ascii="宋体" w:hAnsi="宋体" w:eastAsia="宋体" w:cs="宋体"/>
          <w:color w:val="000000" w:themeColor="text1"/>
          <w:kern w:val="0"/>
          <w:sz w:val="24"/>
          <w:highlight w:val="none"/>
          <w:lang w:val="zh-CN"/>
          <w14:textFill>
            <w14:solidFill>
              <w14:schemeClr w14:val="tx1"/>
            </w14:solidFill>
          </w14:textFill>
        </w:rPr>
        <w:t xml:space="preserve">。 </w:t>
      </w:r>
    </w:p>
    <w:p>
      <w:pPr>
        <w:snapToGrid w:val="0"/>
        <w:spacing w:line="360" w:lineRule="auto"/>
        <w:ind w:firstLine="576"/>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一、分包标的及数量</w:t>
      </w:r>
    </w:p>
    <w:p>
      <w:pPr>
        <w:snapToGrid w:val="0"/>
        <w:spacing w:line="360" w:lineRule="auto"/>
        <w:ind w:firstLine="576"/>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u w:val="single"/>
          <w14:textFill>
            <w14:solidFill>
              <w14:schemeClr w14:val="tx1"/>
            </w14:solidFill>
          </w14:textFill>
        </w:rPr>
        <w:t>（</w:t>
      </w:r>
      <w:r>
        <w:rPr>
          <w:rFonts w:hint="eastAsia" w:ascii="宋体" w:hAnsi="宋体" w:eastAsia="宋体" w:cs="宋体"/>
          <w:color w:val="000000" w:themeColor="text1"/>
          <w:kern w:val="0"/>
          <w:sz w:val="24"/>
          <w:highlight w:val="none"/>
          <w:u w:val="single"/>
          <w:lang w:eastAsia="zh-CN"/>
          <w14:textFill>
            <w14:solidFill>
              <w14:schemeClr w14:val="tx1"/>
            </w14:solidFill>
          </w14:textFill>
        </w:rPr>
        <w:t>供应商</w:t>
      </w:r>
      <w:r>
        <w:rPr>
          <w:rFonts w:hint="eastAsia" w:ascii="宋体" w:hAnsi="宋体" w:eastAsia="宋体" w:cs="宋体"/>
          <w:color w:val="000000" w:themeColor="text1"/>
          <w:kern w:val="0"/>
          <w:sz w:val="24"/>
          <w:highlight w:val="none"/>
          <w:u w:val="single"/>
          <w14:textFill>
            <w14:solidFill>
              <w14:schemeClr w14:val="tx1"/>
            </w14:solidFill>
          </w14:textFill>
        </w:rPr>
        <w:t>名称）</w:t>
      </w:r>
      <w:r>
        <w:rPr>
          <w:rFonts w:hint="eastAsia" w:ascii="宋体" w:hAnsi="宋体" w:eastAsia="宋体" w:cs="宋体"/>
          <w:color w:val="000000" w:themeColor="text1"/>
          <w:kern w:val="0"/>
          <w:sz w:val="24"/>
          <w:highlight w:val="none"/>
          <w:lang w:val="zh-CN"/>
          <w14:textFill>
            <w14:solidFill>
              <w14:schemeClr w14:val="tx1"/>
            </w14:solidFill>
          </w14:textFill>
        </w:rPr>
        <w:t>将</w:t>
      </w:r>
      <w:r>
        <w:rPr>
          <w:rFonts w:hint="eastAsia" w:ascii="宋体" w:hAnsi="宋体" w:eastAsia="宋体" w:cs="宋体"/>
          <w:color w:val="000000" w:themeColor="text1"/>
          <w:highlight w:val="none"/>
          <w:u w:val="single"/>
          <w14:textFill>
            <w14:solidFill>
              <w14:schemeClr w14:val="tx1"/>
            </w14:solidFill>
          </w14:textFill>
        </w:rPr>
        <w:t xml:space="preserve">  </w:t>
      </w:r>
      <w:r>
        <w:rPr>
          <w:rFonts w:hint="eastAsia" w:ascii="宋体" w:hAnsi="宋体" w:eastAsia="宋体" w:cs="宋体"/>
          <w:color w:val="000000" w:themeColor="text1"/>
          <w:kern w:val="0"/>
          <w:sz w:val="24"/>
          <w:highlight w:val="none"/>
          <w:u w:val="single"/>
          <w14:textFill>
            <w14:solidFill>
              <w14:schemeClr w14:val="tx1"/>
            </w14:solidFill>
          </w14:textFill>
        </w:rPr>
        <w:t xml:space="preserve"> XX工作内容   </w:t>
      </w:r>
      <w:r>
        <w:rPr>
          <w:rFonts w:hint="eastAsia" w:ascii="宋体" w:hAnsi="宋体" w:eastAsia="宋体" w:cs="宋体"/>
          <w:color w:val="000000" w:themeColor="text1"/>
          <w:sz w:val="24"/>
          <w:highlight w:val="none"/>
          <w14:textFill>
            <w14:solidFill>
              <w14:schemeClr w14:val="tx1"/>
            </w14:solidFill>
          </w14:textFill>
        </w:rPr>
        <w:t>分包给</w:t>
      </w:r>
      <w:r>
        <w:rPr>
          <w:rFonts w:hint="eastAsia" w:ascii="宋体" w:hAnsi="宋体" w:eastAsia="宋体" w:cs="宋体"/>
          <w:color w:val="000000" w:themeColor="text1"/>
          <w:kern w:val="0"/>
          <w:sz w:val="24"/>
          <w:highlight w:val="none"/>
          <w:u w:val="single"/>
          <w14:textFill>
            <w14:solidFill>
              <w14:schemeClr w14:val="tx1"/>
            </w14:solidFill>
          </w14:textFill>
        </w:rPr>
        <w:t>（分包供应商1名称）</w:t>
      </w:r>
      <w:r>
        <w:rPr>
          <w:rFonts w:hint="eastAsia" w:ascii="宋体" w:hAnsi="宋体" w:eastAsia="宋体" w:cs="宋体"/>
          <w:color w:val="000000" w:themeColor="text1"/>
          <w:kern w:val="0"/>
          <w:sz w:val="24"/>
          <w:highlight w:val="none"/>
          <w:lang w:val="zh-CN"/>
          <w14:textFill>
            <w14:solidFill>
              <w14:schemeClr w14:val="tx1"/>
            </w14:solidFill>
          </w14:textFill>
        </w:rPr>
        <w:t>，</w:t>
      </w:r>
      <w:r>
        <w:rPr>
          <w:rFonts w:hint="eastAsia" w:ascii="宋体" w:hAnsi="宋体" w:eastAsia="宋体" w:cs="宋体"/>
          <w:color w:val="000000" w:themeColor="text1"/>
          <w:kern w:val="0"/>
          <w:sz w:val="24"/>
          <w:highlight w:val="none"/>
          <w:u w:val="single"/>
          <w14:textFill>
            <w14:solidFill>
              <w14:schemeClr w14:val="tx1"/>
            </w14:solidFill>
          </w14:textFill>
        </w:rPr>
        <w:t>（分包供应商2名称），</w:t>
      </w:r>
      <w:r>
        <w:rPr>
          <w:rFonts w:hint="eastAsia" w:ascii="宋体" w:hAnsi="宋体" w:eastAsia="宋体" w:cs="宋体"/>
          <w:color w:val="000000" w:themeColor="text1"/>
          <w:kern w:val="0"/>
          <w:sz w:val="24"/>
          <w:highlight w:val="none"/>
          <w:lang w:val="zh-CN"/>
          <w14:textFill>
            <w14:solidFill>
              <w14:schemeClr w14:val="tx1"/>
            </w14:solidFill>
          </w14:textFill>
        </w:rPr>
        <w:t>具备承</w:t>
      </w:r>
      <w:r>
        <w:rPr>
          <w:rFonts w:hint="eastAsia" w:ascii="宋体" w:hAnsi="宋体" w:eastAsia="宋体" w:cs="宋体"/>
          <w:color w:val="000000" w:themeColor="text1"/>
          <w:kern w:val="0"/>
          <w:sz w:val="24"/>
          <w:highlight w:val="none"/>
          <w14:textFill>
            <w14:solidFill>
              <w14:schemeClr w14:val="tx1"/>
            </w14:solidFill>
          </w14:textFill>
        </w:rPr>
        <w:t>担</w:t>
      </w:r>
      <w:r>
        <w:rPr>
          <w:rFonts w:hint="eastAsia" w:ascii="宋体" w:hAnsi="宋体" w:eastAsia="宋体" w:cs="宋体"/>
          <w:color w:val="000000" w:themeColor="text1"/>
          <w:kern w:val="0"/>
          <w:sz w:val="24"/>
          <w:highlight w:val="none"/>
          <w:u w:val="single"/>
          <w:lang w:val="zh-CN"/>
          <w14:textFill>
            <w14:solidFill>
              <w14:schemeClr w14:val="tx1"/>
            </w14:solidFill>
          </w14:textFill>
        </w:rPr>
        <w:t>XX工作内容</w:t>
      </w:r>
      <w:r>
        <w:rPr>
          <w:rFonts w:hint="eastAsia" w:ascii="宋体" w:hAnsi="宋体" w:eastAsia="宋体" w:cs="宋体"/>
          <w:color w:val="000000" w:themeColor="text1"/>
          <w:kern w:val="0"/>
          <w:sz w:val="24"/>
          <w:highlight w:val="none"/>
          <w:lang w:val="zh-CN"/>
          <w14:textFill>
            <w14:solidFill>
              <w14:schemeClr w14:val="tx1"/>
            </w14:solidFill>
          </w14:textFill>
        </w:rPr>
        <w:t>相应资质条件且不得再次分包；</w:t>
      </w:r>
    </w:p>
    <w:p>
      <w:pPr>
        <w:pStyle w:val="6"/>
        <w:ind w:left="664" w:leftChars="316" w:firstLine="229" w:firstLineChars="95"/>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w:t>
      </w:r>
    </w:p>
    <w:p>
      <w:pPr>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lang w:val="zh-CN"/>
          <w14:textFill>
            <w14:solidFill>
              <w14:schemeClr w14:val="tx1"/>
            </w14:solidFill>
          </w14:textFill>
        </w:rPr>
        <w:t xml:space="preserve"> </w:t>
      </w:r>
    </w:p>
    <w:p>
      <w:pPr>
        <w:snapToGrid w:val="0"/>
        <w:spacing w:line="360" w:lineRule="auto"/>
        <w:ind w:firstLine="576"/>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二、分包供应商中小企业合同份额</w:t>
      </w:r>
    </w:p>
    <w:p>
      <w:pPr>
        <w:snapToGrid w:val="0"/>
        <w:spacing w:line="360" w:lineRule="auto"/>
        <w:ind w:firstLine="576"/>
        <w:rPr>
          <w:rFonts w:hint="eastAsia" w:ascii="宋体" w:hAnsi="宋体" w:eastAsia="宋体" w:cs="宋体"/>
          <w:b/>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1、</w:t>
      </w:r>
      <w:r>
        <w:rPr>
          <w:rFonts w:hint="eastAsia" w:ascii="宋体" w:hAnsi="宋体" w:eastAsia="宋体" w:cs="宋体"/>
          <w:color w:val="000000" w:themeColor="text1"/>
          <w:kern w:val="0"/>
          <w:sz w:val="24"/>
          <w:highlight w:val="none"/>
          <w:u w:val="single"/>
          <w14:textFill>
            <w14:solidFill>
              <w14:schemeClr w14:val="tx1"/>
            </w14:solidFill>
          </w14:textFill>
        </w:rPr>
        <w:t>（分包供应商X,……）提供的服务全部由小微企业承接，</w:t>
      </w:r>
      <w:r>
        <w:rPr>
          <w:rFonts w:hint="eastAsia" w:ascii="宋体" w:hAnsi="宋体" w:eastAsia="宋体" w:cs="宋体"/>
          <w:color w:val="000000" w:themeColor="text1"/>
          <w:kern w:val="0"/>
          <w:sz w:val="24"/>
          <w:highlight w:val="none"/>
          <w14:textFill>
            <w14:solidFill>
              <w14:schemeClr w14:val="tx1"/>
            </w14:solidFill>
          </w14:textFill>
        </w:rPr>
        <w:t>其合同份额占到合同总金额</w:t>
      </w:r>
      <w:r>
        <w:rPr>
          <w:rFonts w:hint="eastAsia" w:ascii="宋体" w:hAnsi="宋体" w:eastAsia="宋体" w:cs="宋体"/>
          <w:color w:val="000000" w:themeColor="text1"/>
          <w:kern w:val="0"/>
          <w:sz w:val="24"/>
          <w:highlight w:val="none"/>
          <w:u w:val="single"/>
          <w14:textFill>
            <w14:solidFill>
              <w14:schemeClr w14:val="tx1"/>
            </w14:solidFill>
          </w14:textFill>
        </w:rPr>
        <w:t xml:space="preserve">     </w:t>
      </w:r>
      <w:r>
        <w:rPr>
          <w:rFonts w:hint="eastAsia" w:ascii="宋体" w:hAnsi="宋体" w:eastAsia="宋体" w:cs="宋体"/>
          <w:color w:val="000000" w:themeColor="text1"/>
          <w:kern w:val="0"/>
          <w:sz w:val="24"/>
          <w:highlight w:val="none"/>
          <w14:textFill>
            <w14:solidFill>
              <w14:schemeClr w14:val="tx1"/>
            </w14:solidFill>
          </w14:textFill>
        </w:rPr>
        <w:t>%以上</w:t>
      </w:r>
      <w:r>
        <w:rPr>
          <w:rFonts w:hint="eastAsia" w:ascii="宋体" w:hAnsi="宋体" w:eastAsia="宋体" w:cs="宋体"/>
          <w:color w:val="000000" w:themeColor="text1"/>
          <w:highlight w:val="none"/>
          <w14:textFill>
            <w14:solidFill>
              <w14:schemeClr w14:val="tx1"/>
            </w14:solidFill>
          </w14:textFill>
        </w:rPr>
        <w:t>。</w:t>
      </w:r>
      <w:r>
        <w:rPr>
          <w:rFonts w:hint="eastAsia" w:ascii="宋体" w:hAnsi="宋体" w:eastAsia="宋体" w:cs="宋体"/>
          <w:b/>
          <w:color w:val="000000" w:themeColor="text1"/>
          <w:kern w:val="0"/>
          <w:sz w:val="24"/>
          <w:highlight w:val="none"/>
          <w:lang w:val="zh-CN"/>
          <w14:textFill>
            <w14:solidFill>
              <w14:schemeClr w14:val="tx1"/>
            </w14:solidFill>
          </w14:textFill>
        </w:rPr>
        <w:t>（未预留份额专门面向中小企业采购的的采购项目，以及预留份额中的非预留部分采购包，允许分包的，分包意向协议约定小微企业的合同份额占到合同总金额30%以上的，对大中型企业的报价按评标标准确定的比例给予扣除。供应商</w:t>
      </w:r>
      <w:r>
        <w:rPr>
          <w:rFonts w:hint="eastAsia" w:ascii="宋体" w:hAnsi="宋体" w:eastAsia="宋体" w:cs="宋体"/>
          <w:b/>
          <w:color w:val="000000" w:themeColor="text1"/>
          <w:sz w:val="24"/>
          <w:highlight w:val="none"/>
          <w14:textFill>
            <w14:solidFill>
              <w14:schemeClr w14:val="tx1"/>
            </w14:solidFill>
          </w14:textFill>
        </w:rPr>
        <w:t>拟享受以上价格扣除政策的，填写有关内容。</w:t>
      </w:r>
      <w:r>
        <w:rPr>
          <w:rFonts w:hint="eastAsia" w:ascii="宋体" w:hAnsi="宋体" w:eastAsia="宋体" w:cs="宋体"/>
          <w:b/>
          <w:color w:val="000000" w:themeColor="text1"/>
          <w:kern w:val="0"/>
          <w:sz w:val="24"/>
          <w:highlight w:val="none"/>
          <w:lang w:val="zh-CN"/>
          <w14:textFill>
            <w14:solidFill>
              <w14:schemeClr w14:val="tx1"/>
            </w14:solidFill>
          </w14:textFill>
        </w:rPr>
        <w:t>）</w:t>
      </w:r>
    </w:p>
    <w:p>
      <w:pPr>
        <w:spacing w:line="360" w:lineRule="auto"/>
        <w:ind w:firstLine="480" w:firstLineChars="200"/>
        <w:rPr>
          <w:rFonts w:hint="eastAsia" w:ascii="宋体" w:hAnsi="宋体" w:eastAsia="宋体" w:cs="宋体"/>
          <w:b/>
          <w:bCs/>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2、中小企业合同金额达到</w:t>
      </w:r>
      <w:r>
        <w:rPr>
          <w:rFonts w:hint="eastAsia" w:ascii="宋体" w:hAnsi="宋体" w:eastAsia="宋体" w:cs="宋体"/>
          <w:color w:val="000000" w:themeColor="text1"/>
          <w:sz w:val="24"/>
          <w:highlight w:val="none"/>
          <w:u w:val="single"/>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%，小微企业合同金额达到</w:t>
      </w:r>
      <w:r>
        <w:rPr>
          <w:rFonts w:hint="eastAsia" w:ascii="宋体" w:hAnsi="宋体" w:eastAsia="宋体" w:cs="宋体"/>
          <w:color w:val="000000" w:themeColor="text1"/>
          <w:sz w:val="24"/>
          <w:highlight w:val="none"/>
          <w:u w:val="single"/>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w:t>
      </w:r>
      <w:r>
        <w:rPr>
          <w:rFonts w:hint="eastAsia" w:ascii="宋体" w:hAnsi="宋体" w:eastAsia="宋体" w:cs="宋体"/>
          <w:color w:val="000000" w:themeColor="text1"/>
          <w:kern w:val="0"/>
          <w:sz w:val="24"/>
          <w:highlight w:val="none"/>
          <w:lang w:val="zh-CN"/>
          <w14:textFill>
            <w14:solidFill>
              <w14:schemeClr w14:val="tx1"/>
            </w14:solidFill>
          </w14:textFill>
        </w:rPr>
        <w:t>。</w:t>
      </w:r>
      <w:r>
        <w:rPr>
          <w:rFonts w:hint="eastAsia" w:ascii="宋体" w:hAnsi="宋体" w:eastAsia="宋体" w:cs="宋体"/>
          <w:b/>
          <w:bCs/>
          <w:color w:val="000000" w:themeColor="text1"/>
          <w:kern w:val="0"/>
          <w:sz w:val="24"/>
          <w:highlight w:val="none"/>
          <w:lang w:val="zh-CN"/>
          <w14:textFill>
            <w14:solidFill>
              <w14:schemeClr w14:val="tx1"/>
            </w14:solidFill>
          </w14:textFill>
        </w:rPr>
        <w:t>（</w:t>
      </w:r>
      <w:r>
        <w:rPr>
          <w:rFonts w:hint="eastAsia" w:ascii="宋体" w:hAnsi="宋体" w:eastAsia="宋体" w:cs="宋体"/>
          <w:b/>
          <w:bCs/>
          <w:color w:val="000000" w:themeColor="text1"/>
          <w:sz w:val="24"/>
          <w:highlight w:val="none"/>
          <w14:textFill>
            <w14:solidFill>
              <w14:schemeClr w14:val="tx1"/>
            </w14:solidFill>
          </w14:textFill>
        </w:rPr>
        <w:t>要求合同分包形式参加的项目或采购包，供应商按</w:t>
      </w:r>
      <w:r>
        <w:rPr>
          <w:rFonts w:hint="eastAsia" w:ascii="宋体" w:hAnsi="宋体" w:eastAsia="宋体" w:cs="宋体"/>
          <w:b/>
          <w:bCs/>
          <w:color w:val="000000" w:themeColor="text1"/>
          <w:sz w:val="24"/>
          <w:highlight w:val="none"/>
          <w:lang w:eastAsia="zh-CN"/>
          <w14:textFill>
            <w14:solidFill>
              <w14:schemeClr w14:val="tx1"/>
            </w14:solidFill>
          </w14:textFill>
        </w:rPr>
        <w:t>投标文件</w:t>
      </w:r>
      <w:r>
        <w:rPr>
          <w:rFonts w:hint="eastAsia" w:ascii="宋体" w:hAnsi="宋体" w:eastAsia="宋体" w:cs="宋体"/>
          <w:b/>
          <w:bCs/>
          <w:color w:val="000000" w:themeColor="text1"/>
          <w:sz w:val="24"/>
          <w:highlight w:val="none"/>
          <w14:textFill>
            <w14:solidFill>
              <w14:schemeClr w14:val="tx1"/>
            </w14:solidFill>
          </w14:textFill>
        </w:rPr>
        <w:t>第一部分招标公告申请人的资格要求中规定的</w:t>
      </w:r>
      <w:r>
        <w:rPr>
          <w:rFonts w:hint="eastAsia" w:ascii="宋体" w:hAnsi="宋体" w:eastAsia="宋体" w:cs="宋体"/>
          <w:b/>
          <w:color w:val="000000" w:themeColor="text1"/>
          <w:kern w:val="0"/>
          <w:sz w:val="24"/>
          <w:highlight w:val="none"/>
          <w:lang w:val="zh-CN"/>
          <w14:textFill>
            <w14:solidFill>
              <w14:schemeClr w14:val="tx1"/>
            </w14:solidFill>
          </w14:textFill>
        </w:rPr>
        <w:t>分包意向协议</w:t>
      </w:r>
      <w:r>
        <w:rPr>
          <w:rFonts w:hint="eastAsia" w:ascii="宋体" w:hAnsi="宋体" w:eastAsia="宋体" w:cs="宋体"/>
          <w:b/>
          <w:bCs/>
          <w:color w:val="000000" w:themeColor="text1"/>
          <w:sz w:val="24"/>
          <w:highlight w:val="none"/>
          <w14:textFill>
            <w14:solidFill>
              <w14:schemeClr w14:val="tx1"/>
            </w14:solidFill>
          </w14:textFill>
        </w:rPr>
        <w:t>中中小企业、小微企业合同金额应当达到的比例要求填写。</w:t>
      </w:r>
      <w:r>
        <w:rPr>
          <w:rFonts w:hint="eastAsia" w:ascii="宋体" w:hAnsi="宋体" w:eastAsia="宋体" w:cs="宋体"/>
          <w:b/>
          <w:bCs/>
          <w:color w:val="000000" w:themeColor="text1"/>
          <w:kern w:val="0"/>
          <w:sz w:val="24"/>
          <w:highlight w:val="none"/>
          <w:lang w:val="zh-CN"/>
          <w14:textFill>
            <w14:solidFill>
              <w14:schemeClr w14:val="tx1"/>
            </w14:solidFill>
          </w14:textFill>
        </w:rPr>
        <w:t>）</w:t>
      </w:r>
    </w:p>
    <w:p>
      <w:pPr>
        <w:snapToGrid w:val="0"/>
        <w:spacing w:line="360" w:lineRule="auto"/>
        <w:ind w:firstLine="576"/>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三、分包工作履行期限、地点、方式</w:t>
      </w:r>
    </w:p>
    <w:p>
      <w:pPr>
        <w:snapToGrid w:val="0"/>
        <w:spacing w:line="360" w:lineRule="auto"/>
        <w:ind w:firstLine="576"/>
        <w:rPr>
          <w:rFonts w:hint="eastAsia" w:ascii="宋体" w:hAnsi="宋体" w:eastAsia="宋体" w:cs="宋体"/>
          <w:color w:val="000000" w:themeColor="text1"/>
          <w:highlight w:val="none"/>
          <w:u w:val="single"/>
          <w14:textFill>
            <w14:solidFill>
              <w14:schemeClr w14:val="tx1"/>
            </w14:solidFill>
          </w14:textFill>
        </w:rPr>
      </w:pPr>
      <w:r>
        <w:rPr>
          <w:rFonts w:hint="eastAsia" w:ascii="宋体" w:hAnsi="宋体" w:eastAsia="宋体" w:cs="宋体"/>
          <w:color w:val="000000" w:themeColor="text1"/>
          <w:highlight w:val="none"/>
          <w:u w:val="single"/>
          <w14:textFill>
            <w14:solidFill>
              <w14:schemeClr w14:val="tx1"/>
            </w14:solidFill>
          </w14:textFill>
        </w:rPr>
        <w:t xml:space="preserve">                                                                                  </w:t>
      </w:r>
    </w:p>
    <w:p>
      <w:pPr>
        <w:snapToGrid w:val="0"/>
        <w:spacing w:line="360" w:lineRule="auto"/>
        <w:ind w:firstLine="576"/>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四、质量</w:t>
      </w:r>
    </w:p>
    <w:p>
      <w:pPr>
        <w:snapToGrid w:val="0"/>
        <w:spacing w:line="360" w:lineRule="auto"/>
        <w:ind w:firstLine="576"/>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highlight w:val="none"/>
          <w:u w:val="single"/>
          <w14:textFill>
            <w14:solidFill>
              <w14:schemeClr w14:val="tx1"/>
            </w14:solidFill>
          </w14:textFill>
        </w:rPr>
        <w:t xml:space="preserve">                                                                                       </w:t>
      </w:r>
    </w:p>
    <w:p>
      <w:pPr>
        <w:snapToGrid w:val="0"/>
        <w:spacing w:line="360" w:lineRule="auto"/>
        <w:ind w:firstLine="576"/>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五、价款或者报酬</w:t>
      </w:r>
    </w:p>
    <w:p>
      <w:pPr>
        <w:snapToGrid w:val="0"/>
        <w:spacing w:line="360" w:lineRule="auto"/>
        <w:ind w:left="573" w:leftChars="273"/>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highlight w:val="none"/>
          <w:u w:val="single"/>
          <w14:textFill>
            <w14:solidFill>
              <w14:schemeClr w14:val="tx1"/>
            </w14:solidFill>
          </w14:textFill>
        </w:rPr>
        <w:t xml:space="preserve">                                                                                     </w:t>
      </w:r>
    </w:p>
    <w:p>
      <w:pPr>
        <w:snapToGrid w:val="0"/>
        <w:spacing w:line="360" w:lineRule="auto"/>
        <w:ind w:left="573" w:leftChars="273"/>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六、违约责任</w:t>
      </w:r>
    </w:p>
    <w:p>
      <w:pPr>
        <w:snapToGrid w:val="0"/>
        <w:spacing w:line="360" w:lineRule="auto"/>
        <w:ind w:firstLine="576"/>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highlight w:val="none"/>
          <w:u w:val="single"/>
          <w14:textFill>
            <w14:solidFill>
              <w14:schemeClr w14:val="tx1"/>
            </w14:solidFill>
          </w14:textFill>
        </w:rPr>
        <w:t xml:space="preserve">                                                                                     </w:t>
      </w:r>
    </w:p>
    <w:p>
      <w:pPr>
        <w:snapToGrid w:val="0"/>
        <w:spacing w:line="360" w:lineRule="auto"/>
        <w:ind w:firstLine="576"/>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七、争议解决的办法</w:t>
      </w:r>
    </w:p>
    <w:p>
      <w:pPr>
        <w:snapToGrid w:val="0"/>
        <w:spacing w:line="360" w:lineRule="auto"/>
        <w:ind w:firstLine="576"/>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highlight w:val="none"/>
          <w:u w:val="single"/>
          <w14:textFill>
            <w14:solidFill>
              <w14:schemeClr w14:val="tx1"/>
            </w14:solidFill>
          </w14:textFill>
        </w:rPr>
        <w:t xml:space="preserve">                                                                                  </w:t>
      </w:r>
    </w:p>
    <w:p>
      <w:pPr>
        <w:snapToGrid w:val="0"/>
        <w:spacing w:line="360" w:lineRule="auto"/>
        <w:ind w:firstLine="576"/>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八、其他</w:t>
      </w:r>
    </w:p>
    <w:p>
      <w:pPr>
        <w:snapToGrid w:val="0"/>
        <w:spacing w:line="360" w:lineRule="auto"/>
        <w:ind w:left="5758" w:leftChars="342" w:hanging="5040" w:hangingChars="2100"/>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中小企业合同金额达到</w:t>
      </w:r>
      <w:r>
        <w:rPr>
          <w:rFonts w:hint="eastAsia" w:ascii="宋体" w:hAnsi="宋体" w:eastAsia="宋体" w:cs="宋体"/>
          <w:color w:val="000000" w:themeColor="text1"/>
          <w:sz w:val="24"/>
          <w:highlight w:val="none"/>
          <w:u w:val="single"/>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%，小微企业合同金额达到</w:t>
      </w:r>
      <w:r>
        <w:rPr>
          <w:rFonts w:hint="eastAsia" w:ascii="宋体" w:hAnsi="宋体" w:eastAsia="宋体" w:cs="宋体"/>
          <w:color w:val="000000" w:themeColor="text1"/>
          <w:sz w:val="24"/>
          <w:highlight w:val="none"/>
          <w:u w:val="single"/>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w:t>
      </w:r>
      <w:r>
        <w:rPr>
          <w:rFonts w:hint="eastAsia" w:ascii="宋体" w:hAnsi="宋体" w:eastAsia="宋体" w:cs="宋体"/>
          <w:color w:val="000000" w:themeColor="text1"/>
          <w:kern w:val="0"/>
          <w:sz w:val="24"/>
          <w:highlight w:val="none"/>
          <w:lang w:val="zh-CN"/>
          <w14:textFill>
            <w14:solidFill>
              <w14:schemeClr w14:val="tx1"/>
            </w14:solidFill>
          </w14:textFill>
        </w:rPr>
        <w:t xml:space="preserve">  。                                           供应商名称(电子签名)：</w:t>
      </w:r>
    </w:p>
    <w:p>
      <w:pPr>
        <w:snapToGrid w:val="0"/>
        <w:spacing w:line="360" w:lineRule="auto"/>
        <w:jc w:val="right"/>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分包供应商名称(电子签名/公章)：</w:t>
      </w:r>
    </w:p>
    <w:p>
      <w:pPr>
        <w:snapToGrid w:val="0"/>
        <w:spacing w:line="360" w:lineRule="auto"/>
        <w:ind w:firstLine="5760" w:firstLineChars="2400"/>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w:t>
      </w:r>
    </w:p>
    <w:p>
      <w:pPr>
        <w:snapToGrid w:val="0"/>
        <w:spacing w:line="360" w:lineRule="auto"/>
        <w:ind w:left="5758" w:leftChars="342" w:hanging="5040" w:hangingChars="2100"/>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 xml:space="preserve">                                        日期：  年  月   日</w:t>
      </w:r>
    </w:p>
    <w:p>
      <w:pPr>
        <w:spacing w:line="360" w:lineRule="auto"/>
        <w:ind w:right="42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注：按本格式和要求提供。</w:t>
      </w:r>
    </w:p>
    <w:p>
      <w:pPr>
        <w:autoSpaceDE w:val="0"/>
        <w:autoSpaceDN w:val="0"/>
        <w:jc w:val="center"/>
        <w:rPr>
          <w:rFonts w:hint="eastAsia" w:ascii="宋体" w:hAnsi="宋体" w:eastAsia="宋体" w:cs="宋体"/>
          <w:b/>
          <w:color w:val="000000" w:themeColor="text1"/>
          <w:spacing w:val="6"/>
          <w:sz w:val="32"/>
          <w:szCs w:val="32"/>
          <w:highlight w:val="none"/>
          <w14:textFill>
            <w14:solidFill>
              <w14:schemeClr w14:val="tx1"/>
            </w14:solidFill>
          </w14:textFill>
        </w:rPr>
      </w:pPr>
    </w:p>
    <w:p>
      <w:pPr>
        <w:autoSpaceDE w:val="0"/>
        <w:autoSpaceDN w:val="0"/>
        <w:jc w:val="center"/>
        <w:rPr>
          <w:rFonts w:hint="eastAsia" w:ascii="宋体" w:hAnsi="宋体" w:eastAsia="宋体" w:cs="宋体"/>
          <w:b/>
          <w:color w:val="000000" w:themeColor="text1"/>
          <w:spacing w:val="6"/>
          <w:sz w:val="32"/>
          <w:szCs w:val="32"/>
          <w:highlight w:val="none"/>
          <w14:textFill>
            <w14:solidFill>
              <w14:schemeClr w14:val="tx1"/>
            </w14:solidFill>
          </w14:textFill>
        </w:rPr>
      </w:pPr>
    </w:p>
    <w:p>
      <w:pPr>
        <w:autoSpaceDE w:val="0"/>
        <w:autoSpaceDN w:val="0"/>
        <w:jc w:val="center"/>
        <w:rPr>
          <w:rFonts w:hint="eastAsia" w:ascii="宋体" w:hAnsi="宋体" w:eastAsia="宋体" w:cs="宋体"/>
          <w:b/>
          <w:color w:val="000000" w:themeColor="text1"/>
          <w:spacing w:val="6"/>
          <w:sz w:val="32"/>
          <w:szCs w:val="32"/>
          <w:highlight w:val="none"/>
          <w14:textFill>
            <w14:solidFill>
              <w14:schemeClr w14:val="tx1"/>
            </w14:solidFill>
          </w14:textFill>
        </w:rPr>
      </w:pPr>
    </w:p>
    <w:p>
      <w:pPr>
        <w:autoSpaceDE w:val="0"/>
        <w:autoSpaceDN w:val="0"/>
        <w:jc w:val="center"/>
        <w:rPr>
          <w:rFonts w:hint="eastAsia" w:ascii="宋体" w:hAnsi="宋体" w:eastAsia="宋体" w:cs="宋体"/>
          <w:b/>
          <w:color w:val="000000" w:themeColor="text1"/>
          <w:spacing w:val="6"/>
          <w:sz w:val="32"/>
          <w:szCs w:val="32"/>
          <w:highlight w:val="none"/>
          <w14:textFill>
            <w14:solidFill>
              <w14:schemeClr w14:val="tx1"/>
            </w14:solidFill>
          </w14:textFill>
        </w:rPr>
      </w:pPr>
    </w:p>
    <w:p>
      <w:pPr>
        <w:autoSpaceDE w:val="0"/>
        <w:autoSpaceDN w:val="0"/>
        <w:jc w:val="center"/>
        <w:rPr>
          <w:rFonts w:hint="eastAsia" w:ascii="宋体" w:hAnsi="宋体" w:eastAsia="宋体" w:cs="宋体"/>
          <w:b/>
          <w:color w:val="000000" w:themeColor="text1"/>
          <w:spacing w:val="6"/>
          <w:sz w:val="32"/>
          <w:szCs w:val="32"/>
          <w:highlight w:val="none"/>
          <w14:textFill>
            <w14:solidFill>
              <w14:schemeClr w14:val="tx1"/>
            </w14:solidFill>
          </w14:textFill>
        </w:rPr>
      </w:pPr>
    </w:p>
    <w:p>
      <w:pPr>
        <w:autoSpaceDE w:val="0"/>
        <w:autoSpaceDN w:val="0"/>
        <w:jc w:val="center"/>
        <w:rPr>
          <w:rFonts w:hint="eastAsia" w:ascii="宋体" w:hAnsi="宋体" w:eastAsia="宋体" w:cs="宋体"/>
          <w:b/>
          <w:color w:val="000000" w:themeColor="text1"/>
          <w:spacing w:val="6"/>
          <w:sz w:val="32"/>
          <w:szCs w:val="32"/>
          <w:highlight w:val="none"/>
          <w14:textFill>
            <w14:solidFill>
              <w14:schemeClr w14:val="tx1"/>
            </w14:solidFill>
          </w14:textFill>
        </w:rPr>
      </w:pPr>
    </w:p>
    <w:p>
      <w:pPr>
        <w:autoSpaceDE w:val="0"/>
        <w:autoSpaceDN w:val="0"/>
        <w:jc w:val="center"/>
        <w:rPr>
          <w:rFonts w:hint="eastAsia" w:ascii="宋体" w:hAnsi="宋体" w:eastAsia="宋体" w:cs="宋体"/>
          <w:b/>
          <w:color w:val="000000" w:themeColor="text1"/>
          <w:spacing w:val="6"/>
          <w:sz w:val="32"/>
          <w:szCs w:val="32"/>
          <w:highlight w:val="none"/>
          <w14:textFill>
            <w14:solidFill>
              <w14:schemeClr w14:val="tx1"/>
            </w14:solidFill>
          </w14:textFill>
        </w:rPr>
      </w:pPr>
    </w:p>
    <w:p>
      <w:pPr>
        <w:autoSpaceDE w:val="0"/>
        <w:autoSpaceDN w:val="0"/>
        <w:jc w:val="center"/>
        <w:rPr>
          <w:rFonts w:hint="eastAsia" w:ascii="宋体" w:hAnsi="宋体" w:eastAsia="宋体" w:cs="宋体"/>
          <w:b/>
          <w:color w:val="000000" w:themeColor="text1"/>
          <w:spacing w:val="6"/>
          <w:sz w:val="32"/>
          <w:szCs w:val="32"/>
          <w:highlight w:val="none"/>
          <w14:textFill>
            <w14:solidFill>
              <w14:schemeClr w14:val="tx1"/>
            </w14:solidFill>
          </w14:textFill>
        </w:rPr>
      </w:pPr>
    </w:p>
    <w:p>
      <w:pPr>
        <w:autoSpaceDE w:val="0"/>
        <w:autoSpaceDN w:val="0"/>
        <w:jc w:val="center"/>
        <w:rPr>
          <w:rFonts w:hint="eastAsia" w:ascii="宋体" w:hAnsi="宋体" w:eastAsia="宋体" w:cs="宋体"/>
          <w:b/>
          <w:color w:val="000000" w:themeColor="text1"/>
          <w:spacing w:val="6"/>
          <w:sz w:val="32"/>
          <w:szCs w:val="32"/>
          <w:highlight w:val="none"/>
          <w14:textFill>
            <w14:solidFill>
              <w14:schemeClr w14:val="tx1"/>
            </w14:solidFill>
          </w14:textFill>
        </w:rPr>
      </w:pPr>
    </w:p>
    <w:p>
      <w:pPr>
        <w:autoSpaceDE w:val="0"/>
        <w:autoSpaceDN w:val="0"/>
        <w:jc w:val="center"/>
        <w:rPr>
          <w:rFonts w:hint="eastAsia" w:ascii="宋体" w:hAnsi="宋体" w:eastAsia="宋体" w:cs="宋体"/>
          <w:b/>
          <w:color w:val="000000" w:themeColor="text1"/>
          <w:spacing w:val="6"/>
          <w:sz w:val="32"/>
          <w:szCs w:val="32"/>
          <w:highlight w:val="none"/>
          <w14:textFill>
            <w14:solidFill>
              <w14:schemeClr w14:val="tx1"/>
            </w14:solidFill>
          </w14:textFill>
        </w:rPr>
      </w:pPr>
    </w:p>
    <w:p>
      <w:pPr>
        <w:autoSpaceDE w:val="0"/>
        <w:autoSpaceDN w:val="0"/>
        <w:jc w:val="center"/>
        <w:rPr>
          <w:rFonts w:hint="eastAsia" w:ascii="宋体" w:hAnsi="宋体" w:eastAsia="宋体" w:cs="宋体"/>
          <w:b/>
          <w:color w:val="000000" w:themeColor="text1"/>
          <w:spacing w:val="6"/>
          <w:sz w:val="32"/>
          <w:szCs w:val="32"/>
          <w:highlight w:val="none"/>
          <w14:textFill>
            <w14:solidFill>
              <w14:schemeClr w14:val="tx1"/>
            </w14:solidFill>
          </w14:textFill>
        </w:rPr>
      </w:pPr>
    </w:p>
    <w:p>
      <w:pPr>
        <w:autoSpaceDE w:val="0"/>
        <w:autoSpaceDN w:val="0"/>
        <w:jc w:val="center"/>
        <w:rPr>
          <w:rFonts w:hint="eastAsia" w:ascii="宋体" w:hAnsi="宋体" w:eastAsia="宋体" w:cs="宋体"/>
          <w:b/>
          <w:color w:val="000000" w:themeColor="text1"/>
          <w:spacing w:val="6"/>
          <w:sz w:val="32"/>
          <w:szCs w:val="32"/>
          <w:highlight w:val="none"/>
          <w14:textFill>
            <w14:solidFill>
              <w14:schemeClr w14:val="tx1"/>
            </w14:solidFill>
          </w14:textFill>
        </w:rPr>
      </w:pPr>
    </w:p>
    <w:p>
      <w:pPr>
        <w:autoSpaceDE w:val="0"/>
        <w:autoSpaceDN w:val="0"/>
        <w:jc w:val="center"/>
        <w:rPr>
          <w:rFonts w:hint="eastAsia" w:ascii="宋体" w:hAnsi="宋体" w:eastAsia="宋体" w:cs="宋体"/>
          <w:b/>
          <w:color w:val="000000" w:themeColor="text1"/>
          <w:spacing w:val="6"/>
          <w:sz w:val="32"/>
          <w:szCs w:val="32"/>
          <w:highlight w:val="none"/>
          <w14:textFill>
            <w14:solidFill>
              <w14:schemeClr w14:val="tx1"/>
            </w14:solidFill>
          </w14:textFill>
        </w:rPr>
      </w:pPr>
    </w:p>
    <w:p>
      <w:pPr>
        <w:autoSpaceDE w:val="0"/>
        <w:autoSpaceDN w:val="0"/>
        <w:jc w:val="center"/>
        <w:rPr>
          <w:rFonts w:hint="eastAsia" w:ascii="宋体" w:hAnsi="宋体" w:eastAsia="宋体" w:cs="宋体"/>
          <w:b/>
          <w:color w:val="000000" w:themeColor="text1"/>
          <w:spacing w:val="6"/>
          <w:sz w:val="32"/>
          <w:szCs w:val="32"/>
          <w:highlight w:val="none"/>
          <w14:textFill>
            <w14:solidFill>
              <w14:schemeClr w14:val="tx1"/>
            </w14:solidFill>
          </w14:textFill>
        </w:rPr>
      </w:pPr>
    </w:p>
    <w:p>
      <w:pPr>
        <w:autoSpaceDE w:val="0"/>
        <w:autoSpaceDN w:val="0"/>
        <w:jc w:val="center"/>
        <w:rPr>
          <w:rFonts w:hint="eastAsia" w:ascii="宋体" w:hAnsi="宋体" w:eastAsia="宋体" w:cs="宋体"/>
          <w:b/>
          <w:color w:val="000000" w:themeColor="text1"/>
          <w:spacing w:val="6"/>
          <w:sz w:val="32"/>
          <w:szCs w:val="32"/>
          <w:highlight w:val="none"/>
          <w14:textFill>
            <w14:solidFill>
              <w14:schemeClr w14:val="tx1"/>
            </w14:solidFill>
          </w14:textFill>
        </w:rPr>
      </w:pPr>
    </w:p>
    <w:p>
      <w:pPr>
        <w:autoSpaceDE w:val="0"/>
        <w:autoSpaceDN w:val="0"/>
        <w:jc w:val="center"/>
        <w:rPr>
          <w:rFonts w:hint="eastAsia" w:ascii="宋体" w:hAnsi="宋体" w:eastAsia="宋体" w:cs="宋体"/>
          <w:b/>
          <w:color w:val="000000" w:themeColor="text1"/>
          <w:spacing w:val="6"/>
          <w:sz w:val="32"/>
          <w:szCs w:val="32"/>
          <w:highlight w:val="none"/>
          <w14:textFill>
            <w14:solidFill>
              <w14:schemeClr w14:val="tx1"/>
            </w14:solidFill>
          </w14:textFill>
        </w:rPr>
      </w:pPr>
    </w:p>
    <w:p>
      <w:pPr>
        <w:autoSpaceDE w:val="0"/>
        <w:autoSpaceDN w:val="0"/>
        <w:jc w:val="center"/>
        <w:rPr>
          <w:rFonts w:hint="eastAsia" w:ascii="宋体" w:hAnsi="宋体" w:eastAsia="宋体" w:cs="宋体"/>
          <w:b/>
          <w:color w:val="000000" w:themeColor="text1"/>
          <w:spacing w:val="6"/>
          <w:sz w:val="32"/>
          <w:szCs w:val="32"/>
          <w:highlight w:val="none"/>
          <w14:textFill>
            <w14:solidFill>
              <w14:schemeClr w14:val="tx1"/>
            </w14:solidFill>
          </w14:textFill>
        </w:rPr>
      </w:pPr>
    </w:p>
    <w:p>
      <w:pPr>
        <w:autoSpaceDE w:val="0"/>
        <w:autoSpaceDN w:val="0"/>
        <w:jc w:val="center"/>
        <w:rPr>
          <w:rFonts w:hint="eastAsia" w:ascii="宋体" w:hAnsi="宋体" w:eastAsia="宋体" w:cs="宋体"/>
          <w:b/>
          <w:color w:val="000000" w:themeColor="text1"/>
          <w:spacing w:val="6"/>
          <w:sz w:val="32"/>
          <w:szCs w:val="32"/>
          <w:highlight w:val="none"/>
          <w14:textFill>
            <w14:solidFill>
              <w14:schemeClr w14:val="tx1"/>
            </w14:solidFill>
          </w14:textFill>
        </w:rPr>
      </w:pPr>
    </w:p>
    <w:p>
      <w:pPr>
        <w:autoSpaceDE w:val="0"/>
        <w:autoSpaceDN w:val="0"/>
        <w:jc w:val="center"/>
        <w:rPr>
          <w:rFonts w:hint="eastAsia" w:ascii="宋体" w:hAnsi="宋体" w:eastAsia="宋体" w:cs="宋体"/>
          <w:b/>
          <w:color w:val="000000" w:themeColor="text1"/>
          <w:spacing w:val="6"/>
          <w:sz w:val="32"/>
          <w:szCs w:val="32"/>
          <w:highlight w:val="none"/>
          <w14:textFill>
            <w14:solidFill>
              <w14:schemeClr w14:val="tx1"/>
            </w14:solidFill>
          </w14:textFill>
        </w:rPr>
      </w:pPr>
    </w:p>
    <w:p>
      <w:pPr>
        <w:autoSpaceDE w:val="0"/>
        <w:autoSpaceDN w:val="0"/>
        <w:jc w:val="center"/>
        <w:rPr>
          <w:rFonts w:hint="eastAsia" w:ascii="宋体" w:hAnsi="宋体" w:eastAsia="宋体" w:cs="宋体"/>
          <w:b/>
          <w:color w:val="000000" w:themeColor="text1"/>
          <w:spacing w:val="6"/>
          <w:sz w:val="32"/>
          <w:szCs w:val="32"/>
          <w:highlight w:val="none"/>
          <w14:textFill>
            <w14:solidFill>
              <w14:schemeClr w14:val="tx1"/>
            </w14:solidFill>
          </w14:textFill>
        </w:rPr>
      </w:pPr>
    </w:p>
    <w:p>
      <w:pPr>
        <w:autoSpaceDE w:val="0"/>
        <w:autoSpaceDN w:val="0"/>
        <w:jc w:val="center"/>
        <w:rPr>
          <w:rFonts w:hint="eastAsia" w:ascii="宋体" w:hAnsi="宋体" w:eastAsia="宋体" w:cs="宋体"/>
          <w:b/>
          <w:color w:val="000000" w:themeColor="text1"/>
          <w:spacing w:val="6"/>
          <w:sz w:val="32"/>
          <w:szCs w:val="32"/>
          <w:highlight w:val="none"/>
          <w14:textFill>
            <w14:solidFill>
              <w14:schemeClr w14:val="tx1"/>
            </w14:solidFill>
          </w14:textFill>
        </w:rPr>
      </w:pPr>
    </w:p>
    <w:p>
      <w:pPr>
        <w:autoSpaceDE w:val="0"/>
        <w:autoSpaceDN w:val="0"/>
        <w:jc w:val="center"/>
        <w:rPr>
          <w:rFonts w:hint="eastAsia" w:ascii="宋体" w:hAnsi="宋体" w:eastAsia="宋体" w:cs="宋体"/>
          <w:b/>
          <w:color w:val="000000" w:themeColor="text1"/>
          <w:spacing w:val="6"/>
          <w:sz w:val="32"/>
          <w:szCs w:val="32"/>
          <w:highlight w:val="none"/>
          <w14:textFill>
            <w14:solidFill>
              <w14:schemeClr w14:val="tx1"/>
            </w14:solidFill>
          </w14:textFill>
        </w:rPr>
      </w:pPr>
    </w:p>
    <w:p>
      <w:pPr>
        <w:autoSpaceDE w:val="0"/>
        <w:autoSpaceDN w:val="0"/>
        <w:jc w:val="center"/>
        <w:rPr>
          <w:rFonts w:hint="eastAsia" w:ascii="宋体" w:hAnsi="宋体" w:eastAsia="宋体" w:cs="宋体"/>
          <w:b/>
          <w:color w:val="000000" w:themeColor="text1"/>
          <w:spacing w:val="6"/>
          <w:sz w:val="32"/>
          <w:szCs w:val="32"/>
          <w:highlight w:val="none"/>
          <w14:textFill>
            <w14:solidFill>
              <w14:schemeClr w14:val="tx1"/>
            </w14:solidFill>
          </w14:textFill>
        </w:rPr>
      </w:pPr>
    </w:p>
    <w:p>
      <w:pPr>
        <w:autoSpaceDE w:val="0"/>
        <w:autoSpaceDN w:val="0"/>
        <w:jc w:val="center"/>
        <w:rPr>
          <w:rFonts w:hint="eastAsia" w:ascii="宋体" w:hAnsi="宋体" w:eastAsia="宋体" w:cs="宋体"/>
          <w:b/>
          <w:color w:val="000000" w:themeColor="text1"/>
          <w:spacing w:val="6"/>
          <w:sz w:val="32"/>
          <w:szCs w:val="32"/>
          <w:highlight w:val="none"/>
          <w14:textFill>
            <w14:solidFill>
              <w14:schemeClr w14:val="tx1"/>
            </w14:solidFill>
          </w14:textFill>
        </w:rPr>
      </w:pPr>
    </w:p>
    <w:p>
      <w:pPr>
        <w:autoSpaceDE w:val="0"/>
        <w:autoSpaceDN w:val="0"/>
        <w:jc w:val="center"/>
        <w:rPr>
          <w:rFonts w:hint="eastAsia" w:ascii="宋体" w:hAnsi="宋体" w:eastAsia="宋体" w:cs="宋体"/>
          <w:b/>
          <w:color w:val="000000" w:themeColor="text1"/>
          <w:spacing w:val="6"/>
          <w:sz w:val="32"/>
          <w:szCs w:val="32"/>
          <w:highlight w:val="none"/>
          <w14:textFill>
            <w14:solidFill>
              <w14:schemeClr w14:val="tx1"/>
            </w14:solidFill>
          </w14:textFill>
        </w:rPr>
      </w:pPr>
    </w:p>
    <w:p>
      <w:pPr>
        <w:spacing w:line="360" w:lineRule="auto"/>
        <w:jc w:val="left"/>
        <w:outlineLvl w:val="0"/>
        <w:rPr>
          <w:rFonts w:hint="eastAsia" w:ascii="宋体" w:hAnsi="宋体" w:eastAsia="宋体" w:cs="宋体"/>
          <w:b/>
          <w:color w:val="000000" w:themeColor="text1"/>
          <w:sz w:val="32"/>
          <w:szCs w:val="18"/>
          <w:highlight w:val="none"/>
          <w14:textFill>
            <w14:solidFill>
              <w14:schemeClr w14:val="tx1"/>
            </w14:solidFill>
          </w14:textFill>
        </w:rPr>
      </w:pPr>
      <w:r>
        <w:rPr>
          <w:rFonts w:hint="eastAsia" w:ascii="宋体" w:hAnsi="宋体" w:eastAsia="宋体" w:cs="宋体"/>
          <w:b/>
          <w:color w:val="000000" w:themeColor="text1"/>
          <w:sz w:val="32"/>
          <w:szCs w:val="18"/>
          <w:highlight w:val="none"/>
          <w14:textFill>
            <w14:solidFill>
              <w14:schemeClr w14:val="tx1"/>
            </w14:solidFill>
          </w14:textFill>
        </w:rPr>
        <w:t>附件7：</w:t>
      </w:r>
    </w:p>
    <w:p>
      <w:pPr>
        <w:spacing w:line="360" w:lineRule="auto"/>
        <w:jc w:val="center"/>
        <w:outlineLvl w:val="0"/>
        <w:rPr>
          <w:rFonts w:hint="eastAsia" w:ascii="宋体" w:hAnsi="宋体" w:eastAsia="宋体" w:cs="宋体"/>
          <w:b/>
          <w:color w:val="000000" w:themeColor="text1"/>
          <w:sz w:val="36"/>
          <w:szCs w:val="20"/>
          <w:highlight w:val="none"/>
          <w14:textFill>
            <w14:solidFill>
              <w14:schemeClr w14:val="tx1"/>
            </w14:solidFill>
          </w14:textFill>
        </w:rPr>
      </w:pPr>
      <w:r>
        <w:rPr>
          <w:rFonts w:hint="eastAsia" w:ascii="宋体" w:hAnsi="宋体" w:eastAsia="宋体" w:cs="宋体"/>
          <w:b/>
          <w:color w:val="000000" w:themeColor="text1"/>
          <w:sz w:val="36"/>
          <w:szCs w:val="20"/>
          <w:highlight w:val="none"/>
          <w14:textFill>
            <w14:solidFill>
              <w14:schemeClr w14:val="tx1"/>
            </w14:solidFill>
          </w14:textFill>
        </w:rPr>
        <w:t>中小企业声明函</w:t>
      </w:r>
    </w:p>
    <w:p>
      <w:pPr>
        <w:spacing w:line="360" w:lineRule="auto"/>
        <w:jc w:val="center"/>
        <w:rPr>
          <w:rFonts w:hint="eastAsia" w:ascii="宋体" w:hAnsi="宋体" w:eastAsia="宋体" w:cs="宋体"/>
          <w:color w:val="000000" w:themeColor="text1"/>
          <w:sz w:val="24"/>
          <w:highlight w:val="none"/>
          <w:u w:val="single"/>
          <w14:textFill>
            <w14:solidFill>
              <w14:schemeClr w14:val="tx1"/>
            </w14:solidFill>
          </w14:textFill>
        </w:rPr>
      </w:pPr>
    </w:p>
    <w:p>
      <w:pPr>
        <w:spacing w:line="360" w:lineRule="auto"/>
        <w:jc w:val="center"/>
        <w:rPr>
          <w:rFonts w:hint="eastAsia" w:ascii="宋体" w:hAnsi="宋体" w:eastAsia="宋体" w:cs="宋体"/>
          <w:b/>
          <w:color w:val="000000" w:themeColor="text1"/>
          <w:sz w:val="32"/>
          <w:szCs w:val="32"/>
          <w:highlight w:val="none"/>
          <w14:textFill>
            <w14:solidFill>
              <w14:schemeClr w14:val="tx1"/>
            </w14:solidFill>
          </w14:textFill>
        </w:rPr>
      </w:pPr>
      <w:r>
        <w:rPr>
          <w:rFonts w:hint="eastAsia" w:ascii="宋体" w:hAnsi="宋体" w:eastAsia="宋体" w:cs="宋体"/>
          <w:b/>
          <w:color w:val="000000" w:themeColor="text1"/>
          <w:sz w:val="32"/>
          <w:szCs w:val="32"/>
          <w:highlight w:val="none"/>
          <w14:textFill>
            <w14:solidFill>
              <w14:schemeClr w14:val="tx1"/>
            </w14:solidFill>
          </w14:textFill>
        </w:rPr>
        <w:t>中小企业声明函（服务）</w:t>
      </w:r>
    </w:p>
    <w:p>
      <w:pPr>
        <w:spacing w:line="360" w:lineRule="auto"/>
        <w:ind w:firstLine="360" w:firstLineChars="150"/>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 xml:space="preserve">本公司（联合体）郑重声明，根据《政府采购促进中小企业发展管理办法》（财库﹝2020﹞46 号）的规定，本公司（联合体）参加 </w:t>
      </w:r>
      <w:r>
        <w:rPr>
          <w:rFonts w:hint="eastAsia" w:ascii="宋体" w:hAnsi="宋体" w:eastAsia="宋体" w:cs="宋体"/>
          <w:color w:val="000000" w:themeColor="text1"/>
          <w:sz w:val="24"/>
          <w:highlight w:val="none"/>
          <w:u w:val="single"/>
          <w:lang w:eastAsia="zh-CN"/>
          <w14:textFill>
            <w14:solidFill>
              <w14:schemeClr w14:val="tx1"/>
            </w14:solidFill>
          </w14:textFill>
        </w:rPr>
        <w:t>杭州市拱墅区综合行政执法局</w:t>
      </w:r>
      <w:r>
        <w:rPr>
          <w:rFonts w:hint="eastAsia" w:ascii="宋体" w:hAnsi="宋体" w:eastAsia="宋体" w:cs="宋体"/>
          <w:color w:val="000000" w:themeColor="text1"/>
          <w:sz w:val="24"/>
          <w:highlight w:val="none"/>
          <w:u w:val="single"/>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的</w:t>
      </w:r>
      <w:r>
        <w:rPr>
          <w:rFonts w:hint="eastAsia" w:ascii="宋体" w:hAnsi="宋体" w:eastAsia="宋体" w:cs="宋体"/>
          <w:color w:val="000000" w:themeColor="text1"/>
          <w:sz w:val="24"/>
          <w:highlight w:val="none"/>
          <w:u w:val="single"/>
          <w14:textFill>
            <w14:solidFill>
              <w14:schemeClr w14:val="tx1"/>
            </w14:solidFill>
          </w14:textFill>
        </w:rPr>
        <w:t xml:space="preserve"> </w:t>
      </w:r>
      <w:r>
        <w:rPr>
          <w:rFonts w:hint="eastAsia" w:ascii="宋体" w:hAnsi="宋体" w:eastAsia="宋体" w:cs="宋体"/>
          <w:color w:val="000000" w:themeColor="text1"/>
          <w:sz w:val="24"/>
          <w:highlight w:val="none"/>
          <w:u w:val="single"/>
          <w:lang w:eastAsia="zh-CN"/>
          <w14:textFill>
            <w14:solidFill>
              <w14:schemeClr w14:val="tx1"/>
            </w14:solidFill>
          </w14:textFill>
        </w:rPr>
        <w:t>拱墅区临丁路等7条、东新路等8条市属区管道路市政环卫一体化综合养护服务项目（标项           ）</w:t>
      </w:r>
      <w:r>
        <w:rPr>
          <w:rFonts w:hint="eastAsia" w:ascii="宋体" w:hAnsi="宋体" w:eastAsia="宋体" w:cs="宋体"/>
          <w:color w:val="000000" w:themeColor="text1"/>
          <w:sz w:val="24"/>
          <w:highlight w:val="none"/>
          <w:u w:val="single"/>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w:t>
      </w:r>
      <w:r>
        <w:rPr>
          <w:rFonts w:hint="eastAsia" w:ascii="宋体" w:hAnsi="宋体" w:eastAsia="宋体" w:cs="宋体"/>
          <w:color w:val="000000" w:themeColor="text1"/>
          <w:highlight w:val="none"/>
          <w14:textFill>
            <w14:solidFill>
              <w14:schemeClr w14:val="tx1"/>
            </w14:solidFill>
          </w14:textFill>
        </w:rPr>
        <w:t xml:space="preserve"> </w:t>
      </w:r>
      <w:r>
        <w:rPr>
          <w:rFonts w:hint="eastAsia" w:ascii="宋体" w:hAnsi="宋体" w:eastAsia="宋体" w:cs="宋体"/>
          <w:color w:val="000000" w:themeColor="text1"/>
          <w:sz w:val="24"/>
          <w:highlight w:val="none"/>
          <w:u w:val="single"/>
          <w14:textFill>
            <w14:solidFill>
              <w14:schemeClr w14:val="tx1"/>
            </w14:solidFill>
          </w14:textFill>
        </w:rPr>
        <w:t>（标的名称）</w:t>
      </w:r>
      <w:r>
        <w:rPr>
          <w:rFonts w:hint="eastAsia" w:ascii="宋体" w:hAnsi="宋体" w:eastAsia="宋体" w:cs="宋体"/>
          <w:color w:val="000000" w:themeColor="text1"/>
          <w:sz w:val="24"/>
          <w:highlight w:val="none"/>
          <w14:textFill>
            <w14:solidFill>
              <w14:schemeClr w14:val="tx1"/>
            </w14:solidFill>
          </w14:textFill>
        </w:rPr>
        <w:t>，属于</w:t>
      </w:r>
      <w:r>
        <w:rPr>
          <w:rFonts w:hint="eastAsia" w:ascii="宋体" w:hAnsi="宋体" w:eastAsia="宋体" w:cs="宋体"/>
          <w:color w:val="000000" w:themeColor="text1"/>
          <w:sz w:val="24"/>
          <w:highlight w:val="none"/>
          <w:u w:val="single"/>
          <w14:textFill>
            <w14:solidFill>
              <w14:schemeClr w14:val="tx1"/>
            </w14:solidFill>
          </w14:textFill>
        </w:rPr>
        <w:t xml:space="preserve"> （采购文件中明确的所属行业）</w:t>
      </w:r>
      <w:r>
        <w:rPr>
          <w:rFonts w:hint="eastAsia" w:ascii="宋体" w:hAnsi="宋体" w:eastAsia="宋体" w:cs="宋体"/>
          <w:color w:val="000000" w:themeColor="text1"/>
          <w:sz w:val="24"/>
          <w:highlight w:val="none"/>
          <w14:textFill>
            <w14:solidFill>
              <w14:schemeClr w14:val="tx1"/>
            </w14:solidFill>
          </w14:textFill>
        </w:rPr>
        <w:t xml:space="preserve"> ；承建（承接）企业为 </w:t>
      </w:r>
      <w:r>
        <w:rPr>
          <w:rFonts w:hint="eastAsia" w:ascii="宋体" w:hAnsi="宋体" w:eastAsia="宋体" w:cs="宋体"/>
          <w:color w:val="000000" w:themeColor="text1"/>
          <w:sz w:val="24"/>
          <w:highlight w:val="none"/>
          <w:u w:val="single"/>
          <w14:textFill>
            <w14:solidFill>
              <w14:schemeClr w14:val="tx1"/>
            </w14:solidFill>
          </w14:textFill>
        </w:rPr>
        <w:t>（企业名称）</w:t>
      </w:r>
      <w:r>
        <w:rPr>
          <w:rFonts w:hint="eastAsia" w:ascii="宋体" w:hAnsi="宋体" w:eastAsia="宋体" w:cs="宋体"/>
          <w:color w:val="000000" w:themeColor="text1"/>
          <w:sz w:val="24"/>
          <w:highlight w:val="none"/>
          <w14:textFill>
            <w14:solidFill>
              <w14:schemeClr w14:val="tx1"/>
            </w14:solidFill>
          </w14:textFill>
        </w:rPr>
        <w:t xml:space="preserve"> ，从业人员</w:t>
      </w:r>
      <w:r>
        <w:rPr>
          <w:rFonts w:hint="eastAsia" w:ascii="宋体" w:hAnsi="宋体" w:eastAsia="宋体" w:cs="宋体"/>
          <w:color w:val="000000" w:themeColor="text1"/>
          <w:sz w:val="24"/>
          <w:highlight w:val="none"/>
          <w:u w:val="single"/>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人，营业收入为</w:t>
      </w:r>
      <w:r>
        <w:rPr>
          <w:rFonts w:hint="eastAsia" w:ascii="宋体" w:hAnsi="宋体" w:eastAsia="宋体" w:cs="宋体"/>
          <w:color w:val="000000" w:themeColor="text1"/>
          <w:sz w:val="24"/>
          <w:highlight w:val="none"/>
          <w:u w:val="single"/>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万元，资产总额为</w:t>
      </w:r>
      <w:r>
        <w:rPr>
          <w:rFonts w:hint="eastAsia" w:ascii="宋体" w:hAnsi="宋体" w:eastAsia="宋体" w:cs="宋体"/>
          <w:color w:val="000000" w:themeColor="text1"/>
          <w:sz w:val="24"/>
          <w:highlight w:val="none"/>
          <w:u w:val="single"/>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万元属于</w:t>
      </w:r>
      <w:r>
        <w:rPr>
          <w:rFonts w:hint="eastAsia" w:ascii="宋体" w:hAnsi="宋体" w:eastAsia="宋体" w:cs="宋体"/>
          <w:color w:val="000000" w:themeColor="text1"/>
          <w:sz w:val="24"/>
          <w:highlight w:val="none"/>
          <w:u w:val="single"/>
          <w14:textFill>
            <w14:solidFill>
              <w14:schemeClr w14:val="tx1"/>
            </w14:solidFill>
          </w14:textFill>
        </w:rPr>
        <w:t xml:space="preserve"> （中型企业、小型企业、微型企业） </w:t>
      </w:r>
      <w:r>
        <w:rPr>
          <w:rFonts w:hint="eastAsia" w:ascii="宋体" w:hAnsi="宋体" w:eastAsia="宋体" w:cs="宋体"/>
          <w:color w:val="000000" w:themeColor="text1"/>
          <w:sz w:val="24"/>
          <w:highlight w:val="none"/>
          <w14:textFill>
            <w14:solidFill>
              <w14:schemeClr w14:val="tx1"/>
            </w14:solidFill>
          </w14:textFill>
        </w:rPr>
        <w:t>；</w:t>
      </w:r>
    </w:p>
    <w:p>
      <w:pPr>
        <w:spacing w:line="360" w:lineRule="auto"/>
        <w:ind w:firstLine="480" w:firstLineChars="200"/>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w:t>
      </w:r>
      <w:r>
        <w:rPr>
          <w:rFonts w:hint="eastAsia" w:ascii="宋体" w:hAnsi="宋体" w:eastAsia="宋体" w:cs="宋体"/>
          <w:color w:val="000000" w:themeColor="text1"/>
          <w:sz w:val="24"/>
          <w:highlight w:val="none"/>
          <w:u w:val="single"/>
          <w14:textFill>
            <w14:solidFill>
              <w14:schemeClr w14:val="tx1"/>
            </w14:solidFill>
          </w14:textFill>
        </w:rPr>
        <w:t xml:space="preserve"> （标的名称），</w:t>
      </w:r>
      <w:r>
        <w:rPr>
          <w:rFonts w:hint="eastAsia" w:ascii="宋体" w:hAnsi="宋体" w:eastAsia="宋体" w:cs="宋体"/>
          <w:color w:val="000000" w:themeColor="text1"/>
          <w:sz w:val="24"/>
          <w:highlight w:val="none"/>
          <w14:textFill>
            <w14:solidFill>
              <w14:schemeClr w14:val="tx1"/>
            </w14:solidFill>
          </w14:textFill>
        </w:rPr>
        <w:t xml:space="preserve">属于 </w:t>
      </w:r>
      <w:r>
        <w:rPr>
          <w:rFonts w:hint="eastAsia" w:ascii="宋体" w:hAnsi="宋体" w:eastAsia="宋体" w:cs="宋体"/>
          <w:color w:val="000000" w:themeColor="text1"/>
          <w:sz w:val="24"/>
          <w:highlight w:val="none"/>
          <w:u w:val="single"/>
          <w14:textFill>
            <w14:solidFill>
              <w14:schemeClr w14:val="tx1"/>
            </w14:solidFill>
          </w14:textFill>
        </w:rPr>
        <w:t xml:space="preserve">（采购文件中明确的所属行业） </w:t>
      </w:r>
      <w:r>
        <w:rPr>
          <w:rFonts w:hint="eastAsia" w:ascii="宋体" w:hAnsi="宋体" w:eastAsia="宋体" w:cs="宋体"/>
          <w:color w:val="000000" w:themeColor="text1"/>
          <w:sz w:val="24"/>
          <w:highlight w:val="none"/>
          <w14:textFill>
            <w14:solidFill>
              <w14:schemeClr w14:val="tx1"/>
            </w14:solidFill>
          </w14:textFill>
        </w:rPr>
        <w:t xml:space="preserve">；承建（承接）企业为 </w:t>
      </w:r>
      <w:r>
        <w:rPr>
          <w:rFonts w:hint="eastAsia" w:ascii="宋体" w:hAnsi="宋体" w:eastAsia="宋体" w:cs="宋体"/>
          <w:color w:val="000000" w:themeColor="text1"/>
          <w:sz w:val="24"/>
          <w:highlight w:val="none"/>
          <w:u w:val="single"/>
          <w14:textFill>
            <w14:solidFill>
              <w14:schemeClr w14:val="tx1"/>
            </w14:solidFill>
          </w14:textFill>
        </w:rPr>
        <w:t>（企业名称）</w:t>
      </w:r>
      <w:r>
        <w:rPr>
          <w:rFonts w:hint="eastAsia" w:ascii="宋体" w:hAnsi="宋体" w:eastAsia="宋体" w:cs="宋体"/>
          <w:color w:val="000000" w:themeColor="text1"/>
          <w:sz w:val="24"/>
          <w:highlight w:val="none"/>
          <w14:textFill>
            <w14:solidFill>
              <w14:schemeClr w14:val="tx1"/>
            </w14:solidFill>
          </w14:textFill>
        </w:rPr>
        <w:t xml:space="preserve"> ，从业人员</w:t>
      </w:r>
      <w:r>
        <w:rPr>
          <w:rFonts w:hint="eastAsia" w:ascii="宋体" w:hAnsi="宋体" w:eastAsia="宋体" w:cs="宋体"/>
          <w:color w:val="000000" w:themeColor="text1"/>
          <w:sz w:val="24"/>
          <w:highlight w:val="none"/>
          <w:u w:val="single"/>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人，营业收入为</w:t>
      </w:r>
      <w:r>
        <w:rPr>
          <w:rFonts w:hint="eastAsia" w:ascii="宋体" w:hAnsi="宋体" w:eastAsia="宋体" w:cs="宋体"/>
          <w:color w:val="000000" w:themeColor="text1"/>
          <w:sz w:val="24"/>
          <w:highlight w:val="none"/>
          <w:u w:val="single"/>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万元，资产总额为</w:t>
      </w:r>
      <w:r>
        <w:rPr>
          <w:rFonts w:hint="eastAsia" w:ascii="宋体" w:hAnsi="宋体" w:eastAsia="宋体" w:cs="宋体"/>
          <w:color w:val="000000" w:themeColor="text1"/>
          <w:sz w:val="24"/>
          <w:highlight w:val="none"/>
          <w:u w:val="single"/>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万元属于</w:t>
      </w:r>
      <w:r>
        <w:rPr>
          <w:rFonts w:hint="eastAsia" w:ascii="宋体" w:hAnsi="宋体" w:eastAsia="宋体" w:cs="宋体"/>
          <w:color w:val="000000" w:themeColor="text1"/>
          <w:sz w:val="24"/>
          <w:highlight w:val="none"/>
          <w:u w:val="single"/>
          <w14:textFill>
            <w14:solidFill>
              <w14:schemeClr w14:val="tx1"/>
            </w14:solidFill>
          </w14:textFill>
        </w:rPr>
        <w:t xml:space="preserve"> （中型企业、小型企业、微型企业） </w:t>
      </w:r>
      <w:r>
        <w:rPr>
          <w:rFonts w:hint="eastAsia" w:ascii="宋体" w:hAnsi="宋体" w:eastAsia="宋体" w:cs="宋体"/>
          <w:color w:val="000000" w:themeColor="text1"/>
          <w:sz w:val="24"/>
          <w:highlight w:val="none"/>
          <w14:textFill>
            <w14:solidFill>
              <w14:schemeClr w14:val="tx1"/>
            </w14:solidFill>
          </w14:textFill>
        </w:rPr>
        <w:t>；</w:t>
      </w:r>
    </w:p>
    <w:p>
      <w:pPr>
        <w:spacing w:line="360" w:lineRule="auto"/>
        <w:ind w:firstLine="480" w:firstLineChars="200"/>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w:t>
      </w:r>
    </w:p>
    <w:p>
      <w:pPr>
        <w:spacing w:line="360" w:lineRule="auto"/>
        <w:ind w:firstLine="480" w:firstLineChars="200"/>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以上企业，不属于大企业的分支机构，不存在控股股东为大企业的情形，也不存在与大企业的负责人为同一人的情形。</w:t>
      </w:r>
    </w:p>
    <w:p>
      <w:pPr>
        <w:spacing w:line="360" w:lineRule="auto"/>
        <w:ind w:firstLine="480" w:firstLineChars="200"/>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本企业对上述声明内容的真实性负责。如有虚假，将依法承担相应责任。</w:t>
      </w:r>
    </w:p>
    <w:p>
      <w:pPr>
        <w:spacing w:line="360" w:lineRule="auto"/>
        <w:ind w:right="1760"/>
        <w:jc w:val="righ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lang w:eastAsia="zh-CN"/>
          <w14:textFill>
            <w14:solidFill>
              <w14:schemeClr w14:val="tx1"/>
            </w14:solidFill>
          </w14:textFill>
        </w:rPr>
        <w:t>供应商</w:t>
      </w:r>
      <w:r>
        <w:rPr>
          <w:rFonts w:hint="eastAsia" w:ascii="宋体" w:hAnsi="宋体" w:eastAsia="宋体" w:cs="宋体"/>
          <w:color w:val="000000" w:themeColor="text1"/>
          <w:sz w:val="24"/>
          <w:highlight w:val="none"/>
          <w14:textFill>
            <w14:solidFill>
              <w14:schemeClr w14:val="tx1"/>
            </w14:solidFill>
          </w14:textFill>
        </w:rPr>
        <w:t>名称（电子签名）：</w:t>
      </w:r>
    </w:p>
    <w:p>
      <w:pPr>
        <w:spacing w:line="360" w:lineRule="auto"/>
        <w:ind w:right="1120" w:firstLine="4680" w:firstLineChars="195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日 期：</w:t>
      </w:r>
    </w:p>
    <w:p>
      <w:pPr>
        <w:spacing w:line="360" w:lineRule="auto"/>
        <w:ind w:firstLine="310" w:firstLineChars="147"/>
        <w:jc w:val="left"/>
        <w:rPr>
          <w:rFonts w:hint="eastAsia" w:ascii="宋体" w:hAnsi="宋体" w:eastAsia="宋体" w:cs="宋体"/>
          <w:b/>
          <w:color w:val="000000" w:themeColor="text1"/>
          <w:szCs w:val="21"/>
          <w:highlight w:val="none"/>
          <w14:textFill>
            <w14:solidFill>
              <w14:schemeClr w14:val="tx1"/>
            </w14:solidFill>
          </w14:textFill>
        </w:rPr>
      </w:pPr>
      <w:r>
        <w:rPr>
          <w:rFonts w:hint="eastAsia" w:ascii="宋体" w:hAnsi="宋体" w:eastAsia="宋体" w:cs="宋体"/>
          <w:b/>
          <w:color w:val="000000" w:themeColor="text1"/>
          <w:szCs w:val="21"/>
          <w:highlight w:val="none"/>
          <w14:textFill>
            <w14:solidFill>
              <w14:schemeClr w14:val="tx1"/>
            </w14:solidFill>
          </w14:textFill>
        </w:rPr>
        <w:t>从业人员、营业收入、资产总额填报上一年度数据，无上一年度数据的新成立企业可不填报。</w:t>
      </w:r>
    </w:p>
    <w:p>
      <w:pPr>
        <w:spacing w:line="360" w:lineRule="auto"/>
        <w:ind w:right="420"/>
        <w:rPr>
          <w:rFonts w:hint="eastAsia" w:ascii="宋体" w:hAnsi="宋体" w:eastAsia="宋体" w:cs="宋体"/>
          <w:color w:val="000000" w:themeColor="text1"/>
          <w:sz w:val="24"/>
          <w:highlight w:val="none"/>
          <w14:textFill>
            <w14:solidFill>
              <w14:schemeClr w14:val="tx1"/>
            </w14:solidFill>
          </w14:textFill>
        </w:rPr>
      </w:pPr>
    </w:p>
    <w:p>
      <w:pPr>
        <w:spacing w:line="360" w:lineRule="auto"/>
        <w:ind w:right="42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 xml:space="preserve">   注：</w:t>
      </w:r>
    </w:p>
    <w:p>
      <w:pPr>
        <w:spacing w:line="360" w:lineRule="auto"/>
        <w:ind w:right="420"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1、填写要求：①“标的名称”、“采购文件中明确的所属行业”依据</w:t>
      </w:r>
      <w:r>
        <w:rPr>
          <w:rFonts w:hint="eastAsia" w:ascii="宋体" w:hAnsi="宋体" w:eastAsia="宋体" w:cs="宋体"/>
          <w:color w:val="000000" w:themeColor="text1"/>
          <w:sz w:val="24"/>
          <w:highlight w:val="none"/>
          <w:lang w:eastAsia="zh-CN"/>
          <w14:textFill>
            <w14:solidFill>
              <w14:schemeClr w14:val="tx1"/>
            </w14:solidFill>
          </w14:textFill>
        </w:rPr>
        <w:t>投标文件</w:t>
      </w:r>
      <w:r>
        <w:rPr>
          <w:rFonts w:hint="eastAsia" w:ascii="宋体" w:hAnsi="宋体" w:eastAsia="宋体" w:cs="宋体"/>
          <w:color w:val="000000" w:themeColor="text1"/>
          <w:sz w:val="24"/>
          <w:highlight w:val="none"/>
          <w14:textFill>
            <w14:solidFill>
              <w14:schemeClr w14:val="tx1"/>
            </w14:solidFill>
          </w14:textFill>
        </w:rPr>
        <w:t>第二部分</w:t>
      </w:r>
      <w:r>
        <w:rPr>
          <w:rFonts w:hint="eastAsia" w:ascii="宋体" w:hAnsi="宋体" w:eastAsia="宋体" w:cs="宋体"/>
          <w:color w:val="000000" w:themeColor="text1"/>
          <w:sz w:val="24"/>
          <w:highlight w:val="none"/>
          <w:lang w:eastAsia="zh-CN"/>
          <w14:textFill>
            <w14:solidFill>
              <w14:schemeClr w14:val="tx1"/>
            </w14:solidFill>
          </w14:textFill>
        </w:rPr>
        <w:t>供应商</w:t>
      </w:r>
      <w:r>
        <w:rPr>
          <w:rFonts w:hint="eastAsia" w:ascii="宋体" w:hAnsi="宋体" w:eastAsia="宋体" w:cs="宋体"/>
          <w:color w:val="000000" w:themeColor="text1"/>
          <w:sz w:val="24"/>
          <w:highlight w:val="none"/>
          <w14:textFill>
            <w14:solidFill>
              <w14:schemeClr w14:val="tx1"/>
            </w14:solidFill>
          </w14:textFill>
        </w:rPr>
        <w:t>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w:t>
      </w:r>
      <w:r>
        <w:rPr>
          <w:rFonts w:hint="eastAsia" w:ascii="宋体" w:hAnsi="宋体" w:eastAsia="宋体" w:cs="宋体"/>
          <w:color w:val="000000" w:themeColor="text1"/>
          <w:sz w:val="24"/>
          <w:highlight w:val="none"/>
          <w:lang w:eastAsia="zh-CN"/>
          <w14:textFill>
            <w14:solidFill>
              <w14:schemeClr w14:val="tx1"/>
            </w14:solidFill>
          </w14:textFill>
        </w:rPr>
        <w:t>供应商</w:t>
      </w:r>
      <w:r>
        <w:rPr>
          <w:rFonts w:hint="eastAsia" w:ascii="宋体" w:hAnsi="宋体" w:eastAsia="宋体" w:cs="宋体"/>
          <w:color w:val="000000" w:themeColor="text1"/>
          <w:sz w:val="24"/>
          <w:highlight w:val="none"/>
          <w14:textFill>
            <w14:solidFill>
              <w14:schemeClr w14:val="tx1"/>
            </w14:solidFill>
          </w14:textFill>
        </w:rPr>
        <w:t>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720" w:firstLineChars="3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w:t>
      </w:r>
      <w:r>
        <w:rPr>
          <w:rFonts w:hint="eastAsia" w:ascii="宋体" w:hAnsi="宋体" w:eastAsia="宋体" w:cs="宋体"/>
          <w:color w:val="000000" w:themeColor="text1"/>
          <w:sz w:val="24"/>
          <w:highlight w:val="none"/>
          <w:lang w:eastAsia="zh-CN"/>
          <w14:textFill>
            <w14:solidFill>
              <w14:schemeClr w14:val="tx1"/>
            </w14:solidFill>
          </w14:textFill>
        </w:rPr>
        <w:t>供应商</w:t>
      </w:r>
      <w:r>
        <w:rPr>
          <w:rFonts w:hint="eastAsia" w:ascii="宋体" w:hAnsi="宋体" w:eastAsia="宋体" w:cs="宋体"/>
          <w:color w:val="000000" w:themeColor="text1"/>
          <w:sz w:val="24"/>
          <w:highlight w:val="none"/>
          <w14:textFill>
            <w14:solidFill>
              <w14:schemeClr w14:val="tx1"/>
            </w14:solidFill>
          </w14:textFill>
        </w:rPr>
        <w:t>提供由省级以上监狱管理局、戒毒管理局（含新疆生产建设兵团）出具的属于监狱企业证明文件的，视同为小型和微型企业。</w:t>
      </w:r>
    </w:p>
    <w:p>
      <w:pPr>
        <w:pStyle w:val="2"/>
        <w:rPr>
          <w:rFonts w:hint="eastAsia" w:ascii="宋体" w:hAnsi="宋体" w:eastAsia="宋体" w:cs="宋体"/>
          <w:color w:val="000000" w:themeColor="text1"/>
          <w:sz w:val="24"/>
          <w:highlight w:val="none"/>
          <w14:textFill>
            <w14:solidFill>
              <w14:schemeClr w14:val="tx1"/>
            </w14:solidFill>
          </w14:textFill>
        </w:rPr>
      </w:pPr>
    </w:p>
    <w:p>
      <w:pPr>
        <w:pStyle w:val="4"/>
        <w:rPr>
          <w:rFonts w:hint="eastAsia" w:ascii="宋体" w:hAnsi="宋体" w:eastAsia="宋体" w:cs="宋体"/>
          <w:color w:val="000000" w:themeColor="text1"/>
          <w:sz w:val="24"/>
          <w:highlight w:val="none"/>
          <w14:textFill>
            <w14:solidFill>
              <w14:schemeClr w14:val="tx1"/>
            </w14:solidFill>
          </w14:textFill>
        </w:rPr>
        <w:sectPr>
          <w:headerReference r:id="rId23" w:type="first"/>
          <w:footerReference r:id="rId25" w:type="first"/>
          <w:headerReference r:id="rId22" w:type="default"/>
          <w:footerReference r:id="rId24" w:type="default"/>
          <w:pgSz w:w="11906" w:h="16838"/>
          <w:pgMar w:top="1276" w:right="1418" w:bottom="1247" w:left="1418" w:header="851" w:footer="992" w:gutter="0"/>
          <w:cols w:space="720" w:num="1"/>
          <w:titlePg/>
          <w:docGrid w:linePitch="312" w:charSpace="0"/>
        </w:sectPr>
      </w:pPr>
    </w:p>
    <w:p>
      <w:pPr>
        <w:keepNext w:val="0"/>
        <w:keepLines w:val="0"/>
        <w:pageBreakBefore w:val="0"/>
        <w:widowControl w:val="0"/>
        <w:kinsoku/>
        <w:wordWrap/>
        <w:overflowPunct/>
        <w:topLinePunct w:val="0"/>
        <w:autoSpaceDE/>
        <w:autoSpaceDN/>
        <w:bidi w:val="0"/>
        <w:adjustRightInd/>
        <w:snapToGrid/>
        <w:jc w:val="left"/>
        <w:textAlignment w:val="auto"/>
        <w:rPr>
          <w:rFonts w:hint="eastAsia"/>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drawing>
          <wp:anchor distT="0" distB="0" distL="114300" distR="114300" simplePos="0" relativeHeight="251661312" behindDoc="0" locked="0" layoutInCell="1" allowOverlap="1">
            <wp:simplePos x="0" y="0"/>
            <wp:positionH relativeFrom="column">
              <wp:posOffset>704850</wp:posOffset>
            </wp:positionH>
            <wp:positionV relativeFrom="page">
              <wp:posOffset>1894840</wp:posOffset>
            </wp:positionV>
            <wp:extent cx="8671560" cy="5244465"/>
            <wp:effectExtent l="0" t="0" r="15240" b="13335"/>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27"/>
                    <a:stretch>
                      <a:fillRect/>
                    </a:stretch>
                  </pic:blipFill>
                  <pic:spPr>
                    <a:xfrm>
                      <a:off x="0" y="0"/>
                      <a:ext cx="8671560" cy="5244465"/>
                    </a:xfrm>
                    <a:prstGeom prst="rect">
                      <a:avLst/>
                    </a:prstGeom>
                    <a:noFill/>
                    <a:ln>
                      <a:noFill/>
                    </a:ln>
                  </pic:spPr>
                </pic:pic>
              </a:graphicData>
            </a:graphic>
          </wp:anchor>
        </w:drawing>
      </w:r>
    </w:p>
    <w:sectPr>
      <w:pgSz w:w="16838" w:h="11906" w:orient="landscape"/>
      <w:pgMar w:top="1418" w:right="1276" w:bottom="1418" w:left="1247"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altName w:val="微软雅黑"/>
    <w:panose1 w:val="0201050906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Futura Bk">
    <w:altName w:val="Segoe Print"/>
    <w:panose1 w:val="00000000000000000000"/>
    <w:charset w:val="00"/>
    <w:family w:val="swiss"/>
    <w:pitch w:val="default"/>
    <w:sig w:usb0="00000000" w:usb1="00000000" w:usb2="00000000" w:usb3="00000000" w:csb0="00000011" w:csb1="00000000"/>
  </w:font>
  <w:font w:name="华文中宋">
    <w:altName w:val="宋体"/>
    <w:panose1 w:val="02010600040101010101"/>
    <w:charset w:val="86"/>
    <w:family w:val="auto"/>
    <w:pitch w:val="default"/>
    <w:sig w:usb0="00000000" w:usb1="00000000" w:usb2="00000010" w:usb3="00000000" w:csb0="0004009F" w:csb1="00000000"/>
  </w:font>
  <w:font w:name="Tahoma">
    <w:panose1 w:val="020B0604030504040204"/>
    <w:charset w:val="00"/>
    <w:family w:val="swiss"/>
    <w:pitch w:val="default"/>
    <w:sig w:usb0="E1002EFF" w:usb1="C000605B" w:usb2="00000029" w:usb3="00000000" w:csb0="200101FF" w:csb1="20280000"/>
  </w:font>
  <w:font w:name="MS Sans Serif">
    <w:altName w:val="Arial"/>
    <w:panose1 w:val="020B0500000000000000"/>
    <w:charset w:val="00"/>
    <w:family w:val="swiss"/>
    <w:pitch w:val="default"/>
    <w:sig w:usb0="00000000" w:usb1="00000000" w:usb2="00000000" w:usb3="00000000" w:csb0="00000001" w:csb1="00000000"/>
  </w:font>
  <w:font w:name="Lucida Sans">
    <w:altName w:val="Lucida Sans Unicode"/>
    <w:panose1 w:val="020B0602030504020204"/>
    <w:charset w:val="00"/>
    <w:family w:val="swiss"/>
    <w:pitch w:val="default"/>
    <w:sig w:usb0="00000000" w:usb1="00000000" w:usb2="00000000" w:usb3="00000000" w:csb0="00000001"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altName w:val="宋体"/>
    <w:panose1 w:val="02010509060101010101"/>
    <w:charset w:val="86"/>
    <w:family w:val="modern"/>
    <w:pitch w:val="default"/>
    <w:sig w:usb0="00000000" w:usb1="00000000" w:usb2="00000010" w:usb3="00000000" w:csb0="00040000" w:csb1="00000000"/>
  </w:font>
  <w:font w:name="Arial Narrow">
    <w:altName w:val="Arial"/>
    <w:panose1 w:val="020B0606020202030204"/>
    <w:charset w:val="00"/>
    <w:family w:val="swiss"/>
    <w:pitch w:val="default"/>
    <w:sig w:usb0="00000000" w:usb1="00000000" w:usb2="00000000" w:usb3="00000000" w:csb0="0000009F" w:csb1="0000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altName w:val="宋体"/>
    <w:panose1 w:val="020B0604020202020204"/>
    <w:charset w:val="86"/>
    <w:family w:val="swiss"/>
    <w:pitch w:val="default"/>
    <w:sig w:usb0="00000000" w:usb1="00000000" w:usb2="0000003F" w:usb3="00000000" w:csb0="003F01FF" w:csb1="00000000"/>
  </w:font>
  <w:font w:name="Helvetica">
    <w:panose1 w:val="020B0504020202030204"/>
    <w:charset w:val="00"/>
    <w:family w:val="swiss"/>
    <w:pitch w:val="default"/>
    <w:sig w:usb0="00000007" w:usb1="00000000" w:usb2="00000000" w:usb3="00000000" w:csb0="00000093"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4002EFF" w:usb1="C000E47F" w:usb2="00000009" w:usb3="00000000" w:csb0="200001FF" w:csb1="00000000"/>
  </w:font>
  <w:font w:name="Latha">
    <w:altName w:val="Segoe UI Semilight"/>
    <w:panose1 w:val="02000400000000000000"/>
    <w:charset w:val="01"/>
    <w:family w:val="roman"/>
    <w:pitch w:val="default"/>
    <w:sig w:usb0="00000000" w:usb1="00000000" w:usb2="00000000" w:usb3="00000000" w:csb0="00000000"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8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altName w:val="Yu Gothic UI"/>
    <w:panose1 w:val="020B0502020202020204"/>
    <w:charset w:val="00"/>
    <w:family w:val="swiss"/>
    <w:pitch w:val="default"/>
    <w:sig w:usb0="00000000" w:usb1="00000000" w:usb2="00000000" w:usb3="00000000" w:csb0="0000009F" w:csb1="00000000"/>
  </w:font>
  <w:font w:name="Aldine401 BT">
    <w:altName w:val="Segoe Print"/>
    <w:panose1 w:val="00000000000000000000"/>
    <w:charset w:val="00"/>
    <w:family w:val="roman"/>
    <w:pitch w:val="default"/>
    <w:sig w:usb0="00000000" w:usb1="00000000" w:usb2="00000000" w:usb3="00000000" w:csb0="00000011" w:csb1="00000000"/>
  </w:font>
  <w:font w:name=".PingFang SC">
    <w:altName w:val="微软雅黑"/>
    <w:panose1 w:val="00000000000000000000"/>
    <w:charset w:val="00"/>
    <w:family w:val="modern"/>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Segoe UI Semilight">
    <w:panose1 w:val="020B0402040204020203"/>
    <w:charset w:val="00"/>
    <w:family w:val="auto"/>
    <w:pitch w:val="default"/>
    <w:sig w:usb0="E4002EFF" w:usb1="C000E47F" w:usb2="00000009" w:usb3="00000000" w:csb0="200001FF"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59</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bookmarkStart w:id="419" w:name="_Toc164085800"/>
    <w:bookmarkStart w:id="420" w:name="_Toc131845147"/>
    <w:bookmarkStart w:id="421" w:name="_Toc91899912"/>
    <w:bookmarkStart w:id="422" w:name="_Toc36110187"/>
    <w:r>
      <w:rPr>
        <w:rFonts w:hint="eastAsia" w:ascii="仿宋_GB2312" w:eastAsia="仿宋_GB2312"/>
        <w:kern w:val="0"/>
        <w:szCs w:val="21"/>
      </w:rPr>
      <w:t xml:space="preserve"> 页</w:t>
    </w:r>
    <w:bookmarkEnd w:id="419"/>
    <w:bookmarkEnd w:id="420"/>
    <w:bookmarkEnd w:id="421"/>
    <w:bookmarkEnd w:id="422"/>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2"/>
      </w:rPr>
    </w:pPr>
    <w:r>
      <w:fldChar w:fldCharType="begin"/>
    </w:r>
    <w:r>
      <w:rPr>
        <w:rStyle w:val="72"/>
      </w:rPr>
      <w:instrText xml:space="preserve">PAGE  </w:instrText>
    </w:r>
    <w:r>
      <w:fldChar w:fldCharType="end"/>
    </w:r>
  </w:p>
  <w:p>
    <w:pPr>
      <w:pStyle w:val="4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sz w:val="21"/>
        <w:szCs w:val="21"/>
      </w:rPr>
    </w:pPr>
    <w:r>
      <w:rPr>
        <w:rFonts w:hint="eastAsia" w:ascii="仿宋_GB2312" w:eastAsia="仿宋_GB2312"/>
        <w:kern w:val="0"/>
        <w:sz w:val="21"/>
        <w:szCs w:val="21"/>
      </w:rPr>
      <w:t>第</w:t>
    </w:r>
    <w:r>
      <w:rPr>
        <w:rFonts w:hint="eastAsia" w:ascii="仿宋_GB2312" w:eastAsia="仿宋_GB2312"/>
        <w:kern w:val="0"/>
        <w:sz w:val="21"/>
        <w:szCs w:val="21"/>
      </w:rPr>
      <w:fldChar w:fldCharType="begin"/>
    </w:r>
    <w:r>
      <w:rPr>
        <w:rFonts w:hint="eastAsia" w:ascii="仿宋_GB2312" w:eastAsia="仿宋_GB2312"/>
        <w:kern w:val="0"/>
        <w:sz w:val="21"/>
        <w:szCs w:val="21"/>
      </w:rPr>
      <w:instrText xml:space="preserve"> PAGE </w:instrText>
    </w:r>
    <w:r>
      <w:rPr>
        <w:rFonts w:hint="eastAsia" w:ascii="仿宋_GB2312" w:eastAsia="仿宋_GB2312"/>
        <w:kern w:val="0"/>
        <w:sz w:val="21"/>
        <w:szCs w:val="21"/>
      </w:rPr>
      <w:fldChar w:fldCharType="separate"/>
    </w:r>
    <w:r>
      <w:rPr>
        <w:rFonts w:ascii="仿宋_GB2312" w:eastAsia="仿宋_GB2312"/>
        <w:kern w:val="0"/>
        <w:sz w:val="21"/>
        <w:szCs w:val="21"/>
      </w:rPr>
      <w:t>35</w:t>
    </w:r>
    <w:r>
      <w:rPr>
        <w:rFonts w:hint="eastAsia" w:ascii="仿宋_GB2312" w:eastAsia="仿宋_GB2312"/>
        <w:kern w:val="0"/>
        <w:sz w:val="21"/>
        <w:szCs w:val="21"/>
      </w:rPr>
      <w:fldChar w:fldCharType="end"/>
    </w:r>
    <w:r>
      <w:rPr>
        <w:rFonts w:hint="eastAsia" w:ascii="仿宋_GB2312" w:eastAsia="仿宋_GB2312"/>
        <w:kern w:val="0"/>
        <w:sz w:val="21"/>
        <w:szCs w:val="21"/>
      </w:rPr>
      <w:t>页共</w:t>
    </w:r>
    <w:r>
      <w:rPr>
        <w:rFonts w:hint="eastAsia" w:ascii="仿宋_GB2312" w:eastAsia="仿宋_GB2312"/>
        <w:kern w:val="0"/>
        <w:sz w:val="21"/>
        <w:szCs w:val="21"/>
      </w:rPr>
      <w:fldChar w:fldCharType="begin"/>
    </w:r>
    <w:r>
      <w:rPr>
        <w:rFonts w:hint="eastAsia" w:ascii="仿宋_GB2312" w:eastAsia="仿宋_GB2312"/>
        <w:kern w:val="0"/>
        <w:sz w:val="21"/>
        <w:szCs w:val="21"/>
      </w:rPr>
      <w:instrText xml:space="preserve"> NUMPAGES </w:instrText>
    </w:r>
    <w:r>
      <w:rPr>
        <w:rFonts w:hint="eastAsia" w:ascii="仿宋_GB2312" w:eastAsia="仿宋_GB2312"/>
        <w:kern w:val="0"/>
        <w:sz w:val="21"/>
        <w:szCs w:val="21"/>
      </w:rPr>
      <w:fldChar w:fldCharType="separate"/>
    </w:r>
    <w:r>
      <w:rPr>
        <w:rFonts w:ascii="仿宋_GB2312" w:eastAsia="仿宋_GB2312"/>
        <w:kern w:val="0"/>
        <w:sz w:val="21"/>
        <w:szCs w:val="21"/>
      </w:rPr>
      <w:t>111</w:t>
    </w:r>
    <w:r>
      <w:rPr>
        <w:rFonts w:hint="eastAsia" w:ascii="仿宋_GB2312" w:eastAsia="仿宋_GB2312"/>
        <w:kern w:val="0"/>
        <w:sz w:val="21"/>
        <w:szCs w:val="21"/>
      </w:rPr>
      <w:fldChar w:fldCharType="end"/>
    </w:r>
    <w:r>
      <w:rPr>
        <w:rFonts w:hint="eastAsia" w:ascii="仿宋_GB2312" w:eastAsia="仿宋_GB2312"/>
        <w:kern w:val="0"/>
        <w:sz w:val="21"/>
        <w:szCs w:val="21"/>
      </w:rPr>
      <w:t>页</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6" w:space="4"/>
      </w:pBdr>
      <w:jc w:val="right"/>
    </w:pPr>
    <w:r>
      <w:t></w:t>
    </w:r>
    <w:r>
      <w:rPr>
        <w:rFonts w:hint="eastAsia"/>
      </w:rPr>
      <w:t xml:space="preserve">             </w:t>
    </w:r>
    <w:r>
      <w:t>杭州市政府采购公开招标文件</w:t>
    </w:r>
  </w:p>
  <w:p>
    <w:pPr>
      <w:pStyle w:val="59"/>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eastAsia="仿宋_GB2312"/>
        <w:b/>
        <w:i/>
        <w:iCs/>
        <w:u w:val="single"/>
      </w:rPr>
    </w:pPr>
    <w:r>
      <w:t>杭州市政府采购公开招标文件</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pPr>
    <w:r>
      <w:t></w:t>
    </w:r>
    <w:r>
      <w:rPr>
        <w:rFonts w:hint="eastAsia"/>
      </w:rPr>
      <w:t xml:space="preserve">                                             </w:t>
    </w: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none" w:color="auto" w:sz="0" w:space="0"/>
      </w:pBdr>
      <w:jc w:val="right"/>
      <w:rPr>
        <w:rFonts w:ascii="仿宋_GB2312" w:eastAsia="仿宋_GB2312"/>
        <w:i/>
        <w:sz w:val="21"/>
        <w:szCs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Fonts w:ascii="仿宋_GB2312" w:eastAsia="仿宋_GB2312"/>
        <w:b/>
        <w:i/>
        <w:u w:val="single"/>
      </w:rPr>
    </w:pPr>
    <w:r>
      <w:t></w:t>
    </w:r>
    <w:r>
      <w:rPr>
        <w:rFonts w:hint="eastAsia"/>
      </w:rPr>
      <w:t xml:space="preserve">                                                  </w:t>
    </w:r>
    <w:r>
      <w:t xml:space="preserve">             杭州市政府采购公开招标文件</w:t>
    </w:r>
  </w:p>
  <w:p>
    <w:pPr>
      <w:rPr>
        <w:rFonts w:ascii="仿宋_GB2312" w:eastAsia="仿宋_GB2312"/>
        <w:b/>
        <w:i/>
        <w:sz w:val="18"/>
        <w:u w:val="single"/>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w:t>
    </w:r>
    <w:r>
      <w:rPr>
        <w:rFonts w:hint="eastAsia"/>
      </w:rPr>
      <w:t xml:space="preserve">         </w:t>
    </w:r>
  </w:p>
  <w:p>
    <w:pPr>
      <w:pStyle w:val="42"/>
    </w:pPr>
    <w:r>
      <w:rPr>
        <w:rFonts w:hint="eastAsia"/>
      </w:rPr>
      <w:t xml:space="preserve">                                                                  </w:t>
    </w:r>
    <w:r>
      <w:t>杭州市政府采购公开招标文件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pPr>
    <w:r>
      <w:t></w:t>
    </w:r>
    <w:r>
      <w:rPr>
        <w:rFonts w:hint="eastAsia"/>
      </w:rPr>
      <w:t xml:space="preserve">                 </w:t>
    </w:r>
    <w:r>
      <w:t xml:space="preserve">                                </w:t>
    </w:r>
    <w:r>
      <w:rPr>
        <w:rFonts w:hint="eastAsia"/>
      </w:rPr>
      <w:t xml:space="preserve">         </w:t>
    </w:r>
    <w:r>
      <w:t>杭州市政府采购公开招标文件</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pPr>
    <w:r>
      <w:rPr>
        <w:rFonts w:hint="eastAsia"/>
      </w:rPr>
      <w:t xml:space="preserve">                                                                                                        </w:t>
    </w: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595E27"/>
    <w:multiLevelType w:val="singleLevel"/>
    <w:tmpl w:val="13595E27"/>
    <w:lvl w:ilvl="0" w:tentative="0">
      <w:start w:val="2"/>
      <w:numFmt w:val="chineseCounting"/>
      <w:suff w:val="space"/>
      <w:lvlText w:val="第%1部分"/>
      <w:lvlJc w:val="left"/>
      <w:rPr>
        <w:rFonts w:hint="eastAsia"/>
      </w:rPr>
    </w:lvl>
  </w:abstractNum>
  <w:abstractNum w:abstractNumId="1">
    <w:nsid w:val="2AC0B3FD"/>
    <w:multiLevelType w:val="singleLevel"/>
    <w:tmpl w:val="2AC0B3FD"/>
    <w:lvl w:ilvl="0" w:tentative="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1"/>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NiMGJlMDZjZTJjNmExODA2NjMyODUxYjlhZGIyYmUifQ=="/>
  </w:docVars>
  <w:rsids>
    <w:rsidRoot w:val="00172A27"/>
    <w:rsid w:val="00000451"/>
    <w:rsid w:val="0000108B"/>
    <w:rsid w:val="0000133D"/>
    <w:rsid w:val="00001509"/>
    <w:rsid w:val="00001E3F"/>
    <w:rsid w:val="000032B2"/>
    <w:rsid w:val="0000363B"/>
    <w:rsid w:val="000058BD"/>
    <w:rsid w:val="00006109"/>
    <w:rsid w:val="00006150"/>
    <w:rsid w:val="000063E8"/>
    <w:rsid w:val="00006725"/>
    <w:rsid w:val="0000675E"/>
    <w:rsid w:val="000071E3"/>
    <w:rsid w:val="00007CAA"/>
    <w:rsid w:val="00010FE9"/>
    <w:rsid w:val="0001122F"/>
    <w:rsid w:val="00011A4B"/>
    <w:rsid w:val="00012251"/>
    <w:rsid w:val="00012B4A"/>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6965"/>
    <w:rsid w:val="00067821"/>
    <w:rsid w:val="0006785E"/>
    <w:rsid w:val="00067AFB"/>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49E3"/>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A3E"/>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97CDB"/>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1D51"/>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51"/>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51"/>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0F57"/>
    <w:rsid w:val="00111993"/>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16E"/>
    <w:rsid w:val="00131C2D"/>
    <w:rsid w:val="0013202C"/>
    <w:rsid w:val="00132704"/>
    <w:rsid w:val="00132CBF"/>
    <w:rsid w:val="00133707"/>
    <w:rsid w:val="00133742"/>
    <w:rsid w:val="00133B70"/>
    <w:rsid w:val="00133E97"/>
    <w:rsid w:val="001350F7"/>
    <w:rsid w:val="00135135"/>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0A84"/>
    <w:rsid w:val="00161185"/>
    <w:rsid w:val="001620BA"/>
    <w:rsid w:val="001623AC"/>
    <w:rsid w:val="00162BAA"/>
    <w:rsid w:val="00163C40"/>
    <w:rsid w:val="0016470A"/>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0"/>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1025"/>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4DE5"/>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619"/>
    <w:rsid w:val="001A1F0E"/>
    <w:rsid w:val="001A3335"/>
    <w:rsid w:val="001A473A"/>
    <w:rsid w:val="001A4977"/>
    <w:rsid w:val="001A4ED9"/>
    <w:rsid w:val="001A5785"/>
    <w:rsid w:val="001A5FD7"/>
    <w:rsid w:val="001A66A6"/>
    <w:rsid w:val="001A6BAF"/>
    <w:rsid w:val="001A6BBB"/>
    <w:rsid w:val="001A79A2"/>
    <w:rsid w:val="001A7F98"/>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35BF"/>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0F77"/>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56F"/>
    <w:rsid w:val="001F5DA1"/>
    <w:rsid w:val="001F612E"/>
    <w:rsid w:val="001F6A92"/>
    <w:rsid w:val="001F77E8"/>
    <w:rsid w:val="00201A0C"/>
    <w:rsid w:val="00201B0F"/>
    <w:rsid w:val="0020255A"/>
    <w:rsid w:val="00202800"/>
    <w:rsid w:val="002029C7"/>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1E58"/>
    <w:rsid w:val="0026212A"/>
    <w:rsid w:val="002621D7"/>
    <w:rsid w:val="00262996"/>
    <w:rsid w:val="00263044"/>
    <w:rsid w:val="00263759"/>
    <w:rsid w:val="002638BD"/>
    <w:rsid w:val="0026470B"/>
    <w:rsid w:val="0026486D"/>
    <w:rsid w:val="00264C4B"/>
    <w:rsid w:val="00264ED0"/>
    <w:rsid w:val="00265346"/>
    <w:rsid w:val="00265501"/>
    <w:rsid w:val="00266045"/>
    <w:rsid w:val="002660C3"/>
    <w:rsid w:val="00266519"/>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5D6E"/>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1AB"/>
    <w:rsid w:val="002A4868"/>
    <w:rsid w:val="002A4A05"/>
    <w:rsid w:val="002A4EB3"/>
    <w:rsid w:val="002A51D9"/>
    <w:rsid w:val="002A525A"/>
    <w:rsid w:val="002A5968"/>
    <w:rsid w:val="002A5CAB"/>
    <w:rsid w:val="002A5D40"/>
    <w:rsid w:val="002A622E"/>
    <w:rsid w:val="002A6424"/>
    <w:rsid w:val="002A64E7"/>
    <w:rsid w:val="002A70AD"/>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0C6"/>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032"/>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4A88"/>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6FBC"/>
    <w:rsid w:val="003971A1"/>
    <w:rsid w:val="003A03D0"/>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B7751"/>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51FF"/>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4BE"/>
    <w:rsid w:val="004056B6"/>
    <w:rsid w:val="00405764"/>
    <w:rsid w:val="00406745"/>
    <w:rsid w:val="0040674B"/>
    <w:rsid w:val="00406B32"/>
    <w:rsid w:val="004074FA"/>
    <w:rsid w:val="00407A56"/>
    <w:rsid w:val="00407FB7"/>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172B3"/>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183"/>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08AE"/>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BDB"/>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42C9"/>
    <w:rsid w:val="00465A21"/>
    <w:rsid w:val="00465DE5"/>
    <w:rsid w:val="00466151"/>
    <w:rsid w:val="00466978"/>
    <w:rsid w:val="00466ABA"/>
    <w:rsid w:val="004672E3"/>
    <w:rsid w:val="0046775D"/>
    <w:rsid w:val="00467823"/>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5CBD"/>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36D8"/>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2F9F"/>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683"/>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5D8"/>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BBA"/>
    <w:rsid w:val="00540D47"/>
    <w:rsid w:val="00540E71"/>
    <w:rsid w:val="00540EE7"/>
    <w:rsid w:val="00541A22"/>
    <w:rsid w:val="00541EAD"/>
    <w:rsid w:val="005424C2"/>
    <w:rsid w:val="005426B2"/>
    <w:rsid w:val="00543519"/>
    <w:rsid w:val="00543640"/>
    <w:rsid w:val="00544019"/>
    <w:rsid w:val="0054422C"/>
    <w:rsid w:val="005444C6"/>
    <w:rsid w:val="00544BF9"/>
    <w:rsid w:val="00544F05"/>
    <w:rsid w:val="00544FCC"/>
    <w:rsid w:val="005454B8"/>
    <w:rsid w:val="00545697"/>
    <w:rsid w:val="00545ACB"/>
    <w:rsid w:val="00545DB9"/>
    <w:rsid w:val="005462ED"/>
    <w:rsid w:val="00546585"/>
    <w:rsid w:val="00546703"/>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841"/>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1AA8"/>
    <w:rsid w:val="00581D39"/>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37FD"/>
    <w:rsid w:val="005E4543"/>
    <w:rsid w:val="005E4A1C"/>
    <w:rsid w:val="005E56C9"/>
    <w:rsid w:val="005E5CF7"/>
    <w:rsid w:val="005E5FF0"/>
    <w:rsid w:val="005E642A"/>
    <w:rsid w:val="005E65A7"/>
    <w:rsid w:val="005E6A54"/>
    <w:rsid w:val="005E721E"/>
    <w:rsid w:val="005F0857"/>
    <w:rsid w:val="005F1470"/>
    <w:rsid w:val="005F15A9"/>
    <w:rsid w:val="005F2807"/>
    <w:rsid w:val="005F2CD5"/>
    <w:rsid w:val="005F3382"/>
    <w:rsid w:val="005F3720"/>
    <w:rsid w:val="005F3949"/>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00D"/>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0815"/>
    <w:rsid w:val="006212D3"/>
    <w:rsid w:val="00621639"/>
    <w:rsid w:val="00622B22"/>
    <w:rsid w:val="00622F67"/>
    <w:rsid w:val="00623571"/>
    <w:rsid w:val="00623A5E"/>
    <w:rsid w:val="006241E9"/>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4CE6"/>
    <w:rsid w:val="00635B73"/>
    <w:rsid w:val="00635BB7"/>
    <w:rsid w:val="00636888"/>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2F6C"/>
    <w:rsid w:val="0065343E"/>
    <w:rsid w:val="00653548"/>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1E43"/>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E37"/>
    <w:rsid w:val="006B2F60"/>
    <w:rsid w:val="006B33DB"/>
    <w:rsid w:val="006B33DD"/>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2E"/>
    <w:rsid w:val="006C5D5D"/>
    <w:rsid w:val="006C627E"/>
    <w:rsid w:val="006C6303"/>
    <w:rsid w:val="006C6A51"/>
    <w:rsid w:val="006C6EBD"/>
    <w:rsid w:val="006C7E04"/>
    <w:rsid w:val="006C7F79"/>
    <w:rsid w:val="006D0004"/>
    <w:rsid w:val="006D015F"/>
    <w:rsid w:val="006D060E"/>
    <w:rsid w:val="006D0665"/>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49D2"/>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637"/>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3D"/>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814"/>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BF0"/>
    <w:rsid w:val="00763F8B"/>
    <w:rsid w:val="007640F3"/>
    <w:rsid w:val="0076417E"/>
    <w:rsid w:val="0076497F"/>
    <w:rsid w:val="007660EC"/>
    <w:rsid w:val="007662C7"/>
    <w:rsid w:val="00766862"/>
    <w:rsid w:val="007675DD"/>
    <w:rsid w:val="007702BF"/>
    <w:rsid w:val="007705F0"/>
    <w:rsid w:val="00771CAC"/>
    <w:rsid w:val="00772036"/>
    <w:rsid w:val="00772AD2"/>
    <w:rsid w:val="00773098"/>
    <w:rsid w:val="007739A3"/>
    <w:rsid w:val="00773BD9"/>
    <w:rsid w:val="00773CB0"/>
    <w:rsid w:val="00773D71"/>
    <w:rsid w:val="00775526"/>
    <w:rsid w:val="00775651"/>
    <w:rsid w:val="00775F3F"/>
    <w:rsid w:val="0077710B"/>
    <w:rsid w:val="0077765A"/>
    <w:rsid w:val="007776E8"/>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30"/>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6FED"/>
    <w:rsid w:val="0080705B"/>
    <w:rsid w:val="0080723C"/>
    <w:rsid w:val="00807F71"/>
    <w:rsid w:val="0081000F"/>
    <w:rsid w:val="00812657"/>
    <w:rsid w:val="00812A1A"/>
    <w:rsid w:val="00812DFF"/>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26E73"/>
    <w:rsid w:val="00830052"/>
    <w:rsid w:val="008300D0"/>
    <w:rsid w:val="008308D8"/>
    <w:rsid w:val="00830ECE"/>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18B"/>
    <w:rsid w:val="008425CC"/>
    <w:rsid w:val="00842DC2"/>
    <w:rsid w:val="0084357B"/>
    <w:rsid w:val="008465B4"/>
    <w:rsid w:val="00846D25"/>
    <w:rsid w:val="00850013"/>
    <w:rsid w:val="008500DD"/>
    <w:rsid w:val="00850A0A"/>
    <w:rsid w:val="00850A94"/>
    <w:rsid w:val="00851CEF"/>
    <w:rsid w:val="00851E96"/>
    <w:rsid w:val="00851F1C"/>
    <w:rsid w:val="0085237B"/>
    <w:rsid w:val="00852FA5"/>
    <w:rsid w:val="00853864"/>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0BB"/>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653D"/>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5A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65BE"/>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0F3"/>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076CA"/>
    <w:rsid w:val="00910041"/>
    <w:rsid w:val="0091112B"/>
    <w:rsid w:val="00911D61"/>
    <w:rsid w:val="00912850"/>
    <w:rsid w:val="009128B8"/>
    <w:rsid w:val="009141F2"/>
    <w:rsid w:val="0091472C"/>
    <w:rsid w:val="00914DC9"/>
    <w:rsid w:val="00915243"/>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4E4B"/>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545F"/>
    <w:rsid w:val="00936EA5"/>
    <w:rsid w:val="00937114"/>
    <w:rsid w:val="0094015D"/>
    <w:rsid w:val="00940916"/>
    <w:rsid w:val="009412B7"/>
    <w:rsid w:val="00941B13"/>
    <w:rsid w:val="0094215C"/>
    <w:rsid w:val="00942A27"/>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0A"/>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07"/>
    <w:rsid w:val="00961A4F"/>
    <w:rsid w:val="009625B7"/>
    <w:rsid w:val="00962FB8"/>
    <w:rsid w:val="00963183"/>
    <w:rsid w:val="0096373F"/>
    <w:rsid w:val="00964007"/>
    <w:rsid w:val="00964283"/>
    <w:rsid w:val="009642A4"/>
    <w:rsid w:val="009643F4"/>
    <w:rsid w:val="009645A6"/>
    <w:rsid w:val="00964F5A"/>
    <w:rsid w:val="0096527F"/>
    <w:rsid w:val="009653ED"/>
    <w:rsid w:val="009664AE"/>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4E60"/>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A2"/>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3572"/>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686F"/>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2A74"/>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3D28"/>
    <w:rsid w:val="00A5468F"/>
    <w:rsid w:val="00A54909"/>
    <w:rsid w:val="00A54DC0"/>
    <w:rsid w:val="00A550C9"/>
    <w:rsid w:val="00A55228"/>
    <w:rsid w:val="00A55410"/>
    <w:rsid w:val="00A55A04"/>
    <w:rsid w:val="00A564DE"/>
    <w:rsid w:val="00A6054E"/>
    <w:rsid w:val="00A60799"/>
    <w:rsid w:val="00A6170B"/>
    <w:rsid w:val="00A61767"/>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07F"/>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4E67"/>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4E"/>
    <w:rsid w:val="00A94BF5"/>
    <w:rsid w:val="00A954F8"/>
    <w:rsid w:val="00A962AE"/>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18B"/>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6B4F"/>
    <w:rsid w:val="00B06BEA"/>
    <w:rsid w:val="00B07316"/>
    <w:rsid w:val="00B07A43"/>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938"/>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6FC"/>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18FA"/>
    <w:rsid w:val="00B72A0B"/>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6D85"/>
    <w:rsid w:val="00BB777D"/>
    <w:rsid w:val="00BB7EC0"/>
    <w:rsid w:val="00BB7F88"/>
    <w:rsid w:val="00BC0207"/>
    <w:rsid w:val="00BC089F"/>
    <w:rsid w:val="00BC0A0C"/>
    <w:rsid w:val="00BC0A5A"/>
    <w:rsid w:val="00BC0E64"/>
    <w:rsid w:val="00BC25D1"/>
    <w:rsid w:val="00BC2DBD"/>
    <w:rsid w:val="00BC3BCB"/>
    <w:rsid w:val="00BC3CF1"/>
    <w:rsid w:val="00BC4202"/>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234A"/>
    <w:rsid w:val="00C0247B"/>
    <w:rsid w:val="00C0378E"/>
    <w:rsid w:val="00C04314"/>
    <w:rsid w:val="00C04BD0"/>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57612"/>
    <w:rsid w:val="00C603FA"/>
    <w:rsid w:val="00C60CB2"/>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5F20"/>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5D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D38"/>
    <w:rsid w:val="00D32FA0"/>
    <w:rsid w:val="00D33112"/>
    <w:rsid w:val="00D331CB"/>
    <w:rsid w:val="00D3451E"/>
    <w:rsid w:val="00D3497A"/>
    <w:rsid w:val="00D35F2F"/>
    <w:rsid w:val="00D35FC6"/>
    <w:rsid w:val="00D36BB8"/>
    <w:rsid w:val="00D3756D"/>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372"/>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9726C"/>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33F"/>
    <w:rsid w:val="00DB7662"/>
    <w:rsid w:val="00DB7E46"/>
    <w:rsid w:val="00DC1395"/>
    <w:rsid w:val="00DC203C"/>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39B"/>
    <w:rsid w:val="00DF3798"/>
    <w:rsid w:val="00DF393E"/>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5CE"/>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5F7"/>
    <w:rsid w:val="00E726F2"/>
    <w:rsid w:val="00E728E2"/>
    <w:rsid w:val="00E738FA"/>
    <w:rsid w:val="00E739B6"/>
    <w:rsid w:val="00E74A2B"/>
    <w:rsid w:val="00E75667"/>
    <w:rsid w:val="00E756D3"/>
    <w:rsid w:val="00E75A5A"/>
    <w:rsid w:val="00E76004"/>
    <w:rsid w:val="00E7608F"/>
    <w:rsid w:val="00E760D7"/>
    <w:rsid w:val="00E769CC"/>
    <w:rsid w:val="00E76E26"/>
    <w:rsid w:val="00E77124"/>
    <w:rsid w:val="00E77341"/>
    <w:rsid w:val="00E7783E"/>
    <w:rsid w:val="00E778B8"/>
    <w:rsid w:val="00E801C7"/>
    <w:rsid w:val="00E8062F"/>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6976"/>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3E8"/>
    <w:rsid w:val="00EA2E21"/>
    <w:rsid w:val="00EA2EAA"/>
    <w:rsid w:val="00EA380C"/>
    <w:rsid w:val="00EA613D"/>
    <w:rsid w:val="00EA6744"/>
    <w:rsid w:val="00EA6768"/>
    <w:rsid w:val="00EA7308"/>
    <w:rsid w:val="00EA7474"/>
    <w:rsid w:val="00EA7C70"/>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659"/>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B87"/>
    <w:rsid w:val="00EF4DB4"/>
    <w:rsid w:val="00EF50D5"/>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6D97"/>
    <w:rsid w:val="00F07134"/>
    <w:rsid w:val="00F0724D"/>
    <w:rsid w:val="00F07378"/>
    <w:rsid w:val="00F10B81"/>
    <w:rsid w:val="00F10BC9"/>
    <w:rsid w:val="00F11078"/>
    <w:rsid w:val="00F113C9"/>
    <w:rsid w:val="00F11C01"/>
    <w:rsid w:val="00F11D80"/>
    <w:rsid w:val="00F1360D"/>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068"/>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BA9"/>
    <w:rsid w:val="00F62CA8"/>
    <w:rsid w:val="00F62F92"/>
    <w:rsid w:val="00F630B4"/>
    <w:rsid w:val="00F635EF"/>
    <w:rsid w:val="00F63BF4"/>
    <w:rsid w:val="00F63C55"/>
    <w:rsid w:val="00F63C60"/>
    <w:rsid w:val="00F64991"/>
    <w:rsid w:val="00F65425"/>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34DD"/>
    <w:rsid w:val="00F96F51"/>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5856"/>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1DE4"/>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2D4559"/>
    <w:rsid w:val="014F4893"/>
    <w:rsid w:val="019F7441"/>
    <w:rsid w:val="01B37585"/>
    <w:rsid w:val="01D152A8"/>
    <w:rsid w:val="01D55165"/>
    <w:rsid w:val="01DF6BF8"/>
    <w:rsid w:val="01EC2C57"/>
    <w:rsid w:val="022A49B8"/>
    <w:rsid w:val="023D3C0F"/>
    <w:rsid w:val="0254228B"/>
    <w:rsid w:val="025A7081"/>
    <w:rsid w:val="025F0711"/>
    <w:rsid w:val="026B2E25"/>
    <w:rsid w:val="0273010D"/>
    <w:rsid w:val="027D0F8C"/>
    <w:rsid w:val="02824D4D"/>
    <w:rsid w:val="02AA63F4"/>
    <w:rsid w:val="02BC1AB4"/>
    <w:rsid w:val="02DC4B10"/>
    <w:rsid w:val="02DD76CE"/>
    <w:rsid w:val="02E62FD5"/>
    <w:rsid w:val="02F36323"/>
    <w:rsid w:val="02F5619C"/>
    <w:rsid w:val="03165668"/>
    <w:rsid w:val="031B2C7F"/>
    <w:rsid w:val="0326446A"/>
    <w:rsid w:val="032D5555"/>
    <w:rsid w:val="034118EB"/>
    <w:rsid w:val="03556B84"/>
    <w:rsid w:val="035C6DF3"/>
    <w:rsid w:val="036634D2"/>
    <w:rsid w:val="038D16A3"/>
    <w:rsid w:val="03DD35E4"/>
    <w:rsid w:val="04076900"/>
    <w:rsid w:val="041A5A3B"/>
    <w:rsid w:val="042311BA"/>
    <w:rsid w:val="042B157A"/>
    <w:rsid w:val="04697A1A"/>
    <w:rsid w:val="048F763B"/>
    <w:rsid w:val="049F330E"/>
    <w:rsid w:val="04AA775C"/>
    <w:rsid w:val="04AF1889"/>
    <w:rsid w:val="04F66F48"/>
    <w:rsid w:val="0506170D"/>
    <w:rsid w:val="05251E14"/>
    <w:rsid w:val="05443B6B"/>
    <w:rsid w:val="05706B86"/>
    <w:rsid w:val="05A16594"/>
    <w:rsid w:val="05A7762D"/>
    <w:rsid w:val="05D365E4"/>
    <w:rsid w:val="05DF5B48"/>
    <w:rsid w:val="060E5941"/>
    <w:rsid w:val="06110FAF"/>
    <w:rsid w:val="06227E43"/>
    <w:rsid w:val="0644429B"/>
    <w:rsid w:val="06454E50"/>
    <w:rsid w:val="06493CA7"/>
    <w:rsid w:val="065A6178"/>
    <w:rsid w:val="066F1CF3"/>
    <w:rsid w:val="06856661"/>
    <w:rsid w:val="06930BB8"/>
    <w:rsid w:val="07245D42"/>
    <w:rsid w:val="07264C62"/>
    <w:rsid w:val="072E66BA"/>
    <w:rsid w:val="07741065"/>
    <w:rsid w:val="0779354C"/>
    <w:rsid w:val="07A33243"/>
    <w:rsid w:val="07CF228A"/>
    <w:rsid w:val="08061376"/>
    <w:rsid w:val="08161C67"/>
    <w:rsid w:val="08452D77"/>
    <w:rsid w:val="086401F8"/>
    <w:rsid w:val="086D079F"/>
    <w:rsid w:val="08751CAA"/>
    <w:rsid w:val="087E4C40"/>
    <w:rsid w:val="088A4403"/>
    <w:rsid w:val="0898267C"/>
    <w:rsid w:val="08A871D0"/>
    <w:rsid w:val="08D66AD6"/>
    <w:rsid w:val="08DA33A3"/>
    <w:rsid w:val="08E7715F"/>
    <w:rsid w:val="08E80F13"/>
    <w:rsid w:val="09335624"/>
    <w:rsid w:val="0944690F"/>
    <w:rsid w:val="094E3682"/>
    <w:rsid w:val="09535675"/>
    <w:rsid w:val="0955714E"/>
    <w:rsid w:val="095F057D"/>
    <w:rsid w:val="09642282"/>
    <w:rsid w:val="09733572"/>
    <w:rsid w:val="09772C16"/>
    <w:rsid w:val="098353B5"/>
    <w:rsid w:val="09A92330"/>
    <w:rsid w:val="09B06B87"/>
    <w:rsid w:val="09C13146"/>
    <w:rsid w:val="09C3545A"/>
    <w:rsid w:val="09E04166"/>
    <w:rsid w:val="0A1C0718"/>
    <w:rsid w:val="0A27015B"/>
    <w:rsid w:val="0A315D8E"/>
    <w:rsid w:val="0A3E7710"/>
    <w:rsid w:val="0A5B7E63"/>
    <w:rsid w:val="0AA374A5"/>
    <w:rsid w:val="0AAB7649"/>
    <w:rsid w:val="0ABC5606"/>
    <w:rsid w:val="0ACB4F8A"/>
    <w:rsid w:val="0B30404E"/>
    <w:rsid w:val="0B4C6C14"/>
    <w:rsid w:val="0B547599"/>
    <w:rsid w:val="0B631A88"/>
    <w:rsid w:val="0B683D45"/>
    <w:rsid w:val="0B7F3F11"/>
    <w:rsid w:val="0B884417"/>
    <w:rsid w:val="0BF6188C"/>
    <w:rsid w:val="0BF73C91"/>
    <w:rsid w:val="0C170175"/>
    <w:rsid w:val="0C41302A"/>
    <w:rsid w:val="0C571A41"/>
    <w:rsid w:val="0C5C1171"/>
    <w:rsid w:val="0C5E1CBC"/>
    <w:rsid w:val="0C615B50"/>
    <w:rsid w:val="0C8445DA"/>
    <w:rsid w:val="0C87121B"/>
    <w:rsid w:val="0CB872A0"/>
    <w:rsid w:val="0CC007F7"/>
    <w:rsid w:val="0CC617AC"/>
    <w:rsid w:val="0CE618DF"/>
    <w:rsid w:val="0CFE707A"/>
    <w:rsid w:val="0D063BDA"/>
    <w:rsid w:val="0D08375F"/>
    <w:rsid w:val="0D184CFB"/>
    <w:rsid w:val="0D3C666E"/>
    <w:rsid w:val="0D4A7419"/>
    <w:rsid w:val="0D5079C9"/>
    <w:rsid w:val="0D827401"/>
    <w:rsid w:val="0D84094E"/>
    <w:rsid w:val="0D8A00E9"/>
    <w:rsid w:val="0D8D589E"/>
    <w:rsid w:val="0DA01C73"/>
    <w:rsid w:val="0DD203DE"/>
    <w:rsid w:val="0DD63300"/>
    <w:rsid w:val="0DDF6F9F"/>
    <w:rsid w:val="0DF50604"/>
    <w:rsid w:val="0DF702FE"/>
    <w:rsid w:val="0E060E51"/>
    <w:rsid w:val="0E1B7FD7"/>
    <w:rsid w:val="0E2A1FC8"/>
    <w:rsid w:val="0E464928"/>
    <w:rsid w:val="0E5604B2"/>
    <w:rsid w:val="0E5E7B56"/>
    <w:rsid w:val="0E6D5D79"/>
    <w:rsid w:val="0E9D0089"/>
    <w:rsid w:val="0EB803EE"/>
    <w:rsid w:val="0ED24CA8"/>
    <w:rsid w:val="0EF94D4B"/>
    <w:rsid w:val="0F271E22"/>
    <w:rsid w:val="0F4958DC"/>
    <w:rsid w:val="0F515DF7"/>
    <w:rsid w:val="0F596BA8"/>
    <w:rsid w:val="0F6248D2"/>
    <w:rsid w:val="0F644B78"/>
    <w:rsid w:val="0F693536"/>
    <w:rsid w:val="0F7B0511"/>
    <w:rsid w:val="0F7B76D9"/>
    <w:rsid w:val="0F816ACD"/>
    <w:rsid w:val="0F9832DB"/>
    <w:rsid w:val="0FBF3FD2"/>
    <w:rsid w:val="0FBF7FF3"/>
    <w:rsid w:val="10646583"/>
    <w:rsid w:val="107D4B15"/>
    <w:rsid w:val="108A3C80"/>
    <w:rsid w:val="10A32505"/>
    <w:rsid w:val="10AC0EB3"/>
    <w:rsid w:val="10C26171"/>
    <w:rsid w:val="10D80401"/>
    <w:rsid w:val="10F33360"/>
    <w:rsid w:val="10FC16EA"/>
    <w:rsid w:val="110F1D40"/>
    <w:rsid w:val="11266F33"/>
    <w:rsid w:val="118963A1"/>
    <w:rsid w:val="11A67FD2"/>
    <w:rsid w:val="11B4024C"/>
    <w:rsid w:val="11C2148E"/>
    <w:rsid w:val="11C6522A"/>
    <w:rsid w:val="11D02E86"/>
    <w:rsid w:val="11E104CC"/>
    <w:rsid w:val="11E20309"/>
    <w:rsid w:val="12255233"/>
    <w:rsid w:val="122B4561"/>
    <w:rsid w:val="12530213"/>
    <w:rsid w:val="127723A9"/>
    <w:rsid w:val="12862074"/>
    <w:rsid w:val="12883966"/>
    <w:rsid w:val="129E45B4"/>
    <w:rsid w:val="12AF6F40"/>
    <w:rsid w:val="12D81596"/>
    <w:rsid w:val="13072A44"/>
    <w:rsid w:val="13135AE6"/>
    <w:rsid w:val="13431E6C"/>
    <w:rsid w:val="134607F9"/>
    <w:rsid w:val="135F4BE2"/>
    <w:rsid w:val="139B1A0A"/>
    <w:rsid w:val="139D25C7"/>
    <w:rsid w:val="13BF3CE4"/>
    <w:rsid w:val="13CE7899"/>
    <w:rsid w:val="13D824C6"/>
    <w:rsid w:val="1406244D"/>
    <w:rsid w:val="141008D8"/>
    <w:rsid w:val="14125FE6"/>
    <w:rsid w:val="141334FE"/>
    <w:rsid w:val="144D63F0"/>
    <w:rsid w:val="145B75D5"/>
    <w:rsid w:val="146D271E"/>
    <w:rsid w:val="14982588"/>
    <w:rsid w:val="149A5AD9"/>
    <w:rsid w:val="14A7619D"/>
    <w:rsid w:val="14CC4C59"/>
    <w:rsid w:val="14DC1B42"/>
    <w:rsid w:val="150536C3"/>
    <w:rsid w:val="150C1963"/>
    <w:rsid w:val="151447A0"/>
    <w:rsid w:val="154A6454"/>
    <w:rsid w:val="1557566D"/>
    <w:rsid w:val="1574621E"/>
    <w:rsid w:val="15762120"/>
    <w:rsid w:val="159B19FD"/>
    <w:rsid w:val="16556050"/>
    <w:rsid w:val="16897AA8"/>
    <w:rsid w:val="16A8729C"/>
    <w:rsid w:val="16B33777"/>
    <w:rsid w:val="16BC70A7"/>
    <w:rsid w:val="16C6339E"/>
    <w:rsid w:val="16EF5FD5"/>
    <w:rsid w:val="172F2D79"/>
    <w:rsid w:val="17557BEF"/>
    <w:rsid w:val="17577A16"/>
    <w:rsid w:val="17BA0860"/>
    <w:rsid w:val="17CB4A8E"/>
    <w:rsid w:val="17D349C1"/>
    <w:rsid w:val="17EE4D55"/>
    <w:rsid w:val="18015B6E"/>
    <w:rsid w:val="1830729E"/>
    <w:rsid w:val="183415C3"/>
    <w:rsid w:val="18383533"/>
    <w:rsid w:val="18583BD5"/>
    <w:rsid w:val="1870062C"/>
    <w:rsid w:val="18817102"/>
    <w:rsid w:val="18830A15"/>
    <w:rsid w:val="18852B28"/>
    <w:rsid w:val="1889189B"/>
    <w:rsid w:val="188B5321"/>
    <w:rsid w:val="18A43147"/>
    <w:rsid w:val="18D86AC4"/>
    <w:rsid w:val="18DC65B5"/>
    <w:rsid w:val="19630A84"/>
    <w:rsid w:val="19932372"/>
    <w:rsid w:val="19972D2D"/>
    <w:rsid w:val="19A20DD5"/>
    <w:rsid w:val="19AE03F1"/>
    <w:rsid w:val="19BF71CA"/>
    <w:rsid w:val="19C5523C"/>
    <w:rsid w:val="19DA5F6A"/>
    <w:rsid w:val="19E73463"/>
    <w:rsid w:val="1A007FAF"/>
    <w:rsid w:val="1A071A03"/>
    <w:rsid w:val="1A1F16AE"/>
    <w:rsid w:val="1A367F46"/>
    <w:rsid w:val="1A3B5C77"/>
    <w:rsid w:val="1A984BAD"/>
    <w:rsid w:val="1AB43A9A"/>
    <w:rsid w:val="1AB8220E"/>
    <w:rsid w:val="1AC76DF0"/>
    <w:rsid w:val="1ADA70F7"/>
    <w:rsid w:val="1AE4166C"/>
    <w:rsid w:val="1AF06CFB"/>
    <w:rsid w:val="1AF11B8D"/>
    <w:rsid w:val="1B11359C"/>
    <w:rsid w:val="1B2A271F"/>
    <w:rsid w:val="1B530544"/>
    <w:rsid w:val="1B6D1746"/>
    <w:rsid w:val="1B713184"/>
    <w:rsid w:val="1BA209CF"/>
    <w:rsid w:val="1BB4777D"/>
    <w:rsid w:val="1BD75AB8"/>
    <w:rsid w:val="1C0459C2"/>
    <w:rsid w:val="1C137D70"/>
    <w:rsid w:val="1C1B3B4A"/>
    <w:rsid w:val="1C4921B3"/>
    <w:rsid w:val="1C8651B5"/>
    <w:rsid w:val="1C88086E"/>
    <w:rsid w:val="1D1F2F14"/>
    <w:rsid w:val="1D266CE1"/>
    <w:rsid w:val="1D2A0A29"/>
    <w:rsid w:val="1D2D7103"/>
    <w:rsid w:val="1D3963AF"/>
    <w:rsid w:val="1D65301C"/>
    <w:rsid w:val="1D6A673C"/>
    <w:rsid w:val="1D9247AE"/>
    <w:rsid w:val="1DB567EC"/>
    <w:rsid w:val="1DD261D8"/>
    <w:rsid w:val="1DF51A98"/>
    <w:rsid w:val="1E0F11DA"/>
    <w:rsid w:val="1E177335"/>
    <w:rsid w:val="1E3D060F"/>
    <w:rsid w:val="1E3F7D2E"/>
    <w:rsid w:val="1E4134E4"/>
    <w:rsid w:val="1E5062B3"/>
    <w:rsid w:val="1E523514"/>
    <w:rsid w:val="1E714A66"/>
    <w:rsid w:val="1E763007"/>
    <w:rsid w:val="1E802593"/>
    <w:rsid w:val="1E8B6156"/>
    <w:rsid w:val="1EA703CC"/>
    <w:rsid w:val="1EB7330C"/>
    <w:rsid w:val="1F0A0FF3"/>
    <w:rsid w:val="1F1F4218"/>
    <w:rsid w:val="1F5771FF"/>
    <w:rsid w:val="1F7237CF"/>
    <w:rsid w:val="1F9C4CF0"/>
    <w:rsid w:val="1FBE07C2"/>
    <w:rsid w:val="1FD52DD5"/>
    <w:rsid w:val="1FE868A9"/>
    <w:rsid w:val="1FED554B"/>
    <w:rsid w:val="20034907"/>
    <w:rsid w:val="20173E4B"/>
    <w:rsid w:val="204E48BC"/>
    <w:rsid w:val="208921B3"/>
    <w:rsid w:val="20973DEB"/>
    <w:rsid w:val="20B26522"/>
    <w:rsid w:val="20B44310"/>
    <w:rsid w:val="211116EB"/>
    <w:rsid w:val="216133FC"/>
    <w:rsid w:val="2190618E"/>
    <w:rsid w:val="21C10A3D"/>
    <w:rsid w:val="21D56769"/>
    <w:rsid w:val="21E52EF3"/>
    <w:rsid w:val="21FB5D7B"/>
    <w:rsid w:val="22015E94"/>
    <w:rsid w:val="220B1C3D"/>
    <w:rsid w:val="221D1D20"/>
    <w:rsid w:val="22334A87"/>
    <w:rsid w:val="226F0499"/>
    <w:rsid w:val="2281696D"/>
    <w:rsid w:val="22B8599C"/>
    <w:rsid w:val="22BE6801"/>
    <w:rsid w:val="22C72CAA"/>
    <w:rsid w:val="23040BE2"/>
    <w:rsid w:val="233500BF"/>
    <w:rsid w:val="23377FF7"/>
    <w:rsid w:val="2358717F"/>
    <w:rsid w:val="23641680"/>
    <w:rsid w:val="23671B57"/>
    <w:rsid w:val="236B425F"/>
    <w:rsid w:val="23730E9E"/>
    <w:rsid w:val="23836192"/>
    <w:rsid w:val="23901F29"/>
    <w:rsid w:val="239C0061"/>
    <w:rsid w:val="23A45829"/>
    <w:rsid w:val="23B908A4"/>
    <w:rsid w:val="23C6233B"/>
    <w:rsid w:val="23E91BF9"/>
    <w:rsid w:val="23E95BEF"/>
    <w:rsid w:val="23FD0064"/>
    <w:rsid w:val="244D7793"/>
    <w:rsid w:val="245375B0"/>
    <w:rsid w:val="246200F0"/>
    <w:rsid w:val="24642C0A"/>
    <w:rsid w:val="246835F8"/>
    <w:rsid w:val="24B22173"/>
    <w:rsid w:val="24B95AD9"/>
    <w:rsid w:val="24BE24DA"/>
    <w:rsid w:val="24C87E83"/>
    <w:rsid w:val="24CF5825"/>
    <w:rsid w:val="24D663E6"/>
    <w:rsid w:val="24D77F2B"/>
    <w:rsid w:val="24FD3B3B"/>
    <w:rsid w:val="255A0F8D"/>
    <w:rsid w:val="2564005E"/>
    <w:rsid w:val="258752B0"/>
    <w:rsid w:val="258B00E2"/>
    <w:rsid w:val="25A917A6"/>
    <w:rsid w:val="25BE27CC"/>
    <w:rsid w:val="25C60ECD"/>
    <w:rsid w:val="25F74A5C"/>
    <w:rsid w:val="2611265E"/>
    <w:rsid w:val="261A6A42"/>
    <w:rsid w:val="2628662C"/>
    <w:rsid w:val="262D45DE"/>
    <w:rsid w:val="26871DC8"/>
    <w:rsid w:val="26A53EF9"/>
    <w:rsid w:val="26A94201"/>
    <w:rsid w:val="26AC274F"/>
    <w:rsid w:val="26B21811"/>
    <w:rsid w:val="27044A29"/>
    <w:rsid w:val="270B08D2"/>
    <w:rsid w:val="271D34C8"/>
    <w:rsid w:val="273A5E7E"/>
    <w:rsid w:val="276142BF"/>
    <w:rsid w:val="27783712"/>
    <w:rsid w:val="27907362"/>
    <w:rsid w:val="27E72880"/>
    <w:rsid w:val="28333E1D"/>
    <w:rsid w:val="28454BD6"/>
    <w:rsid w:val="28455253"/>
    <w:rsid w:val="28551971"/>
    <w:rsid w:val="285B1C53"/>
    <w:rsid w:val="289F7086"/>
    <w:rsid w:val="28BD3EE7"/>
    <w:rsid w:val="28C32028"/>
    <w:rsid w:val="28CC490F"/>
    <w:rsid w:val="28DE40AA"/>
    <w:rsid w:val="28EA17C3"/>
    <w:rsid w:val="28FE47D8"/>
    <w:rsid w:val="29345E77"/>
    <w:rsid w:val="2940523A"/>
    <w:rsid w:val="294C65AD"/>
    <w:rsid w:val="29806583"/>
    <w:rsid w:val="298B3C4C"/>
    <w:rsid w:val="298D0473"/>
    <w:rsid w:val="29F234A6"/>
    <w:rsid w:val="29F26D24"/>
    <w:rsid w:val="29F32C1A"/>
    <w:rsid w:val="2A0B4F4C"/>
    <w:rsid w:val="2A15033F"/>
    <w:rsid w:val="2A1662C1"/>
    <w:rsid w:val="2A1C7367"/>
    <w:rsid w:val="2A2815FA"/>
    <w:rsid w:val="2A2C0A1E"/>
    <w:rsid w:val="2A3C3357"/>
    <w:rsid w:val="2A465F84"/>
    <w:rsid w:val="2A557F75"/>
    <w:rsid w:val="2A6D6092"/>
    <w:rsid w:val="2A7D76B4"/>
    <w:rsid w:val="2A9D068C"/>
    <w:rsid w:val="2AFE7D9D"/>
    <w:rsid w:val="2B1A44FF"/>
    <w:rsid w:val="2B1B509E"/>
    <w:rsid w:val="2B2067D5"/>
    <w:rsid w:val="2B437463"/>
    <w:rsid w:val="2B7807EE"/>
    <w:rsid w:val="2B990335"/>
    <w:rsid w:val="2BA50BF7"/>
    <w:rsid w:val="2BB94533"/>
    <w:rsid w:val="2BBA1A67"/>
    <w:rsid w:val="2BBA4C32"/>
    <w:rsid w:val="2BBF00EC"/>
    <w:rsid w:val="2BC37CFD"/>
    <w:rsid w:val="2BD5237F"/>
    <w:rsid w:val="2BE536CE"/>
    <w:rsid w:val="2BE758D9"/>
    <w:rsid w:val="2C09049E"/>
    <w:rsid w:val="2C0A653C"/>
    <w:rsid w:val="2C191F85"/>
    <w:rsid w:val="2C2045B2"/>
    <w:rsid w:val="2C424529"/>
    <w:rsid w:val="2C9B6291"/>
    <w:rsid w:val="2CBA5AE4"/>
    <w:rsid w:val="2CDE6947"/>
    <w:rsid w:val="2CE82D6F"/>
    <w:rsid w:val="2D021D14"/>
    <w:rsid w:val="2D343236"/>
    <w:rsid w:val="2D632302"/>
    <w:rsid w:val="2DD15014"/>
    <w:rsid w:val="2DF72DE4"/>
    <w:rsid w:val="2E0220AF"/>
    <w:rsid w:val="2E4B082A"/>
    <w:rsid w:val="2E5D4E86"/>
    <w:rsid w:val="2E5D790B"/>
    <w:rsid w:val="2E8C4181"/>
    <w:rsid w:val="2E9A3C18"/>
    <w:rsid w:val="2EBB0FEE"/>
    <w:rsid w:val="2EC63002"/>
    <w:rsid w:val="2F0A6B38"/>
    <w:rsid w:val="2F1F0594"/>
    <w:rsid w:val="2F946CCB"/>
    <w:rsid w:val="2FB50308"/>
    <w:rsid w:val="2FB92D54"/>
    <w:rsid w:val="2FD25781"/>
    <w:rsid w:val="2FDC745C"/>
    <w:rsid w:val="2FFD7934"/>
    <w:rsid w:val="30006BD5"/>
    <w:rsid w:val="30536D05"/>
    <w:rsid w:val="30733ACD"/>
    <w:rsid w:val="308C3862"/>
    <w:rsid w:val="309379D8"/>
    <w:rsid w:val="30A270F7"/>
    <w:rsid w:val="30DF1478"/>
    <w:rsid w:val="30EC586F"/>
    <w:rsid w:val="31077AEF"/>
    <w:rsid w:val="314550B7"/>
    <w:rsid w:val="319B4E07"/>
    <w:rsid w:val="319C6071"/>
    <w:rsid w:val="31AC537E"/>
    <w:rsid w:val="31C205E6"/>
    <w:rsid w:val="31E3679B"/>
    <w:rsid w:val="31E732FD"/>
    <w:rsid w:val="320F4EAD"/>
    <w:rsid w:val="321C61A0"/>
    <w:rsid w:val="32517576"/>
    <w:rsid w:val="3254650A"/>
    <w:rsid w:val="32582CF8"/>
    <w:rsid w:val="32641B63"/>
    <w:rsid w:val="32B06690"/>
    <w:rsid w:val="32BB5035"/>
    <w:rsid w:val="32BE5C2C"/>
    <w:rsid w:val="32FA0324"/>
    <w:rsid w:val="32FB6478"/>
    <w:rsid w:val="33263B3F"/>
    <w:rsid w:val="336963EB"/>
    <w:rsid w:val="33816EEB"/>
    <w:rsid w:val="33B757FC"/>
    <w:rsid w:val="33BE6B8B"/>
    <w:rsid w:val="33DE722D"/>
    <w:rsid w:val="33EB55CD"/>
    <w:rsid w:val="33EC4C02"/>
    <w:rsid w:val="340D2360"/>
    <w:rsid w:val="3410665D"/>
    <w:rsid w:val="34211214"/>
    <w:rsid w:val="342E63AB"/>
    <w:rsid w:val="34565F53"/>
    <w:rsid w:val="34950E68"/>
    <w:rsid w:val="34986E94"/>
    <w:rsid w:val="34AF62C9"/>
    <w:rsid w:val="34B157F7"/>
    <w:rsid w:val="34BB131C"/>
    <w:rsid w:val="34CB4388"/>
    <w:rsid w:val="34FA6E12"/>
    <w:rsid w:val="35434649"/>
    <w:rsid w:val="354D7158"/>
    <w:rsid w:val="358D5588"/>
    <w:rsid w:val="35916DD5"/>
    <w:rsid w:val="363A3B40"/>
    <w:rsid w:val="363C60E2"/>
    <w:rsid w:val="363E3FB3"/>
    <w:rsid w:val="365302AE"/>
    <w:rsid w:val="36607A0A"/>
    <w:rsid w:val="366E227C"/>
    <w:rsid w:val="366F2E0D"/>
    <w:rsid w:val="36743E79"/>
    <w:rsid w:val="367B6A5C"/>
    <w:rsid w:val="368F0CB2"/>
    <w:rsid w:val="36A74ADA"/>
    <w:rsid w:val="36AA33F6"/>
    <w:rsid w:val="36AD60D5"/>
    <w:rsid w:val="36AF4EB1"/>
    <w:rsid w:val="36B224F9"/>
    <w:rsid w:val="36EC0CC9"/>
    <w:rsid w:val="37364881"/>
    <w:rsid w:val="373F410B"/>
    <w:rsid w:val="37645C9B"/>
    <w:rsid w:val="37C60EA3"/>
    <w:rsid w:val="37EE7094"/>
    <w:rsid w:val="38296C89"/>
    <w:rsid w:val="383002EB"/>
    <w:rsid w:val="38586797"/>
    <w:rsid w:val="385C2AB2"/>
    <w:rsid w:val="38A00F55"/>
    <w:rsid w:val="38BC0149"/>
    <w:rsid w:val="38D87D1C"/>
    <w:rsid w:val="390019F4"/>
    <w:rsid w:val="390E2362"/>
    <w:rsid w:val="391E6CA0"/>
    <w:rsid w:val="39385CD4"/>
    <w:rsid w:val="39636459"/>
    <w:rsid w:val="39671A73"/>
    <w:rsid w:val="3967248F"/>
    <w:rsid w:val="396B18F5"/>
    <w:rsid w:val="396B7F6C"/>
    <w:rsid w:val="39B417A9"/>
    <w:rsid w:val="39F61D71"/>
    <w:rsid w:val="39FC5695"/>
    <w:rsid w:val="3A006D8E"/>
    <w:rsid w:val="3A192D6D"/>
    <w:rsid w:val="3A23021F"/>
    <w:rsid w:val="3A3651E5"/>
    <w:rsid w:val="3A744481"/>
    <w:rsid w:val="3A8C7BEF"/>
    <w:rsid w:val="3A8D5509"/>
    <w:rsid w:val="3A906246"/>
    <w:rsid w:val="3B031229"/>
    <w:rsid w:val="3B2349B7"/>
    <w:rsid w:val="3B4A120E"/>
    <w:rsid w:val="3B616CFF"/>
    <w:rsid w:val="3B6259F6"/>
    <w:rsid w:val="3B976654"/>
    <w:rsid w:val="3BC01EFC"/>
    <w:rsid w:val="3BCA786A"/>
    <w:rsid w:val="3BD31E2F"/>
    <w:rsid w:val="3BF15831"/>
    <w:rsid w:val="3BFD65C8"/>
    <w:rsid w:val="3C105946"/>
    <w:rsid w:val="3C471448"/>
    <w:rsid w:val="3C5F759A"/>
    <w:rsid w:val="3C6C525A"/>
    <w:rsid w:val="3CCE23CB"/>
    <w:rsid w:val="3CD17D17"/>
    <w:rsid w:val="3D3C7F39"/>
    <w:rsid w:val="3D440F09"/>
    <w:rsid w:val="3D4504A0"/>
    <w:rsid w:val="3D540560"/>
    <w:rsid w:val="3D65451B"/>
    <w:rsid w:val="3D66752E"/>
    <w:rsid w:val="3D686F47"/>
    <w:rsid w:val="3D7309E6"/>
    <w:rsid w:val="3D8734BB"/>
    <w:rsid w:val="3D9A11D4"/>
    <w:rsid w:val="3DA16D89"/>
    <w:rsid w:val="3DA212CB"/>
    <w:rsid w:val="3DA364BE"/>
    <w:rsid w:val="3DE041CB"/>
    <w:rsid w:val="3E0D48F6"/>
    <w:rsid w:val="3E1868B4"/>
    <w:rsid w:val="3E377251"/>
    <w:rsid w:val="3E42664B"/>
    <w:rsid w:val="3E5A7334"/>
    <w:rsid w:val="3E68373E"/>
    <w:rsid w:val="3E7B5D6B"/>
    <w:rsid w:val="3E843E66"/>
    <w:rsid w:val="3E88226F"/>
    <w:rsid w:val="3E8F51FE"/>
    <w:rsid w:val="3E926F87"/>
    <w:rsid w:val="3E9A59DE"/>
    <w:rsid w:val="3EAF4836"/>
    <w:rsid w:val="3EC314F9"/>
    <w:rsid w:val="3EC33DFA"/>
    <w:rsid w:val="3F060E16"/>
    <w:rsid w:val="3F1D1096"/>
    <w:rsid w:val="3F2327AF"/>
    <w:rsid w:val="3F2F0234"/>
    <w:rsid w:val="3F6363FE"/>
    <w:rsid w:val="3F756B8F"/>
    <w:rsid w:val="3F95482B"/>
    <w:rsid w:val="3FC03C8B"/>
    <w:rsid w:val="4019356B"/>
    <w:rsid w:val="405745EF"/>
    <w:rsid w:val="40592157"/>
    <w:rsid w:val="406E1CAE"/>
    <w:rsid w:val="40A0133A"/>
    <w:rsid w:val="40C31A53"/>
    <w:rsid w:val="40C81049"/>
    <w:rsid w:val="40FF545D"/>
    <w:rsid w:val="410067C8"/>
    <w:rsid w:val="41673933"/>
    <w:rsid w:val="418F0D2A"/>
    <w:rsid w:val="4191768D"/>
    <w:rsid w:val="419D0727"/>
    <w:rsid w:val="41B94E35"/>
    <w:rsid w:val="41C757A4"/>
    <w:rsid w:val="41D01505"/>
    <w:rsid w:val="41D6506E"/>
    <w:rsid w:val="41ED1345"/>
    <w:rsid w:val="41FF6CEC"/>
    <w:rsid w:val="42474939"/>
    <w:rsid w:val="424C3C57"/>
    <w:rsid w:val="42554B5E"/>
    <w:rsid w:val="42613FF3"/>
    <w:rsid w:val="42660D96"/>
    <w:rsid w:val="428667D2"/>
    <w:rsid w:val="4292190E"/>
    <w:rsid w:val="42CD17E5"/>
    <w:rsid w:val="42CD1CE0"/>
    <w:rsid w:val="42D26561"/>
    <w:rsid w:val="42E1381E"/>
    <w:rsid w:val="42ED6459"/>
    <w:rsid w:val="42FE58DD"/>
    <w:rsid w:val="43174B3D"/>
    <w:rsid w:val="434B790E"/>
    <w:rsid w:val="4360274F"/>
    <w:rsid w:val="4392593E"/>
    <w:rsid w:val="43977AB6"/>
    <w:rsid w:val="43A062AD"/>
    <w:rsid w:val="43A3342B"/>
    <w:rsid w:val="43C77C27"/>
    <w:rsid w:val="43CA5B33"/>
    <w:rsid w:val="43DE09EE"/>
    <w:rsid w:val="43FD36FF"/>
    <w:rsid w:val="44002FAD"/>
    <w:rsid w:val="440F51E1"/>
    <w:rsid w:val="449101DD"/>
    <w:rsid w:val="44DE1391"/>
    <w:rsid w:val="451B225C"/>
    <w:rsid w:val="452410C9"/>
    <w:rsid w:val="45317DFB"/>
    <w:rsid w:val="456D3CE4"/>
    <w:rsid w:val="4579042C"/>
    <w:rsid w:val="457E617A"/>
    <w:rsid w:val="457F0571"/>
    <w:rsid w:val="45851176"/>
    <w:rsid w:val="45C63B94"/>
    <w:rsid w:val="45CC7793"/>
    <w:rsid w:val="460E7DA5"/>
    <w:rsid w:val="46236D21"/>
    <w:rsid w:val="46422483"/>
    <w:rsid w:val="464E1FF0"/>
    <w:rsid w:val="4659254A"/>
    <w:rsid w:val="465B0637"/>
    <w:rsid w:val="465E3F0D"/>
    <w:rsid w:val="466A16E6"/>
    <w:rsid w:val="467D75D6"/>
    <w:rsid w:val="46893F2B"/>
    <w:rsid w:val="46C4686E"/>
    <w:rsid w:val="471718AD"/>
    <w:rsid w:val="472E3BD0"/>
    <w:rsid w:val="474433F3"/>
    <w:rsid w:val="476F4F18"/>
    <w:rsid w:val="477517FF"/>
    <w:rsid w:val="477B778F"/>
    <w:rsid w:val="478203EC"/>
    <w:rsid w:val="47B025FA"/>
    <w:rsid w:val="47D017F8"/>
    <w:rsid w:val="480123CD"/>
    <w:rsid w:val="4809698F"/>
    <w:rsid w:val="480E680B"/>
    <w:rsid w:val="4811697D"/>
    <w:rsid w:val="484A4A39"/>
    <w:rsid w:val="487A3E25"/>
    <w:rsid w:val="48800EBB"/>
    <w:rsid w:val="488B5503"/>
    <w:rsid w:val="48937E21"/>
    <w:rsid w:val="489A0361"/>
    <w:rsid w:val="48A405ED"/>
    <w:rsid w:val="48B14D38"/>
    <w:rsid w:val="48B94FF3"/>
    <w:rsid w:val="48E37AAB"/>
    <w:rsid w:val="48FD4B4C"/>
    <w:rsid w:val="490A68E0"/>
    <w:rsid w:val="491055FE"/>
    <w:rsid w:val="49423962"/>
    <w:rsid w:val="495F5B3E"/>
    <w:rsid w:val="496F77D7"/>
    <w:rsid w:val="497654FD"/>
    <w:rsid w:val="498D4320"/>
    <w:rsid w:val="49B64211"/>
    <w:rsid w:val="49E56AF9"/>
    <w:rsid w:val="49F6167F"/>
    <w:rsid w:val="4A064FA0"/>
    <w:rsid w:val="4A16615C"/>
    <w:rsid w:val="4A4424D7"/>
    <w:rsid w:val="4A45370A"/>
    <w:rsid w:val="4A71301D"/>
    <w:rsid w:val="4A730277"/>
    <w:rsid w:val="4A75754B"/>
    <w:rsid w:val="4AB82D0F"/>
    <w:rsid w:val="4AEB7664"/>
    <w:rsid w:val="4AF8458F"/>
    <w:rsid w:val="4AFD7C19"/>
    <w:rsid w:val="4AFF5FAF"/>
    <w:rsid w:val="4B0567D1"/>
    <w:rsid w:val="4B1D6435"/>
    <w:rsid w:val="4B236AAE"/>
    <w:rsid w:val="4B707271"/>
    <w:rsid w:val="4B9739F7"/>
    <w:rsid w:val="4BD73978"/>
    <w:rsid w:val="4BEE2503"/>
    <w:rsid w:val="4C245A30"/>
    <w:rsid w:val="4C322340"/>
    <w:rsid w:val="4CB6685F"/>
    <w:rsid w:val="4CC367FE"/>
    <w:rsid w:val="4D077F3C"/>
    <w:rsid w:val="4D123355"/>
    <w:rsid w:val="4D2A3B31"/>
    <w:rsid w:val="4D312C52"/>
    <w:rsid w:val="4D905305"/>
    <w:rsid w:val="4D964A72"/>
    <w:rsid w:val="4D9C1254"/>
    <w:rsid w:val="4DA62712"/>
    <w:rsid w:val="4E646C38"/>
    <w:rsid w:val="4E793892"/>
    <w:rsid w:val="4E800872"/>
    <w:rsid w:val="4E864DBE"/>
    <w:rsid w:val="4EC062F0"/>
    <w:rsid w:val="4EC569ED"/>
    <w:rsid w:val="4EC63BC9"/>
    <w:rsid w:val="4ED50EA1"/>
    <w:rsid w:val="4EEC050C"/>
    <w:rsid w:val="4F104EC3"/>
    <w:rsid w:val="4F2C30EB"/>
    <w:rsid w:val="4F47354A"/>
    <w:rsid w:val="4F911C54"/>
    <w:rsid w:val="4F9F4791"/>
    <w:rsid w:val="4FE625E0"/>
    <w:rsid w:val="500B77B1"/>
    <w:rsid w:val="5021480F"/>
    <w:rsid w:val="50962ECB"/>
    <w:rsid w:val="50A42E38"/>
    <w:rsid w:val="50A4577F"/>
    <w:rsid w:val="50B73D1F"/>
    <w:rsid w:val="50BD5BC9"/>
    <w:rsid w:val="50C11EEE"/>
    <w:rsid w:val="50D92DFE"/>
    <w:rsid w:val="50E357F0"/>
    <w:rsid w:val="50E97CFC"/>
    <w:rsid w:val="50FA4028"/>
    <w:rsid w:val="510D65B7"/>
    <w:rsid w:val="511157AB"/>
    <w:rsid w:val="512C73D2"/>
    <w:rsid w:val="5142540C"/>
    <w:rsid w:val="518832C8"/>
    <w:rsid w:val="519D3C50"/>
    <w:rsid w:val="51A0432A"/>
    <w:rsid w:val="51A73F45"/>
    <w:rsid w:val="51A86090"/>
    <w:rsid w:val="51B7396D"/>
    <w:rsid w:val="51E60C10"/>
    <w:rsid w:val="522E4CC3"/>
    <w:rsid w:val="523302EC"/>
    <w:rsid w:val="52374C03"/>
    <w:rsid w:val="523F5BCB"/>
    <w:rsid w:val="5244713B"/>
    <w:rsid w:val="52615633"/>
    <w:rsid w:val="526F4DE4"/>
    <w:rsid w:val="527252B8"/>
    <w:rsid w:val="52977FD4"/>
    <w:rsid w:val="52A25790"/>
    <w:rsid w:val="52A96B6F"/>
    <w:rsid w:val="52B45975"/>
    <w:rsid w:val="52D94AA4"/>
    <w:rsid w:val="52E54539"/>
    <w:rsid w:val="52EA3A62"/>
    <w:rsid w:val="52F50BB8"/>
    <w:rsid w:val="53097272"/>
    <w:rsid w:val="5345477B"/>
    <w:rsid w:val="53544462"/>
    <w:rsid w:val="53677C45"/>
    <w:rsid w:val="5397158E"/>
    <w:rsid w:val="53A616BE"/>
    <w:rsid w:val="54013861"/>
    <w:rsid w:val="54487265"/>
    <w:rsid w:val="544D6070"/>
    <w:rsid w:val="54605E1E"/>
    <w:rsid w:val="54B3506A"/>
    <w:rsid w:val="54CA0D16"/>
    <w:rsid w:val="54DD4057"/>
    <w:rsid w:val="54E63D3C"/>
    <w:rsid w:val="54E7490F"/>
    <w:rsid w:val="550764A4"/>
    <w:rsid w:val="550B2BF6"/>
    <w:rsid w:val="55214EB5"/>
    <w:rsid w:val="55364EFD"/>
    <w:rsid w:val="555667CB"/>
    <w:rsid w:val="555D4828"/>
    <w:rsid w:val="557A4C8B"/>
    <w:rsid w:val="558931E1"/>
    <w:rsid w:val="55923347"/>
    <w:rsid w:val="55925180"/>
    <w:rsid w:val="55983B1B"/>
    <w:rsid w:val="55A8376B"/>
    <w:rsid w:val="55AF7FC7"/>
    <w:rsid w:val="55DC29B6"/>
    <w:rsid w:val="55DD4241"/>
    <w:rsid w:val="56170651"/>
    <w:rsid w:val="566B6D1E"/>
    <w:rsid w:val="56B23324"/>
    <w:rsid w:val="57032A2C"/>
    <w:rsid w:val="570F5219"/>
    <w:rsid w:val="572F5526"/>
    <w:rsid w:val="575D12B5"/>
    <w:rsid w:val="57610A87"/>
    <w:rsid w:val="57715B3F"/>
    <w:rsid w:val="577B1140"/>
    <w:rsid w:val="577B7F21"/>
    <w:rsid w:val="577F181B"/>
    <w:rsid w:val="57921984"/>
    <w:rsid w:val="579737F0"/>
    <w:rsid w:val="57AB7B30"/>
    <w:rsid w:val="57AF5251"/>
    <w:rsid w:val="57B26373"/>
    <w:rsid w:val="57B63F04"/>
    <w:rsid w:val="57CD20C2"/>
    <w:rsid w:val="57D12A81"/>
    <w:rsid w:val="57D675AB"/>
    <w:rsid w:val="57D95FDD"/>
    <w:rsid w:val="57F81DBC"/>
    <w:rsid w:val="581F37ED"/>
    <w:rsid w:val="58223E5C"/>
    <w:rsid w:val="58247055"/>
    <w:rsid w:val="58917D2F"/>
    <w:rsid w:val="5894085C"/>
    <w:rsid w:val="589A03BC"/>
    <w:rsid w:val="58AE4F0C"/>
    <w:rsid w:val="58AE691E"/>
    <w:rsid w:val="58B85899"/>
    <w:rsid w:val="58E363A9"/>
    <w:rsid w:val="592D018B"/>
    <w:rsid w:val="595E1678"/>
    <w:rsid w:val="596D5BD4"/>
    <w:rsid w:val="597E3DD8"/>
    <w:rsid w:val="599975CF"/>
    <w:rsid w:val="59AD4E28"/>
    <w:rsid w:val="59CA3C2C"/>
    <w:rsid w:val="59DD53DB"/>
    <w:rsid w:val="59DD74BB"/>
    <w:rsid w:val="59EA6CCF"/>
    <w:rsid w:val="59EC0FAB"/>
    <w:rsid w:val="59F80043"/>
    <w:rsid w:val="5A09252F"/>
    <w:rsid w:val="5A0B2778"/>
    <w:rsid w:val="5A2A7C7B"/>
    <w:rsid w:val="5A3E2560"/>
    <w:rsid w:val="5A47702B"/>
    <w:rsid w:val="5A4D34B5"/>
    <w:rsid w:val="5A5602CA"/>
    <w:rsid w:val="5A5D3B6E"/>
    <w:rsid w:val="5A637A76"/>
    <w:rsid w:val="5A6D33BA"/>
    <w:rsid w:val="5A792B1F"/>
    <w:rsid w:val="5A874767"/>
    <w:rsid w:val="5AA85BE2"/>
    <w:rsid w:val="5AAD6F28"/>
    <w:rsid w:val="5AD63A24"/>
    <w:rsid w:val="5B2E1A1D"/>
    <w:rsid w:val="5B7516A9"/>
    <w:rsid w:val="5B7E6A7C"/>
    <w:rsid w:val="5B843A1C"/>
    <w:rsid w:val="5B873E3F"/>
    <w:rsid w:val="5BB7336A"/>
    <w:rsid w:val="5BDB5C7C"/>
    <w:rsid w:val="5BDF25F9"/>
    <w:rsid w:val="5C02690E"/>
    <w:rsid w:val="5C0870DF"/>
    <w:rsid w:val="5C196DA7"/>
    <w:rsid w:val="5C2A048C"/>
    <w:rsid w:val="5C714FB1"/>
    <w:rsid w:val="5C80234E"/>
    <w:rsid w:val="5C8A680C"/>
    <w:rsid w:val="5C9D73D6"/>
    <w:rsid w:val="5D0C4701"/>
    <w:rsid w:val="5D0F0395"/>
    <w:rsid w:val="5D221076"/>
    <w:rsid w:val="5D397964"/>
    <w:rsid w:val="5D413670"/>
    <w:rsid w:val="5D5A391C"/>
    <w:rsid w:val="5D5F10C0"/>
    <w:rsid w:val="5D635307"/>
    <w:rsid w:val="5D8365CC"/>
    <w:rsid w:val="5D891B7B"/>
    <w:rsid w:val="5DAD38EE"/>
    <w:rsid w:val="5DB22A0D"/>
    <w:rsid w:val="5DC42740"/>
    <w:rsid w:val="5DD21301"/>
    <w:rsid w:val="5DF03535"/>
    <w:rsid w:val="5E006862"/>
    <w:rsid w:val="5E0207B9"/>
    <w:rsid w:val="5E0A4E97"/>
    <w:rsid w:val="5E1834A1"/>
    <w:rsid w:val="5E261785"/>
    <w:rsid w:val="5E4A7017"/>
    <w:rsid w:val="5E552BBA"/>
    <w:rsid w:val="5E5B5D21"/>
    <w:rsid w:val="5E5C3B1A"/>
    <w:rsid w:val="5E611C10"/>
    <w:rsid w:val="5E7A0F3F"/>
    <w:rsid w:val="5EE017FC"/>
    <w:rsid w:val="5EFC7377"/>
    <w:rsid w:val="5F06174D"/>
    <w:rsid w:val="5F2D2C93"/>
    <w:rsid w:val="5F3A3602"/>
    <w:rsid w:val="5F45733B"/>
    <w:rsid w:val="5F4A0C6E"/>
    <w:rsid w:val="5F6277C6"/>
    <w:rsid w:val="5F6D0B1D"/>
    <w:rsid w:val="5F8D0B82"/>
    <w:rsid w:val="5FC855FC"/>
    <w:rsid w:val="5FCC5339"/>
    <w:rsid w:val="5FE34A5B"/>
    <w:rsid w:val="5FFE1E36"/>
    <w:rsid w:val="60232584"/>
    <w:rsid w:val="607330CE"/>
    <w:rsid w:val="60825176"/>
    <w:rsid w:val="609F2AC4"/>
    <w:rsid w:val="60A8239F"/>
    <w:rsid w:val="60FA2EE8"/>
    <w:rsid w:val="61054A27"/>
    <w:rsid w:val="610A52BC"/>
    <w:rsid w:val="611D2366"/>
    <w:rsid w:val="61421856"/>
    <w:rsid w:val="6151078F"/>
    <w:rsid w:val="615227C4"/>
    <w:rsid w:val="61654E3F"/>
    <w:rsid w:val="6182292A"/>
    <w:rsid w:val="61952D71"/>
    <w:rsid w:val="619F7F92"/>
    <w:rsid w:val="61BF1B9C"/>
    <w:rsid w:val="61EE49A3"/>
    <w:rsid w:val="61F94C26"/>
    <w:rsid w:val="62000E56"/>
    <w:rsid w:val="62466743"/>
    <w:rsid w:val="624F3E49"/>
    <w:rsid w:val="62632286"/>
    <w:rsid w:val="627D7A8D"/>
    <w:rsid w:val="628249B5"/>
    <w:rsid w:val="62885958"/>
    <w:rsid w:val="62DF24F6"/>
    <w:rsid w:val="62EA4706"/>
    <w:rsid w:val="62EF26C2"/>
    <w:rsid w:val="62F40B65"/>
    <w:rsid w:val="62FC2CFE"/>
    <w:rsid w:val="63024505"/>
    <w:rsid w:val="635600A5"/>
    <w:rsid w:val="635B1DB5"/>
    <w:rsid w:val="63711FED"/>
    <w:rsid w:val="63880DDC"/>
    <w:rsid w:val="638D750D"/>
    <w:rsid w:val="63AC6CC0"/>
    <w:rsid w:val="640204AC"/>
    <w:rsid w:val="64055776"/>
    <w:rsid w:val="64240056"/>
    <w:rsid w:val="642A5F90"/>
    <w:rsid w:val="643E143A"/>
    <w:rsid w:val="64491666"/>
    <w:rsid w:val="648B6EEF"/>
    <w:rsid w:val="64C158BF"/>
    <w:rsid w:val="64CE2EAA"/>
    <w:rsid w:val="64F90154"/>
    <w:rsid w:val="653C3090"/>
    <w:rsid w:val="65717652"/>
    <w:rsid w:val="65854376"/>
    <w:rsid w:val="658767BE"/>
    <w:rsid w:val="65892531"/>
    <w:rsid w:val="65CE3F9D"/>
    <w:rsid w:val="65DD6A95"/>
    <w:rsid w:val="66195831"/>
    <w:rsid w:val="662E75B1"/>
    <w:rsid w:val="663366B5"/>
    <w:rsid w:val="66342C2E"/>
    <w:rsid w:val="663E784C"/>
    <w:rsid w:val="664D64E0"/>
    <w:rsid w:val="66642AAD"/>
    <w:rsid w:val="668B6A45"/>
    <w:rsid w:val="66A979FF"/>
    <w:rsid w:val="67011F07"/>
    <w:rsid w:val="671958AB"/>
    <w:rsid w:val="672F3F24"/>
    <w:rsid w:val="673E055F"/>
    <w:rsid w:val="674844FC"/>
    <w:rsid w:val="67551CE3"/>
    <w:rsid w:val="676C00D0"/>
    <w:rsid w:val="678E732F"/>
    <w:rsid w:val="679B577F"/>
    <w:rsid w:val="679F0925"/>
    <w:rsid w:val="67A22552"/>
    <w:rsid w:val="67B22DCC"/>
    <w:rsid w:val="67BE71AA"/>
    <w:rsid w:val="67D90273"/>
    <w:rsid w:val="67DE5875"/>
    <w:rsid w:val="67E55852"/>
    <w:rsid w:val="67EB1AB4"/>
    <w:rsid w:val="67FA1285"/>
    <w:rsid w:val="68171337"/>
    <w:rsid w:val="68386205"/>
    <w:rsid w:val="68551F4F"/>
    <w:rsid w:val="687C10C9"/>
    <w:rsid w:val="68840C16"/>
    <w:rsid w:val="68850E7E"/>
    <w:rsid w:val="68872541"/>
    <w:rsid w:val="68876EFB"/>
    <w:rsid w:val="68884654"/>
    <w:rsid w:val="689F444F"/>
    <w:rsid w:val="68B96DBB"/>
    <w:rsid w:val="68CA2805"/>
    <w:rsid w:val="68E937A3"/>
    <w:rsid w:val="68F93BE6"/>
    <w:rsid w:val="691664E5"/>
    <w:rsid w:val="693E15D3"/>
    <w:rsid w:val="69627681"/>
    <w:rsid w:val="6977531D"/>
    <w:rsid w:val="69AC6C0B"/>
    <w:rsid w:val="69C45FA2"/>
    <w:rsid w:val="69CC2BFF"/>
    <w:rsid w:val="69D35328"/>
    <w:rsid w:val="69FD55B8"/>
    <w:rsid w:val="6A0B1C62"/>
    <w:rsid w:val="6A2406C8"/>
    <w:rsid w:val="6A5C267E"/>
    <w:rsid w:val="6A813E93"/>
    <w:rsid w:val="6AB16F13"/>
    <w:rsid w:val="6ADE0BD1"/>
    <w:rsid w:val="6AE96859"/>
    <w:rsid w:val="6B147746"/>
    <w:rsid w:val="6B24787C"/>
    <w:rsid w:val="6B4F3F91"/>
    <w:rsid w:val="6B573233"/>
    <w:rsid w:val="6B5B6274"/>
    <w:rsid w:val="6B655563"/>
    <w:rsid w:val="6B935D53"/>
    <w:rsid w:val="6BA23C2D"/>
    <w:rsid w:val="6BD82A45"/>
    <w:rsid w:val="6C0728F1"/>
    <w:rsid w:val="6C196F71"/>
    <w:rsid w:val="6C226FCB"/>
    <w:rsid w:val="6C31226F"/>
    <w:rsid w:val="6C552F0B"/>
    <w:rsid w:val="6C8C67B7"/>
    <w:rsid w:val="6C9D744C"/>
    <w:rsid w:val="6CDB7153"/>
    <w:rsid w:val="6D167928"/>
    <w:rsid w:val="6D26299B"/>
    <w:rsid w:val="6D4772EC"/>
    <w:rsid w:val="6D9078AF"/>
    <w:rsid w:val="6DAA3FEF"/>
    <w:rsid w:val="6DC0172B"/>
    <w:rsid w:val="6DCB690C"/>
    <w:rsid w:val="6DD41A5B"/>
    <w:rsid w:val="6DF43C2E"/>
    <w:rsid w:val="6DF51CA3"/>
    <w:rsid w:val="6E3336F6"/>
    <w:rsid w:val="6E3A2CD6"/>
    <w:rsid w:val="6E68176A"/>
    <w:rsid w:val="6E8335BD"/>
    <w:rsid w:val="6E8E12EF"/>
    <w:rsid w:val="6E972936"/>
    <w:rsid w:val="6ED446C5"/>
    <w:rsid w:val="6F0532E4"/>
    <w:rsid w:val="6F240E42"/>
    <w:rsid w:val="6F2968A7"/>
    <w:rsid w:val="6F2A7D94"/>
    <w:rsid w:val="6F2D6397"/>
    <w:rsid w:val="6F375468"/>
    <w:rsid w:val="6F8331F1"/>
    <w:rsid w:val="6FA30E45"/>
    <w:rsid w:val="6FAE1A09"/>
    <w:rsid w:val="6FB1521A"/>
    <w:rsid w:val="6FD75BF8"/>
    <w:rsid w:val="6FEF2100"/>
    <w:rsid w:val="70170310"/>
    <w:rsid w:val="707723D0"/>
    <w:rsid w:val="70F5661B"/>
    <w:rsid w:val="710453BE"/>
    <w:rsid w:val="71360107"/>
    <w:rsid w:val="713B688E"/>
    <w:rsid w:val="71BF1F32"/>
    <w:rsid w:val="71D43752"/>
    <w:rsid w:val="71EA67C2"/>
    <w:rsid w:val="71F1796A"/>
    <w:rsid w:val="720D141A"/>
    <w:rsid w:val="72154626"/>
    <w:rsid w:val="72262B5D"/>
    <w:rsid w:val="72283FF7"/>
    <w:rsid w:val="722E7212"/>
    <w:rsid w:val="723A0474"/>
    <w:rsid w:val="72404633"/>
    <w:rsid w:val="725923E4"/>
    <w:rsid w:val="727B7F22"/>
    <w:rsid w:val="72864BF7"/>
    <w:rsid w:val="729023FC"/>
    <w:rsid w:val="730C2768"/>
    <w:rsid w:val="739E0321"/>
    <w:rsid w:val="73C0646E"/>
    <w:rsid w:val="73CF5C6F"/>
    <w:rsid w:val="74143219"/>
    <w:rsid w:val="742222F5"/>
    <w:rsid w:val="7425394E"/>
    <w:rsid w:val="74476126"/>
    <w:rsid w:val="745E6FF3"/>
    <w:rsid w:val="74706664"/>
    <w:rsid w:val="747F3682"/>
    <w:rsid w:val="749C4185"/>
    <w:rsid w:val="74B242DE"/>
    <w:rsid w:val="74BB2697"/>
    <w:rsid w:val="74FA4F6E"/>
    <w:rsid w:val="75067759"/>
    <w:rsid w:val="752E6DCD"/>
    <w:rsid w:val="7551380D"/>
    <w:rsid w:val="75600BE5"/>
    <w:rsid w:val="7564475C"/>
    <w:rsid w:val="7583797F"/>
    <w:rsid w:val="75C64E50"/>
    <w:rsid w:val="75D20F1D"/>
    <w:rsid w:val="75DA2C18"/>
    <w:rsid w:val="75F54412"/>
    <w:rsid w:val="761D08E0"/>
    <w:rsid w:val="76465F91"/>
    <w:rsid w:val="765D347C"/>
    <w:rsid w:val="76826699"/>
    <w:rsid w:val="76C87133"/>
    <w:rsid w:val="76CD08D5"/>
    <w:rsid w:val="76DB4B92"/>
    <w:rsid w:val="76E82A44"/>
    <w:rsid w:val="77052AA4"/>
    <w:rsid w:val="77136511"/>
    <w:rsid w:val="772C162A"/>
    <w:rsid w:val="772F0407"/>
    <w:rsid w:val="77340A39"/>
    <w:rsid w:val="77351FD0"/>
    <w:rsid w:val="77435C67"/>
    <w:rsid w:val="77472422"/>
    <w:rsid w:val="777A05E8"/>
    <w:rsid w:val="777F31F2"/>
    <w:rsid w:val="77805B24"/>
    <w:rsid w:val="77D1700D"/>
    <w:rsid w:val="77D221D2"/>
    <w:rsid w:val="77D73080"/>
    <w:rsid w:val="77EC04CC"/>
    <w:rsid w:val="784831E4"/>
    <w:rsid w:val="78775729"/>
    <w:rsid w:val="78A42DB0"/>
    <w:rsid w:val="78A656AB"/>
    <w:rsid w:val="78B2245C"/>
    <w:rsid w:val="78E172CC"/>
    <w:rsid w:val="78EA1D1F"/>
    <w:rsid w:val="7904172F"/>
    <w:rsid w:val="790F7E27"/>
    <w:rsid w:val="79256331"/>
    <w:rsid w:val="792A231A"/>
    <w:rsid w:val="79316829"/>
    <w:rsid w:val="795E477B"/>
    <w:rsid w:val="797E66A9"/>
    <w:rsid w:val="798518A4"/>
    <w:rsid w:val="79A97383"/>
    <w:rsid w:val="79D80A11"/>
    <w:rsid w:val="79E27E8B"/>
    <w:rsid w:val="79F850CE"/>
    <w:rsid w:val="79FC05FF"/>
    <w:rsid w:val="79FD443C"/>
    <w:rsid w:val="79FF0445"/>
    <w:rsid w:val="7A1D1975"/>
    <w:rsid w:val="7A3E5150"/>
    <w:rsid w:val="7A4670D6"/>
    <w:rsid w:val="7A534B63"/>
    <w:rsid w:val="7A615382"/>
    <w:rsid w:val="7A67303B"/>
    <w:rsid w:val="7A7C15F3"/>
    <w:rsid w:val="7AA92689"/>
    <w:rsid w:val="7AAB1D04"/>
    <w:rsid w:val="7AB160CE"/>
    <w:rsid w:val="7ABA4368"/>
    <w:rsid w:val="7AD05746"/>
    <w:rsid w:val="7AD85D51"/>
    <w:rsid w:val="7B07786A"/>
    <w:rsid w:val="7B130B37"/>
    <w:rsid w:val="7B145A11"/>
    <w:rsid w:val="7B257FFD"/>
    <w:rsid w:val="7B273D20"/>
    <w:rsid w:val="7B343476"/>
    <w:rsid w:val="7B5A2978"/>
    <w:rsid w:val="7B5A7E4C"/>
    <w:rsid w:val="7B667AF9"/>
    <w:rsid w:val="7B7468F8"/>
    <w:rsid w:val="7B976652"/>
    <w:rsid w:val="7BAE6AB2"/>
    <w:rsid w:val="7BEE0103"/>
    <w:rsid w:val="7BFA5853"/>
    <w:rsid w:val="7C0A0FE4"/>
    <w:rsid w:val="7C254906"/>
    <w:rsid w:val="7C284DC8"/>
    <w:rsid w:val="7C432117"/>
    <w:rsid w:val="7C590818"/>
    <w:rsid w:val="7C653614"/>
    <w:rsid w:val="7C6929D9"/>
    <w:rsid w:val="7C7C10F6"/>
    <w:rsid w:val="7C853BEA"/>
    <w:rsid w:val="7C881368"/>
    <w:rsid w:val="7C910CE8"/>
    <w:rsid w:val="7C9C6796"/>
    <w:rsid w:val="7CC917F4"/>
    <w:rsid w:val="7CE27788"/>
    <w:rsid w:val="7CE85FF3"/>
    <w:rsid w:val="7D0C32F1"/>
    <w:rsid w:val="7D0F408D"/>
    <w:rsid w:val="7D1B39BE"/>
    <w:rsid w:val="7D2F16B9"/>
    <w:rsid w:val="7D391E12"/>
    <w:rsid w:val="7D491C6C"/>
    <w:rsid w:val="7D5429C0"/>
    <w:rsid w:val="7D6836BA"/>
    <w:rsid w:val="7D6E6D43"/>
    <w:rsid w:val="7D87580C"/>
    <w:rsid w:val="7D957F29"/>
    <w:rsid w:val="7DA95783"/>
    <w:rsid w:val="7DB57A34"/>
    <w:rsid w:val="7DE60785"/>
    <w:rsid w:val="7DE60973"/>
    <w:rsid w:val="7DEF0916"/>
    <w:rsid w:val="7E1E5218"/>
    <w:rsid w:val="7E520CE5"/>
    <w:rsid w:val="7E7E276B"/>
    <w:rsid w:val="7E9A4E1F"/>
    <w:rsid w:val="7EA7723A"/>
    <w:rsid w:val="7EAF6DC9"/>
    <w:rsid w:val="7EF56FBB"/>
    <w:rsid w:val="7F0768EB"/>
    <w:rsid w:val="7F143BEC"/>
    <w:rsid w:val="7F715AF2"/>
    <w:rsid w:val="7F886E69"/>
    <w:rsid w:val="7FE27212"/>
    <w:rsid w:val="7FF41029"/>
    <w:rsid w:val="BB7FA927"/>
    <w:rsid w:val="F5FFD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link w:val="80"/>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6">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7">
    <w:name w:val="heading 3"/>
    <w:basedOn w:val="1"/>
    <w:next w:val="8"/>
    <w:qFormat/>
    <w:uiPriority w:val="0"/>
    <w:pPr>
      <w:keepNext/>
      <w:keepLines/>
      <w:tabs>
        <w:tab w:val="left" w:pos="900"/>
      </w:tabs>
      <w:spacing w:before="260" w:after="260" w:line="416" w:lineRule="auto"/>
      <w:ind w:left="900" w:hanging="720"/>
      <w:outlineLvl w:val="2"/>
    </w:pPr>
    <w:rPr>
      <w:b/>
      <w:bCs/>
      <w:sz w:val="32"/>
      <w:szCs w:val="32"/>
    </w:rPr>
  </w:style>
  <w:style w:type="paragraph" w:styleId="9">
    <w:name w:val="heading 4"/>
    <w:basedOn w:val="1"/>
    <w:next w:val="1"/>
    <w:link w:val="326"/>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10">
    <w:name w:val="heading 5"/>
    <w:basedOn w:val="1"/>
    <w:next w:val="1"/>
    <w:link w:val="292"/>
    <w:qFormat/>
    <w:uiPriority w:val="0"/>
    <w:pPr>
      <w:keepNext/>
      <w:keepLines/>
      <w:tabs>
        <w:tab w:val="left" w:pos="1008"/>
      </w:tabs>
      <w:spacing w:before="280" w:after="290" w:line="376" w:lineRule="auto"/>
      <w:ind w:left="1008" w:hanging="1008"/>
      <w:outlineLvl w:val="4"/>
    </w:pPr>
    <w:rPr>
      <w:b/>
      <w:bCs/>
      <w:sz w:val="28"/>
      <w:szCs w:val="28"/>
    </w:rPr>
  </w:style>
  <w:style w:type="paragraph" w:styleId="11">
    <w:name w:val="heading 6"/>
    <w:basedOn w:val="1"/>
    <w:next w:val="1"/>
    <w:link w:val="147"/>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2">
    <w:name w:val="heading 7"/>
    <w:basedOn w:val="1"/>
    <w:next w:val="1"/>
    <w:link w:val="306"/>
    <w:qFormat/>
    <w:uiPriority w:val="0"/>
    <w:pPr>
      <w:keepNext/>
      <w:keepLines/>
      <w:tabs>
        <w:tab w:val="left" w:pos="1296"/>
      </w:tabs>
      <w:spacing w:before="240" w:after="64" w:line="320" w:lineRule="auto"/>
      <w:ind w:left="1296" w:hanging="1296"/>
      <w:outlineLvl w:val="6"/>
    </w:pPr>
    <w:rPr>
      <w:b/>
      <w:bCs/>
      <w:sz w:val="24"/>
    </w:rPr>
  </w:style>
  <w:style w:type="paragraph" w:styleId="13">
    <w:name w:val="heading 8"/>
    <w:basedOn w:val="1"/>
    <w:next w:val="1"/>
    <w:link w:val="357"/>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4">
    <w:name w:val="heading 9"/>
    <w:basedOn w:val="1"/>
    <w:next w:val="1"/>
    <w:link w:val="182"/>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semiHidden/>
    <w:unhideWhenUsed/>
    <w:qFormat/>
    <w:uiPriority w:val="1"/>
  </w:style>
  <w:style w:type="table" w:default="1" w:styleId="62">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4"/>
    <w:link w:val="320"/>
    <w:qFormat/>
    <w:uiPriority w:val="0"/>
    <w:pPr>
      <w:ind w:firstLine="420"/>
    </w:pPr>
    <w:rPr>
      <w:rFonts w:hAnsi="Calibri" w:cs="Times New Roman"/>
      <w:snapToGrid/>
      <w:szCs w:val="20"/>
    </w:rPr>
  </w:style>
  <w:style w:type="paragraph" w:styleId="3">
    <w:name w:val="Body Text"/>
    <w:basedOn w:val="1"/>
    <w:next w:val="2"/>
    <w:link w:val="429"/>
    <w:qFormat/>
    <w:uiPriority w:val="0"/>
    <w:pPr>
      <w:autoSpaceDE w:val="0"/>
      <w:autoSpaceDN w:val="0"/>
      <w:spacing w:line="360" w:lineRule="auto"/>
    </w:pPr>
    <w:rPr>
      <w:rFonts w:ascii="宋体" w:hAnsi="Arial" w:cs="Arial"/>
      <w:snapToGrid w:val="0"/>
      <w:sz w:val="24"/>
      <w:szCs w:val="21"/>
      <w:lang w:val="zh-CN"/>
    </w:rPr>
  </w:style>
  <w:style w:type="paragraph" w:styleId="4">
    <w:name w:val="toc 6"/>
    <w:basedOn w:val="1"/>
    <w:next w:val="1"/>
    <w:qFormat/>
    <w:uiPriority w:val="0"/>
    <w:pPr>
      <w:ind w:left="2100" w:leftChars="1000"/>
    </w:pPr>
  </w:style>
  <w:style w:type="paragraph" w:styleId="8">
    <w:name w:val="Normal Indent"/>
    <w:basedOn w:val="1"/>
    <w:next w:val="1"/>
    <w:link w:val="193"/>
    <w:qFormat/>
    <w:uiPriority w:val="0"/>
    <w:pPr>
      <w:widowControl/>
      <w:snapToGrid w:val="0"/>
      <w:spacing w:line="480" w:lineRule="exact"/>
      <w:ind w:firstLine="567"/>
    </w:pPr>
    <w:rPr>
      <w:rFonts w:ascii="宋体"/>
      <w:snapToGrid w:val="0"/>
      <w:color w:val="000000"/>
      <w:kern w:val="28"/>
      <w:sz w:val="28"/>
      <w:szCs w:val="20"/>
    </w:rPr>
  </w:style>
  <w:style w:type="paragraph" w:styleId="15">
    <w:name w:val="toc 7"/>
    <w:basedOn w:val="1"/>
    <w:next w:val="1"/>
    <w:qFormat/>
    <w:uiPriority w:val="0"/>
    <w:pPr>
      <w:ind w:left="2520" w:leftChars="1200"/>
    </w:pPr>
  </w:style>
  <w:style w:type="paragraph" w:styleId="16">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7">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8">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9">
    <w:name w:val="caption"/>
    <w:basedOn w:val="1"/>
    <w:next w:val="1"/>
    <w:link w:val="229"/>
    <w:qFormat/>
    <w:uiPriority w:val="0"/>
    <w:rPr>
      <w:b/>
      <w:sz w:val="28"/>
      <w:szCs w:val="20"/>
    </w:rPr>
  </w:style>
  <w:style w:type="paragraph" w:styleId="20">
    <w:name w:val="index 5"/>
    <w:basedOn w:val="1"/>
    <w:next w:val="1"/>
    <w:qFormat/>
    <w:uiPriority w:val="0"/>
    <w:pPr>
      <w:adjustRightInd/>
      <w:ind w:left="800" w:leftChars="800" w:firstLine="200" w:firstLineChars="200"/>
    </w:pPr>
  </w:style>
  <w:style w:type="paragraph" w:styleId="21">
    <w:name w:val="Document Map"/>
    <w:basedOn w:val="1"/>
    <w:link w:val="202"/>
    <w:qFormat/>
    <w:uiPriority w:val="0"/>
    <w:pPr>
      <w:shd w:val="clear" w:color="auto" w:fill="000080"/>
    </w:pPr>
  </w:style>
  <w:style w:type="paragraph" w:styleId="22">
    <w:name w:val="annotation text"/>
    <w:basedOn w:val="1"/>
    <w:link w:val="343"/>
    <w:qFormat/>
    <w:uiPriority w:val="99"/>
    <w:pPr>
      <w:jc w:val="left"/>
    </w:pPr>
  </w:style>
  <w:style w:type="paragraph" w:styleId="23">
    <w:name w:val="Salutation"/>
    <w:basedOn w:val="1"/>
    <w:next w:val="1"/>
    <w:link w:val="297"/>
    <w:qFormat/>
    <w:uiPriority w:val="0"/>
    <w:rPr>
      <w:rFonts w:ascii="仿宋_GB2312" w:eastAsia="仿宋_GB2312"/>
      <w:sz w:val="28"/>
      <w:szCs w:val="20"/>
    </w:rPr>
  </w:style>
  <w:style w:type="paragraph" w:styleId="24">
    <w:name w:val="Body Text 3"/>
    <w:basedOn w:val="1"/>
    <w:link w:val="329"/>
    <w:qFormat/>
    <w:uiPriority w:val="0"/>
    <w:pPr>
      <w:jc w:val="center"/>
    </w:pPr>
    <w:rPr>
      <w:szCs w:val="20"/>
    </w:rPr>
  </w:style>
  <w:style w:type="paragraph" w:styleId="25">
    <w:name w:val="List Bullet 3"/>
    <w:basedOn w:val="1"/>
    <w:unhideWhenUsed/>
    <w:qFormat/>
    <w:uiPriority w:val="0"/>
    <w:pPr>
      <w:snapToGrid w:val="0"/>
      <w:spacing w:line="360" w:lineRule="auto"/>
      <w:ind w:left="360" w:right="238" w:hanging="360"/>
      <w:contextualSpacing/>
    </w:pPr>
    <w:rPr>
      <w:sz w:val="24"/>
    </w:rPr>
  </w:style>
  <w:style w:type="paragraph" w:styleId="26">
    <w:name w:val="Body Text Indent"/>
    <w:basedOn w:val="1"/>
    <w:next w:val="1"/>
    <w:link w:val="265"/>
    <w:qFormat/>
    <w:uiPriority w:val="0"/>
    <w:pPr>
      <w:spacing w:line="480" w:lineRule="exact"/>
      <w:ind w:firstLine="480" w:firstLineChars="200"/>
    </w:pPr>
    <w:rPr>
      <w:rFonts w:ascii="宋体" w:hAnsi="宋体"/>
      <w:sz w:val="24"/>
    </w:rPr>
  </w:style>
  <w:style w:type="paragraph" w:styleId="27">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8">
    <w:name w:val="List 2"/>
    <w:basedOn w:val="1"/>
    <w:qFormat/>
    <w:uiPriority w:val="0"/>
    <w:pPr>
      <w:adjustRightInd/>
      <w:spacing w:line="360" w:lineRule="auto"/>
      <w:ind w:left="100" w:leftChars="200" w:hanging="200" w:hangingChars="200"/>
    </w:pPr>
    <w:rPr>
      <w:rFonts w:eastAsia="微软雅黑"/>
    </w:rPr>
  </w:style>
  <w:style w:type="paragraph" w:styleId="29">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0">
    <w:name w:val="List Bullet 2"/>
    <w:basedOn w:val="1"/>
    <w:qFormat/>
    <w:uiPriority w:val="0"/>
    <w:pPr>
      <w:autoSpaceDE w:val="0"/>
      <w:autoSpaceDN w:val="0"/>
      <w:ind w:left="420"/>
      <w:jc w:val="left"/>
    </w:pPr>
    <w:rPr>
      <w:rFonts w:ascii="宋体" w:hAnsi="宋体"/>
      <w:color w:val="000000"/>
      <w:kern w:val="0"/>
      <w:sz w:val="24"/>
      <w:szCs w:val="20"/>
    </w:rPr>
  </w:style>
  <w:style w:type="paragraph" w:styleId="31">
    <w:name w:val="HTML Address"/>
    <w:basedOn w:val="1"/>
    <w:link w:val="219"/>
    <w:qFormat/>
    <w:uiPriority w:val="0"/>
    <w:pPr>
      <w:widowControl/>
      <w:adjustRightInd/>
      <w:ind w:firstLine="200" w:firstLineChars="200"/>
      <w:jc w:val="left"/>
    </w:pPr>
    <w:rPr>
      <w:rFonts w:ascii="宋体" w:hAnsi="宋体"/>
      <w:i/>
      <w:iCs/>
      <w:kern w:val="0"/>
      <w:sz w:val="24"/>
    </w:rPr>
  </w:style>
  <w:style w:type="paragraph" w:styleId="32">
    <w:name w:val="toc 5"/>
    <w:basedOn w:val="1"/>
    <w:next w:val="1"/>
    <w:qFormat/>
    <w:uiPriority w:val="0"/>
    <w:pPr>
      <w:ind w:left="1680" w:leftChars="800"/>
    </w:pPr>
  </w:style>
  <w:style w:type="paragraph" w:styleId="33">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4">
    <w:name w:val="Plain Text"/>
    <w:basedOn w:val="1"/>
    <w:link w:val="125"/>
    <w:qFormat/>
    <w:uiPriority w:val="0"/>
    <w:rPr>
      <w:rFonts w:ascii="宋体" w:hAnsi="Courier New" w:cs="Arial"/>
      <w:snapToGrid w:val="0"/>
      <w:szCs w:val="21"/>
    </w:rPr>
  </w:style>
  <w:style w:type="paragraph" w:styleId="35">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6">
    <w:name w:val="toc 8"/>
    <w:basedOn w:val="1"/>
    <w:next w:val="1"/>
    <w:qFormat/>
    <w:uiPriority w:val="0"/>
    <w:pPr>
      <w:ind w:left="2940" w:leftChars="1400"/>
    </w:pPr>
  </w:style>
  <w:style w:type="paragraph" w:styleId="37">
    <w:name w:val="Date"/>
    <w:basedOn w:val="1"/>
    <w:next w:val="1"/>
    <w:link w:val="181"/>
    <w:qFormat/>
    <w:uiPriority w:val="0"/>
    <w:pPr>
      <w:ind w:left="100" w:leftChars="2500"/>
    </w:pPr>
    <w:rPr>
      <w:rFonts w:ascii="宋体"/>
      <w:sz w:val="24"/>
      <w:szCs w:val="21"/>
      <w:lang w:val="zh-CN"/>
    </w:rPr>
  </w:style>
  <w:style w:type="paragraph" w:styleId="38">
    <w:name w:val="Body Text Indent 2"/>
    <w:basedOn w:val="1"/>
    <w:link w:val="307"/>
    <w:qFormat/>
    <w:uiPriority w:val="0"/>
    <w:pPr>
      <w:spacing w:line="360" w:lineRule="auto"/>
      <w:ind w:firstLine="601"/>
      <w:textAlignment w:val="baseline"/>
    </w:pPr>
    <w:rPr>
      <w:rFonts w:ascii="宋体"/>
      <w:kern w:val="0"/>
      <w:sz w:val="28"/>
      <w:szCs w:val="20"/>
    </w:rPr>
  </w:style>
  <w:style w:type="paragraph" w:styleId="39">
    <w:name w:val="endnote text"/>
    <w:basedOn w:val="1"/>
    <w:link w:val="930"/>
    <w:qFormat/>
    <w:uiPriority w:val="0"/>
    <w:rPr>
      <w:lang w:val="zh-CN"/>
    </w:rPr>
  </w:style>
  <w:style w:type="paragraph" w:styleId="40">
    <w:name w:val="Balloon Text"/>
    <w:basedOn w:val="1"/>
    <w:link w:val="188"/>
    <w:qFormat/>
    <w:uiPriority w:val="0"/>
    <w:rPr>
      <w:sz w:val="18"/>
      <w:szCs w:val="18"/>
    </w:rPr>
  </w:style>
  <w:style w:type="paragraph" w:styleId="41">
    <w:name w:val="footer"/>
    <w:basedOn w:val="1"/>
    <w:link w:val="382"/>
    <w:qFormat/>
    <w:uiPriority w:val="99"/>
    <w:pPr>
      <w:tabs>
        <w:tab w:val="center" w:pos="4153"/>
        <w:tab w:val="right" w:pos="8306"/>
      </w:tabs>
      <w:snapToGrid w:val="0"/>
      <w:jc w:val="left"/>
    </w:pPr>
    <w:rPr>
      <w:sz w:val="18"/>
      <w:szCs w:val="18"/>
    </w:rPr>
  </w:style>
  <w:style w:type="paragraph" w:styleId="42">
    <w:name w:val="header"/>
    <w:basedOn w:val="1"/>
    <w:link w:val="391"/>
    <w:qFormat/>
    <w:uiPriority w:val="99"/>
    <w:pPr>
      <w:pBdr>
        <w:bottom w:val="single" w:color="auto" w:sz="6" w:space="1"/>
      </w:pBdr>
      <w:tabs>
        <w:tab w:val="center" w:pos="4153"/>
        <w:tab w:val="right" w:pos="8306"/>
      </w:tabs>
      <w:snapToGrid w:val="0"/>
      <w:jc w:val="center"/>
    </w:pPr>
    <w:rPr>
      <w:sz w:val="18"/>
      <w:szCs w:val="18"/>
    </w:rPr>
  </w:style>
  <w:style w:type="paragraph" w:styleId="43">
    <w:name w:val="Signature"/>
    <w:basedOn w:val="1"/>
    <w:link w:val="344"/>
    <w:qFormat/>
    <w:uiPriority w:val="0"/>
    <w:pPr>
      <w:spacing w:after="600" w:line="312" w:lineRule="atLeast"/>
      <w:jc w:val="center"/>
      <w:textAlignment w:val="baseline"/>
    </w:pPr>
    <w:rPr>
      <w:rFonts w:eastAsia="仿宋_GB2312"/>
      <w:kern w:val="0"/>
      <w:sz w:val="24"/>
      <w:szCs w:val="20"/>
    </w:rPr>
  </w:style>
  <w:style w:type="paragraph" w:styleId="44">
    <w:name w:val="toc 1"/>
    <w:basedOn w:val="1"/>
    <w:next w:val="1"/>
    <w:qFormat/>
    <w:uiPriority w:val="0"/>
  </w:style>
  <w:style w:type="paragraph" w:styleId="45">
    <w:name w:val="toc 4"/>
    <w:basedOn w:val="1"/>
    <w:next w:val="1"/>
    <w:qFormat/>
    <w:uiPriority w:val="0"/>
    <w:pPr>
      <w:ind w:left="1260" w:leftChars="600"/>
    </w:pPr>
  </w:style>
  <w:style w:type="paragraph" w:styleId="46">
    <w:name w:val="index heading"/>
    <w:basedOn w:val="1"/>
    <w:next w:val="47"/>
    <w:qFormat/>
    <w:uiPriority w:val="0"/>
    <w:pPr>
      <w:adjustRightInd/>
      <w:ind w:firstLine="200" w:firstLineChars="200"/>
    </w:pPr>
  </w:style>
  <w:style w:type="paragraph" w:styleId="47">
    <w:name w:val="index 1"/>
    <w:basedOn w:val="1"/>
    <w:next w:val="1"/>
    <w:qFormat/>
    <w:uiPriority w:val="0"/>
    <w:pPr>
      <w:adjustRightInd/>
      <w:spacing w:line="360" w:lineRule="auto"/>
      <w:ind w:firstLine="200" w:firstLineChars="200"/>
      <w:jc w:val="center"/>
    </w:pPr>
    <w:rPr>
      <w:sz w:val="24"/>
      <w:szCs w:val="20"/>
    </w:rPr>
  </w:style>
  <w:style w:type="paragraph" w:styleId="48">
    <w:name w:val="Subtitle"/>
    <w:link w:val="133"/>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9">
    <w:name w:val="List Number 5"/>
    <w:basedOn w:val="1"/>
    <w:qFormat/>
    <w:uiPriority w:val="0"/>
    <w:pPr>
      <w:tabs>
        <w:tab w:val="left" w:pos="902"/>
      </w:tabs>
      <w:adjustRightInd/>
      <w:spacing w:line="400" w:lineRule="exact"/>
      <w:ind w:left="902" w:hanging="420"/>
    </w:pPr>
    <w:rPr>
      <w:sz w:val="24"/>
      <w:szCs w:val="20"/>
    </w:rPr>
  </w:style>
  <w:style w:type="paragraph" w:styleId="50">
    <w:name w:val="List"/>
    <w:basedOn w:val="1"/>
    <w:qFormat/>
    <w:uiPriority w:val="0"/>
    <w:pPr>
      <w:ind w:left="200" w:hanging="200" w:hangingChars="200"/>
    </w:pPr>
  </w:style>
  <w:style w:type="paragraph" w:styleId="51">
    <w:name w:val="footnote text"/>
    <w:basedOn w:val="8"/>
    <w:link w:val="309"/>
    <w:qFormat/>
    <w:uiPriority w:val="0"/>
    <w:pPr>
      <w:adjustRightInd/>
      <w:snapToGrid/>
      <w:spacing w:before="60" w:after="60" w:line="300" w:lineRule="exact"/>
      <w:ind w:firstLine="0"/>
    </w:pPr>
    <w:rPr>
      <w:rFonts w:ascii="Calibri"/>
      <w:snapToGrid/>
      <w:color w:val="0000FF"/>
      <w:kern w:val="0"/>
      <w:sz w:val="21"/>
    </w:rPr>
  </w:style>
  <w:style w:type="paragraph" w:styleId="52">
    <w:name w:val="List 5"/>
    <w:basedOn w:val="1"/>
    <w:qFormat/>
    <w:uiPriority w:val="0"/>
    <w:pPr>
      <w:adjustRightInd/>
      <w:ind w:left="100" w:leftChars="800" w:hanging="200" w:hangingChars="200"/>
    </w:pPr>
  </w:style>
  <w:style w:type="paragraph" w:styleId="53">
    <w:name w:val="Body Text Indent 3"/>
    <w:basedOn w:val="1"/>
    <w:link w:val="374"/>
    <w:qFormat/>
    <w:uiPriority w:val="0"/>
    <w:pPr>
      <w:spacing w:line="360" w:lineRule="auto"/>
      <w:ind w:firstLine="420"/>
    </w:pPr>
    <w:rPr>
      <w:sz w:val="24"/>
      <w:szCs w:val="20"/>
    </w:rPr>
  </w:style>
  <w:style w:type="paragraph" w:styleId="54">
    <w:name w:val="toc 2"/>
    <w:basedOn w:val="1"/>
    <w:next w:val="1"/>
    <w:qFormat/>
    <w:uiPriority w:val="0"/>
    <w:pPr>
      <w:ind w:left="420" w:leftChars="200"/>
    </w:pPr>
  </w:style>
  <w:style w:type="paragraph" w:styleId="55">
    <w:name w:val="toc 9"/>
    <w:basedOn w:val="1"/>
    <w:next w:val="1"/>
    <w:qFormat/>
    <w:uiPriority w:val="0"/>
    <w:pPr>
      <w:ind w:left="3360" w:leftChars="1600"/>
    </w:pPr>
  </w:style>
  <w:style w:type="paragraph" w:styleId="56">
    <w:name w:val="Body Text 2"/>
    <w:basedOn w:val="1"/>
    <w:link w:val="301"/>
    <w:qFormat/>
    <w:uiPriority w:val="0"/>
    <w:pPr>
      <w:spacing w:after="120" w:line="480" w:lineRule="auto"/>
    </w:pPr>
  </w:style>
  <w:style w:type="paragraph" w:styleId="57">
    <w:name w:val="HTML Preformatted"/>
    <w:basedOn w:val="1"/>
    <w:link w:val="300"/>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8">
    <w:name w:val="Normal (Web)"/>
    <w:basedOn w:val="1"/>
    <w:qFormat/>
    <w:uiPriority w:val="99"/>
    <w:pPr>
      <w:widowControl/>
      <w:spacing w:before="100" w:beforeAutospacing="1" w:after="100" w:afterAutospacing="1"/>
      <w:jc w:val="left"/>
    </w:pPr>
    <w:rPr>
      <w:rFonts w:ascii="宋体" w:hAnsi="宋体"/>
      <w:kern w:val="0"/>
      <w:sz w:val="24"/>
    </w:rPr>
  </w:style>
  <w:style w:type="paragraph" w:styleId="59">
    <w:name w:val="Title"/>
    <w:basedOn w:val="1"/>
    <w:link w:val="285"/>
    <w:qFormat/>
    <w:uiPriority w:val="10"/>
    <w:pPr>
      <w:widowControl/>
      <w:overflowPunct w:val="0"/>
      <w:autoSpaceDE w:val="0"/>
      <w:autoSpaceDN w:val="0"/>
      <w:jc w:val="center"/>
      <w:textAlignment w:val="baseline"/>
    </w:pPr>
    <w:rPr>
      <w:b/>
      <w:kern w:val="0"/>
      <w:sz w:val="24"/>
      <w:szCs w:val="20"/>
      <w:lang w:val="en-GB"/>
    </w:rPr>
  </w:style>
  <w:style w:type="paragraph" w:styleId="60">
    <w:name w:val="annotation subject"/>
    <w:basedOn w:val="22"/>
    <w:next w:val="22"/>
    <w:link w:val="96"/>
    <w:qFormat/>
    <w:uiPriority w:val="0"/>
    <w:rPr>
      <w:b/>
      <w:bCs/>
    </w:rPr>
  </w:style>
  <w:style w:type="paragraph" w:styleId="61">
    <w:name w:val="Body Text First Indent 2"/>
    <w:basedOn w:val="26"/>
    <w:link w:val="121"/>
    <w:qFormat/>
    <w:uiPriority w:val="0"/>
    <w:pPr>
      <w:adjustRightInd/>
      <w:spacing w:after="120" w:line="240" w:lineRule="auto"/>
      <w:ind w:left="420" w:leftChars="200" w:firstLine="210"/>
    </w:pPr>
    <w:rPr>
      <w:sz w:val="21"/>
    </w:rPr>
  </w:style>
  <w:style w:type="table" w:styleId="63">
    <w:name w:val="Table Grid"/>
    <w:basedOn w:val="6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4">
    <w:name w:val="Table Theme"/>
    <w:basedOn w:val="6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Elegant"/>
    <w:basedOn w:val="6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qFormat/>
    <w:uiPriority w:val="22"/>
    <w:rPr>
      <w:b/>
      <w:bCs/>
    </w:rPr>
  </w:style>
  <w:style w:type="character" w:styleId="71">
    <w:name w:val="endnote reference"/>
    <w:qFormat/>
    <w:uiPriority w:val="0"/>
    <w:rPr>
      <w:vertAlign w:val="superscript"/>
    </w:rPr>
  </w:style>
  <w:style w:type="character" w:styleId="72">
    <w:name w:val="page number"/>
    <w:basedOn w:val="69"/>
    <w:qFormat/>
    <w:uiPriority w:val="0"/>
    <w:rPr>
      <w:rFonts w:ascii="Arial" w:hAnsi="Arial" w:eastAsia="黑体" w:cs="Arial"/>
      <w:snapToGrid w:val="0"/>
      <w:kern w:val="0"/>
      <w:szCs w:val="21"/>
    </w:rPr>
  </w:style>
  <w:style w:type="character" w:styleId="73">
    <w:name w:val="FollowedHyperlink"/>
    <w:qFormat/>
    <w:uiPriority w:val="99"/>
    <w:rPr>
      <w:rFonts w:ascii="Arial" w:hAnsi="Arial" w:eastAsia="黑体" w:cs="Arial"/>
      <w:snapToGrid w:val="0"/>
      <w:color w:val="000000"/>
      <w:kern w:val="0"/>
      <w:sz w:val="18"/>
      <w:szCs w:val="18"/>
      <w:u w:val="none"/>
    </w:rPr>
  </w:style>
  <w:style w:type="character" w:styleId="74">
    <w:name w:val="Emphasis"/>
    <w:qFormat/>
    <w:uiPriority w:val="20"/>
    <w:rPr>
      <w:color w:val="CC0033"/>
    </w:rPr>
  </w:style>
  <w:style w:type="character" w:styleId="75">
    <w:name w:val="line number"/>
    <w:basedOn w:val="69"/>
    <w:qFormat/>
    <w:uiPriority w:val="0"/>
    <w:rPr>
      <w:rFonts w:ascii="Arial" w:hAnsi="Arial" w:eastAsia="黑体" w:cs="Arial"/>
      <w:snapToGrid w:val="0"/>
      <w:kern w:val="0"/>
      <w:szCs w:val="21"/>
    </w:rPr>
  </w:style>
  <w:style w:type="character" w:styleId="76">
    <w:name w:val="Hyperlink"/>
    <w:basedOn w:val="69"/>
    <w:qFormat/>
    <w:uiPriority w:val="99"/>
    <w:rPr>
      <w:rFonts w:ascii="Arial" w:hAnsi="Arial" w:eastAsia="黑体" w:cs="Arial"/>
      <w:snapToGrid w:val="0"/>
      <w:color w:val="000000"/>
      <w:kern w:val="0"/>
      <w:sz w:val="18"/>
      <w:szCs w:val="18"/>
      <w:u w:val="none"/>
    </w:rPr>
  </w:style>
  <w:style w:type="character" w:styleId="77">
    <w:name w:val="HTML Code"/>
    <w:qFormat/>
    <w:uiPriority w:val="0"/>
    <w:rPr>
      <w:rFonts w:ascii="黑体" w:hAnsi="Courier New" w:eastAsia="黑体" w:cs="楷体_GB2312"/>
      <w:sz w:val="20"/>
      <w:szCs w:val="20"/>
    </w:rPr>
  </w:style>
  <w:style w:type="character" w:styleId="78">
    <w:name w:val="annotation reference"/>
    <w:qFormat/>
    <w:uiPriority w:val="99"/>
    <w:rPr>
      <w:sz w:val="21"/>
      <w:szCs w:val="21"/>
    </w:rPr>
  </w:style>
  <w:style w:type="character" w:styleId="79">
    <w:name w:val="HTML Sample"/>
    <w:basedOn w:val="69"/>
    <w:qFormat/>
    <w:uiPriority w:val="0"/>
    <w:rPr>
      <w:rFonts w:ascii="Courier New" w:hAnsi="Courier New"/>
    </w:rPr>
  </w:style>
  <w:style w:type="character" w:customStyle="1" w:styleId="80">
    <w:name w:val="标题 1 Char"/>
    <w:link w:val="5"/>
    <w:qFormat/>
    <w:uiPriority w:val="9"/>
    <w:rPr>
      <w:b/>
      <w:bCs/>
      <w:kern w:val="44"/>
      <w:sz w:val="44"/>
      <w:szCs w:val="44"/>
    </w:rPr>
  </w:style>
  <w:style w:type="paragraph" w:customStyle="1" w:styleId="81">
    <w:name w:val="正文1"/>
    <w:basedOn w:val="33"/>
    <w:qFormat/>
    <w:uiPriority w:val="0"/>
    <w:pPr>
      <w:ind w:left="0" w:leftChars="0" w:firstLine="480" w:firstLineChars="200"/>
    </w:pPr>
    <w:rPr>
      <w:rFonts w:ascii="仿宋_GB2312" w:hAnsi="Courier New" w:eastAsia="仿宋_GB2312"/>
      <w:kern w:val="28"/>
      <w:sz w:val="24"/>
    </w:rPr>
  </w:style>
  <w:style w:type="character" w:customStyle="1" w:styleId="82">
    <w:name w:val="表格非标题文字 Char"/>
    <w:link w:val="83"/>
    <w:qFormat/>
    <w:uiPriority w:val="0"/>
    <w:rPr>
      <w:rFonts w:ascii="Futura Bk" w:hAnsi="Futura Bk"/>
      <w:kern w:val="2"/>
      <w:sz w:val="18"/>
      <w:szCs w:val="21"/>
      <w:lang w:val="en-US" w:eastAsia="zh-CN" w:bidi="ar-SA"/>
    </w:rPr>
  </w:style>
  <w:style w:type="paragraph" w:customStyle="1" w:styleId="83">
    <w:name w:val="表格非标题文字"/>
    <w:link w:val="82"/>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4">
    <w:name w:val="*正文 Char"/>
    <w:link w:val="85"/>
    <w:qFormat/>
    <w:locked/>
    <w:uiPriority w:val="0"/>
    <w:rPr>
      <w:rFonts w:ascii="宋体" w:hAnsi="宋体"/>
      <w:sz w:val="24"/>
    </w:rPr>
  </w:style>
  <w:style w:type="paragraph" w:customStyle="1" w:styleId="85">
    <w:name w:val="*正文"/>
    <w:basedOn w:val="1"/>
    <w:link w:val="84"/>
    <w:qFormat/>
    <w:uiPriority w:val="0"/>
    <w:pPr>
      <w:snapToGrid w:val="0"/>
      <w:spacing w:line="360" w:lineRule="auto"/>
      <w:ind w:firstLine="482"/>
      <w:jc w:val="left"/>
    </w:pPr>
    <w:rPr>
      <w:rFonts w:ascii="宋体" w:hAnsi="宋体"/>
      <w:kern w:val="0"/>
      <w:sz w:val="24"/>
      <w:szCs w:val="20"/>
    </w:rPr>
  </w:style>
  <w:style w:type="character" w:customStyle="1" w:styleId="86">
    <w:name w:val="Char Char71"/>
    <w:semiHidden/>
    <w:qFormat/>
    <w:uiPriority w:val="0"/>
    <w:rPr>
      <w:rFonts w:eastAsia="宋体"/>
      <w:kern w:val="2"/>
      <w:sz w:val="21"/>
      <w:szCs w:val="24"/>
      <w:lang w:val="en-US" w:eastAsia="zh-CN" w:bidi="ar-SA"/>
    </w:rPr>
  </w:style>
  <w:style w:type="character" w:customStyle="1" w:styleId="87">
    <w:name w:val="Char Char6"/>
    <w:qFormat/>
    <w:uiPriority w:val="0"/>
    <w:rPr>
      <w:rFonts w:eastAsia="宋体"/>
      <w:kern w:val="2"/>
      <w:sz w:val="21"/>
      <w:szCs w:val="24"/>
      <w:lang w:val="en-US" w:eastAsia="zh-CN" w:bidi="ar-SA"/>
    </w:rPr>
  </w:style>
  <w:style w:type="character" w:customStyle="1" w:styleId="88">
    <w:name w:val="正文缩进 Char"/>
    <w:qFormat/>
    <w:uiPriority w:val="0"/>
    <w:rPr>
      <w:rFonts w:eastAsia="宋体"/>
      <w:kern w:val="2"/>
      <w:sz w:val="21"/>
      <w:lang w:val="en-US" w:eastAsia="zh-CN"/>
    </w:rPr>
  </w:style>
  <w:style w:type="character" w:customStyle="1" w:styleId="89">
    <w:name w:val="正文首行缩进 Char1"/>
    <w:qFormat/>
    <w:uiPriority w:val="0"/>
    <w:rPr>
      <w:rFonts w:ascii="宋体" w:hAnsi="Times New Roman" w:eastAsia="宋体" w:cs="Times New Roman"/>
      <w:snapToGrid w:val="0"/>
      <w:kern w:val="2"/>
      <w:sz w:val="24"/>
      <w:szCs w:val="21"/>
      <w:lang w:val="zh-CN"/>
    </w:rPr>
  </w:style>
  <w:style w:type="character" w:customStyle="1" w:styleId="90">
    <w:name w:val="Char Char28"/>
    <w:qFormat/>
    <w:uiPriority w:val="6"/>
    <w:rPr>
      <w:rFonts w:ascii="仿宋_GB2312" w:hAnsi="仿宋_GB2312" w:eastAsia="仿宋_GB2312"/>
      <w:kern w:val="1"/>
      <w:sz w:val="28"/>
    </w:rPr>
  </w:style>
  <w:style w:type="character" w:customStyle="1" w:styleId="91">
    <w:name w:val="标题 3 Char1"/>
    <w:qFormat/>
    <w:uiPriority w:val="0"/>
    <w:rPr>
      <w:rFonts w:hint="eastAsia" w:ascii="华文中宋" w:hAnsi="华文中宋" w:eastAsia="华文中宋"/>
      <w:b/>
      <w:bCs/>
      <w:kern w:val="2"/>
      <w:sz w:val="32"/>
      <w:szCs w:val="32"/>
      <w:lang w:val="en-US" w:eastAsia="zh-CN" w:bidi="ar-SA"/>
    </w:rPr>
  </w:style>
  <w:style w:type="character" w:customStyle="1" w:styleId="92">
    <w:name w:val="Heading 1 Char"/>
    <w:qFormat/>
    <w:uiPriority w:val="6"/>
    <w:rPr>
      <w:rFonts w:ascii="Times New Roman" w:hAnsi="Times New Roman" w:eastAsia="黑体" w:cs="Times New Roman"/>
      <w:b/>
      <w:kern w:val="0"/>
      <w:sz w:val="24"/>
      <w:szCs w:val="24"/>
    </w:rPr>
  </w:style>
  <w:style w:type="character" w:customStyle="1" w:styleId="93">
    <w:name w:val="U_正文 Char"/>
    <w:link w:val="94"/>
    <w:qFormat/>
    <w:uiPriority w:val="0"/>
    <w:rPr>
      <w:sz w:val="24"/>
      <w:szCs w:val="24"/>
    </w:rPr>
  </w:style>
  <w:style w:type="paragraph" w:customStyle="1" w:styleId="94">
    <w:name w:val="U_正文"/>
    <w:basedOn w:val="1"/>
    <w:link w:val="93"/>
    <w:qFormat/>
    <w:uiPriority w:val="0"/>
    <w:pPr>
      <w:adjustRightInd/>
      <w:spacing w:beforeLines="20" w:afterLines="20" w:line="300" w:lineRule="auto"/>
      <w:ind w:firstLine="200" w:firstLineChars="200"/>
    </w:pPr>
    <w:rPr>
      <w:kern w:val="0"/>
      <w:sz w:val="24"/>
    </w:rPr>
  </w:style>
  <w:style w:type="character" w:customStyle="1" w:styleId="95">
    <w:name w:val="HTML 地址 Char1"/>
    <w:qFormat/>
    <w:uiPriority w:val="0"/>
    <w:rPr>
      <w:rFonts w:ascii="Times New Roman" w:hAnsi="Times New Roman" w:eastAsia="宋体" w:cs="Times New Roman"/>
      <w:i/>
      <w:iCs/>
      <w:szCs w:val="24"/>
    </w:rPr>
  </w:style>
  <w:style w:type="character" w:customStyle="1" w:styleId="96">
    <w:name w:val="批注主题 Char1"/>
    <w:link w:val="60"/>
    <w:qFormat/>
    <w:uiPriority w:val="0"/>
    <w:rPr>
      <w:b/>
      <w:bCs/>
      <w:kern w:val="2"/>
      <w:sz w:val="21"/>
      <w:szCs w:val="24"/>
    </w:rPr>
  </w:style>
  <w:style w:type="character" w:customStyle="1" w:styleId="97">
    <w:name w:val="Char Char51"/>
    <w:qFormat/>
    <w:uiPriority w:val="0"/>
    <w:rPr>
      <w:rFonts w:ascii="宋体" w:hAnsi="Courier New" w:eastAsia="宋体"/>
      <w:kern w:val="2"/>
      <w:sz w:val="21"/>
      <w:lang w:val="en-US" w:eastAsia="zh-CN"/>
    </w:rPr>
  </w:style>
  <w:style w:type="character" w:customStyle="1" w:styleId="98">
    <w:name w:val="表正文 Char"/>
    <w:qFormat/>
    <w:uiPriority w:val="0"/>
    <w:rPr>
      <w:rFonts w:ascii="宋体" w:eastAsia="宋体"/>
      <w:snapToGrid w:val="0"/>
      <w:color w:val="000000"/>
      <w:kern w:val="28"/>
      <w:sz w:val="28"/>
      <w:lang w:val="en-US" w:eastAsia="zh-CN" w:bidi="ar-SA"/>
    </w:rPr>
  </w:style>
  <w:style w:type="character" w:customStyle="1" w:styleId="99">
    <w:name w:val="Char Char34"/>
    <w:qFormat/>
    <w:uiPriority w:val="6"/>
    <w:rPr>
      <w:b/>
      <w:kern w:val="1"/>
      <w:sz w:val="28"/>
      <w:szCs w:val="28"/>
    </w:rPr>
  </w:style>
  <w:style w:type="character" w:customStyle="1" w:styleId="100">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101">
    <w:name w:val="哈哈正文 Char"/>
    <w:link w:val="102"/>
    <w:qFormat/>
    <w:uiPriority w:val="0"/>
    <w:rPr>
      <w:rFonts w:ascii="宋体" w:hAnsi="宋体" w:eastAsia="宋体"/>
      <w:kern w:val="2"/>
      <w:sz w:val="24"/>
      <w:lang w:bidi="ar-SA"/>
    </w:rPr>
  </w:style>
  <w:style w:type="paragraph" w:customStyle="1" w:styleId="102">
    <w:name w:val="哈哈正文"/>
    <w:basedOn w:val="1"/>
    <w:link w:val="101"/>
    <w:qFormat/>
    <w:uiPriority w:val="0"/>
    <w:pPr>
      <w:adjustRightInd/>
      <w:spacing w:line="360" w:lineRule="auto"/>
      <w:ind w:firstLine="200" w:firstLineChars="200"/>
    </w:pPr>
    <w:rPr>
      <w:rFonts w:ascii="宋体" w:hAnsi="宋体"/>
      <w:sz w:val="24"/>
      <w:szCs w:val="20"/>
    </w:rPr>
  </w:style>
  <w:style w:type="character" w:customStyle="1" w:styleId="103">
    <w:name w:val="未处理的提及1"/>
    <w:qFormat/>
    <w:uiPriority w:val="0"/>
    <w:rPr>
      <w:color w:val="808080"/>
      <w:shd w:val="clear" w:color="auto" w:fill="E6E6E6"/>
    </w:rPr>
  </w:style>
  <w:style w:type="character" w:customStyle="1" w:styleId="104">
    <w:name w:val="txt"/>
    <w:qFormat/>
    <w:uiPriority w:val="0"/>
    <w:rPr>
      <w:rFonts w:ascii="仿宋_GB2312" w:eastAsia="微软雅黑"/>
      <w:b/>
      <w:kern w:val="2"/>
      <w:sz w:val="32"/>
      <w:szCs w:val="32"/>
      <w:lang w:val="en-US" w:eastAsia="zh-CN" w:bidi="ar-SA"/>
    </w:rPr>
  </w:style>
  <w:style w:type="character" w:customStyle="1" w:styleId="105">
    <w:name w:val="二级标题 Char Char"/>
    <w:qFormat/>
    <w:uiPriority w:val="0"/>
    <w:rPr>
      <w:rFonts w:ascii="宋体" w:hAnsi="宋体" w:eastAsia="宋体"/>
      <w:b/>
      <w:snapToGrid w:val="0"/>
      <w:kern w:val="2"/>
      <w:sz w:val="24"/>
      <w:szCs w:val="24"/>
      <w:lang w:val="en-US" w:eastAsia="zh-CN" w:bidi="ar-SA"/>
    </w:rPr>
  </w:style>
  <w:style w:type="character" w:customStyle="1" w:styleId="106">
    <w:name w:val="Char Char32"/>
    <w:qFormat/>
    <w:uiPriority w:val="6"/>
    <w:rPr>
      <w:b/>
      <w:kern w:val="1"/>
      <w:sz w:val="24"/>
      <w:szCs w:val="24"/>
    </w:rPr>
  </w:style>
  <w:style w:type="character" w:customStyle="1" w:styleId="107">
    <w:name w:val="PI Char1"/>
    <w:qFormat/>
    <w:uiPriority w:val="0"/>
    <w:rPr>
      <w:rFonts w:ascii="宋体" w:hAnsi="宋体"/>
      <w:kern w:val="2"/>
      <w:sz w:val="24"/>
      <w:szCs w:val="24"/>
    </w:rPr>
  </w:style>
  <w:style w:type="character" w:customStyle="1" w:styleId="108">
    <w:name w:val="tw4winTerm"/>
    <w:qFormat/>
    <w:uiPriority w:val="0"/>
    <w:rPr>
      <w:color w:val="0000FF"/>
    </w:rPr>
  </w:style>
  <w:style w:type="character" w:customStyle="1" w:styleId="109">
    <w:name w:val="Footer Char"/>
    <w:qFormat/>
    <w:locked/>
    <w:uiPriority w:val="0"/>
    <w:rPr>
      <w:rFonts w:eastAsia="宋体"/>
      <w:kern w:val="2"/>
      <w:sz w:val="18"/>
      <w:lang w:val="en-US" w:eastAsia="zh-CN" w:bidi="ar-SA"/>
    </w:rPr>
  </w:style>
  <w:style w:type="character" w:customStyle="1" w:styleId="110">
    <w:name w:val="普通文字 Char Char1"/>
    <w:qFormat/>
    <w:uiPriority w:val="0"/>
    <w:rPr>
      <w:rFonts w:ascii="宋体" w:hAnsi="Courier New"/>
      <w:kern w:val="2"/>
      <w:sz w:val="21"/>
    </w:rPr>
  </w:style>
  <w:style w:type="character" w:customStyle="1" w:styleId="111">
    <w:name w:val="Char Char101"/>
    <w:qFormat/>
    <w:uiPriority w:val="6"/>
    <w:rPr>
      <w:rFonts w:ascii="宋体" w:hAnsi="宋体"/>
      <w:kern w:val="2"/>
      <w:sz w:val="21"/>
      <w:szCs w:val="24"/>
      <w:lang w:val="en-US" w:eastAsia="zh-CN"/>
    </w:rPr>
  </w:style>
  <w:style w:type="character" w:customStyle="1" w:styleId="112">
    <w:name w:val="标题 4 Char"/>
    <w:qFormat/>
    <w:uiPriority w:val="0"/>
    <w:rPr>
      <w:rFonts w:ascii="Arial" w:hAnsi="Arial" w:eastAsia="黑体"/>
      <w:b/>
      <w:kern w:val="2"/>
      <w:sz w:val="28"/>
    </w:rPr>
  </w:style>
  <w:style w:type="character" w:customStyle="1" w:styleId="113">
    <w:name w:val="链接"/>
    <w:qFormat/>
    <w:uiPriority w:val="0"/>
    <w:rPr>
      <w:color w:val="0000FF"/>
      <w:sz w:val="21"/>
      <w:szCs w:val="21"/>
      <w:u w:val="single"/>
    </w:rPr>
  </w:style>
  <w:style w:type="character" w:customStyle="1" w:styleId="114">
    <w:name w:val="h4 Char"/>
    <w:qFormat/>
    <w:uiPriority w:val="0"/>
    <w:rPr>
      <w:rFonts w:ascii="Arial" w:hAnsi="Arial" w:eastAsia="黑体"/>
      <w:b/>
      <w:bCs/>
      <w:kern w:val="2"/>
      <w:sz w:val="28"/>
      <w:szCs w:val="28"/>
      <w:lang w:val="zh-CN" w:eastAsia="zh-CN" w:bidi="ar-SA"/>
    </w:rPr>
  </w:style>
  <w:style w:type="character" w:customStyle="1" w:styleId="115">
    <w:name w:val="5正文 Char"/>
    <w:link w:val="116"/>
    <w:qFormat/>
    <w:uiPriority w:val="0"/>
    <w:rPr>
      <w:rFonts w:ascii="仿宋_GB2312" w:hAnsi="微软雅黑" w:eastAsia="仿宋_GB2312"/>
      <w:sz w:val="28"/>
      <w:szCs w:val="21"/>
    </w:rPr>
  </w:style>
  <w:style w:type="paragraph" w:customStyle="1" w:styleId="116">
    <w:name w:val="5正文"/>
    <w:basedOn w:val="1"/>
    <w:link w:val="115"/>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7">
    <w:name w:val="标题 3 字符"/>
    <w:qFormat/>
    <w:uiPriority w:val="9"/>
    <w:rPr>
      <w:b/>
      <w:bCs/>
      <w:kern w:val="2"/>
      <w:sz w:val="32"/>
      <w:szCs w:val="32"/>
    </w:rPr>
  </w:style>
  <w:style w:type="character" w:customStyle="1" w:styleId="118">
    <w:name w:val="样式6 Char"/>
    <w:qFormat/>
    <w:uiPriority w:val="0"/>
    <w:rPr>
      <w:rFonts w:ascii="仿宋_GB2312" w:hAnsi="宋体" w:eastAsia="仿宋_GB2312"/>
      <w:b/>
      <w:bCs/>
      <w:kern w:val="2"/>
      <w:sz w:val="24"/>
      <w:szCs w:val="24"/>
      <w:lang w:val="en-US" w:eastAsia="zh-CN" w:bidi="ar-SA"/>
    </w:rPr>
  </w:style>
  <w:style w:type="character" w:customStyle="1" w:styleId="119">
    <w:name w:val="Char Char14"/>
    <w:qFormat/>
    <w:uiPriority w:val="6"/>
    <w:rPr>
      <w:rFonts w:ascii="黑体" w:hAnsi="黑体" w:eastAsia="黑体"/>
    </w:rPr>
  </w:style>
  <w:style w:type="character" w:customStyle="1" w:styleId="120">
    <w:name w:val="Heading 2 Hidden Char"/>
    <w:qFormat/>
    <w:uiPriority w:val="0"/>
    <w:rPr>
      <w:rFonts w:ascii="仿宋_GB2312" w:eastAsia="仿宋_GB2312"/>
      <w:b/>
      <w:bCs/>
      <w:kern w:val="2"/>
      <w:sz w:val="24"/>
      <w:szCs w:val="24"/>
      <w:lang w:val="zh-CN" w:eastAsia="zh-CN" w:bidi="ar-SA"/>
    </w:rPr>
  </w:style>
  <w:style w:type="character" w:customStyle="1" w:styleId="121">
    <w:name w:val="正文首行缩进 2 Char"/>
    <w:link w:val="61"/>
    <w:qFormat/>
    <w:uiPriority w:val="0"/>
    <w:rPr>
      <w:rFonts w:ascii="宋体" w:hAnsi="宋体"/>
      <w:kern w:val="2"/>
      <w:sz w:val="21"/>
      <w:szCs w:val="24"/>
    </w:rPr>
  </w:style>
  <w:style w:type="character" w:customStyle="1" w:styleId="122">
    <w:name w:val="font11"/>
    <w:basedOn w:val="69"/>
    <w:qFormat/>
    <w:uiPriority w:val="0"/>
    <w:rPr>
      <w:rFonts w:hint="default" w:ascii="Times New Roman" w:hAnsi="Times New Roman" w:cs="Times New Roman"/>
      <w:color w:val="000000"/>
      <w:sz w:val="22"/>
      <w:szCs w:val="22"/>
      <w:u w:val="none"/>
    </w:rPr>
  </w:style>
  <w:style w:type="character" w:customStyle="1" w:styleId="123">
    <w:name w:val="表正文 Char1"/>
    <w:qFormat/>
    <w:uiPriority w:val="0"/>
    <w:rPr>
      <w:rFonts w:ascii="宋体" w:eastAsia="宋体"/>
      <w:snapToGrid w:val="0"/>
      <w:color w:val="000000"/>
      <w:kern w:val="28"/>
      <w:sz w:val="28"/>
    </w:rPr>
  </w:style>
  <w:style w:type="character" w:customStyle="1" w:styleId="124">
    <w:name w:val="blue1"/>
    <w:basedOn w:val="69"/>
    <w:qFormat/>
    <w:uiPriority w:val="0"/>
    <w:rPr>
      <w:rFonts w:ascii="Arial" w:hAnsi="Arial" w:eastAsia="黑体" w:cs="Arial"/>
      <w:snapToGrid w:val="0"/>
      <w:kern w:val="0"/>
      <w:szCs w:val="21"/>
    </w:rPr>
  </w:style>
  <w:style w:type="character" w:customStyle="1" w:styleId="125">
    <w:name w:val="纯文本 Char"/>
    <w:link w:val="34"/>
    <w:qFormat/>
    <w:uiPriority w:val="0"/>
    <w:rPr>
      <w:rFonts w:ascii="宋体" w:hAnsi="Courier New" w:eastAsia="宋体" w:cs="Arial"/>
      <w:snapToGrid w:val="0"/>
      <w:kern w:val="2"/>
      <w:sz w:val="21"/>
      <w:szCs w:val="21"/>
      <w:lang w:val="en-US" w:eastAsia="zh-CN" w:bidi="ar-SA"/>
    </w:rPr>
  </w:style>
  <w:style w:type="character" w:customStyle="1" w:styleId="126">
    <w:name w:val="标书1 Char"/>
    <w:qFormat/>
    <w:uiPriority w:val="0"/>
    <w:rPr>
      <w:rFonts w:eastAsia="宋体"/>
      <w:b/>
      <w:bCs/>
      <w:kern w:val="44"/>
      <w:sz w:val="44"/>
      <w:szCs w:val="44"/>
      <w:lang w:val="en-US" w:eastAsia="zh-CN" w:bidi="ar-SA"/>
    </w:rPr>
  </w:style>
  <w:style w:type="character" w:customStyle="1" w:styleId="127">
    <w:name w:val="样式5 Char"/>
    <w:qFormat/>
    <w:uiPriority w:val="0"/>
    <w:rPr>
      <w:rFonts w:ascii="仿宋_GB2312" w:hAnsi="仿宋" w:eastAsia="仿宋_GB2312"/>
      <w:kern w:val="2"/>
      <w:sz w:val="24"/>
      <w:szCs w:val="24"/>
    </w:rPr>
  </w:style>
  <w:style w:type="character" w:customStyle="1" w:styleId="128">
    <w:name w:val="样式4 Char"/>
    <w:qFormat/>
    <w:uiPriority w:val="0"/>
    <w:rPr>
      <w:rFonts w:ascii="仿宋_GB2312" w:hAnsi="仿宋" w:eastAsia="仿宋_GB2312"/>
      <w:b/>
      <w:kern w:val="2"/>
      <w:sz w:val="32"/>
      <w:szCs w:val="32"/>
      <w:lang w:bidi="ar-SA"/>
    </w:rPr>
  </w:style>
  <w:style w:type="character" w:customStyle="1" w:styleId="129">
    <w:name w:val="插图说明 Char"/>
    <w:qFormat/>
    <w:uiPriority w:val="0"/>
    <w:rPr>
      <w:rFonts w:eastAsia="黑体"/>
      <w:sz w:val="24"/>
      <w:lang w:val="en-US" w:eastAsia="zh-CN"/>
    </w:rPr>
  </w:style>
  <w:style w:type="character" w:customStyle="1" w:styleId="130">
    <w:name w:val="正文2 Char Char"/>
    <w:link w:val="131"/>
    <w:qFormat/>
    <w:uiPriority w:val="0"/>
    <w:rPr>
      <w:rFonts w:eastAsia="宋体"/>
      <w:kern w:val="2"/>
      <w:sz w:val="24"/>
      <w:lang w:val="en-US" w:eastAsia="zh-CN" w:bidi="ar-SA"/>
    </w:rPr>
  </w:style>
  <w:style w:type="paragraph" w:customStyle="1" w:styleId="131">
    <w:name w:val="正文2"/>
    <w:basedOn w:val="1"/>
    <w:link w:val="130"/>
    <w:qFormat/>
    <w:uiPriority w:val="0"/>
    <w:pPr>
      <w:spacing w:before="156" w:line="360" w:lineRule="auto"/>
      <w:ind w:firstLine="510" w:firstLineChars="200"/>
    </w:pPr>
    <w:rPr>
      <w:sz w:val="24"/>
      <w:szCs w:val="20"/>
    </w:rPr>
  </w:style>
  <w:style w:type="character" w:customStyle="1" w:styleId="132">
    <w:name w:val="Char Char24"/>
    <w:qFormat/>
    <w:uiPriority w:val="6"/>
    <w:rPr>
      <w:kern w:val="1"/>
      <w:sz w:val="21"/>
    </w:rPr>
  </w:style>
  <w:style w:type="character" w:customStyle="1" w:styleId="133">
    <w:name w:val="副标题 Char"/>
    <w:link w:val="48"/>
    <w:qFormat/>
    <w:uiPriority w:val="0"/>
    <w:rPr>
      <w:rFonts w:ascii="Arial" w:hAnsi="Arial" w:eastAsia="隶书"/>
      <w:b/>
      <w:bCs/>
      <w:kern w:val="28"/>
      <w:sz w:val="44"/>
      <w:szCs w:val="32"/>
      <w:lang w:val="en-US" w:eastAsia="zh-CN" w:bidi="ar-SA"/>
    </w:rPr>
  </w:style>
  <w:style w:type="character" w:customStyle="1" w:styleId="134">
    <w:name w:val="普通文字 Char1 Char"/>
    <w:qFormat/>
    <w:uiPriority w:val="0"/>
    <w:rPr>
      <w:rFonts w:ascii="宋体" w:hAnsi="Courier New" w:eastAsia="宋体"/>
      <w:kern w:val="2"/>
      <w:sz w:val="21"/>
      <w:szCs w:val="24"/>
      <w:lang w:val="en-US" w:eastAsia="zh-CN" w:bidi="ar-SA"/>
    </w:rPr>
  </w:style>
  <w:style w:type="character" w:customStyle="1" w:styleId="135">
    <w:name w:val="h3 Char1"/>
    <w:qFormat/>
    <w:uiPriority w:val="0"/>
    <w:rPr>
      <w:rFonts w:eastAsia="宋体"/>
      <w:b/>
      <w:bCs/>
      <w:kern w:val="2"/>
      <w:sz w:val="32"/>
      <w:szCs w:val="32"/>
      <w:lang w:bidi="ar-SA"/>
    </w:rPr>
  </w:style>
  <w:style w:type="character" w:customStyle="1" w:styleId="136">
    <w:name w:val="标题 Char1"/>
    <w:qFormat/>
    <w:uiPriority w:val="0"/>
    <w:rPr>
      <w:rFonts w:ascii="Cambria" w:hAnsi="Cambria" w:eastAsia="宋体" w:cs="Times New Roman"/>
      <w:b/>
      <w:bCs/>
      <w:sz w:val="32"/>
      <w:szCs w:val="32"/>
      <w:lang w:bidi="ar-SA"/>
    </w:rPr>
  </w:style>
  <w:style w:type="character" w:customStyle="1" w:styleId="137">
    <w:name w:val="gf正文1 Char"/>
    <w:qFormat/>
    <w:uiPriority w:val="0"/>
    <w:rPr>
      <w:rFonts w:ascii="宋体" w:hAnsi="宋体" w:eastAsia="宋体" w:cs="宋体"/>
      <w:kern w:val="2"/>
      <w:sz w:val="24"/>
      <w:szCs w:val="24"/>
      <w:lang w:val="en-US" w:eastAsia="zh-CN" w:bidi="ar-SA"/>
    </w:rPr>
  </w:style>
  <w:style w:type="character" w:customStyle="1" w:styleId="138">
    <w:name w:val="正文文本缩进 Char1"/>
    <w:qFormat/>
    <w:uiPriority w:val="0"/>
    <w:rPr>
      <w:rFonts w:ascii="Calibri" w:hAnsi="Calibri"/>
      <w:sz w:val="28"/>
    </w:rPr>
  </w:style>
  <w:style w:type="character" w:customStyle="1" w:styleId="139">
    <w:name w:val="No Spacing Char"/>
    <w:link w:val="140"/>
    <w:qFormat/>
    <w:uiPriority w:val="1"/>
    <w:rPr>
      <w:sz w:val="22"/>
      <w:szCs w:val="22"/>
      <w:lang w:val="en-US" w:eastAsia="zh-CN" w:bidi="ar-SA"/>
    </w:rPr>
  </w:style>
  <w:style w:type="paragraph" w:customStyle="1" w:styleId="140">
    <w:name w:val="无间隔1"/>
    <w:link w:val="139"/>
    <w:qFormat/>
    <w:uiPriority w:val="1"/>
    <w:rPr>
      <w:rFonts w:ascii="Times New Roman" w:hAnsi="Times New Roman" w:eastAsia="宋体" w:cs="Times New Roman"/>
      <w:sz w:val="22"/>
      <w:szCs w:val="22"/>
      <w:lang w:val="en-US" w:eastAsia="zh-CN" w:bidi="ar-SA"/>
    </w:rPr>
  </w:style>
  <w:style w:type="character" w:customStyle="1" w:styleId="141">
    <w:name w:val="样式7 Char"/>
    <w:qFormat/>
    <w:uiPriority w:val="0"/>
    <w:rPr>
      <w:rFonts w:ascii="仿宋_GB2312" w:hAnsi="仿宋" w:eastAsia="仿宋_GB2312"/>
      <w:b/>
      <w:kern w:val="2"/>
      <w:sz w:val="24"/>
      <w:szCs w:val="24"/>
    </w:rPr>
  </w:style>
  <w:style w:type="character" w:customStyle="1" w:styleId="142">
    <w:name w:val="font12gray1"/>
    <w:qFormat/>
    <w:uiPriority w:val="0"/>
    <w:rPr>
      <w:rFonts w:ascii="仿宋_GB2312" w:eastAsia="微软雅黑"/>
      <w:b/>
      <w:spacing w:val="300"/>
      <w:kern w:val="2"/>
      <w:sz w:val="18"/>
      <w:szCs w:val="18"/>
      <w:lang w:val="en-US" w:eastAsia="zh-CN" w:bidi="ar-SA"/>
    </w:rPr>
  </w:style>
  <w:style w:type="character" w:customStyle="1" w:styleId="143">
    <w:name w:val="Char Char7"/>
    <w:semiHidden/>
    <w:qFormat/>
    <w:uiPriority w:val="0"/>
    <w:rPr>
      <w:rFonts w:eastAsia="宋体"/>
      <w:kern w:val="2"/>
      <w:sz w:val="21"/>
      <w:szCs w:val="24"/>
      <w:lang w:val="en-US" w:eastAsia="zh-CN" w:bidi="ar-SA"/>
    </w:rPr>
  </w:style>
  <w:style w:type="character" w:customStyle="1" w:styleId="144">
    <w:name w:val="表名 Char"/>
    <w:qFormat/>
    <w:uiPriority w:val="0"/>
    <w:rPr>
      <w:rFonts w:eastAsia="宋体"/>
      <w:b/>
      <w:bCs/>
      <w:kern w:val="2"/>
      <w:sz w:val="24"/>
      <w:szCs w:val="24"/>
      <w:lang w:val="en-US" w:eastAsia="zh-CN" w:bidi="ar-SA"/>
    </w:rPr>
  </w:style>
  <w:style w:type="character" w:customStyle="1" w:styleId="145">
    <w:name w:val="Document Map Char"/>
    <w:qFormat/>
    <w:locked/>
    <w:uiPriority w:val="0"/>
    <w:rPr>
      <w:rFonts w:eastAsia="宋体"/>
      <w:kern w:val="2"/>
      <w:sz w:val="21"/>
      <w:szCs w:val="24"/>
      <w:lang w:val="en-US" w:eastAsia="zh-CN" w:bidi="ar-SA"/>
    </w:rPr>
  </w:style>
  <w:style w:type="character" w:customStyle="1" w:styleId="146">
    <w:name w:val="font41"/>
    <w:basedOn w:val="69"/>
    <w:qFormat/>
    <w:uiPriority w:val="0"/>
    <w:rPr>
      <w:rFonts w:hint="eastAsia" w:ascii="仿宋_GB2312" w:eastAsia="仿宋_GB2312" w:cs="仿宋_GB2312"/>
      <w:color w:val="000000"/>
      <w:sz w:val="22"/>
      <w:szCs w:val="22"/>
      <w:u w:val="none"/>
    </w:rPr>
  </w:style>
  <w:style w:type="character" w:customStyle="1" w:styleId="147">
    <w:name w:val="标题 6 Char"/>
    <w:link w:val="11"/>
    <w:qFormat/>
    <w:uiPriority w:val="0"/>
    <w:rPr>
      <w:rFonts w:ascii="Arial" w:hAnsi="Arial" w:eastAsia="黑体"/>
      <w:b/>
      <w:bCs/>
      <w:kern w:val="2"/>
      <w:sz w:val="24"/>
      <w:szCs w:val="24"/>
    </w:rPr>
  </w:style>
  <w:style w:type="character" w:customStyle="1" w:styleId="148">
    <w:name w:val="纯文本 Char_0"/>
    <w:link w:val="149"/>
    <w:qFormat/>
    <w:uiPriority w:val="0"/>
    <w:rPr>
      <w:rFonts w:ascii="宋体" w:hAnsi="Courier New"/>
      <w:kern w:val="2"/>
      <w:sz w:val="21"/>
      <w:szCs w:val="21"/>
      <w:lang w:val="en-US" w:eastAsia="zh-CN"/>
    </w:rPr>
  </w:style>
  <w:style w:type="paragraph" w:customStyle="1" w:styleId="149">
    <w:name w:val="纯文本_0_0"/>
    <w:basedOn w:val="150"/>
    <w:link w:val="148"/>
    <w:qFormat/>
    <w:uiPriority w:val="0"/>
    <w:rPr>
      <w:rFonts w:ascii="宋体" w:hAnsi="Courier New"/>
      <w:szCs w:val="21"/>
    </w:rPr>
  </w:style>
  <w:style w:type="paragraph" w:customStyle="1" w:styleId="150">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51">
    <w:name w:val="Balloon Text Char"/>
    <w:qFormat/>
    <w:locked/>
    <w:uiPriority w:val="0"/>
    <w:rPr>
      <w:rFonts w:eastAsia="宋体"/>
      <w:kern w:val="2"/>
      <w:sz w:val="18"/>
      <w:szCs w:val="18"/>
      <w:lang w:val="en-US" w:eastAsia="zh-CN" w:bidi="ar-SA"/>
    </w:rPr>
  </w:style>
  <w:style w:type="character" w:customStyle="1" w:styleId="152">
    <w:name w:val="正文 项目2 Char"/>
    <w:basedOn w:val="153"/>
    <w:qFormat/>
    <w:uiPriority w:val="0"/>
    <w:rPr>
      <w:rFonts w:ascii="仿宋_GB2312" w:hAnsi="仿宋_GB2312" w:eastAsia="仿宋_GB2312"/>
      <w:kern w:val="2"/>
      <w:sz w:val="24"/>
      <w:lang w:bidi="ar-SA"/>
    </w:rPr>
  </w:style>
  <w:style w:type="character" w:customStyle="1" w:styleId="153">
    <w:name w:val="正文 项目 Char"/>
    <w:qFormat/>
    <w:uiPriority w:val="0"/>
    <w:rPr>
      <w:rFonts w:ascii="仿宋_GB2312" w:hAnsi="仿宋_GB2312" w:eastAsia="仿宋_GB2312"/>
      <w:kern w:val="2"/>
      <w:sz w:val="24"/>
      <w:lang w:bidi="ar-SA"/>
    </w:rPr>
  </w:style>
  <w:style w:type="character" w:customStyle="1" w:styleId="154">
    <w:name w:val="h Char Char1"/>
    <w:qFormat/>
    <w:uiPriority w:val="0"/>
    <w:rPr>
      <w:rFonts w:eastAsia="宋体"/>
      <w:kern w:val="2"/>
      <w:sz w:val="18"/>
      <w:szCs w:val="18"/>
      <w:lang w:val="en-US" w:eastAsia="zh-CN" w:bidi="ar-SA"/>
    </w:rPr>
  </w:style>
  <w:style w:type="character" w:customStyle="1" w:styleId="155">
    <w:name w:val="Char Char27"/>
    <w:qFormat/>
    <w:uiPriority w:val="6"/>
    <w:rPr>
      <w:rFonts w:ascii="宋体" w:hAnsi="宋体" w:eastAsia="宋体"/>
      <w:color w:val="000000"/>
      <w:kern w:val="1"/>
      <w:sz w:val="28"/>
      <w:lang w:val="en-US" w:eastAsia="zh-CN" w:bidi="ar-SA"/>
    </w:rPr>
  </w:style>
  <w:style w:type="character" w:customStyle="1" w:styleId="156">
    <w:name w:val="px14"/>
    <w:qFormat/>
    <w:uiPriority w:val="0"/>
    <w:rPr>
      <w:rFonts w:ascii="仿宋_GB2312" w:eastAsia="微软雅黑" w:cs="Times New Roman"/>
      <w:b/>
      <w:kern w:val="2"/>
      <w:sz w:val="32"/>
      <w:szCs w:val="32"/>
      <w:lang w:val="en-US" w:eastAsia="zh-CN" w:bidi="ar-SA"/>
    </w:rPr>
  </w:style>
  <w:style w:type="character" w:customStyle="1" w:styleId="157">
    <w:name w:val="HTML 预设格式 Char1"/>
    <w:qFormat/>
    <w:uiPriority w:val="0"/>
    <w:rPr>
      <w:rFonts w:ascii="Courier New" w:hAnsi="Courier New" w:eastAsia="宋体" w:cs="Courier New"/>
      <w:sz w:val="20"/>
      <w:szCs w:val="20"/>
    </w:rPr>
  </w:style>
  <w:style w:type="character" w:customStyle="1" w:styleId="158">
    <w:name w:val="普通文字 Char1"/>
    <w:qFormat/>
    <w:uiPriority w:val="0"/>
    <w:rPr>
      <w:rFonts w:ascii="宋体" w:hAnsi="Courier New" w:eastAsia="宋体"/>
      <w:kern w:val="2"/>
      <w:sz w:val="21"/>
      <w:lang w:val="en-US" w:eastAsia="zh-CN"/>
    </w:rPr>
  </w:style>
  <w:style w:type="character" w:customStyle="1" w:styleId="159">
    <w:name w:val="hei16b1"/>
    <w:qFormat/>
    <w:uiPriority w:val="0"/>
    <w:rPr>
      <w:rFonts w:hint="default" w:ascii="Arial" w:hAnsi="Arial" w:cs="Arial"/>
      <w:b/>
      <w:bCs/>
      <w:color w:val="000000"/>
      <w:sz w:val="24"/>
      <w:szCs w:val="24"/>
    </w:rPr>
  </w:style>
  <w:style w:type="character" w:customStyle="1" w:styleId="160">
    <w:name w:val="正文（绿盟科技） Char"/>
    <w:link w:val="161"/>
    <w:qFormat/>
    <w:uiPriority w:val="0"/>
    <w:rPr>
      <w:rFonts w:ascii="Arial" w:hAnsi="Arial"/>
      <w:sz w:val="21"/>
      <w:szCs w:val="21"/>
    </w:rPr>
  </w:style>
  <w:style w:type="paragraph" w:customStyle="1" w:styleId="161">
    <w:name w:val="正文（绿盟科技）"/>
    <w:link w:val="160"/>
    <w:qFormat/>
    <w:uiPriority w:val="0"/>
    <w:pPr>
      <w:spacing w:line="300" w:lineRule="auto"/>
    </w:pPr>
    <w:rPr>
      <w:rFonts w:ascii="Arial" w:hAnsi="Arial" w:eastAsia="宋体" w:cs="Times New Roman"/>
      <w:sz w:val="21"/>
      <w:szCs w:val="21"/>
      <w:lang w:val="en-US" w:eastAsia="zh-CN" w:bidi="ar-SA"/>
    </w:rPr>
  </w:style>
  <w:style w:type="character" w:customStyle="1" w:styleId="162">
    <w:name w:val="Char Char19"/>
    <w:qFormat/>
    <w:uiPriority w:val="6"/>
    <w:rPr>
      <w:rFonts w:ascii="宋体" w:hAnsi="宋体"/>
      <w:i/>
      <w:sz w:val="24"/>
      <w:szCs w:val="24"/>
    </w:rPr>
  </w:style>
  <w:style w:type="character" w:customStyle="1" w:styleId="163">
    <w:name w:val="页脚 Char"/>
    <w:qFormat/>
    <w:uiPriority w:val="0"/>
    <w:rPr>
      <w:rFonts w:eastAsia="仿宋_GB2312"/>
      <w:kern w:val="2"/>
      <w:sz w:val="18"/>
      <w:lang w:val="en-US" w:eastAsia="zh-CN"/>
    </w:rPr>
  </w:style>
  <w:style w:type="character" w:customStyle="1" w:styleId="164">
    <w:name w:val="批注主题 Char"/>
    <w:qFormat/>
    <w:uiPriority w:val="0"/>
    <w:rPr>
      <w:rFonts w:eastAsia="宋体"/>
      <w:b/>
      <w:bCs/>
      <w:kern w:val="2"/>
      <w:sz w:val="21"/>
      <w:szCs w:val="24"/>
      <w:lang w:val="en-US" w:eastAsia="zh-CN" w:bidi="ar-SA"/>
    </w:rPr>
  </w:style>
  <w:style w:type="character" w:customStyle="1" w:styleId="165">
    <w:name w:val="Comment Text Char"/>
    <w:qFormat/>
    <w:locked/>
    <w:uiPriority w:val="0"/>
    <w:rPr>
      <w:rFonts w:ascii="宋体" w:hAnsi="宋体" w:eastAsia="宋体"/>
      <w:kern w:val="2"/>
      <w:sz w:val="24"/>
      <w:lang w:val="en-US" w:eastAsia="zh-CN" w:bidi="ar-SA"/>
    </w:rPr>
  </w:style>
  <w:style w:type="character" w:customStyle="1" w:styleId="166">
    <w:name w:val="标题 2 字符"/>
    <w:qFormat/>
    <w:uiPriority w:val="1"/>
    <w:rPr>
      <w:rFonts w:ascii="仿宋_GB2312" w:hAnsi="Times New Roman" w:eastAsia="仿宋_GB2312" w:cs="Times New Roman"/>
      <w:b/>
      <w:kern w:val="2"/>
      <w:sz w:val="24"/>
      <w:lang w:val="zh-CN"/>
    </w:rPr>
  </w:style>
  <w:style w:type="character" w:customStyle="1" w:styleId="167">
    <w:name w:val="Char Char72"/>
    <w:qFormat/>
    <w:uiPriority w:val="0"/>
    <w:rPr>
      <w:rFonts w:eastAsia="宋体"/>
      <w:kern w:val="2"/>
      <w:sz w:val="21"/>
      <w:szCs w:val="24"/>
      <w:lang w:val="en-US" w:eastAsia="zh-CN" w:bidi="ar-SA"/>
    </w:rPr>
  </w:style>
  <w:style w:type="character" w:customStyle="1" w:styleId="168">
    <w:name w:val="正文文本缩进 Char2"/>
    <w:qFormat/>
    <w:uiPriority w:val="0"/>
    <w:rPr>
      <w:rFonts w:ascii="Times New Roman" w:hAnsi="Times New Roman" w:eastAsia="宋体" w:cs="Times New Roman"/>
      <w:snapToGrid w:val="0"/>
      <w:kern w:val="0"/>
      <w:szCs w:val="24"/>
    </w:rPr>
  </w:style>
  <w:style w:type="character" w:customStyle="1" w:styleId="169">
    <w:name w:val="样式2 Char"/>
    <w:qFormat/>
    <w:uiPriority w:val="0"/>
    <w:rPr>
      <w:rFonts w:ascii="仿宋_GB2312" w:hAnsi="仿宋" w:eastAsia="仿宋_GB2312" w:cs="仿宋_GB2312"/>
      <w:b/>
      <w:bCs/>
      <w:sz w:val="32"/>
      <w:szCs w:val="30"/>
      <w:lang w:val="zh-CN"/>
    </w:rPr>
  </w:style>
  <w:style w:type="character" w:customStyle="1" w:styleId="170">
    <w:name w:val="表格名称[858D7CFB-ED40-4347-BF05-701D383B685F]"/>
    <w:link w:val="171"/>
    <w:qFormat/>
    <w:uiPriority w:val="0"/>
    <w:rPr>
      <w:sz w:val="32"/>
    </w:rPr>
  </w:style>
  <w:style w:type="paragraph" w:customStyle="1" w:styleId="171">
    <w:name w:val="表格名称"/>
    <w:basedOn w:val="6"/>
    <w:link w:val="170"/>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2">
    <w:name w:val="Char Char4"/>
    <w:qFormat/>
    <w:uiPriority w:val="0"/>
    <w:rPr>
      <w:rFonts w:eastAsia="宋体"/>
      <w:b/>
      <w:sz w:val="24"/>
      <w:lang w:val="en-GB" w:eastAsia="zh-CN" w:bidi="ar-SA"/>
    </w:rPr>
  </w:style>
  <w:style w:type="character" w:customStyle="1" w:styleId="173">
    <w:name w:val="c7 style3"/>
    <w:qFormat/>
    <w:uiPriority w:val="0"/>
  </w:style>
  <w:style w:type="character" w:customStyle="1" w:styleId="174">
    <w:name w:val="正文文本 3 Char1"/>
    <w:semiHidden/>
    <w:qFormat/>
    <w:uiPriority w:val="99"/>
    <w:rPr>
      <w:rFonts w:ascii="Times New Roman" w:hAnsi="Times New Roman" w:eastAsia="宋体" w:cs="Times New Roman"/>
      <w:sz w:val="16"/>
      <w:szCs w:val="16"/>
    </w:rPr>
  </w:style>
  <w:style w:type="character" w:customStyle="1" w:styleId="175">
    <w:name w:val="tw4winInternal"/>
    <w:qFormat/>
    <w:uiPriority w:val="0"/>
    <w:rPr>
      <w:rFonts w:ascii="Courier New" w:hAnsi="Courier New" w:cs="Courier New"/>
      <w:color w:val="FF0000"/>
      <w:lang w:val="en-US" w:eastAsia="zh-CN"/>
    </w:rPr>
  </w:style>
  <w:style w:type="character" w:customStyle="1" w:styleId="176">
    <w:name w:val="Char Char10"/>
    <w:semiHidden/>
    <w:qFormat/>
    <w:uiPriority w:val="0"/>
    <w:rPr>
      <w:rFonts w:ascii="宋体" w:hAnsi="宋体"/>
      <w:kern w:val="2"/>
      <w:sz w:val="21"/>
      <w:szCs w:val="24"/>
      <w:lang w:val="en-US" w:eastAsia="zh-CN"/>
    </w:rPr>
  </w:style>
  <w:style w:type="character" w:customStyle="1" w:styleId="177">
    <w:name w:val="shadow11"/>
    <w:qFormat/>
    <w:uiPriority w:val="0"/>
    <w:rPr>
      <w:color w:val="000000"/>
      <w:sz w:val="21"/>
    </w:rPr>
  </w:style>
  <w:style w:type="character" w:customStyle="1" w:styleId="178">
    <w:name w:val="正文非缩进 Char3"/>
    <w:qFormat/>
    <w:uiPriority w:val="0"/>
    <w:rPr>
      <w:rFonts w:ascii="宋体" w:eastAsia="宋体"/>
      <w:snapToGrid w:val="0"/>
      <w:color w:val="000000"/>
      <w:kern w:val="28"/>
      <w:sz w:val="28"/>
      <w:lang w:val="en-US" w:eastAsia="zh-CN" w:bidi="ar-SA"/>
    </w:rPr>
  </w:style>
  <w:style w:type="character" w:customStyle="1" w:styleId="179">
    <w:name w:val="Char Char"/>
    <w:qFormat/>
    <w:uiPriority w:val="0"/>
    <w:rPr>
      <w:rFonts w:ascii="宋体" w:hAnsi="Courier New" w:eastAsia="宋体"/>
      <w:kern w:val="2"/>
      <w:sz w:val="21"/>
      <w:lang w:val="en-US" w:eastAsia="zh-CN" w:bidi="ar-SA"/>
    </w:rPr>
  </w:style>
  <w:style w:type="character" w:customStyle="1" w:styleId="180">
    <w:name w:val="签名 Char1"/>
    <w:qFormat/>
    <w:uiPriority w:val="0"/>
    <w:rPr>
      <w:rFonts w:ascii="Times New Roman" w:hAnsi="Times New Roman" w:eastAsia="宋体" w:cs="Times New Roman"/>
      <w:szCs w:val="24"/>
    </w:rPr>
  </w:style>
  <w:style w:type="character" w:customStyle="1" w:styleId="181">
    <w:name w:val="日期 Char"/>
    <w:link w:val="37"/>
    <w:qFormat/>
    <w:uiPriority w:val="0"/>
    <w:rPr>
      <w:rFonts w:ascii="宋体"/>
      <w:kern w:val="2"/>
      <w:sz w:val="24"/>
      <w:szCs w:val="21"/>
      <w:lang w:val="zh-CN"/>
    </w:rPr>
  </w:style>
  <w:style w:type="character" w:customStyle="1" w:styleId="182">
    <w:name w:val="标题 9 Char"/>
    <w:link w:val="14"/>
    <w:qFormat/>
    <w:uiPriority w:val="0"/>
    <w:rPr>
      <w:rFonts w:ascii="Arial" w:hAnsi="Arial" w:eastAsia="黑体"/>
      <w:kern w:val="2"/>
      <w:sz w:val="21"/>
      <w:szCs w:val="21"/>
    </w:rPr>
  </w:style>
  <w:style w:type="character" w:customStyle="1" w:styleId="183">
    <w:name w:val="Char Char18"/>
    <w:qFormat/>
    <w:uiPriority w:val="6"/>
    <w:rPr>
      <w:rFonts w:ascii="宋体" w:hAnsi="宋体"/>
      <w:sz w:val="28"/>
    </w:rPr>
  </w:style>
  <w:style w:type="character" w:customStyle="1" w:styleId="184">
    <w:name w:val="批注文字 Char"/>
    <w:qFormat/>
    <w:uiPriority w:val="99"/>
    <w:rPr>
      <w:kern w:val="2"/>
      <w:sz w:val="21"/>
      <w:szCs w:val="24"/>
    </w:rPr>
  </w:style>
  <w:style w:type="character" w:customStyle="1" w:styleId="185">
    <w:name w:val="Char Char22"/>
    <w:qFormat/>
    <w:uiPriority w:val="6"/>
    <w:rPr>
      <w:rFonts w:ascii="宋体" w:hAnsi="宋体"/>
      <w:kern w:val="1"/>
      <w:sz w:val="24"/>
      <w:szCs w:val="24"/>
    </w:rPr>
  </w:style>
  <w:style w:type="character" w:customStyle="1" w:styleId="186">
    <w:name w:val="pt141"/>
    <w:qFormat/>
    <w:uiPriority w:val="0"/>
    <w:rPr>
      <w:color w:val="330066"/>
      <w:sz w:val="22"/>
      <w:szCs w:val="22"/>
    </w:rPr>
  </w:style>
  <w:style w:type="character" w:customStyle="1" w:styleId="187">
    <w:name w:val="正文文本缩进 2 Char1"/>
    <w:semiHidden/>
    <w:qFormat/>
    <w:uiPriority w:val="99"/>
    <w:rPr>
      <w:rFonts w:ascii="Times New Roman" w:hAnsi="Times New Roman" w:eastAsia="宋体" w:cs="Times New Roman"/>
      <w:szCs w:val="24"/>
    </w:rPr>
  </w:style>
  <w:style w:type="character" w:customStyle="1" w:styleId="188">
    <w:name w:val="批注框文本 Char"/>
    <w:link w:val="40"/>
    <w:qFormat/>
    <w:uiPriority w:val="0"/>
    <w:rPr>
      <w:kern w:val="2"/>
      <w:sz w:val="18"/>
      <w:szCs w:val="18"/>
    </w:rPr>
  </w:style>
  <w:style w:type="character" w:customStyle="1" w:styleId="189">
    <w:name w:val="Char Char611"/>
    <w:qFormat/>
    <w:uiPriority w:val="0"/>
    <w:rPr>
      <w:rFonts w:eastAsia="宋体"/>
      <w:kern w:val="2"/>
      <w:sz w:val="21"/>
      <w:szCs w:val="24"/>
      <w:lang w:val="en-US" w:eastAsia="zh-CN" w:bidi="ar-SA"/>
    </w:rPr>
  </w:style>
  <w:style w:type="character" w:customStyle="1" w:styleId="190">
    <w:name w:val="highlight1"/>
    <w:qFormat/>
    <w:uiPriority w:val="0"/>
    <w:rPr>
      <w:rFonts w:ascii="仿宋_GB2312" w:eastAsia="微软雅黑"/>
      <w:b/>
      <w:kern w:val="2"/>
      <w:sz w:val="23"/>
      <w:szCs w:val="23"/>
      <w:lang w:val="en-US" w:eastAsia="zh-CN" w:bidi="ar-SA"/>
    </w:rPr>
  </w:style>
  <w:style w:type="character" w:customStyle="1" w:styleId="191">
    <w:name w:val="my正文 Char"/>
    <w:link w:val="192"/>
    <w:qFormat/>
    <w:locked/>
    <w:uiPriority w:val="0"/>
    <w:rPr>
      <w:rFonts w:ascii="Tahoma" w:hAnsi="Tahoma"/>
      <w:sz w:val="24"/>
      <w:szCs w:val="24"/>
    </w:rPr>
  </w:style>
  <w:style w:type="paragraph" w:customStyle="1" w:styleId="192">
    <w:name w:val="my正文"/>
    <w:basedOn w:val="1"/>
    <w:link w:val="191"/>
    <w:qFormat/>
    <w:uiPriority w:val="0"/>
    <w:pPr>
      <w:adjustRightInd/>
      <w:spacing w:line="360" w:lineRule="auto"/>
      <w:ind w:firstLine="480" w:firstLineChars="200"/>
    </w:pPr>
    <w:rPr>
      <w:rFonts w:ascii="Tahoma" w:hAnsi="Tahoma"/>
      <w:kern w:val="0"/>
      <w:sz w:val="24"/>
    </w:rPr>
  </w:style>
  <w:style w:type="character" w:customStyle="1" w:styleId="193">
    <w:name w:val="正文缩进 Char2"/>
    <w:link w:val="8"/>
    <w:qFormat/>
    <w:uiPriority w:val="0"/>
    <w:rPr>
      <w:rFonts w:ascii="宋体" w:eastAsia="宋体"/>
      <w:snapToGrid w:val="0"/>
      <w:color w:val="000000"/>
      <w:kern w:val="28"/>
      <w:sz w:val="28"/>
      <w:lang w:val="en-US" w:eastAsia="zh-CN" w:bidi="ar-SA"/>
    </w:rPr>
  </w:style>
  <w:style w:type="character" w:customStyle="1" w:styleId="194">
    <w:name w:val="Used by Word for text of Help footnotes Char Char1"/>
    <w:qFormat/>
    <w:uiPriority w:val="0"/>
    <w:rPr>
      <w:color w:val="0000FF"/>
      <w:sz w:val="21"/>
    </w:rPr>
  </w:style>
  <w:style w:type="character" w:customStyle="1" w:styleId="195">
    <w:name w:val="页眉 Char"/>
    <w:qFormat/>
    <w:uiPriority w:val="0"/>
    <w:rPr>
      <w:rFonts w:eastAsia="仿宋_GB2312"/>
      <w:kern w:val="2"/>
      <w:sz w:val="18"/>
      <w:lang w:val="en-US" w:eastAsia="zh-CN"/>
    </w:rPr>
  </w:style>
  <w:style w:type="character" w:customStyle="1" w:styleId="196">
    <w:name w:val="FA正文 Char Char"/>
    <w:qFormat/>
    <w:uiPriority w:val="0"/>
    <w:rPr>
      <w:rFonts w:hAnsi="宋体"/>
      <w:kern w:val="2"/>
      <w:sz w:val="24"/>
      <w:lang w:bidi="ar-SA"/>
    </w:rPr>
  </w:style>
  <w:style w:type="character" w:customStyle="1" w:styleId="197">
    <w:name w:val="纯文本 字符"/>
    <w:qFormat/>
    <w:uiPriority w:val="0"/>
    <w:rPr>
      <w:rFonts w:ascii="宋体" w:hAnsi="Courier New" w:eastAsia="宋体" w:cs="Arial"/>
      <w:snapToGrid w:val="0"/>
      <w:kern w:val="2"/>
      <w:sz w:val="21"/>
      <w:szCs w:val="21"/>
      <w:lang w:val="en-US" w:eastAsia="zh-CN" w:bidi="ar-SA"/>
    </w:rPr>
  </w:style>
  <w:style w:type="character" w:customStyle="1" w:styleId="198">
    <w:name w:val="3级 Char"/>
    <w:link w:val="199"/>
    <w:qFormat/>
    <w:uiPriority w:val="0"/>
    <w:rPr>
      <w:rFonts w:ascii="宋体" w:hAnsi="宋体"/>
      <w:b/>
      <w:bCs/>
      <w:snapToGrid/>
      <w:sz w:val="28"/>
    </w:rPr>
  </w:style>
  <w:style w:type="paragraph" w:customStyle="1" w:styleId="199">
    <w:name w:val="3级"/>
    <w:basedOn w:val="200"/>
    <w:link w:val="198"/>
    <w:qFormat/>
    <w:uiPriority w:val="0"/>
    <w:pPr>
      <w:ind w:left="0" w:right="466" w:firstLine="288"/>
    </w:pPr>
    <w:rPr>
      <w:rFonts w:hAnsi="宋体"/>
      <w:snapToGrid/>
    </w:rPr>
  </w:style>
  <w:style w:type="paragraph" w:customStyle="1" w:styleId="200">
    <w:name w:val="样式 标题 3h33rd level3BOD 0H3l3CTHeading 3 - oldLevel 3 He..."/>
    <w:basedOn w:val="7"/>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201">
    <w:name w:val="myp11"/>
    <w:qFormat/>
    <w:uiPriority w:val="0"/>
    <w:rPr>
      <w:rFonts w:ascii="仿宋_GB2312" w:eastAsia="微软雅黑"/>
      <w:b/>
      <w:kern w:val="2"/>
      <w:sz w:val="32"/>
      <w:szCs w:val="32"/>
      <w:lang w:val="en-US" w:eastAsia="zh-CN" w:bidi="ar-SA"/>
    </w:rPr>
  </w:style>
  <w:style w:type="character" w:customStyle="1" w:styleId="202">
    <w:name w:val="文档结构图 Char1"/>
    <w:link w:val="21"/>
    <w:qFormat/>
    <w:uiPriority w:val="0"/>
    <w:rPr>
      <w:kern w:val="2"/>
      <w:sz w:val="21"/>
      <w:szCs w:val="24"/>
      <w:shd w:val="clear" w:color="auto" w:fill="000080"/>
    </w:rPr>
  </w:style>
  <w:style w:type="character" w:customStyle="1" w:styleId="203">
    <w:name w:val="H6 Char"/>
    <w:qFormat/>
    <w:uiPriority w:val="0"/>
    <w:rPr>
      <w:rFonts w:ascii="Arial" w:hAnsi="Arial" w:eastAsia="黑体"/>
      <w:b/>
      <w:bCs/>
      <w:kern w:val="2"/>
      <w:sz w:val="24"/>
      <w:szCs w:val="24"/>
    </w:rPr>
  </w:style>
  <w:style w:type="character" w:customStyle="1" w:styleId="204">
    <w:name w:val="Char Char91"/>
    <w:qFormat/>
    <w:uiPriority w:val="0"/>
    <w:rPr>
      <w:rFonts w:eastAsia="宋体"/>
      <w:kern w:val="2"/>
      <w:sz w:val="18"/>
      <w:szCs w:val="18"/>
      <w:lang w:val="en-US" w:eastAsia="zh-CN" w:bidi="ar-SA"/>
    </w:rPr>
  </w:style>
  <w:style w:type="character" w:customStyle="1" w:styleId="205">
    <w:name w:val="副标题 Char1"/>
    <w:qFormat/>
    <w:uiPriority w:val="0"/>
    <w:rPr>
      <w:rFonts w:ascii="Cambria" w:hAnsi="Cambria" w:eastAsia="宋体" w:cs="Times New Roman"/>
      <w:b/>
      <w:bCs/>
      <w:snapToGrid w:val="0"/>
      <w:kern w:val="28"/>
      <w:sz w:val="32"/>
      <w:szCs w:val="32"/>
    </w:rPr>
  </w:style>
  <w:style w:type="character" w:customStyle="1" w:styleId="206">
    <w:name w:val="font61"/>
    <w:qFormat/>
    <w:uiPriority w:val="0"/>
    <w:rPr>
      <w:rFonts w:hint="eastAsia" w:ascii="仿宋" w:hAnsi="仿宋" w:eastAsia="仿宋" w:cs="仿宋"/>
      <w:color w:val="000000"/>
      <w:sz w:val="20"/>
      <w:szCs w:val="20"/>
      <w:u w:val="none"/>
    </w:rPr>
  </w:style>
  <w:style w:type="character" w:customStyle="1" w:styleId="207">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08">
    <w:name w:val="Char Char211"/>
    <w:qFormat/>
    <w:uiPriority w:val="0"/>
    <w:rPr>
      <w:rFonts w:eastAsia="宋体"/>
      <w:b/>
      <w:bCs/>
      <w:kern w:val="2"/>
      <w:sz w:val="21"/>
      <w:szCs w:val="24"/>
      <w:lang w:val="en-US" w:eastAsia="zh-CN" w:bidi="ar-SA"/>
    </w:rPr>
  </w:style>
  <w:style w:type="character" w:customStyle="1" w:styleId="209">
    <w:name w:val="标题 2 Char"/>
    <w:qFormat/>
    <w:uiPriority w:val="0"/>
    <w:rPr>
      <w:rFonts w:ascii="Arial" w:hAnsi="Arial" w:eastAsia="黑体"/>
      <w:b/>
      <w:kern w:val="2"/>
      <w:sz w:val="32"/>
      <w:lang w:val="en-US" w:eastAsia="zh-CN"/>
    </w:rPr>
  </w:style>
  <w:style w:type="character" w:customStyle="1" w:styleId="210">
    <w:name w:val="maywed421"/>
    <w:qFormat/>
    <w:uiPriority w:val="0"/>
    <w:rPr>
      <w:color w:val="366FB6"/>
      <w:u w:val="none"/>
    </w:rPr>
  </w:style>
  <w:style w:type="character" w:customStyle="1" w:styleId="211">
    <w:name w:val="正文文本缩进 Char"/>
    <w:qFormat/>
    <w:uiPriority w:val="0"/>
    <w:rPr>
      <w:rFonts w:ascii="宋体" w:hAnsi="宋体"/>
      <w:kern w:val="2"/>
      <w:sz w:val="24"/>
      <w:szCs w:val="24"/>
    </w:rPr>
  </w:style>
  <w:style w:type="character" w:customStyle="1" w:styleId="212">
    <w:name w:val="Char Char102"/>
    <w:semiHidden/>
    <w:qFormat/>
    <w:uiPriority w:val="0"/>
    <w:rPr>
      <w:rFonts w:ascii="宋体" w:hAnsi="宋体"/>
      <w:kern w:val="2"/>
      <w:sz w:val="21"/>
      <w:szCs w:val="24"/>
      <w:lang w:val="en-US" w:eastAsia="zh-CN"/>
    </w:rPr>
  </w:style>
  <w:style w:type="character" w:customStyle="1" w:styleId="213">
    <w:name w:val="页眉 Char1"/>
    <w:qFormat/>
    <w:uiPriority w:val="0"/>
    <w:rPr>
      <w:rFonts w:eastAsia="宋体"/>
      <w:kern w:val="2"/>
      <w:sz w:val="18"/>
      <w:szCs w:val="18"/>
      <w:lang w:val="en-US" w:eastAsia="zh-CN" w:bidi="ar-SA"/>
    </w:rPr>
  </w:style>
  <w:style w:type="character" w:customStyle="1" w:styleId="214">
    <w:name w:val="md"/>
    <w:basedOn w:val="69"/>
    <w:qFormat/>
    <w:uiPriority w:val="0"/>
    <w:rPr>
      <w:rFonts w:ascii="Arial" w:hAnsi="Arial" w:eastAsia="黑体" w:cs="Arial"/>
      <w:snapToGrid w:val="0"/>
      <w:kern w:val="0"/>
      <w:szCs w:val="21"/>
    </w:rPr>
  </w:style>
  <w:style w:type="character" w:customStyle="1" w:styleId="215">
    <w:name w:val="big1"/>
    <w:qFormat/>
    <w:uiPriority w:val="0"/>
    <w:rPr>
      <w:rFonts w:hint="eastAsia" w:ascii="宋体" w:hAnsi="宋体" w:eastAsia="宋体"/>
      <w:color w:val="333333"/>
      <w:sz w:val="22"/>
      <w:szCs w:val="22"/>
    </w:rPr>
  </w:style>
  <w:style w:type="character" w:customStyle="1" w:styleId="216">
    <w:name w:val="Char Char311"/>
    <w:qFormat/>
    <w:uiPriority w:val="0"/>
    <w:rPr>
      <w:rFonts w:eastAsia="宋体"/>
      <w:kern w:val="2"/>
      <w:sz w:val="21"/>
      <w:szCs w:val="24"/>
      <w:lang w:val="en-US" w:eastAsia="zh-CN" w:bidi="ar-SA"/>
    </w:rPr>
  </w:style>
  <w:style w:type="character" w:customStyle="1" w:styleId="217">
    <w:name w:val="Char Char81"/>
    <w:qFormat/>
    <w:uiPriority w:val="6"/>
    <w:rPr>
      <w:rFonts w:eastAsia="宋体"/>
      <w:b/>
      <w:sz w:val="24"/>
      <w:lang w:val="en-GB" w:eastAsia="zh-CN"/>
    </w:rPr>
  </w:style>
  <w:style w:type="character" w:customStyle="1" w:styleId="218">
    <w:name w:val="样式3 Char"/>
    <w:basedOn w:val="169"/>
    <w:qFormat/>
    <w:uiPriority w:val="0"/>
    <w:rPr>
      <w:rFonts w:ascii="仿宋_GB2312" w:hAnsi="仿宋" w:eastAsia="仿宋_GB2312" w:cs="仿宋_GB2312"/>
      <w:sz w:val="32"/>
      <w:szCs w:val="30"/>
      <w:lang w:val="zh-CN"/>
    </w:rPr>
  </w:style>
  <w:style w:type="character" w:customStyle="1" w:styleId="219">
    <w:name w:val="HTML 地址 Char"/>
    <w:link w:val="31"/>
    <w:qFormat/>
    <w:uiPriority w:val="0"/>
    <w:rPr>
      <w:rFonts w:ascii="宋体" w:hAnsi="宋体"/>
      <w:i/>
      <w:iCs/>
      <w:sz w:val="24"/>
      <w:szCs w:val="24"/>
    </w:rPr>
  </w:style>
  <w:style w:type="character" w:customStyle="1" w:styleId="220">
    <w:name w:val="正文首行缩进 2 Char1"/>
    <w:qFormat/>
    <w:uiPriority w:val="0"/>
    <w:rPr>
      <w:rFonts w:ascii="Times New Roman" w:hAnsi="Times New Roman" w:eastAsia="宋体" w:cs="Times New Roman"/>
      <w:kern w:val="2"/>
      <w:sz w:val="24"/>
      <w:szCs w:val="24"/>
    </w:rPr>
  </w:style>
  <w:style w:type="character" w:customStyle="1" w:styleId="221">
    <w:name w:val="副标题 Char2"/>
    <w:qFormat/>
    <w:uiPriority w:val="0"/>
    <w:rPr>
      <w:rFonts w:ascii="Cambria" w:hAnsi="Cambria" w:eastAsia="宋体" w:cs="Times New Roman"/>
      <w:b/>
      <w:bCs/>
      <w:snapToGrid w:val="0"/>
      <w:kern w:val="28"/>
      <w:sz w:val="32"/>
      <w:szCs w:val="32"/>
    </w:rPr>
  </w:style>
  <w:style w:type="character" w:customStyle="1" w:styleId="222">
    <w:name w:val="标题4-dyf Char"/>
    <w:link w:val="223"/>
    <w:qFormat/>
    <w:uiPriority w:val="0"/>
    <w:rPr>
      <w:rFonts w:ascii="Cambria" w:hAnsi="Cambria"/>
      <w:b/>
      <w:bCs/>
      <w:color w:val="000000"/>
      <w:kern w:val="2"/>
      <w:sz w:val="21"/>
      <w:szCs w:val="21"/>
    </w:rPr>
  </w:style>
  <w:style w:type="paragraph" w:customStyle="1" w:styleId="223">
    <w:name w:val="标题4-dyf"/>
    <w:basedOn w:val="9"/>
    <w:link w:val="222"/>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4">
    <w:name w:val="dectext1"/>
    <w:qFormat/>
    <w:uiPriority w:val="0"/>
    <w:rPr>
      <w:rFonts w:ascii="宋体" w:hAnsi="宋体" w:eastAsia="宋体"/>
      <w:color w:val="333333"/>
      <w:sz w:val="21"/>
      <w:szCs w:val="21"/>
      <w:u w:val="none"/>
    </w:rPr>
  </w:style>
  <w:style w:type="character" w:customStyle="1" w:styleId="225">
    <w:name w:val="冯 Char"/>
    <w:link w:val="226"/>
    <w:qFormat/>
    <w:uiPriority w:val="0"/>
    <w:rPr>
      <w:rFonts w:ascii="宋体" w:hAnsi="宋体"/>
      <w:color w:val="000000"/>
      <w:sz w:val="24"/>
      <w:szCs w:val="24"/>
    </w:rPr>
  </w:style>
  <w:style w:type="paragraph" w:customStyle="1" w:styleId="226">
    <w:name w:val="冯"/>
    <w:basedOn w:val="1"/>
    <w:link w:val="225"/>
    <w:qFormat/>
    <w:uiPriority w:val="0"/>
    <w:pPr>
      <w:widowControl/>
      <w:adjustRightInd/>
      <w:spacing w:line="360" w:lineRule="auto"/>
      <w:ind w:firstLine="480" w:firstLineChars="200"/>
    </w:pPr>
    <w:rPr>
      <w:rFonts w:ascii="宋体" w:hAnsi="宋体"/>
      <w:color w:val="000000"/>
      <w:kern w:val="0"/>
      <w:sz w:val="24"/>
    </w:rPr>
  </w:style>
  <w:style w:type="character" w:customStyle="1" w:styleId="227">
    <w:name w:val="Header Char"/>
    <w:qFormat/>
    <w:locked/>
    <w:uiPriority w:val="0"/>
    <w:rPr>
      <w:rFonts w:eastAsia="宋体"/>
      <w:kern w:val="2"/>
      <w:sz w:val="18"/>
      <w:szCs w:val="18"/>
      <w:lang w:val="en-US" w:eastAsia="zh-CN" w:bidi="ar-SA"/>
    </w:rPr>
  </w:style>
  <w:style w:type="character" w:customStyle="1" w:styleId="228">
    <w:name w:val="Char Char12"/>
    <w:qFormat/>
    <w:uiPriority w:val="0"/>
    <w:rPr>
      <w:rFonts w:ascii="仿宋_GB2312" w:eastAsia="仿宋_GB2312"/>
      <w:b/>
      <w:bCs/>
      <w:kern w:val="2"/>
      <w:sz w:val="24"/>
      <w:szCs w:val="24"/>
      <w:lang w:val="zh-CN" w:eastAsia="zh-CN" w:bidi="ar-SA"/>
    </w:rPr>
  </w:style>
  <w:style w:type="character" w:customStyle="1" w:styleId="229">
    <w:name w:val="题注 Char"/>
    <w:link w:val="19"/>
    <w:qFormat/>
    <w:uiPriority w:val="0"/>
    <w:rPr>
      <w:b/>
      <w:kern w:val="2"/>
      <w:sz w:val="28"/>
    </w:rPr>
  </w:style>
  <w:style w:type="character" w:customStyle="1" w:styleId="230">
    <w:name w:val="普通文字 Char3"/>
    <w:qFormat/>
    <w:uiPriority w:val="0"/>
    <w:rPr>
      <w:rFonts w:ascii="宋体" w:hAnsi="Courier New" w:eastAsia="宋体"/>
      <w:kern w:val="2"/>
      <w:sz w:val="21"/>
      <w:lang w:val="en-US" w:eastAsia="zh-CN" w:bidi="ar-SA"/>
    </w:rPr>
  </w:style>
  <w:style w:type="character" w:customStyle="1" w:styleId="231">
    <w:name w:val="公文正文 Char"/>
    <w:qFormat/>
    <w:uiPriority w:val="0"/>
    <w:rPr>
      <w:rFonts w:ascii="仿宋_GB2312" w:eastAsia="仿宋_GB2312"/>
      <w:kern w:val="2"/>
      <w:sz w:val="24"/>
      <w:szCs w:val="24"/>
      <w:lang w:val="en-US" w:eastAsia="zh-CN" w:bidi="ar-SA"/>
    </w:rPr>
  </w:style>
  <w:style w:type="character" w:customStyle="1" w:styleId="232">
    <w:name w:val="正文首行缩进 Char Char Char Char Char"/>
    <w:qFormat/>
    <w:uiPriority w:val="0"/>
    <w:rPr>
      <w:rFonts w:ascii="宋体"/>
      <w:kern w:val="2"/>
      <w:sz w:val="24"/>
      <w:lang w:val="zh-CN"/>
    </w:rPr>
  </w:style>
  <w:style w:type="character" w:customStyle="1" w:styleId="233">
    <w:name w:val="PI Char"/>
    <w:qFormat/>
    <w:uiPriority w:val="0"/>
    <w:rPr>
      <w:rFonts w:ascii="宋体" w:hAnsi="宋体" w:eastAsia="宋体"/>
      <w:kern w:val="2"/>
      <w:sz w:val="24"/>
      <w:szCs w:val="24"/>
      <w:lang w:val="en-US" w:eastAsia="zh-CN" w:bidi="ar-SA"/>
    </w:rPr>
  </w:style>
  <w:style w:type="character" w:customStyle="1" w:styleId="234">
    <w:name w:val="Default Char"/>
    <w:link w:val="235"/>
    <w:qFormat/>
    <w:uiPriority w:val="0"/>
    <w:rPr>
      <w:rFonts w:ascii="仿宋_GB2312" w:eastAsia="仿宋_GB2312" w:cs="仿宋_GB2312"/>
      <w:color w:val="000000"/>
      <w:sz w:val="24"/>
      <w:szCs w:val="24"/>
      <w:lang w:val="en-US" w:eastAsia="zh-CN" w:bidi="ar-SA"/>
    </w:rPr>
  </w:style>
  <w:style w:type="paragraph" w:customStyle="1" w:styleId="235">
    <w:name w:val="Default"/>
    <w:link w:val="234"/>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6">
    <w:name w:val="style91"/>
    <w:qFormat/>
    <w:uiPriority w:val="0"/>
    <w:rPr>
      <w:color w:val="333333"/>
    </w:rPr>
  </w:style>
  <w:style w:type="character" w:customStyle="1" w:styleId="237">
    <w:name w:val="列出段落 Char2"/>
    <w:qFormat/>
    <w:uiPriority w:val="34"/>
    <w:rPr>
      <w:rFonts w:ascii="Calibri" w:hAnsi="Calibri"/>
      <w:kern w:val="2"/>
      <w:sz w:val="28"/>
    </w:rPr>
  </w:style>
  <w:style w:type="character" w:customStyle="1" w:styleId="238">
    <w:name w:val="mdeck"/>
    <w:qFormat/>
    <w:uiPriority w:val="0"/>
    <w:rPr>
      <w:rFonts w:ascii="仿宋_GB2312" w:eastAsia="微软雅黑"/>
      <w:b/>
      <w:kern w:val="2"/>
      <w:sz w:val="32"/>
      <w:szCs w:val="32"/>
      <w:lang w:val="en-US" w:eastAsia="zh-CN" w:bidi="ar-SA"/>
    </w:rPr>
  </w:style>
  <w:style w:type="character" w:customStyle="1" w:styleId="239">
    <w:name w:val="unnamed11"/>
    <w:qFormat/>
    <w:uiPriority w:val="0"/>
    <w:rPr>
      <w:sz w:val="20"/>
      <w:szCs w:val="20"/>
    </w:rPr>
  </w:style>
  <w:style w:type="character" w:customStyle="1" w:styleId="240">
    <w:name w:val="正文文本 Char2"/>
    <w:semiHidden/>
    <w:qFormat/>
    <w:uiPriority w:val="99"/>
    <w:rPr>
      <w:rFonts w:ascii="Times New Roman" w:hAnsi="Times New Roman" w:eastAsia="宋体" w:cs="Times New Roman"/>
      <w:snapToGrid w:val="0"/>
      <w:kern w:val="0"/>
      <w:szCs w:val="24"/>
    </w:rPr>
  </w:style>
  <w:style w:type="character" w:customStyle="1" w:styleId="241">
    <w:name w:val="标书正文格式 Char"/>
    <w:qFormat/>
    <w:uiPriority w:val="0"/>
    <w:rPr>
      <w:rFonts w:eastAsia="楷体_GB2312"/>
      <w:kern w:val="2"/>
      <w:sz w:val="24"/>
      <w:szCs w:val="24"/>
      <w:lang w:bidi="ar-SA"/>
    </w:rPr>
  </w:style>
  <w:style w:type="character" w:customStyle="1" w:styleId="242">
    <w:name w:val="Char Char11"/>
    <w:qFormat/>
    <w:locked/>
    <w:uiPriority w:val="0"/>
    <w:rPr>
      <w:rFonts w:ascii="宋体" w:hAnsi="宋体" w:eastAsia="宋体"/>
      <w:b/>
      <w:kern w:val="2"/>
      <w:sz w:val="24"/>
      <w:szCs w:val="24"/>
      <w:lang w:val="en-US" w:eastAsia="zh-CN" w:bidi="ar-SA"/>
    </w:rPr>
  </w:style>
  <w:style w:type="character" w:customStyle="1" w:styleId="243">
    <w:name w:val="ca-131"/>
    <w:qFormat/>
    <w:uiPriority w:val="0"/>
    <w:rPr>
      <w:rFonts w:hint="eastAsia" w:ascii="仿宋_GB2312" w:eastAsia="仿宋_GB2312"/>
      <w:b/>
      <w:bCs/>
      <w:color w:val="000000"/>
      <w:spacing w:val="-20"/>
      <w:sz w:val="24"/>
      <w:szCs w:val="24"/>
    </w:rPr>
  </w:style>
  <w:style w:type="character" w:customStyle="1" w:styleId="244">
    <w:name w:val="tw4winMark"/>
    <w:qFormat/>
    <w:uiPriority w:val="0"/>
    <w:rPr>
      <w:rFonts w:ascii="Courier New" w:hAnsi="Courier New" w:cs="Courier New"/>
      <w:vanish/>
      <w:color w:val="800080"/>
      <w:sz w:val="24"/>
      <w:szCs w:val="24"/>
      <w:vertAlign w:val="subscript"/>
    </w:rPr>
  </w:style>
  <w:style w:type="character" w:customStyle="1" w:styleId="245">
    <w:name w:val="正文样式 Char"/>
    <w:link w:val="246"/>
    <w:qFormat/>
    <w:uiPriority w:val="0"/>
    <w:rPr>
      <w:rFonts w:ascii="Calibri" w:hAnsi="Calibri"/>
      <w:sz w:val="24"/>
      <w:szCs w:val="24"/>
    </w:rPr>
  </w:style>
  <w:style w:type="paragraph" w:customStyle="1" w:styleId="246">
    <w:name w:val="正文样式"/>
    <w:basedOn w:val="1"/>
    <w:link w:val="245"/>
    <w:qFormat/>
    <w:uiPriority w:val="0"/>
    <w:pPr>
      <w:adjustRightInd/>
      <w:spacing w:line="360" w:lineRule="auto"/>
      <w:ind w:firstLine="480" w:firstLineChars="200"/>
    </w:pPr>
    <w:rPr>
      <w:kern w:val="0"/>
      <w:sz w:val="24"/>
    </w:rPr>
  </w:style>
  <w:style w:type="character" w:customStyle="1" w:styleId="247">
    <w:name w:val="表正文 Char3"/>
    <w:qFormat/>
    <w:uiPriority w:val="0"/>
    <w:rPr>
      <w:rFonts w:eastAsia="宋体"/>
    </w:rPr>
  </w:style>
  <w:style w:type="character" w:customStyle="1" w:styleId="248">
    <w:name w:val="H5 Char"/>
    <w:qFormat/>
    <w:uiPriority w:val="0"/>
    <w:rPr>
      <w:b/>
      <w:bCs/>
      <w:kern w:val="2"/>
      <w:sz w:val="28"/>
      <w:szCs w:val="28"/>
    </w:rPr>
  </w:style>
  <w:style w:type="character" w:customStyle="1" w:styleId="249">
    <w:name w:val="Char Char3"/>
    <w:qFormat/>
    <w:uiPriority w:val="0"/>
    <w:rPr>
      <w:rFonts w:eastAsia="宋体"/>
      <w:kern w:val="2"/>
      <w:sz w:val="21"/>
      <w:szCs w:val="24"/>
      <w:lang w:val="en-US" w:eastAsia="zh-CN" w:bidi="ar-SA"/>
    </w:rPr>
  </w:style>
  <w:style w:type="character" w:customStyle="1" w:styleId="250">
    <w:name w:val="正文 编号 Char"/>
    <w:qFormat/>
    <w:uiPriority w:val="0"/>
    <w:rPr>
      <w:rFonts w:ascii="仿宋_GB2312" w:hAnsi="仿宋_GB2312" w:eastAsia="仿宋_GB2312"/>
      <w:kern w:val="2"/>
      <w:sz w:val="24"/>
      <w:lang w:bidi="ar-SA"/>
    </w:rPr>
  </w:style>
  <w:style w:type="character" w:customStyle="1" w:styleId="251">
    <w:name w:val="question-title2"/>
    <w:qFormat/>
    <w:uiPriority w:val="6"/>
    <w:rPr>
      <w:rFonts w:ascii="Arial" w:hAnsi="Arial" w:eastAsia="黑体" w:cs="Arial"/>
      <w:snapToGrid w:val="0"/>
      <w:kern w:val="0"/>
      <w:szCs w:val="21"/>
    </w:rPr>
  </w:style>
  <w:style w:type="character" w:customStyle="1" w:styleId="252">
    <w:name w:val="gf正文1 Char Char"/>
    <w:link w:val="253"/>
    <w:qFormat/>
    <w:uiPriority w:val="0"/>
    <w:rPr>
      <w:rFonts w:ascii="宋体" w:hAnsi="宋体" w:cs="宋体"/>
      <w:kern w:val="2"/>
      <w:sz w:val="24"/>
      <w:szCs w:val="24"/>
    </w:rPr>
  </w:style>
  <w:style w:type="paragraph" w:customStyle="1" w:styleId="253">
    <w:name w:val="gf正文1"/>
    <w:basedOn w:val="1"/>
    <w:link w:val="252"/>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4">
    <w:name w:val="Char Char15"/>
    <w:qFormat/>
    <w:uiPriority w:val="6"/>
    <w:rPr>
      <w:rFonts w:ascii="宋体" w:hAnsi="宋体"/>
      <w:kern w:val="1"/>
      <w:sz w:val="21"/>
    </w:rPr>
  </w:style>
  <w:style w:type="character" w:customStyle="1" w:styleId="255">
    <w:name w:val="正文缩进 Char3"/>
    <w:qFormat/>
    <w:uiPriority w:val="0"/>
    <w:rPr>
      <w:rFonts w:ascii="宋体" w:eastAsia="宋体"/>
      <w:snapToGrid w:val="0"/>
      <w:color w:val="000000"/>
      <w:kern w:val="28"/>
      <w:sz w:val="28"/>
      <w:lang w:val="en-US" w:eastAsia="zh-CN" w:bidi="ar-SA"/>
    </w:rPr>
  </w:style>
  <w:style w:type="character" w:customStyle="1" w:styleId="256">
    <w:name w:val="列出段落 Char1"/>
    <w:link w:val="257"/>
    <w:qFormat/>
    <w:uiPriority w:val="0"/>
    <w:rPr>
      <w:rFonts w:ascii="Calibri" w:hAnsi="Calibri"/>
      <w:sz w:val="24"/>
      <w:lang w:eastAsia="en-US"/>
    </w:rPr>
  </w:style>
  <w:style w:type="paragraph" w:customStyle="1" w:styleId="257">
    <w:name w:val="列表1"/>
    <w:basedOn w:val="1"/>
    <w:next w:val="258"/>
    <w:link w:val="256"/>
    <w:qFormat/>
    <w:uiPriority w:val="0"/>
    <w:pPr>
      <w:widowControl/>
      <w:adjustRightInd/>
      <w:spacing w:after="200" w:line="360" w:lineRule="auto"/>
      <w:ind w:left="720" w:firstLine="200" w:firstLineChars="200"/>
      <w:jc w:val="left"/>
    </w:pPr>
    <w:rPr>
      <w:kern w:val="0"/>
      <w:sz w:val="24"/>
      <w:szCs w:val="20"/>
      <w:lang w:eastAsia="en-US"/>
    </w:rPr>
  </w:style>
  <w:style w:type="paragraph" w:styleId="258">
    <w:name w:val="List Paragraph"/>
    <w:basedOn w:val="1"/>
    <w:qFormat/>
    <w:uiPriority w:val="34"/>
    <w:pPr>
      <w:spacing w:line="360" w:lineRule="auto"/>
      <w:ind w:firstLine="200" w:firstLineChars="200"/>
    </w:pPr>
    <w:rPr>
      <w:rFonts w:eastAsia="楷体_GB2312" w:cs="Lucida Sans"/>
      <w:sz w:val="24"/>
    </w:rPr>
  </w:style>
  <w:style w:type="character" w:customStyle="1" w:styleId="259">
    <w:name w:val="Char Char8"/>
    <w:qFormat/>
    <w:uiPriority w:val="0"/>
    <w:rPr>
      <w:rFonts w:eastAsia="宋体"/>
      <w:b/>
      <w:sz w:val="24"/>
      <w:lang w:val="en-GB" w:eastAsia="zh-CN"/>
    </w:rPr>
  </w:style>
  <w:style w:type="character" w:customStyle="1" w:styleId="260">
    <w:name w:val="Normal Indent Char Char"/>
    <w:qFormat/>
    <w:uiPriority w:val="0"/>
    <w:rPr>
      <w:rFonts w:eastAsia="宋体"/>
      <w:kern w:val="2"/>
      <w:sz w:val="21"/>
      <w:lang w:val="en-US" w:eastAsia="zh-CN" w:bidi="ar-SA"/>
    </w:rPr>
  </w:style>
  <w:style w:type="character" w:customStyle="1" w:styleId="261">
    <w:name w:val="列表段落 字符"/>
    <w:qFormat/>
    <w:uiPriority w:val="99"/>
  </w:style>
  <w:style w:type="character" w:customStyle="1" w:styleId="262">
    <w:name w:val="Ò³Ã¼ Char Char1"/>
    <w:qFormat/>
    <w:uiPriority w:val="0"/>
    <w:rPr>
      <w:rFonts w:eastAsia="宋体"/>
      <w:kern w:val="2"/>
      <w:sz w:val="18"/>
      <w:szCs w:val="18"/>
      <w:lang w:val="en-US" w:eastAsia="zh-CN" w:bidi="ar-SA"/>
    </w:rPr>
  </w:style>
  <w:style w:type="character" w:customStyle="1" w:styleId="263">
    <w:name w:val="方案正文 Char"/>
    <w:qFormat/>
    <w:uiPriority w:val="0"/>
    <w:rPr>
      <w:rFonts w:ascii="仿宋_GB2312" w:eastAsia="仿宋_GB2312"/>
      <w:b/>
      <w:color w:val="000000"/>
      <w:kern w:val="2"/>
      <w:sz w:val="24"/>
      <w:lang w:val="en-US" w:eastAsia="zh-CN" w:bidi="ar-SA"/>
    </w:rPr>
  </w:style>
  <w:style w:type="character" w:customStyle="1" w:styleId="264">
    <w:name w:val="Char Char30"/>
    <w:qFormat/>
    <w:uiPriority w:val="6"/>
    <w:rPr>
      <w:rFonts w:ascii="Arial" w:hAnsi="Arial" w:eastAsia="黑体"/>
      <w:kern w:val="1"/>
      <w:sz w:val="21"/>
      <w:szCs w:val="21"/>
    </w:rPr>
  </w:style>
  <w:style w:type="character" w:customStyle="1" w:styleId="265">
    <w:name w:val="正文文本缩进 Char3"/>
    <w:link w:val="26"/>
    <w:qFormat/>
    <w:uiPriority w:val="0"/>
    <w:rPr>
      <w:rFonts w:ascii="宋体" w:hAnsi="宋体"/>
      <w:kern w:val="2"/>
      <w:sz w:val="24"/>
      <w:szCs w:val="24"/>
    </w:rPr>
  </w:style>
  <w:style w:type="character" w:customStyle="1" w:styleId="266">
    <w:name w:val="font01"/>
    <w:qFormat/>
    <w:uiPriority w:val="0"/>
    <w:rPr>
      <w:rFonts w:hint="eastAsia" w:ascii="微软雅黑" w:hAnsi="微软雅黑" w:eastAsia="微软雅黑" w:cs="微软雅黑"/>
      <w:color w:val="000000"/>
      <w:sz w:val="20"/>
      <w:szCs w:val="20"/>
      <w:u w:val="none"/>
    </w:rPr>
  </w:style>
  <w:style w:type="character" w:customStyle="1" w:styleId="267">
    <w:name w:val="Char Char20"/>
    <w:qFormat/>
    <w:uiPriority w:val="6"/>
    <w:rPr>
      <w:kern w:val="1"/>
      <w:sz w:val="24"/>
    </w:rPr>
  </w:style>
  <w:style w:type="character" w:customStyle="1" w:styleId="268">
    <w:name w:val="tw4winExternal"/>
    <w:qFormat/>
    <w:uiPriority w:val="0"/>
    <w:rPr>
      <w:rFonts w:ascii="Courier New" w:hAnsi="Courier New" w:cs="Courier New"/>
      <w:color w:val="808080"/>
      <w:lang w:val="en-US" w:eastAsia="zh-CN"/>
    </w:rPr>
  </w:style>
  <w:style w:type="character" w:customStyle="1" w:styleId="269">
    <w:name w:val="标题 4 Char1"/>
    <w:qFormat/>
    <w:uiPriority w:val="9"/>
    <w:rPr>
      <w:rFonts w:ascii="Cambria" w:hAnsi="Cambria" w:eastAsia="宋体" w:cs="Times New Roman"/>
      <w:b/>
      <w:bCs/>
      <w:kern w:val="2"/>
      <w:sz w:val="28"/>
      <w:szCs w:val="28"/>
    </w:rPr>
  </w:style>
  <w:style w:type="character" w:customStyle="1" w:styleId="270">
    <w:name w:val="批注文字 Char2"/>
    <w:qFormat/>
    <w:uiPriority w:val="99"/>
    <w:rPr>
      <w:rFonts w:ascii="Times New Roman" w:hAnsi="Times New Roman" w:eastAsia="宋体" w:cs="Times New Roman"/>
      <w:snapToGrid w:val="0"/>
      <w:kern w:val="0"/>
      <w:szCs w:val="24"/>
    </w:rPr>
  </w:style>
  <w:style w:type="character" w:customStyle="1" w:styleId="271">
    <w:name w:val="正文文本 2 Char"/>
    <w:qFormat/>
    <w:uiPriority w:val="0"/>
    <w:rPr>
      <w:rFonts w:eastAsia="宋体"/>
      <w:kern w:val="2"/>
      <w:sz w:val="21"/>
      <w:szCs w:val="24"/>
      <w:lang w:val="en-US" w:eastAsia="zh-CN" w:bidi="ar-SA"/>
    </w:rPr>
  </w:style>
  <w:style w:type="character" w:customStyle="1" w:styleId="272">
    <w:name w:val="Ò³Ã¼ Char Char"/>
    <w:qFormat/>
    <w:uiPriority w:val="0"/>
    <w:rPr>
      <w:rFonts w:eastAsia="宋体"/>
      <w:kern w:val="2"/>
      <w:sz w:val="18"/>
      <w:lang w:val="en-US" w:eastAsia="zh-CN" w:bidi="ar-SA"/>
    </w:rPr>
  </w:style>
  <w:style w:type="character" w:customStyle="1" w:styleId="273">
    <w:name w:val="message1"/>
    <w:qFormat/>
    <w:uiPriority w:val="0"/>
    <w:rPr>
      <w:rFonts w:hint="default" w:ascii="Tahoma" w:hAnsi="Tahoma" w:cs="Tahoma"/>
      <w:sz w:val="18"/>
      <w:szCs w:val="18"/>
    </w:rPr>
  </w:style>
  <w:style w:type="character" w:customStyle="1" w:styleId="274">
    <w:name w:val="Char Char23"/>
    <w:qFormat/>
    <w:uiPriority w:val="6"/>
    <w:rPr>
      <w:color w:val="0000FF"/>
      <w:sz w:val="21"/>
    </w:rPr>
  </w:style>
  <w:style w:type="character" w:customStyle="1" w:styleId="275">
    <w:name w:val="批注框文本 字符"/>
    <w:qFormat/>
    <w:uiPriority w:val="0"/>
    <w:rPr>
      <w:rFonts w:ascii="Arial" w:hAnsi="Arial" w:eastAsia="黑体" w:cs="Arial"/>
      <w:snapToGrid w:val="0"/>
      <w:kern w:val="0"/>
      <w:sz w:val="18"/>
      <w:szCs w:val="18"/>
    </w:rPr>
  </w:style>
  <w:style w:type="character" w:customStyle="1" w:styleId="276">
    <w:name w:val="纯文本 Char2"/>
    <w:semiHidden/>
    <w:qFormat/>
    <w:uiPriority w:val="99"/>
    <w:rPr>
      <w:rFonts w:ascii="宋体" w:hAnsi="Courier New" w:eastAsia="宋体" w:cs="Courier New"/>
    </w:rPr>
  </w:style>
  <w:style w:type="character" w:customStyle="1" w:styleId="277">
    <w:name w:val="Char Char25"/>
    <w:qFormat/>
    <w:uiPriority w:val="6"/>
    <w:rPr>
      <w:rFonts w:ascii="宋体" w:hAnsi="宋体"/>
      <w:kern w:val="1"/>
      <w:sz w:val="24"/>
      <w:lang w:val="zh-CN"/>
    </w:rPr>
  </w:style>
  <w:style w:type="character" w:customStyle="1" w:styleId="278">
    <w:name w:val="Char Char411"/>
    <w:qFormat/>
    <w:uiPriority w:val="0"/>
    <w:rPr>
      <w:rFonts w:eastAsia="宋体"/>
      <w:b/>
      <w:sz w:val="24"/>
      <w:lang w:val="en-GB" w:eastAsia="zh-CN" w:bidi="ar-SA"/>
    </w:rPr>
  </w:style>
  <w:style w:type="character" w:customStyle="1" w:styleId="279">
    <w:name w:val="Heading 7 Char"/>
    <w:qFormat/>
    <w:locked/>
    <w:uiPriority w:val="0"/>
    <w:rPr>
      <w:rFonts w:ascii="宋体" w:hAnsi="宋体" w:eastAsia="宋体"/>
      <w:b/>
      <w:bCs/>
      <w:kern w:val="2"/>
      <w:sz w:val="24"/>
      <w:szCs w:val="24"/>
      <w:lang w:val="en-US" w:eastAsia="zh-CN" w:bidi="ar-SA"/>
    </w:rPr>
  </w:style>
  <w:style w:type="character" w:customStyle="1" w:styleId="280">
    <w:name w:val="此正文 Char"/>
    <w:link w:val="281"/>
    <w:qFormat/>
    <w:uiPriority w:val="0"/>
    <w:rPr>
      <w:kern w:val="2"/>
      <w:sz w:val="24"/>
      <w:szCs w:val="24"/>
    </w:rPr>
  </w:style>
  <w:style w:type="paragraph" w:customStyle="1" w:styleId="281">
    <w:name w:val="此正文"/>
    <w:basedOn w:val="1"/>
    <w:link w:val="280"/>
    <w:qFormat/>
    <w:uiPriority w:val="0"/>
    <w:pPr>
      <w:adjustRightInd/>
      <w:spacing w:line="360" w:lineRule="auto"/>
      <w:ind w:firstLine="200" w:firstLineChars="200"/>
    </w:pPr>
    <w:rPr>
      <w:sz w:val="24"/>
    </w:rPr>
  </w:style>
  <w:style w:type="character" w:customStyle="1" w:styleId="282">
    <w:name w:val="Char Char2"/>
    <w:qFormat/>
    <w:uiPriority w:val="0"/>
    <w:rPr>
      <w:rFonts w:eastAsia="宋体"/>
      <w:b/>
      <w:bCs/>
      <w:kern w:val="2"/>
      <w:sz w:val="21"/>
      <w:szCs w:val="24"/>
      <w:lang w:val="en-US" w:eastAsia="zh-CN" w:bidi="ar-SA"/>
    </w:rPr>
  </w:style>
  <w:style w:type="character" w:customStyle="1" w:styleId="283">
    <w:name w:val="Footer-Even Char1"/>
    <w:qFormat/>
    <w:uiPriority w:val="0"/>
    <w:rPr>
      <w:rFonts w:eastAsia="宋体"/>
      <w:kern w:val="2"/>
      <w:sz w:val="18"/>
      <w:szCs w:val="18"/>
      <w:lang w:val="en-US" w:eastAsia="zh-CN" w:bidi="ar-SA"/>
    </w:rPr>
  </w:style>
  <w:style w:type="character" w:customStyle="1" w:styleId="284">
    <w:name w:val="Char Char29"/>
    <w:qFormat/>
    <w:uiPriority w:val="6"/>
    <w:rPr>
      <w:rFonts w:ascii="Arial" w:hAnsi="Arial" w:eastAsia="微软雅黑"/>
      <w:b/>
      <w:kern w:val="1"/>
      <w:sz w:val="44"/>
      <w:szCs w:val="32"/>
      <w:lang w:val="en-US" w:eastAsia="zh-CN" w:bidi="ar-SA"/>
    </w:rPr>
  </w:style>
  <w:style w:type="character" w:customStyle="1" w:styleId="285">
    <w:name w:val="标题 Char2"/>
    <w:link w:val="59"/>
    <w:qFormat/>
    <w:uiPriority w:val="10"/>
    <w:rPr>
      <w:b/>
      <w:sz w:val="24"/>
      <w:lang w:val="en-GB"/>
    </w:rPr>
  </w:style>
  <w:style w:type="character" w:customStyle="1" w:styleId="286">
    <w:name w:val="font81"/>
    <w:qFormat/>
    <w:uiPriority w:val="0"/>
    <w:rPr>
      <w:rFonts w:ascii="微软雅黑" w:hAnsi="微软雅黑" w:eastAsia="微软雅黑" w:cs="微软雅黑"/>
      <w:color w:val="000000"/>
      <w:sz w:val="20"/>
      <w:szCs w:val="20"/>
      <w:u w:val="none"/>
    </w:rPr>
  </w:style>
  <w:style w:type="character" w:customStyle="1" w:styleId="287">
    <w:name w:val="Char Char312"/>
    <w:qFormat/>
    <w:uiPriority w:val="0"/>
    <w:rPr>
      <w:rFonts w:ascii="Times New Roman" w:hAnsi="Times New Roman" w:eastAsia="宋体" w:cs="Times New Roman"/>
      <w:b/>
      <w:kern w:val="2"/>
      <w:sz w:val="32"/>
      <w:szCs w:val="24"/>
      <w:lang w:val="en-US" w:eastAsia="zh-CN" w:bidi="ar-SA"/>
    </w:rPr>
  </w:style>
  <w:style w:type="character" w:customStyle="1" w:styleId="288">
    <w:name w:val="t21"/>
    <w:qFormat/>
    <w:uiPriority w:val="0"/>
    <w:rPr>
      <w:rFonts w:ascii="仿宋_GB2312" w:eastAsia="微软雅黑"/>
      <w:b/>
      <w:kern w:val="2"/>
      <w:sz w:val="23"/>
      <w:szCs w:val="23"/>
      <w:lang w:val="en-US" w:eastAsia="zh-CN" w:bidi="ar-SA"/>
    </w:rPr>
  </w:style>
  <w:style w:type="character" w:customStyle="1" w:styleId="289">
    <w:name w:val="样式8 Char"/>
    <w:qFormat/>
    <w:uiPriority w:val="0"/>
    <w:rPr>
      <w:rFonts w:ascii="仿宋_GB2312" w:hAnsi="宋体" w:eastAsia="仿宋_GB2312"/>
      <w:b/>
      <w:bCs/>
      <w:kern w:val="2"/>
      <w:sz w:val="24"/>
      <w:szCs w:val="24"/>
    </w:rPr>
  </w:style>
  <w:style w:type="character" w:customStyle="1" w:styleId="290">
    <w:name w:val="表格 Char Char"/>
    <w:qFormat/>
    <w:uiPriority w:val="0"/>
    <w:rPr>
      <w:rFonts w:ascii="宋体" w:hAnsi="宋体" w:eastAsia="宋体"/>
      <w:lang w:bidi="ar-SA"/>
    </w:rPr>
  </w:style>
  <w:style w:type="character" w:customStyle="1" w:styleId="291">
    <w:name w:val="正文文本 字符1"/>
    <w:qFormat/>
    <w:uiPriority w:val="0"/>
    <w:rPr>
      <w:rFonts w:ascii="Calibri" w:hAnsi="Calibri" w:eastAsia="黑体" w:cs="Arial"/>
      <w:snapToGrid w:val="0"/>
      <w:kern w:val="2"/>
      <w:sz w:val="28"/>
      <w:szCs w:val="21"/>
    </w:rPr>
  </w:style>
  <w:style w:type="character" w:customStyle="1" w:styleId="292">
    <w:name w:val="标题 5 Char"/>
    <w:link w:val="10"/>
    <w:qFormat/>
    <w:uiPriority w:val="9"/>
    <w:rPr>
      <w:b/>
      <w:bCs/>
      <w:kern w:val="2"/>
      <w:sz w:val="28"/>
      <w:szCs w:val="28"/>
    </w:rPr>
  </w:style>
  <w:style w:type="character" w:customStyle="1" w:styleId="293">
    <w:name w:val="标题 6 Char1"/>
    <w:qFormat/>
    <w:uiPriority w:val="0"/>
    <w:rPr>
      <w:rFonts w:ascii="Arial" w:hAnsi="Arial" w:eastAsia="黑体" w:cs="Times New Roman"/>
      <w:b/>
      <w:sz w:val="24"/>
      <w:szCs w:val="20"/>
      <w:lang w:bidi="ar-SA"/>
    </w:rPr>
  </w:style>
  <w:style w:type="character" w:customStyle="1" w:styleId="294">
    <w:name w:val="带编号样式 Char"/>
    <w:qFormat/>
    <w:uiPriority w:val="0"/>
    <w:rPr>
      <w:rFonts w:ascii="仿宋_GB2312" w:eastAsia="仿宋_GB2312"/>
      <w:color w:val="000000"/>
      <w:sz w:val="24"/>
      <w:lang w:bidi="ar-SA"/>
    </w:rPr>
  </w:style>
  <w:style w:type="character" w:customStyle="1" w:styleId="295">
    <w:name w:val="unnamed31"/>
    <w:qFormat/>
    <w:uiPriority w:val="0"/>
    <w:rPr>
      <w:rFonts w:ascii="Tahoma" w:hAnsi="Tahoma" w:eastAsia="宋体"/>
      <w:b/>
      <w:kern w:val="2"/>
      <w:sz w:val="24"/>
      <w:szCs w:val="32"/>
      <w:u w:val="none"/>
      <w:lang w:val="en-US" w:eastAsia="zh-CN" w:bidi="ar-SA"/>
    </w:rPr>
  </w:style>
  <w:style w:type="character" w:customStyle="1" w:styleId="296">
    <w:name w:val="正文首行缩进 Char Char Char Char Char Char1"/>
    <w:qFormat/>
    <w:uiPriority w:val="0"/>
    <w:rPr>
      <w:rFonts w:ascii="宋体" w:eastAsia="宋体"/>
      <w:kern w:val="2"/>
      <w:sz w:val="24"/>
      <w:szCs w:val="24"/>
      <w:lang w:val="zh-CN" w:bidi="ar-SA"/>
    </w:rPr>
  </w:style>
  <w:style w:type="character" w:customStyle="1" w:styleId="297">
    <w:name w:val="称呼 Char"/>
    <w:link w:val="23"/>
    <w:qFormat/>
    <w:uiPriority w:val="0"/>
    <w:rPr>
      <w:rFonts w:ascii="仿宋_GB2312" w:eastAsia="仿宋_GB2312"/>
      <w:kern w:val="2"/>
      <w:sz w:val="28"/>
    </w:rPr>
  </w:style>
  <w:style w:type="character" w:customStyle="1" w:styleId="298">
    <w:name w:val="文本正文 Char Char"/>
    <w:qFormat/>
    <w:locked/>
    <w:uiPriority w:val="0"/>
    <w:rPr>
      <w:sz w:val="24"/>
      <w:lang w:bidi="ar-SA"/>
    </w:rPr>
  </w:style>
  <w:style w:type="character" w:customStyle="1" w:styleId="299">
    <w:name w:val="正文缩进 字符"/>
    <w:qFormat/>
    <w:uiPriority w:val="0"/>
    <w:rPr>
      <w:rFonts w:ascii="宋体" w:eastAsia="宋体"/>
      <w:snapToGrid w:val="0"/>
      <w:color w:val="000000"/>
      <w:kern w:val="28"/>
      <w:sz w:val="28"/>
      <w:lang w:val="en-US" w:eastAsia="zh-CN" w:bidi="ar-SA"/>
    </w:rPr>
  </w:style>
  <w:style w:type="character" w:customStyle="1" w:styleId="300">
    <w:name w:val="HTML 预设格式 Char"/>
    <w:link w:val="57"/>
    <w:qFormat/>
    <w:uiPriority w:val="0"/>
    <w:rPr>
      <w:rFonts w:ascii="黑体" w:hAnsi="Courier New" w:eastAsia="黑体"/>
    </w:rPr>
  </w:style>
  <w:style w:type="character" w:customStyle="1" w:styleId="301">
    <w:name w:val="正文文本 2 Char1"/>
    <w:link w:val="56"/>
    <w:qFormat/>
    <w:uiPriority w:val="0"/>
    <w:rPr>
      <w:kern w:val="2"/>
      <w:sz w:val="21"/>
      <w:szCs w:val="24"/>
    </w:rPr>
  </w:style>
  <w:style w:type="character" w:customStyle="1" w:styleId="302">
    <w:name w:val="样式 样式 标题 4h4H4Fab-4T5Ref Heading 1rh1Heading sqlsect 1.2.3.... +... Char"/>
    <w:link w:val="303"/>
    <w:qFormat/>
    <w:uiPriority w:val="0"/>
    <w:rPr>
      <w:rFonts w:ascii="微软雅黑" w:hAnsi="微软雅黑" w:eastAsia="微软雅黑"/>
      <w:b/>
      <w:bCs/>
      <w:kern w:val="2"/>
      <w:sz w:val="24"/>
      <w:szCs w:val="28"/>
    </w:rPr>
  </w:style>
  <w:style w:type="paragraph" w:customStyle="1" w:styleId="303">
    <w:name w:val="样式 样式 标题 4h4H4Fab-4T5Ref Heading 1rh1Heading sqlsect 1.2.3.... +..."/>
    <w:basedOn w:val="304"/>
    <w:link w:val="302"/>
    <w:qFormat/>
    <w:uiPriority w:val="0"/>
    <w:pPr>
      <w:tabs>
        <w:tab w:val="left" w:pos="2356"/>
      </w:tabs>
    </w:pPr>
  </w:style>
  <w:style w:type="paragraph" w:customStyle="1" w:styleId="304">
    <w:name w:val="样式 标题 4h4H4Fab-4T5Ref Heading 1rh1Heading sqlsect 1.2.3...."/>
    <w:basedOn w:val="9"/>
    <w:link w:val="412"/>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5">
    <w:name w:val="正文非缩进 Char"/>
    <w:qFormat/>
    <w:uiPriority w:val="0"/>
    <w:rPr>
      <w:rFonts w:ascii="宋体" w:eastAsia="宋体"/>
      <w:snapToGrid w:val="0"/>
      <w:color w:val="000000"/>
      <w:kern w:val="28"/>
      <w:sz w:val="28"/>
      <w:lang w:val="en-US" w:eastAsia="zh-CN" w:bidi="ar-SA"/>
    </w:rPr>
  </w:style>
  <w:style w:type="character" w:customStyle="1" w:styleId="306">
    <w:name w:val="标题 7 Char"/>
    <w:link w:val="12"/>
    <w:qFormat/>
    <w:uiPriority w:val="0"/>
    <w:rPr>
      <w:b/>
      <w:bCs/>
      <w:kern w:val="2"/>
      <w:sz w:val="24"/>
      <w:szCs w:val="24"/>
    </w:rPr>
  </w:style>
  <w:style w:type="character" w:customStyle="1" w:styleId="307">
    <w:name w:val="正文文本缩进 2 Char"/>
    <w:link w:val="38"/>
    <w:qFormat/>
    <w:uiPriority w:val="0"/>
    <w:rPr>
      <w:rFonts w:ascii="宋体"/>
      <w:sz w:val="28"/>
    </w:rPr>
  </w:style>
  <w:style w:type="character" w:customStyle="1" w:styleId="308">
    <w:name w:val="Char Char5"/>
    <w:qFormat/>
    <w:uiPriority w:val="0"/>
    <w:rPr>
      <w:rFonts w:ascii="宋体" w:hAnsi="Courier New" w:eastAsia="宋体"/>
      <w:kern w:val="2"/>
      <w:sz w:val="21"/>
      <w:lang w:val="en-US" w:eastAsia="zh-CN"/>
    </w:rPr>
  </w:style>
  <w:style w:type="character" w:customStyle="1" w:styleId="309">
    <w:name w:val="脚注文本 Char"/>
    <w:link w:val="51"/>
    <w:qFormat/>
    <w:uiPriority w:val="0"/>
    <w:rPr>
      <w:color w:val="0000FF"/>
      <w:sz w:val="21"/>
    </w:rPr>
  </w:style>
  <w:style w:type="character" w:customStyle="1" w:styleId="310">
    <w:name w:val="称呼 Char1"/>
    <w:qFormat/>
    <w:uiPriority w:val="0"/>
    <w:rPr>
      <w:rFonts w:ascii="Times New Roman" w:hAnsi="Times New Roman" w:eastAsia="宋体" w:cs="Times New Roman"/>
      <w:szCs w:val="24"/>
    </w:rPr>
  </w:style>
  <w:style w:type="character" w:customStyle="1" w:styleId="311">
    <w:name w:val="正文1 Char"/>
    <w:qFormat/>
    <w:uiPriority w:val="0"/>
    <w:rPr>
      <w:rFonts w:ascii="宋体" w:eastAsia="宋体"/>
      <w:snapToGrid w:val="0"/>
      <w:color w:val="000000"/>
      <w:kern w:val="28"/>
      <w:sz w:val="28"/>
      <w:lang w:val="en-US" w:eastAsia="zh-CN" w:bidi="ar-SA"/>
    </w:rPr>
  </w:style>
  <w:style w:type="character" w:customStyle="1" w:styleId="312">
    <w:name w:val="正文缩进 Char1"/>
    <w:qFormat/>
    <w:uiPriority w:val="0"/>
    <w:rPr>
      <w:rFonts w:ascii="宋体" w:eastAsia="宋体"/>
      <w:snapToGrid w:val="0"/>
      <w:color w:val="000000"/>
      <w:kern w:val="28"/>
      <w:sz w:val="28"/>
      <w:lang w:val="en-US" w:eastAsia="zh-CN" w:bidi="ar-SA"/>
    </w:rPr>
  </w:style>
  <w:style w:type="character" w:customStyle="1" w:styleId="313">
    <w:name w:val="font21"/>
    <w:basedOn w:val="69"/>
    <w:qFormat/>
    <w:uiPriority w:val="0"/>
    <w:rPr>
      <w:rFonts w:hint="eastAsia" w:ascii="宋体" w:hAnsi="宋体" w:eastAsia="宋体"/>
      <w:kern w:val="2"/>
      <w:sz w:val="28"/>
      <w:szCs w:val="28"/>
      <w:lang w:val="en-US" w:eastAsia="zh-CN" w:bidi="ar-SA"/>
    </w:rPr>
  </w:style>
  <w:style w:type="character" w:customStyle="1" w:styleId="314">
    <w:name w:val="Char Char26"/>
    <w:qFormat/>
    <w:uiPriority w:val="6"/>
    <w:rPr>
      <w:kern w:val="1"/>
      <w:sz w:val="21"/>
      <w:szCs w:val="24"/>
    </w:rPr>
  </w:style>
  <w:style w:type="character" w:customStyle="1" w:styleId="315">
    <w:name w:val="Item List Char"/>
    <w:link w:val="316"/>
    <w:qFormat/>
    <w:uiPriority w:val="0"/>
    <w:rPr>
      <w:rFonts w:ascii="Arial"/>
      <w:bCs/>
      <w:sz w:val="21"/>
      <w:szCs w:val="21"/>
      <w:lang w:val="en-US" w:eastAsia="zh-CN" w:bidi="ar-SA"/>
    </w:rPr>
  </w:style>
  <w:style w:type="paragraph" w:customStyle="1" w:styleId="316">
    <w:name w:val="Item List"/>
    <w:link w:val="315"/>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7">
    <w:name w:val="批注框文本 Char1"/>
    <w:qFormat/>
    <w:uiPriority w:val="0"/>
    <w:rPr>
      <w:rFonts w:ascii="Times New Roman" w:hAnsi="Times New Roman" w:eastAsia="宋体" w:cs="Times New Roman"/>
      <w:sz w:val="18"/>
      <w:szCs w:val="18"/>
    </w:rPr>
  </w:style>
  <w:style w:type="character" w:customStyle="1" w:styleId="318">
    <w:name w:val="纯文本 Char1"/>
    <w:link w:val="319"/>
    <w:qFormat/>
    <w:uiPriority w:val="0"/>
    <w:rPr>
      <w:rFonts w:ascii="宋体" w:hAnsi="Courier New"/>
    </w:rPr>
  </w:style>
  <w:style w:type="paragraph" w:customStyle="1" w:styleId="319">
    <w:name w:val="纯文本1"/>
    <w:basedOn w:val="1"/>
    <w:link w:val="318"/>
    <w:qFormat/>
    <w:uiPriority w:val="0"/>
    <w:pPr>
      <w:adjustRightInd/>
    </w:pPr>
    <w:rPr>
      <w:rFonts w:ascii="宋体" w:hAnsi="Courier New"/>
      <w:kern w:val="0"/>
      <w:sz w:val="20"/>
      <w:szCs w:val="20"/>
    </w:rPr>
  </w:style>
  <w:style w:type="character" w:customStyle="1" w:styleId="320">
    <w:name w:val="正文首行缩进 Char"/>
    <w:link w:val="2"/>
    <w:qFormat/>
    <w:uiPriority w:val="0"/>
    <w:rPr>
      <w:rFonts w:ascii="宋体"/>
      <w:kern w:val="2"/>
      <w:sz w:val="24"/>
      <w:lang w:val="zh-CN"/>
    </w:rPr>
  </w:style>
  <w:style w:type="character" w:customStyle="1" w:styleId="321">
    <w:name w:val="h3 Char"/>
    <w:qFormat/>
    <w:uiPriority w:val="0"/>
    <w:rPr>
      <w:rFonts w:eastAsia="宋体"/>
      <w:b/>
      <w:kern w:val="2"/>
      <w:sz w:val="32"/>
      <w:lang w:val="en-US" w:eastAsia="zh-CN" w:bidi="ar-SA"/>
    </w:rPr>
  </w:style>
  <w:style w:type="character" w:customStyle="1" w:styleId="322">
    <w:name w:val="dandyren_title1"/>
    <w:qFormat/>
    <w:uiPriority w:val="0"/>
    <w:rPr>
      <w:b/>
      <w:bCs/>
      <w:color w:val="FF6633"/>
      <w:sz w:val="18"/>
      <w:szCs w:val="18"/>
    </w:rPr>
  </w:style>
  <w:style w:type="character" w:customStyle="1" w:styleId="323">
    <w:name w:val="Char Char31"/>
    <w:qFormat/>
    <w:uiPriority w:val="6"/>
    <w:rPr>
      <w:rFonts w:ascii="Arial" w:hAnsi="Arial" w:eastAsia="黑体"/>
      <w:kern w:val="1"/>
      <w:sz w:val="24"/>
      <w:szCs w:val="24"/>
    </w:rPr>
  </w:style>
  <w:style w:type="character" w:customStyle="1" w:styleId="324">
    <w:name w:val="h Char1"/>
    <w:qFormat/>
    <w:uiPriority w:val="0"/>
    <w:rPr>
      <w:sz w:val="18"/>
      <w:szCs w:val="18"/>
    </w:rPr>
  </w:style>
  <w:style w:type="character" w:customStyle="1" w:styleId="325">
    <w:name w:val="solutionfonts"/>
    <w:qFormat/>
    <w:uiPriority w:val="0"/>
  </w:style>
  <w:style w:type="character" w:customStyle="1" w:styleId="326">
    <w:name w:val="标题 4 Char2"/>
    <w:link w:val="9"/>
    <w:qFormat/>
    <w:uiPriority w:val="9"/>
    <w:rPr>
      <w:rFonts w:ascii="Arial" w:hAnsi="Arial" w:eastAsia="黑体"/>
      <w:b/>
      <w:bCs/>
      <w:kern w:val="2"/>
      <w:sz w:val="28"/>
      <w:szCs w:val="28"/>
      <w:lang w:val="zh-CN"/>
    </w:rPr>
  </w:style>
  <w:style w:type="character" w:customStyle="1" w:styleId="327">
    <w:name w:val="首行缩进 Char"/>
    <w:qFormat/>
    <w:uiPriority w:val="0"/>
    <w:rPr>
      <w:rFonts w:ascii="宋体" w:eastAsia="宋体"/>
      <w:kern w:val="2"/>
      <w:sz w:val="24"/>
      <w:lang w:val="en-US" w:eastAsia="zh-CN" w:bidi="ar-SA"/>
    </w:rPr>
  </w:style>
  <w:style w:type="character" w:customStyle="1" w:styleId="328">
    <w:name w:val="Char Char52"/>
    <w:qFormat/>
    <w:uiPriority w:val="0"/>
    <w:rPr>
      <w:rFonts w:ascii="宋体" w:hAnsi="Courier New" w:eastAsia="宋体"/>
      <w:kern w:val="2"/>
      <w:sz w:val="21"/>
      <w:lang w:val="en-US" w:eastAsia="zh-CN"/>
    </w:rPr>
  </w:style>
  <w:style w:type="character" w:customStyle="1" w:styleId="329">
    <w:name w:val="正文文本 3 Char"/>
    <w:link w:val="24"/>
    <w:qFormat/>
    <w:uiPriority w:val="0"/>
    <w:rPr>
      <w:kern w:val="2"/>
      <w:sz w:val="21"/>
    </w:rPr>
  </w:style>
  <w:style w:type="character" w:customStyle="1" w:styleId="330">
    <w:name w:val="font31"/>
    <w:qFormat/>
    <w:uiPriority w:val="0"/>
    <w:rPr>
      <w:rFonts w:hint="eastAsia" w:ascii="仿宋" w:hAnsi="仿宋" w:eastAsia="仿宋" w:cs="仿宋"/>
      <w:color w:val="000000"/>
      <w:sz w:val="20"/>
      <w:szCs w:val="20"/>
      <w:u w:val="none"/>
    </w:rPr>
  </w:style>
  <w:style w:type="character" w:customStyle="1" w:styleId="331">
    <w:name w:val="正文说明 Char"/>
    <w:link w:val="332"/>
    <w:qFormat/>
    <w:uiPriority w:val="0"/>
    <w:rPr>
      <w:sz w:val="24"/>
      <w:szCs w:val="24"/>
    </w:rPr>
  </w:style>
  <w:style w:type="paragraph" w:customStyle="1" w:styleId="332">
    <w:name w:val="正文说明"/>
    <w:basedOn w:val="1"/>
    <w:link w:val="331"/>
    <w:qFormat/>
    <w:uiPriority w:val="0"/>
    <w:pPr>
      <w:adjustRightInd/>
      <w:spacing w:line="360" w:lineRule="auto"/>
    </w:pPr>
    <w:rPr>
      <w:kern w:val="0"/>
      <w:sz w:val="24"/>
    </w:rPr>
  </w:style>
  <w:style w:type="character" w:customStyle="1" w:styleId="333">
    <w:name w:val="脚注文本 Char1"/>
    <w:qFormat/>
    <w:uiPriority w:val="0"/>
    <w:rPr>
      <w:rFonts w:ascii="Times New Roman" w:hAnsi="Times New Roman" w:eastAsia="宋体" w:cs="Times New Roman"/>
      <w:sz w:val="18"/>
      <w:szCs w:val="18"/>
    </w:rPr>
  </w:style>
  <w:style w:type="character" w:customStyle="1" w:styleId="334">
    <w:name w:val="Char Char1211"/>
    <w:qFormat/>
    <w:uiPriority w:val="0"/>
    <w:rPr>
      <w:rFonts w:ascii="仿宋_GB2312" w:eastAsia="仿宋_GB2312"/>
      <w:b/>
      <w:bCs/>
      <w:kern w:val="2"/>
      <w:sz w:val="24"/>
      <w:szCs w:val="24"/>
      <w:lang w:val="zh-CN" w:eastAsia="zh-CN" w:bidi="ar-SA"/>
    </w:rPr>
  </w:style>
  <w:style w:type="character" w:customStyle="1" w:styleId="335">
    <w:name w:val="标题 Char"/>
    <w:qFormat/>
    <w:uiPriority w:val="0"/>
    <w:rPr>
      <w:rFonts w:eastAsia="宋体"/>
      <w:b/>
      <w:sz w:val="24"/>
      <w:lang w:val="en-GB" w:eastAsia="zh-CN" w:bidi="ar-SA"/>
    </w:rPr>
  </w:style>
  <w:style w:type="character" w:customStyle="1" w:styleId="336">
    <w:name w:val="Char Char35"/>
    <w:qFormat/>
    <w:uiPriority w:val="6"/>
    <w:rPr>
      <w:rFonts w:ascii="Arial" w:hAnsi="Arial" w:eastAsia="黑体"/>
      <w:b/>
      <w:kern w:val="1"/>
      <w:sz w:val="28"/>
      <w:szCs w:val="28"/>
      <w:lang w:val="zh-CN"/>
    </w:rPr>
  </w:style>
  <w:style w:type="character" w:customStyle="1" w:styleId="337">
    <w:name w:val="纯文本 Char Char Char"/>
    <w:qFormat/>
    <w:uiPriority w:val="0"/>
    <w:rPr>
      <w:rFonts w:ascii="宋体" w:hAnsi="Courier New" w:eastAsia="宋体"/>
      <w:kern w:val="2"/>
      <w:sz w:val="21"/>
      <w:lang w:val="en-US" w:eastAsia="zh-CN" w:bidi="ar-SA"/>
    </w:rPr>
  </w:style>
  <w:style w:type="character" w:customStyle="1" w:styleId="338">
    <w:name w:val="Table Text Char"/>
    <w:link w:val="339"/>
    <w:qFormat/>
    <w:uiPriority w:val="0"/>
    <w:rPr>
      <w:sz w:val="24"/>
      <w:szCs w:val="24"/>
    </w:rPr>
  </w:style>
  <w:style w:type="paragraph" w:customStyle="1" w:styleId="339">
    <w:name w:val="Table Text"/>
    <w:basedOn w:val="1"/>
    <w:link w:val="338"/>
    <w:qFormat/>
    <w:uiPriority w:val="0"/>
    <w:pPr>
      <w:widowControl/>
      <w:spacing w:before="60" w:after="60"/>
      <w:jc w:val="left"/>
    </w:pPr>
    <w:rPr>
      <w:kern w:val="0"/>
      <w:sz w:val="24"/>
    </w:rPr>
  </w:style>
  <w:style w:type="character" w:customStyle="1" w:styleId="340">
    <w:name w:val="正文1 Char1"/>
    <w:qFormat/>
    <w:uiPriority w:val="0"/>
    <w:rPr>
      <w:rFonts w:ascii="仿宋_GB2312" w:hAnsi="Courier New" w:eastAsia="仿宋_GB2312"/>
      <w:kern w:val="28"/>
      <w:sz w:val="24"/>
      <w:szCs w:val="24"/>
      <w:lang w:val="en-US" w:eastAsia="zh-CN"/>
    </w:rPr>
  </w:style>
  <w:style w:type="character" w:customStyle="1" w:styleId="341">
    <w:name w:val="页脚 Char1"/>
    <w:qFormat/>
    <w:uiPriority w:val="0"/>
    <w:rPr>
      <w:rFonts w:eastAsia="宋体"/>
      <w:kern w:val="2"/>
      <w:sz w:val="18"/>
      <w:szCs w:val="18"/>
      <w:lang w:val="en-US" w:eastAsia="zh-CN" w:bidi="ar-SA"/>
    </w:rPr>
  </w:style>
  <w:style w:type="character" w:customStyle="1" w:styleId="342">
    <w:name w:val="Bold"/>
    <w:qFormat/>
    <w:uiPriority w:val="0"/>
    <w:rPr>
      <w:rFonts w:ascii="Arial" w:hAnsi="Arial" w:eastAsia="黑体" w:cs="Times New Roman"/>
      <w:b/>
      <w:kern w:val="2"/>
      <w:sz w:val="32"/>
      <w:szCs w:val="32"/>
      <w:lang w:val="en-US" w:eastAsia="zh-CN" w:bidi="ar-SA"/>
    </w:rPr>
  </w:style>
  <w:style w:type="character" w:customStyle="1" w:styleId="343">
    <w:name w:val="批注文字 Char1"/>
    <w:link w:val="22"/>
    <w:qFormat/>
    <w:uiPriority w:val="99"/>
    <w:rPr>
      <w:kern w:val="2"/>
      <w:sz w:val="21"/>
      <w:szCs w:val="24"/>
    </w:rPr>
  </w:style>
  <w:style w:type="character" w:customStyle="1" w:styleId="344">
    <w:name w:val="签名 Char"/>
    <w:link w:val="43"/>
    <w:qFormat/>
    <w:uiPriority w:val="0"/>
    <w:rPr>
      <w:rFonts w:eastAsia="仿宋_GB2312"/>
      <w:sz w:val="24"/>
    </w:rPr>
  </w:style>
  <w:style w:type="character" w:customStyle="1" w:styleId="345">
    <w:name w:val="hui3"/>
    <w:qFormat/>
    <w:uiPriority w:val="0"/>
    <w:rPr>
      <w:color w:val="333333"/>
    </w:rPr>
  </w:style>
  <w:style w:type="character" w:customStyle="1" w:styleId="346">
    <w:name w:val="Char Char17"/>
    <w:qFormat/>
    <w:uiPriority w:val="6"/>
    <w:rPr>
      <w:rFonts w:eastAsia="仿宋_GB2312"/>
      <w:sz w:val="24"/>
    </w:rPr>
  </w:style>
  <w:style w:type="character" w:customStyle="1" w:styleId="347">
    <w:name w:val="标题 4 字符"/>
    <w:qFormat/>
    <w:uiPriority w:val="9"/>
    <w:rPr>
      <w:rFonts w:ascii="等线 Light" w:hAnsi="等线 Light" w:eastAsia="等线 Light" w:cs="Times New Roman"/>
      <w:b/>
      <w:bCs/>
      <w:snapToGrid w:val="0"/>
      <w:kern w:val="0"/>
      <w:sz w:val="28"/>
      <w:szCs w:val="28"/>
    </w:rPr>
  </w:style>
  <w:style w:type="character" w:customStyle="1" w:styleId="348">
    <w:name w:val="Char Char37"/>
    <w:qFormat/>
    <w:uiPriority w:val="6"/>
    <w:rPr>
      <w:b/>
      <w:kern w:val="1"/>
      <w:sz w:val="44"/>
      <w:szCs w:val="44"/>
    </w:rPr>
  </w:style>
  <w:style w:type="character" w:customStyle="1" w:styleId="349">
    <w:name w:val="列出段落 Char"/>
    <w:qFormat/>
    <w:uiPriority w:val="0"/>
    <w:rPr>
      <w:rFonts w:eastAsia="楷体_GB2312" w:cs="Lucida Sans"/>
      <w:kern w:val="2"/>
      <w:sz w:val="24"/>
      <w:szCs w:val="24"/>
      <w:lang w:val="en-US" w:eastAsia="zh-CN" w:bidi="ar-SA"/>
    </w:rPr>
  </w:style>
  <w:style w:type="character" w:customStyle="1" w:styleId="350">
    <w:name w:val="正文文本缩进 3 Char1"/>
    <w:semiHidden/>
    <w:qFormat/>
    <w:uiPriority w:val="99"/>
    <w:rPr>
      <w:rFonts w:ascii="Times New Roman" w:hAnsi="Times New Roman" w:eastAsia="宋体" w:cs="Times New Roman"/>
      <w:sz w:val="16"/>
      <w:szCs w:val="16"/>
    </w:rPr>
  </w:style>
  <w:style w:type="character" w:customStyle="1" w:styleId="351">
    <w:name w:val="公文正文 Char Char"/>
    <w:link w:val="352"/>
    <w:qFormat/>
    <w:uiPriority w:val="0"/>
    <w:rPr>
      <w:rFonts w:ascii="仿宋_GB2312" w:eastAsia="仿宋_GB2312"/>
      <w:kern w:val="2"/>
      <w:sz w:val="24"/>
      <w:szCs w:val="24"/>
    </w:rPr>
  </w:style>
  <w:style w:type="paragraph" w:customStyle="1" w:styleId="352">
    <w:name w:val="公文正文"/>
    <w:basedOn w:val="1"/>
    <w:link w:val="351"/>
    <w:qFormat/>
    <w:uiPriority w:val="0"/>
    <w:pPr>
      <w:adjustRightInd/>
      <w:spacing w:before="156" w:line="360" w:lineRule="auto"/>
      <w:ind w:firstLine="360" w:firstLineChars="200"/>
    </w:pPr>
    <w:rPr>
      <w:rFonts w:ascii="仿宋_GB2312" w:eastAsia="仿宋_GB2312"/>
      <w:sz w:val="24"/>
    </w:rPr>
  </w:style>
  <w:style w:type="character" w:customStyle="1" w:styleId="353">
    <w:name w:val="Table Text Char1"/>
    <w:qFormat/>
    <w:uiPriority w:val="0"/>
    <w:rPr>
      <w:rFonts w:eastAsia="宋体"/>
      <w:sz w:val="24"/>
      <w:szCs w:val="24"/>
      <w:lang w:val="en-US" w:eastAsia="zh-CN" w:bidi="ar-SA"/>
    </w:rPr>
  </w:style>
  <w:style w:type="character" w:customStyle="1" w:styleId="354">
    <w:name w:val="标题 1 Char Char"/>
    <w:qFormat/>
    <w:uiPriority w:val="0"/>
    <w:rPr>
      <w:rFonts w:hint="eastAsia" w:ascii="宋体" w:hAnsi="宋体" w:eastAsia="宋体"/>
      <w:b/>
      <w:spacing w:val="-2"/>
      <w:sz w:val="24"/>
      <w:lang w:val="en-US" w:eastAsia="zh-CN" w:bidi="ar-SA"/>
    </w:rPr>
  </w:style>
  <w:style w:type="character" w:customStyle="1" w:styleId="355">
    <w:name w:val="正文（缩进2汉字） Char"/>
    <w:link w:val="356"/>
    <w:qFormat/>
    <w:uiPriority w:val="0"/>
    <w:rPr>
      <w:rFonts w:ascii="宋体"/>
    </w:rPr>
  </w:style>
  <w:style w:type="paragraph" w:customStyle="1" w:styleId="356">
    <w:name w:val="正文（缩进2汉字）"/>
    <w:basedOn w:val="1"/>
    <w:link w:val="355"/>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7">
    <w:name w:val="标题 8 Char"/>
    <w:link w:val="13"/>
    <w:qFormat/>
    <w:uiPriority w:val="0"/>
    <w:rPr>
      <w:rFonts w:ascii="Arial" w:hAnsi="Arial" w:eastAsia="黑体"/>
      <w:kern w:val="2"/>
      <w:sz w:val="24"/>
      <w:szCs w:val="24"/>
    </w:rPr>
  </w:style>
  <w:style w:type="character" w:customStyle="1" w:styleId="358">
    <w:name w:val="标书表格字体格式 Char"/>
    <w:qFormat/>
    <w:uiPriority w:val="0"/>
    <w:rPr>
      <w:kern w:val="2"/>
      <w:sz w:val="21"/>
      <w:szCs w:val="24"/>
      <w:lang w:bidi="ar-SA"/>
    </w:rPr>
  </w:style>
  <w:style w:type="character" w:customStyle="1" w:styleId="359">
    <w:name w:val="tw4winError"/>
    <w:qFormat/>
    <w:uiPriority w:val="0"/>
    <w:rPr>
      <w:rFonts w:ascii="Courier New" w:hAnsi="Courier New" w:cs="Courier New"/>
      <w:color w:val="00FF00"/>
      <w:sz w:val="40"/>
      <w:szCs w:val="40"/>
    </w:rPr>
  </w:style>
  <w:style w:type="character" w:customStyle="1" w:styleId="360">
    <w:name w:val="Body Text(ch) Char Char"/>
    <w:qFormat/>
    <w:uiPriority w:val="0"/>
    <w:rPr>
      <w:rFonts w:ascii="宋体"/>
      <w:kern w:val="2"/>
      <w:sz w:val="24"/>
      <w:szCs w:val="21"/>
      <w:lang w:val="zh-CN"/>
    </w:rPr>
  </w:style>
  <w:style w:type="character" w:customStyle="1" w:styleId="361">
    <w:name w:val="正文首行缩进两字 Char"/>
    <w:qFormat/>
    <w:uiPriority w:val="0"/>
    <w:rPr>
      <w:sz w:val="24"/>
      <w:szCs w:val="24"/>
      <w:lang w:val="en-US" w:eastAsia="zh-CN" w:bidi="ar-SA"/>
    </w:rPr>
  </w:style>
  <w:style w:type="character" w:customStyle="1" w:styleId="362">
    <w:name w:val="正文文本 Char"/>
    <w:qFormat/>
    <w:uiPriority w:val="0"/>
    <w:rPr>
      <w:rFonts w:eastAsia="宋体"/>
      <w:kern w:val="2"/>
      <w:sz w:val="24"/>
      <w:szCs w:val="24"/>
      <w:lang w:val="en-US" w:eastAsia="zh-CN" w:bidi="ar-SA"/>
    </w:rPr>
  </w:style>
  <w:style w:type="character" w:customStyle="1" w:styleId="363">
    <w:name w:val="文档结构图 字符1"/>
    <w:qFormat/>
    <w:uiPriority w:val="0"/>
    <w:rPr>
      <w:rFonts w:ascii="宋体" w:hAnsi="Calibri" w:eastAsia="黑体" w:cs="Arial"/>
      <w:snapToGrid w:val="0"/>
      <w:kern w:val="2"/>
      <w:sz w:val="18"/>
      <w:szCs w:val="18"/>
    </w:rPr>
  </w:style>
  <w:style w:type="character" w:customStyle="1" w:styleId="364">
    <w:name w:val="content"/>
    <w:qFormat/>
    <w:uiPriority w:val="0"/>
  </w:style>
  <w:style w:type="character" w:customStyle="1" w:styleId="365">
    <w:name w:val="tw4winPopup"/>
    <w:qFormat/>
    <w:uiPriority w:val="0"/>
    <w:rPr>
      <w:rFonts w:ascii="Courier New" w:hAnsi="Courier New" w:cs="Courier New"/>
      <w:color w:val="008000"/>
      <w:lang w:val="en-US" w:eastAsia="zh-CN"/>
    </w:rPr>
  </w:style>
  <w:style w:type="character" w:customStyle="1" w:styleId="366">
    <w:name w:val="param-name"/>
    <w:qFormat/>
    <w:uiPriority w:val="99"/>
    <w:rPr>
      <w:rFonts w:ascii="Arial" w:hAnsi="Arial" w:eastAsia="黑体" w:cs="Arial"/>
      <w:snapToGrid w:val="0"/>
      <w:kern w:val="0"/>
      <w:szCs w:val="21"/>
    </w:rPr>
  </w:style>
  <w:style w:type="character" w:customStyle="1" w:styleId="367">
    <w:name w:val="标准正文格式 Char"/>
    <w:qFormat/>
    <w:uiPriority w:val="0"/>
    <w:rPr>
      <w:rFonts w:ascii="宋体" w:eastAsia="仿宋_GB2312" w:cs="宋体"/>
      <w:color w:val="000000"/>
      <w:sz w:val="24"/>
      <w:lang w:val="en-US" w:eastAsia="zh-CN" w:bidi="ar-SA"/>
    </w:rPr>
  </w:style>
  <w:style w:type="character" w:customStyle="1" w:styleId="368">
    <w:name w:val="Char Char212"/>
    <w:qFormat/>
    <w:uiPriority w:val="0"/>
    <w:rPr>
      <w:rFonts w:eastAsia="宋体"/>
      <w:b/>
      <w:bCs/>
      <w:kern w:val="2"/>
      <w:sz w:val="21"/>
      <w:szCs w:val="24"/>
      <w:lang w:val="en-US" w:eastAsia="zh-CN" w:bidi="ar-SA"/>
    </w:rPr>
  </w:style>
  <w:style w:type="character" w:customStyle="1" w:styleId="369">
    <w:name w:val="文档结构图 Char"/>
    <w:qFormat/>
    <w:uiPriority w:val="0"/>
    <w:rPr>
      <w:rFonts w:eastAsia="宋体"/>
      <w:kern w:val="2"/>
      <w:sz w:val="21"/>
      <w:szCs w:val="24"/>
      <w:lang w:val="en-US" w:eastAsia="zh-CN" w:bidi="ar-SA"/>
    </w:rPr>
  </w:style>
  <w:style w:type="character" w:customStyle="1" w:styleId="370">
    <w:name w:val="zbggmain style9"/>
    <w:qFormat/>
    <w:uiPriority w:val="0"/>
  </w:style>
  <w:style w:type="character" w:customStyle="1" w:styleId="371">
    <w:name w:val="Char Char16"/>
    <w:qFormat/>
    <w:uiPriority w:val="6"/>
    <w:rPr>
      <w:kern w:val="1"/>
      <w:sz w:val="18"/>
      <w:szCs w:val="18"/>
    </w:rPr>
  </w:style>
  <w:style w:type="character" w:customStyle="1" w:styleId="372">
    <w:name w:val="font51"/>
    <w:qFormat/>
    <w:uiPriority w:val="0"/>
    <w:rPr>
      <w:rFonts w:hint="eastAsia" w:ascii="仿宋" w:hAnsi="仿宋" w:eastAsia="仿宋" w:cs="仿宋"/>
      <w:color w:val="000000"/>
      <w:sz w:val="20"/>
      <w:szCs w:val="20"/>
      <w:u w:val="none"/>
    </w:rPr>
  </w:style>
  <w:style w:type="character" w:customStyle="1" w:styleId="373">
    <w:name w:val="Char Char82"/>
    <w:qFormat/>
    <w:uiPriority w:val="0"/>
    <w:rPr>
      <w:rFonts w:eastAsia="宋体"/>
      <w:b/>
      <w:sz w:val="24"/>
      <w:lang w:val="en-GB" w:eastAsia="zh-CN"/>
    </w:rPr>
  </w:style>
  <w:style w:type="character" w:customStyle="1" w:styleId="374">
    <w:name w:val="正文文本缩进 3 Char"/>
    <w:link w:val="53"/>
    <w:qFormat/>
    <w:uiPriority w:val="0"/>
    <w:rPr>
      <w:kern w:val="2"/>
      <w:sz w:val="24"/>
    </w:rPr>
  </w:style>
  <w:style w:type="character" w:customStyle="1" w:styleId="375">
    <w:name w:val="日期 Char1"/>
    <w:semiHidden/>
    <w:qFormat/>
    <w:uiPriority w:val="99"/>
    <w:rPr>
      <w:rFonts w:ascii="Times New Roman" w:hAnsi="Times New Roman" w:eastAsia="宋体" w:cs="Times New Roman"/>
      <w:szCs w:val="24"/>
    </w:rPr>
  </w:style>
  <w:style w:type="character" w:customStyle="1" w:styleId="376">
    <w:name w:val="页眉 字符"/>
    <w:qFormat/>
    <w:uiPriority w:val="99"/>
    <w:rPr>
      <w:kern w:val="2"/>
      <w:sz w:val="18"/>
      <w:szCs w:val="18"/>
    </w:rPr>
  </w:style>
  <w:style w:type="character" w:customStyle="1" w:styleId="377">
    <w:name w:val="Char Char33"/>
    <w:qFormat/>
    <w:uiPriority w:val="6"/>
    <w:rPr>
      <w:rFonts w:ascii="Arial" w:hAnsi="Arial" w:eastAsia="黑体"/>
      <w:b/>
      <w:kern w:val="1"/>
      <w:sz w:val="24"/>
      <w:szCs w:val="24"/>
    </w:rPr>
  </w:style>
  <w:style w:type="character" w:customStyle="1" w:styleId="378">
    <w:name w:val="b11_01b Char"/>
    <w:link w:val="379"/>
    <w:qFormat/>
    <w:uiPriority w:val="0"/>
    <w:rPr>
      <w:rFonts w:ascii="Verdana" w:hAnsi="Verdana"/>
      <w:b/>
      <w:bCs/>
      <w:color w:val="4A82CA"/>
      <w:sz w:val="17"/>
      <w:szCs w:val="17"/>
    </w:rPr>
  </w:style>
  <w:style w:type="paragraph" w:customStyle="1" w:styleId="379">
    <w:name w:val="b11_01b"/>
    <w:basedOn w:val="1"/>
    <w:next w:val="1"/>
    <w:link w:val="378"/>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80">
    <w:name w:val="Char Char121"/>
    <w:qFormat/>
    <w:uiPriority w:val="6"/>
    <w:rPr>
      <w:rFonts w:ascii="仿宋_GB2312" w:eastAsia="仿宋_GB2312"/>
      <w:b/>
      <w:bCs/>
      <w:kern w:val="2"/>
      <w:sz w:val="24"/>
      <w:szCs w:val="24"/>
      <w:lang w:val="zh-CN" w:eastAsia="zh-CN" w:bidi="ar-SA"/>
    </w:rPr>
  </w:style>
  <w:style w:type="character" w:customStyle="1" w:styleId="381">
    <w:name w:val="Footer-Even Char"/>
    <w:qFormat/>
    <w:uiPriority w:val="0"/>
    <w:rPr>
      <w:rFonts w:eastAsia="宋体"/>
      <w:kern w:val="2"/>
      <w:sz w:val="18"/>
      <w:lang w:val="en-US" w:eastAsia="zh-CN" w:bidi="ar-SA"/>
    </w:rPr>
  </w:style>
  <w:style w:type="character" w:customStyle="1" w:styleId="382">
    <w:name w:val="页脚 Char2"/>
    <w:link w:val="41"/>
    <w:qFormat/>
    <w:locked/>
    <w:uiPriority w:val="99"/>
    <w:rPr>
      <w:kern w:val="2"/>
      <w:sz w:val="18"/>
      <w:szCs w:val="18"/>
    </w:rPr>
  </w:style>
  <w:style w:type="character" w:customStyle="1" w:styleId="383">
    <w:name w:val="Char Char36"/>
    <w:qFormat/>
    <w:uiPriority w:val="6"/>
    <w:rPr>
      <w:rFonts w:ascii="仿宋_GB2312" w:hAnsi="仿宋_GB2312" w:eastAsia="仿宋_GB2312" w:cs="Arial"/>
      <w:b/>
      <w:kern w:val="1"/>
      <w:sz w:val="32"/>
      <w:szCs w:val="32"/>
      <w:lang w:val="zh-CN" w:eastAsia="zh-CN" w:bidi="ar-SA"/>
    </w:rPr>
  </w:style>
  <w:style w:type="character" w:customStyle="1" w:styleId="384">
    <w:name w:val="Char Char61"/>
    <w:qFormat/>
    <w:uiPriority w:val="6"/>
    <w:rPr>
      <w:rFonts w:eastAsia="宋体"/>
      <w:kern w:val="2"/>
      <w:sz w:val="21"/>
      <w:szCs w:val="24"/>
      <w:lang w:val="en-US" w:eastAsia="zh-CN" w:bidi="ar-SA"/>
    </w:rPr>
  </w:style>
  <w:style w:type="character" w:customStyle="1" w:styleId="385">
    <w:name w:val="正文文字缩进 2 Char Char"/>
    <w:qFormat/>
    <w:uiPriority w:val="0"/>
    <w:rPr>
      <w:rFonts w:ascii="宋体"/>
      <w:sz w:val="28"/>
    </w:rPr>
  </w:style>
  <w:style w:type="character" w:customStyle="1" w:styleId="386">
    <w:name w:val="f141"/>
    <w:qFormat/>
    <w:uiPriority w:val="0"/>
    <w:rPr>
      <w:rFonts w:ascii="Tahoma" w:hAnsi="Tahoma" w:eastAsia="宋体"/>
      <w:b/>
      <w:kern w:val="2"/>
      <w:sz w:val="21"/>
      <w:szCs w:val="21"/>
      <w:lang w:val="en-US" w:eastAsia="zh-CN" w:bidi="ar-SA"/>
    </w:rPr>
  </w:style>
  <w:style w:type="character" w:customStyle="1" w:styleId="387">
    <w:name w:val="段落 Char Char"/>
    <w:link w:val="388"/>
    <w:qFormat/>
    <w:uiPriority w:val="0"/>
    <w:rPr>
      <w:rFonts w:ascii="宋体" w:hAnsi="宋体"/>
      <w:sz w:val="24"/>
    </w:rPr>
  </w:style>
  <w:style w:type="paragraph" w:customStyle="1" w:styleId="388">
    <w:name w:val="段落"/>
    <w:basedOn w:val="1"/>
    <w:link w:val="387"/>
    <w:qFormat/>
    <w:uiPriority w:val="0"/>
    <w:pPr>
      <w:adjustRightInd/>
      <w:spacing w:line="360" w:lineRule="auto"/>
      <w:ind w:firstLine="480" w:firstLineChars="200"/>
    </w:pPr>
    <w:rPr>
      <w:rFonts w:ascii="宋体" w:hAnsi="宋体"/>
      <w:kern w:val="0"/>
      <w:sz w:val="24"/>
      <w:szCs w:val="20"/>
    </w:rPr>
  </w:style>
  <w:style w:type="character" w:customStyle="1" w:styleId="389">
    <w:name w:val="标题 3 Char2"/>
    <w:qFormat/>
    <w:uiPriority w:val="0"/>
    <w:rPr>
      <w:rFonts w:eastAsia="宋体"/>
      <w:b/>
      <w:bCs/>
      <w:kern w:val="2"/>
      <w:sz w:val="32"/>
      <w:szCs w:val="32"/>
      <w:lang w:val="en-US" w:eastAsia="zh-CN" w:bidi="ar-SA"/>
    </w:rPr>
  </w:style>
  <w:style w:type="character" w:customStyle="1" w:styleId="390">
    <w:name w:val="apple-converted-space"/>
    <w:qFormat/>
    <w:uiPriority w:val="0"/>
  </w:style>
  <w:style w:type="character" w:customStyle="1" w:styleId="391">
    <w:name w:val="页眉 Char2"/>
    <w:link w:val="42"/>
    <w:qFormat/>
    <w:uiPriority w:val="99"/>
    <w:rPr>
      <w:kern w:val="2"/>
      <w:sz w:val="18"/>
      <w:szCs w:val="18"/>
    </w:rPr>
  </w:style>
  <w:style w:type="character" w:customStyle="1" w:styleId="392">
    <w:name w:val="Char Char9"/>
    <w:qFormat/>
    <w:uiPriority w:val="0"/>
    <w:rPr>
      <w:rFonts w:eastAsia="宋体"/>
      <w:kern w:val="2"/>
      <w:sz w:val="18"/>
      <w:szCs w:val="18"/>
      <w:lang w:val="en-US" w:eastAsia="zh-CN" w:bidi="ar-SA"/>
    </w:rPr>
  </w:style>
  <w:style w:type="character" w:customStyle="1" w:styleId="393">
    <w:name w:val="Char Char41"/>
    <w:qFormat/>
    <w:uiPriority w:val="0"/>
    <w:rPr>
      <w:rFonts w:eastAsia="宋体"/>
      <w:b/>
      <w:sz w:val="24"/>
      <w:lang w:val="en-GB" w:eastAsia="zh-CN" w:bidi="ar-SA"/>
    </w:rPr>
  </w:style>
  <w:style w:type="character" w:customStyle="1" w:styleId="394">
    <w:name w:val="large1"/>
    <w:qFormat/>
    <w:uiPriority w:val="0"/>
    <w:rPr>
      <w:rFonts w:hint="eastAsia" w:ascii="宋体" w:hAnsi="宋体" w:eastAsia="宋体"/>
      <w:sz w:val="21"/>
      <w:szCs w:val="21"/>
    </w:rPr>
  </w:style>
  <w:style w:type="character" w:customStyle="1" w:styleId="395">
    <w:name w:val="正文段 Char"/>
    <w:link w:val="396"/>
    <w:qFormat/>
    <w:uiPriority w:val="0"/>
    <w:rPr>
      <w:sz w:val="24"/>
    </w:rPr>
  </w:style>
  <w:style w:type="paragraph" w:customStyle="1" w:styleId="396">
    <w:name w:val="正文段"/>
    <w:basedOn w:val="1"/>
    <w:link w:val="395"/>
    <w:qFormat/>
    <w:uiPriority w:val="0"/>
    <w:pPr>
      <w:widowControl/>
      <w:snapToGrid w:val="0"/>
      <w:spacing w:after="156" w:afterLines="50"/>
      <w:ind w:firstLine="200" w:firstLineChars="200"/>
    </w:pPr>
    <w:rPr>
      <w:kern w:val="0"/>
      <w:sz w:val="24"/>
      <w:szCs w:val="20"/>
    </w:rPr>
  </w:style>
  <w:style w:type="character" w:customStyle="1" w:styleId="397">
    <w:name w:val="Char Char13"/>
    <w:qFormat/>
    <w:uiPriority w:val="6"/>
    <w:rPr>
      <w:rFonts w:ascii="宋体" w:hAnsi="宋体"/>
      <w:kern w:val="1"/>
      <w:sz w:val="21"/>
      <w:szCs w:val="24"/>
    </w:rPr>
  </w:style>
  <w:style w:type="character" w:customStyle="1" w:styleId="398">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399">
    <w:name w:val="冯广丽 Char"/>
    <w:link w:val="400"/>
    <w:qFormat/>
    <w:uiPriority w:val="0"/>
    <w:rPr>
      <w:rFonts w:ascii="宋体" w:hAnsi="宋体"/>
      <w:kern w:val="2"/>
      <w:sz w:val="24"/>
      <w:szCs w:val="22"/>
    </w:rPr>
  </w:style>
  <w:style w:type="paragraph" w:customStyle="1" w:styleId="400">
    <w:name w:val="冯广丽"/>
    <w:basedOn w:val="1"/>
    <w:link w:val="399"/>
    <w:qFormat/>
    <w:uiPriority w:val="0"/>
    <w:pPr>
      <w:adjustRightInd/>
      <w:spacing w:line="360" w:lineRule="auto"/>
      <w:ind w:firstLine="480" w:firstLineChars="200"/>
    </w:pPr>
    <w:rPr>
      <w:rFonts w:ascii="宋体" w:hAnsi="宋体"/>
      <w:sz w:val="24"/>
      <w:szCs w:val="22"/>
    </w:rPr>
  </w:style>
  <w:style w:type="character" w:customStyle="1" w:styleId="401">
    <w:name w:val="批注文字 字符"/>
    <w:qFormat/>
    <w:uiPriority w:val="0"/>
    <w:rPr>
      <w:rFonts w:ascii="Arial" w:hAnsi="Arial" w:eastAsia="黑体" w:cs="Arial"/>
      <w:snapToGrid w:val="0"/>
      <w:kern w:val="0"/>
      <w:szCs w:val="21"/>
    </w:rPr>
  </w:style>
  <w:style w:type="character" w:customStyle="1" w:styleId="402">
    <w:name w:val="Char Char161"/>
    <w:qFormat/>
    <w:uiPriority w:val="0"/>
    <w:rPr>
      <w:rFonts w:eastAsia="宋体"/>
      <w:b/>
      <w:kern w:val="2"/>
      <w:sz w:val="32"/>
      <w:lang w:val="en-US" w:eastAsia="zh-CN"/>
    </w:rPr>
  </w:style>
  <w:style w:type="character" w:customStyle="1" w:styleId="403">
    <w:name w:val="javascript"/>
    <w:qFormat/>
    <w:uiPriority w:val="0"/>
  </w:style>
  <w:style w:type="character" w:customStyle="1" w:styleId="404">
    <w:name w:val="图名 Char"/>
    <w:qFormat/>
    <w:uiPriority w:val="0"/>
    <w:rPr>
      <w:rFonts w:ascii="Arial" w:hAnsi="Arial" w:eastAsia="黑体"/>
      <w:kern w:val="2"/>
      <w:sz w:val="24"/>
      <w:szCs w:val="24"/>
      <w:lang w:val="en-US" w:eastAsia="zh-CN" w:bidi="ar-SA"/>
    </w:rPr>
  </w:style>
  <w:style w:type="character" w:customStyle="1" w:styleId="405">
    <w:name w:val="Used by Word for text of Help footnotes Char Char"/>
    <w:qFormat/>
    <w:uiPriority w:val="0"/>
    <w:rPr>
      <w:rFonts w:ascii="Times New Roman" w:hAnsi="Times New Roman" w:eastAsia="宋体" w:cs="Times New Roman"/>
      <w:sz w:val="20"/>
      <w:szCs w:val="20"/>
    </w:rPr>
  </w:style>
  <w:style w:type="character" w:customStyle="1" w:styleId="406">
    <w:name w:val="编号，小四 Char"/>
    <w:link w:val="407"/>
    <w:qFormat/>
    <w:uiPriority w:val="0"/>
    <w:rPr>
      <w:rFonts w:ascii="Arial" w:hAnsi="Arial"/>
      <w:sz w:val="24"/>
    </w:rPr>
  </w:style>
  <w:style w:type="paragraph" w:customStyle="1" w:styleId="407">
    <w:name w:val="编号，小四"/>
    <w:basedOn w:val="1"/>
    <w:link w:val="406"/>
    <w:qFormat/>
    <w:uiPriority w:val="0"/>
    <w:pPr>
      <w:tabs>
        <w:tab w:val="left" w:pos="432"/>
      </w:tabs>
      <w:adjustRightInd/>
      <w:spacing w:line="360" w:lineRule="auto"/>
      <w:ind w:left="432" w:hanging="432"/>
    </w:pPr>
    <w:rPr>
      <w:rFonts w:ascii="Arial" w:hAnsi="Arial"/>
      <w:kern w:val="0"/>
      <w:sz w:val="24"/>
      <w:szCs w:val="20"/>
    </w:rPr>
  </w:style>
  <w:style w:type="character" w:customStyle="1" w:styleId="408">
    <w:name w:val="Font Style82"/>
    <w:qFormat/>
    <w:uiPriority w:val="99"/>
    <w:rPr>
      <w:rFonts w:ascii="宋体" w:eastAsia="宋体" w:cs="宋体"/>
      <w:color w:val="000000"/>
      <w:sz w:val="14"/>
      <w:szCs w:val="14"/>
    </w:rPr>
  </w:style>
  <w:style w:type="character" w:customStyle="1" w:styleId="409">
    <w:name w:val="标题 2 Char Char"/>
    <w:qFormat/>
    <w:uiPriority w:val="0"/>
    <w:rPr>
      <w:rFonts w:ascii="楷体_GB2312" w:hAnsi="Arial" w:eastAsia="楷体_GB2312"/>
      <w:b/>
      <w:bCs/>
      <w:kern w:val="2"/>
      <w:sz w:val="24"/>
      <w:szCs w:val="32"/>
      <w:lang w:val="en-US" w:eastAsia="zh-CN" w:bidi="ar-SA"/>
    </w:rPr>
  </w:style>
  <w:style w:type="character" w:customStyle="1" w:styleId="410">
    <w:name w:val="未用 Char"/>
    <w:qFormat/>
    <w:uiPriority w:val="0"/>
    <w:rPr>
      <w:rFonts w:ascii="Arial" w:hAnsi="Arial" w:eastAsia="黑体"/>
      <w:kern w:val="2"/>
      <w:sz w:val="21"/>
      <w:szCs w:val="21"/>
      <w:lang w:val="en-US" w:eastAsia="zh-CN" w:bidi="ar-SA"/>
    </w:rPr>
  </w:style>
  <w:style w:type="character" w:customStyle="1" w:styleId="411">
    <w:name w:val="myp1111"/>
    <w:qFormat/>
    <w:uiPriority w:val="0"/>
    <w:rPr>
      <w:rFonts w:hint="default" w:ascii="ˎ̥" w:hAnsi="ˎ̥"/>
      <w:color w:val="000000"/>
      <w:sz w:val="20"/>
      <w:szCs w:val="20"/>
      <w:u w:val="none"/>
    </w:rPr>
  </w:style>
  <w:style w:type="character" w:customStyle="1" w:styleId="412">
    <w:name w:val="样式 标题 4h4H4Fab-4T5Ref Heading 1rh1Heading sqlsect 1.2.3.... Char"/>
    <w:link w:val="304"/>
    <w:qFormat/>
    <w:uiPriority w:val="0"/>
    <w:rPr>
      <w:rFonts w:ascii="微软雅黑" w:hAnsi="微软雅黑" w:eastAsia="微软雅黑"/>
      <w:b/>
      <w:bCs/>
      <w:kern w:val="2"/>
      <w:sz w:val="24"/>
      <w:szCs w:val="28"/>
    </w:rPr>
  </w:style>
  <w:style w:type="character" w:customStyle="1" w:styleId="413">
    <w:name w:val="h Char Char"/>
    <w:qFormat/>
    <w:uiPriority w:val="0"/>
    <w:rPr>
      <w:rFonts w:eastAsia="宋体"/>
      <w:kern w:val="2"/>
      <w:sz w:val="18"/>
      <w:lang w:val="en-US" w:eastAsia="zh-CN" w:bidi="ar-SA"/>
    </w:rPr>
  </w:style>
  <w:style w:type="character" w:customStyle="1" w:styleId="414">
    <w:name w:val="仿宋正文 Char"/>
    <w:link w:val="415"/>
    <w:qFormat/>
    <w:uiPriority w:val="0"/>
    <w:rPr>
      <w:rFonts w:ascii="仿宋_GB2312" w:eastAsia="仿宋_GB2312"/>
      <w:kern w:val="2"/>
      <w:sz w:val="24"/>
      <w:lang w:val="en-US" w:eastAsia="zh-CN" w:bidi="ar-SA"/>
    </w:rPr>
  </w:style>
  <w:style w:type="paragraph" w:customStyle="1" w:styleId="415">
    <w:name w:val="仿宋正文"/>
    <w:basedOn w:val="1"/>
    <w:link w:val="414"/>
    <w:qFormat/>
    <w:uiPriority w:val="0"/>
    <w:pPr>
      <w:adjustRightInd/>
      <w:spacing w:line="360" w:lineRule="auto"/>
      <w:ind w:firstLine="480" w:firstLineChars="200"/>
    </w:pPr>
    <w:rPr>
      <w:rFonts w:ascii="仿宋_GB2312" w:eastAsia="仿宋_GB2312"/>
      <w:sz w:val="24"/>
      <w:szCs w:val="20"/>
    </w:rPr>
  </w:style>
  <w:style w:type="character" w:customStyle="1" w:styleId="416">
    <w:name w:val="正文首行缩进 Char Char Char Char Char Char"/>
    <w:qFormat/>
    <w:uiPriority w:val="0"/>
    <w:rPr>
      <w:rFonts w:ascii="宋体" w:eastAsia="宋体"/>
      <w:kern w:val="2"/>
      <w:sz w:val="24"/>
      <w:lang w:val="zh-CN" w:bidi="ar-SA"/>
    </w:rPr>
  </w:style>
  <w:style w:type="character" w:customStyle="1" w:styleId="417">
    <w:name w:val="样式 宋体"/>
    <w:qFormat/>
    <w:uiPriority w:val="0"/>
    <w:rPr>
      <w:rFonts w:ascii="宋体" w:hAnsi="宋体"/>
      <w:sz w:val="24"/>
    </w:rPr>
  </w:style>
  <w:style w:type="character" w:customStyle="1" w:styleId="418">
    <w:name w:val="tw4winJump"/>
    <w:qFormat/>
    <w:uiPriority w:val="0"/>
    <w:rPr>
      <w:rFonts w:ascii="Courier New" w:hAnsi="Courier New" w:cs="Courier New"/>
      <w:color w:val="008080"/>
      <w:lang w:val="en-US" w:eastAsia="zh-CN"/>
    </w:rPr>
  </w:style>
  <w:style w:type="character" w:customStyle="1" w:styleId="419">
    <w:name w:val="标题 1 字符"/>
    <w:qFormat/>
    <w:uiPriority w:val="9"/>
    <w:rPr>
      <w:rFonts w:ascii="Arial" w:hAnsi="Arial" w:eastAsia="黑体" w:cs="Arial"/>
      <w:b/>
      <w:bCs/>
      <w:snapToGrid w:val="0"/>
      <w:kern w:val="44"/>
      <w:sz w:val="44"/>
      <w:szCs w:val="44"/>
    </w:rPr>
  </w:style>
  <w:style w:type="character" w:customStyle="1" w:styleId="420">
    <w:name w:val="style36"/>
    <w:basedOn w:val="69"/>
    <w:qFormat/>
    <w:uiPriority w:val="0"/>
    <w:rPr>
      <w:rFonts w:ascii="Arial" w:hAnsi="Arial" w:eastAsia="黑体" w:cs="Arial"/>
      <w:snapToGrid w:val="0"/>
      <w:kern w:val="0"/>
      <w:szCs w:val="21"/>
    </w:rPr>
  </w:style>
  <w:style w:type="character" w:customStyle="1" w:styleId="421">
    <w:name w:val="pt9"/>
    <w:qFormat/>
    <w:uiPriority w:val="0"/>
    <w:rPr>
      <w:rFonts w:ascii="仿宋_GB2312" w:eastAsia="微软雅黑"/>
      <w:b/>
      <w:kern w:val="2"/>
      <w:sz w:val="32"/>
      <w:szCs w:val="32"/>
      <w:lang w:val="en-US" w:eastAsia="zh-CN" w:bidi="ar-SA"/>
    </w:rPr>
  </w:style>
  <w:style w:type="character" w:customStyle="1" w:styleId="422">
    <w:name w:val="DO_NOT_TRANSLATE"/>
    <w:qFormat/>
    <w:uiPriority w:val="0"/>
    <w:rPr>
      <w:rFonts w:ascii="Courier New" w:hAnsi="Courier New" w:cs="Courier New"/>
      <w:color w:val="800000"/>
      <w:lang w:val="en-US" w:eastAsia="zh-CN"/>
    </w:rPr>
  </w:style>
  <w:style w:type="character" w:customStyle="1" w:styleId="423">
    <w:name w:val="标书1 Char1"/>
    <w:qFormat/>
    <w:uiPriority w:val="0"/>
    <w:rPr>
      <w:rFonts w:eastAsia="宋体"/>
      <w:b/>
      <w:bCs/>
      <w:kern w:val="44"/>
      <w:sz w:val="44"/>
      <w:szCs w:val="44"/>
      <w:lang w:val="en-US" w:eastAsia="zh-CN" w:bidi="ar-SA"/>
    </w:rPr>
  </w:style>
  <w:style w:type="character" w:customStyle="1" w:styleId="424">
    <w:name w:val="页脚 字符"/>
    <w:qFormat/>
    <w:uiPriority w:val="99"/>
    <w:rPr>
      <w:kern w:val="2"/>
      <w:sz w:val="18"/>
      <w:szCs w:val="18"/>
    </w:rPr>
  </w:style>
  <w:style w:type="character" w:customStyle="1" w:styleId="425">
    <w:name w:val="正文2 Char"/>
    <w:qFormat/>
    <w:uiPriority w:val="0"/>
    <w:rPr>
      <w:rFonts w:eastAsia="宋体"/>
      <w:kern w:val="2"/>
      <w:sz w:val="24"/>
      <w:lang w:val="en-US" w:eastAsia="zh-CN" w:bidi="ar-SA"/>
    </w:rPr>
  </w:style>
  <w:style w:type="character" w:customStyle="1" w:styleId="426">
    <w:name w:val="Char Char21"/>
    <w:qFormat/>
    <w:uiPriority w:val="6"/>
    <w:rPr>
      <w:rFonts w:ascii="宋体" w:hAnsi="宋体"/>
      <w:kern w:val="1"/>
      <w:sz w:val="24"/>
      <w:szCs w:val="21"/>
      <w:lang w:val="zh-CN"/>
    </w:rPr>
  </w:style>
  <w:style w:type="character" w:customStyle="1" w:styleId="427">
    <w:name w:val="样式 正文缩进 + 首行缩进:  2 字符 Char Char"/>
    <w:link w:val="428"/>
    <w:qFormat/>
    <w:uiPriority w:val="0"/>
    <w:rPr>
      <w:rFonts w:cs="宋体"/>
      <w:kern w:val="2"/>
      <w:sz w:val="24"/>
    </w:rPr>
  </w:style>
  <w:style w:type="paragraph" w:customStyle="1" w:styleId="428">
    <w:name w:val="样式 正文缩进 + 首行缩进:  2 字符"/>
    <w:basedOn w:val="8"/>
    <w:link w:val="427"/>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9">
    <w:name w:val="正文文本 Char1"/>
    <w:link w:val="3"/>
    <w:qFormat/>
    <w:uiPriority w:val="0"/>
    <w:rPr>
      <w:rFonts w:ascii="宋体" w:hAnsi="Arial" w:eastAsia="宋体" w:cs="Arial"/>
      <w:snapToGrid w:val="0"/>
      <w:kern w:val="2"/>
      <w:sz w:val="24"/>
      <w:szCs w:val="21"/>
      <w:lang w:val="zh-CN" w:eastAsia="zh-CN" w:bidi="ar-SA"/>
    </w:rPr>
  </w:style>
  <w:style w:type="character" w:customStyle="1" w:styleId="430">
    <w:name w:val="gray6"/>
    <w:basedOn w:val="69"/>
    <w:qFormat/>
    <w:uiPriority w:val="0"/>
    <w:rPr>
      <w:rFonts w:ascii="Arial" w:hAnsi="Arial" w:eastAsia="黑体" w:cs="Arial"/>
      <w:snapToGrid w:val="0"/>
      <w:kern w:val="0"/>
      <w:szCs w:val="21"/>
    </w:rPr>
  </w:style>
  <w:style w:type="character" w:customStyle="1" w:styleId="431">
    <w:name w:val="hui"/>
    <w:basedOn w:val="69"/>
    <w:qFormat/>
    <w:uiPriority w:val="0"/>
    <w:rPr>
      <w:rFonts w:ascii="Arial" w:hAnsi="Arial" w:eastAsia="黑体" w:cs="Arial"/>
      <w:snapToGrid w:val="0"/>
      <w:kern w:val="0"/>
      <w:szCs w:val="21"/>
    </w:rPr>
  </w:style>
  <w:style w:type="character" w:customStyle="1" w:styleId="432">
    <w:name w:val="哈哈正文 Char Char"/>
    <w:qFormat/>
    <w:uiPriority w:val="0"/>
    <w:rPr>
      <w:rFonts w:ascii="宋体" w:hAnsi="宋体" w:eastAsia="宋体" w:cs="宋体"/>
      <w:kern w:val="2"/>
      <w:sz w:val="24"/>
      <w:lang w:val="en-US" w:eastAsia="zh-CN" w:bidi="ar-SA"/>
    </w:rPr>
  </w:style>
  <w:style w:type="paragraph" w:customStyle="1" w:styleId="433">
    <w:name w:val="样式 正文文本缩进 + 左侧:  2 字符 首行缩进:  2 字符"/>
    <w:basedOn w:val="26"/>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4">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5">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6">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37">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8">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39">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40">
    <w:name w:val="标题4_自定义"/>
    <w:basedOn w:val="9"/>
    <w:qFormat/>
    <w:uiPriority w:val="0"/>
    <w:pPr>
      <w:adjustRightInd/>
      <w:spacing w:before="0" w:after="0" w:line="360" w:lineRule="auto"/>
    </w:pPr>
    <w:rPr>
      <w:rFonts w:ascii="Verdana" w:eastAsia="Verdana"/>
      <w:sz w:val="21"/>
      <w:lang w:val="en-US"/>
    </w:rPr>
  </w:style>
  <w:style w:type="paragraph" w:customStyle="1" w:styleId="441">
    <w:name w:val="正文 内标 序号标"/>
    <w:basedOn w:val="442"/>
    <w:qFormat/>
    <w:uiPriority w:val="0"/>
    <w:pPr>
      <w:tabs>
        <w:tab w:val="left" w:pos="0"/>
      </w:tabs>
      <w:adjustRightInd/>
      <w:spacing w:before="0"/>
      <w:ind w:firstLine="482"/>
    </w:pPr>
    <w:rPr>
      <w:rFonts w:ascii="微软雅黑" w:hAnsi="微软雅黑"/>
      <w:sz w:val="24"/>
      <w:szCs w:val="24"/>
    </w:rPr>
  </w:style>
  <w:style w:type="paragraph" w:customStyle="1" w:styleId="442">
    <w:name w:val="My正文"/>
    <w:basedOn w:val="1"/>
    <w:qFormat/>
    <w:uiPriority w:val="0"/>
    <w:pPr>
      <w:spacing w:before="120" w:line="360" w:lineRule="auto"/>
      <w:ind w:firstLine="567"/>
    </w:pPr>
    <w:rPr>
      <w:rFonts w:ascii="Arial" w:hAnsi="Arial"/>
      <w:sz w:val="20"/>
      <w:szCs w:val="20"/>
    </w:rPr>
  </w:style>
  <w:style w:type="paragraph" w:customStyle="1" w:styleId="443">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4">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5">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6">
    <w:name w:val="修订2"/>
    <w:qFormat/>
    <w:uiPriority w:val="0"/>
    <w:rPr>
      <w:rFonts w:ascii="Times New Roman" w:hAnsi="Times New Roman" w:eastAsia="宋体" w:cs="Times New Roman"/>
      <w:kern w:val="2"/>
      <w:sz w:val="21"/>
      <w:lang w:val="en-US" w:eastAsia="zh-CN" w:bidi="ar-SA"/>
    </w:rPr>
  </w:style>
  <w:style w:type="paragraph" w:customStyle="1" w:styleId="447">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48">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9">
    <w:name w:val="文章标题"/>
    <w:next w:val="450"/>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50">
    <w:name w:val="封面公司名"/>
    <w:qFormat/>
    <w:uiPriority w:val="0"/>
    <w:pPr>
      <w:jc w:val="center"/>
    </w:pPr>
    <w:rPr>
      <w:rFonts w:ascii="Arial" w:hAnsi="Arial" w:eastAsia="楷体_GB2312" w:cs="宋体"/>
      <w:bCs/>
      <w:kern w:val="2"/>
      <w:sz w:val="28"/>
      <w:lang w:val="en-US" w:eastAsia="zh-CN" w:bidi="ar-SA"/>
    </w:rPr>
  </w:style>
  <w:style w:type="paragraph" w:customStyle="1" w:styleId="451">
    <w:name w:val="Char1 Char Char Char5"/>
    <w:basedOn w:val="1"/>
    <w:qFormat/>
    <w:uiPriority w:val="0"/>
    <w:pPr>
      <w:adjustRightInd/>
      <w:ind w:firstLine="200" w:firstLineChars="200"/>
    </w:pPr>
    <w:rPr>
      <w:rFonts w:ascii="Tahoma" w:hAnsi="Tahoma"/>
      <w:sz w:val="24"/>
      <w:szCs w:val="20"/>
    </w:rPr>
  </w:style>
  <w:style w:type="paragraph" w:customStyle="1" w:styleId="452">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3">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4">
    <w:name w:val="Char Char Char Char Char Char Char Char"/>
    <w:basedOn w:val="1"/>
    <w:qFormat/>
    <w:uiPriority w:val="0"/>
    <w:pPr>
      <w:tabs>
        <w:tab w:val="left" w:pos="360"/>
      </w:tabs>
    </w:pPr>
    <w:rPr>
      <w:sz w:val="24"/>
      <w:szCs w:val="20"/>
    </w:rPr>
  </w:style>
  <w:style w:type="paragraph" w:customStyle="1" w:styleId="455">
    <w:name w:val="Char Char11 Char Char Char"/>
    <w:basedOn w:val="1"/>
    <w:qFormat/>
    <w:uiPriority w:val="0"/>
    <w:pPr>
      <w:spacing w:line="360" w:lineRule="auto"/>
    </w:pPr>
    <w:rPr>
      <w:szCs w:val="20"/>
    </w:rPr>
  </w:style>
  <w:style w:type="paragraph" w:customStyle="1" w:styleId="456">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7">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58">
    <w:name w:val="样式3"/>
    <w:basedOn w:val="459"/>
    <w:qFormat/>
    <w:uiPriority w:val="0"/>
    <w:pPr>
      <w:tabs>
        <w:tab w:val="left" w:pos="2790"/>
        <w:tab w:val="left" w:pos="4230"/>
      </w:tabs>
      <w:spacing w:before="312" w:beforeLines="100"/>
      <w:jc w:val="left"/>
    </w:pPr>
  </w:style>
  <w:style w:type="paragraph" w:customStyle="1" w:styleId="459">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60">
    <w:name w:val="Char Char1 Char Char1 Char Char1"/>
    <w:basedOn w:val="1"/>
    <w:qFormat/>
    <w:uiPriority w:val="0"/>
    <w:pPr>
      <w:tabs>
        <w:tab w:val="left" w:pos="840"/>
      </w:tabs>
      <w:ind w:left="840" w:hanging="420"/>
    </w:pPr>
    <w:rPr>
      <w:rFonts w:ascii="Tahoma" w:hAnsi="Tahoma"/>
      <w:sz w:val="24"/>
    </w:rPr>
  </w:style>
  <w:style w:type="paragraph" w:customStyle="1" w:styleId="461">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2">
    <w:name w:val="标书标题2"/>
    <w:basedOn w:val="6"/>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3">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4">
    <w:name w:val="正文21"/>
    <w:basedOn w:val="1"/>
    <w:qFormat/>
    <w:uiPriority w:val="0"/>
    <w:pPr>
      <w:adjustRightInd/>
      <w:spacing w:before="156" w:line="360" w:lineRule="auto"/>
      <w:ind w:firstLine="510" w:firstLineChars="200"/>
    </w:pPr>
    <w:rPr>
      <w:sz w:val="24"/>
      <w:szCs w:val="20"/>
    </w:rPr>
  </w:style>
  <w:style w:type="paragraph" w:customStyle="1" w:styleId="465">
    <w:name w:val="Test2"/>
    <w:basedOn w:val="6"/>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6">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7">
    <w:name w:val="Char1"/>
    <w:basedOn w:val="1"/>
    <w:qFormat/>
    <w:uiPriority w:val="0"/>
    <w:rPr>
      <w:rFonts w:ascii="仿宋_GB2312" w:eastAsia="仿宋_GB2312"/>
      <w:b/>
      <w:sz w:val="32"/>
      <w:szCs w:val="32"/>
    </w:rPr>
  </w:style>
  <w:style w:type="paragraph" w:customStyle="1" w:styleId="468">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9">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70">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71">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2">
    <w:name w:val="6级标题"/>
    <w:basedOn w:val="473"/>
    <w:qFormat/>
    <w:uiPriority w:val="0"/>
    <w:pPr>
      <w:keepNext/>
      <w:tabs>
        <w:tab w:val="left" w:pos="360"/>
      </w:tabs>
      <w:spacing w:before="0" w:after="0"/>
      <w:outlineLvl w:val="5"/>
    </w:pPr>
  </w:style>
  <w:style w:type="paragraph" w:customStyle="1" w:styleId="473">
    <w:name w:val="5级标题"/>
    <w:basedOn w:val="474"/>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4">
    <w:name w:val="4级标题"/>
    <w:basedOn w:val="258"/>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5">
    <w:name w:val="样式 正文文本缩进 + 段前: 2 字符"/>
    <w:basedOn w:val="1"/>
    <w:qFormat/>
    <w:uiPriority w:val="0"/>
    <w:pPr>
      <w:adjustRightInd/>
      <w:ind w:left="420" w:leftChars="200"/>
      <w:jc w:val="left"/>
    </w:pPr>
    <w:rPr>
      <w:sz w:val="28"/>
      <w:szCs w:val="20"/>
      <w:lang w:eastAsia="zh-TW"/>
    </w:rPr>
  </w:style>
  <w:style w:type="paragraph" w:customStyle="1" w:styleId="476">
    <w:name w:val="Char2 Char Char"/>
    <w:basedOn w:val="1"/>
    <w:qFormat/>
    <w:uiPriority w:val="0"/>
    <w:pPr>
      <w:adjustRightInd/>
    </w:pPr>
    <w:rPr>
      <w:rFonts w:ascii="Tahoma" w:hAnsi="Tahoma"/>
      <w:sz w:val="24"/>
      <w:szCs w:val="20"/>
    </w:rPr>
  </w:style>
  <w:style w:type="paragraph" w:customStyle="1" w:styleId="477">
    <w:name w:val="_Style 11"/>
    <w:basedOn w:val="1"/>
    <w:qFormat/>
    <w:uiPriority w:val="34"/>
    <w:pPr>
      <w:adjustRightInd/>
      <w:ind w:firstLine="420" w:firstLineChars="200"/>
    </w:pPr>
    <w:rPr>
      <w:rFonts w:eastAsia="仿宋_GB2312"/>
      <w:sz w:val="28"/>
    </w:rPr>
  </w:style>
  <w:style w:type="paragraph" w:customStyle="1" w:styleId="478">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9">
    <w:name w:val="Char Char Char"/>
    <w:basedOn w:val="1"/>
    <w:qFormat/>
    <w:uiPriority w:val="0"/>
    <w:rPr>
      <w:rFonts w:ascii="Tahoma" w:hAnsi="Tahoma"/>
      <w:sz w:val="24"/>
      <w:szCs w:val="20"/>
    </w:rPr>
  </w:style>
  <w:style w:type="paragraph" w:customStyle="1" w:styleId="480">
    <w:name w:val="数字标题6"/>
    <w:basedOn w:val="11"/>
    <w:next w:val="1"/>
    <w:qFormat/>
    <w:uiPriority w:val="0"/>
    <w:pPr>
      <w:tabs>
        <w:tab w:val="left" w:pos="1080"/>
      </w:tabs>
      <w:ind w:left="1080" w:hanging="1080"/>
    </w:pPr>
    <w:rPr>
      <w:rFonts w:ascii="Times New Roman" w:hAnsi="Times New Roman" w:eastAsia="宋体"/>
      <w:i/>
    </w:rPr>
  </w:style>
  <w:style w:type="paragraph" w:customStyle="1" w:styleId="481">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2">
    <w:name w:val="No Spacing"/>
    <w:basedOn w:val="1"/>
    <w:link w:val="931"/>
    <w:qFormat/>
    <w:uiPriority w:val="99"/>
    <w:rPr>
      <w:szCs w:val="22"/>
    </w:rPr>
  </w:style>
  <w:style w:type="paragraph" w:customStyle="1" w:styleId="483">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4">
    <w:name w:val="Char Char Char Char Char Char Char Char Char Char Char Char1 Char1"/>
    <w:basedOn w:val="1"/>
    <w:qFormat/>
    <w:uiPriority w:val="6"/>
    <w:rPr>
      <w:rFonts w:ascii="Tahoma" w:hAnsi="Tahoma" w:cs="仿宋_GB2312"/>
      <w:sz w:val="24"/>
      <w:szCs w:val="20"/>
    </w:rPr>
  </w:style>
  <w:style w:type="paragraph" w:customStyle="1" w:styleId="485">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6">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7">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8">
    <w:name w:val="MM Topic 2"/>
    <w:basedOn w:val="6"/>
    <w:qFormat/>
    <w:uiPriority w:val="0"/>
    <w:pPr>
      <w:tabs>
        <w:tab w:val="left" w:pos="1260"/>
      </w:tabs>
      <w:ind w:left="1260" w:hanging="420"/>
    </w:pPr>
    <w:rPr>
      <w:rFonts w:ascii="Arial" w:hAnsi="Arial" w:eastAsia="黑体"/>
      <w:lang w:val="en-US"/>
    </w:rPr>
  </w:style>
  <w:style w:type="paragraph" w:customStyle="1" w:styleId="489">
    <w:name w:val="五级无标题条"/>
    <w:basedOn w:val="1"/>
    <w:qFormat/>
    <w:uiPriority w:val="0"/>
    <w:pPr>
      <w:adjustRightInd/>
    </w:pPr>
  </w:style>
  <w:style w:type="paragraph" w:customStyle="1" w:styleId="490">
    <w:name w:val="Char5"/>
    <w:basedOn w:val="1"/>
    <w:qFormat/>
    <w:uiPriority w:val="0"/>
    <w:rPr>
      <w:rFonts w:ascii="仿宋_GB2312" w:eastAsia="仿宋_GB2312"/>
      <w:b/>
      <w:sz w:val="32"/>
      <w:szCs w:val="32"/>
    </w:rPr>
  </w:style>
  <w:style w:type="paragraph" w:customStyle="1" w:styleId="491">
    <w:name w:val="TOC 标题1"/>
    <w:basedOn w:val="5"/>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2">
    <w:name w:val="彩色列表 - 强调文字颜色 12"/>
    <w:basedOn w:val="1"/>
    <w:qFormat/>
    <w:uiPriority w:val="0"/>
    <w:pPr>
      <w:adjustRightInd/>
      <w:ind w:firstLine="420" w:firstLineChars="200"/>
    </w:pPr>
    <w:rPr>
      <w:rFonts w:ascii="Calibri" w:hAnsi="Calibri"/>
      <w:szCs w:val="22"/>
    </w:rPr>
  </w:style>
  <w:style w:type="paragraph" w:customStyle="1" w:styleId="493">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4">
    <w:name w:val="Char2"/>
    <w:basedOn w:val="1"/>
    <w:qFormat/>
    <w:uiPriority w:val="0"/>
    <w:rPr>
      <w:rFonts w:ascii="仿宋_GB2312" w:eastAsia="仿宋_GB2312"/>
      <w:b/>
      <w:sz w:val="32"/>
      <w:szCs w:val="32"/>
    </w:rPr>
  </w:style>
  <w:style w:type="paragraph" w:customStyle="1" w:styleId="495">
    <w:name w:val="数字标题3"/>
    <w:basedOn w:val="7"/>
    <w:next w:val="1"/>
    <w:qFormat/>
    <w:uiPriority w:val="0"/>
    <w:pPr>
      <w:spacing w:line="240" w:lineRule="auto"/>
    </w:pPr>
    <w:rPr>
      <w:sz w:val="28"/>
      <w:szCs w:val="28"/>
    </w:rPr>
  </w:style>
  <w:style w:type="paragraph" w:customStyle="1" w:styleId="496">
    <w:name w:val="FA正文"/>
    <w:basedOn w:val="1"/>
    <w:qFormat/>
    <w:uiPriority w:val="0"/>
    <w:pPr>
      <w:spacing w:line="360" w:lineRule="auto"/>
      <w:ind w:firstLine="480" w:firstLineChars="200"/>
    </w:pPr>
    <w:rPr>
      <w:rFonts w:hAnsi="宋体"/>
      <w:sz w:val="24"/>
      <w:szCs w:val="20"/>
    </w:rPr>
  </w:style>
  <w:style w:type="paragraph" w:customStyle="1" w:styleId="497">
    <w:name w:val="MM Topic 5"/>
    <w:basedOn w:val="10"/>
    <w:qFormat/>
    <w:uiPriority w:val="0"/>
    <w:pPr>
      <w:tabs>
        <w:tab w:val="left" w:pos="2520"/>
      </w:tabs>
      <w:adjustRightInd/>
      <w:ind w:left="2520" w:hanging="420"/>
    </w:pPr>
  </w:style>
  <w:style w:type="paragraph" w:customStyle="1" w:styleId="498">
    <w:name w:val="Char Char Char Char Char Char Char Char Char Char1"/>
    <w:basedOn w:val="1"/>
    <w:qFormat/>
    <w:uiPriority w:val="0"/>
    <w:rPr>
      <w:rFonts w:ascii="仿宋_GB2312" w:eastAsia="仿宋_GB2312"/>
      <w:b/>
      <w:sz w:val="32"/>
      <w:szCs w:val="32"/>
    </w:rPr>
  </w:style>
  <w:style w:type="paragraph" w:customStyle="1" w:styleId="499">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500">
    <w:name w:val="修订1"/>
    <w:qFormat/>
    <w:uiPriority w:val="3"/>
    <w:rPr>
      <w:rFonts w:ascii="Times New Roman" w:hAnsi="Times New Roman" w:eastAsia="宋体" w:cs="Times New Roman"/>
      <w:color w:val="000000"/>
      <w:kern w:val="1"/>
      <w:sz w:val="21"/>
      <w:lang w:val="en-US" w:eastAsia="zh-CN" w:bidi="ar-SA"/>
    </w:rPr>
  </w:style>
  <w:style w:type="paragraph" w:customStyle="1" w:styleId="501">
    <w:name w:val="Char2 Char Char Char"/>
    <w:basedOn w:val="1"/>
    <w:qFormat/>
    <w:uiPriority w:val="0"/>
    <w:rPr>
      <w:rFonts w:ascii="仿宋_GB2312" w:eastAsia="仿宋_GB2312"/>
      <w:b/>
      <w:sz w:val="32"/>
      <w:szCs w:val="32"/>
    </w:rPr>
  </w:style>
  <w:style w:type="paragraph" w:customStyle="1" w:styleId="502">
    <w:name w:val="Char2 Char Char Char1"/>
    <w:basedOn w:val="1"/>
    <w:qFormat/>
    <w:uiPriority w:val="6"/>
    <w:rPr>
      <w:rFonts w:ascii="仿宋_GB2312" w:eastAsia="仿宋_GB2312"/>
      <w:b/>
      <w:sz w:val="32"/>
      <w:szCs w:val="32"/>
    </w:rPr>
  </w:style>
  <w:style w:type="paragraph" w:customStyle="1" w:styleId="503">
    <w:name w:val="默认段落样式"/>
    <w:basedOn w:val="131"/>
    <w:qFormat/>
    <w:uiPriority w:val="0"/>
    <w:pPr>
      <w:spacing w:before="0"/>
      <w:ind w:firstLine="480"/>
      <w:outlineLvl w:val="2"/>
    </w:pPr>
    <w:rPr>
      <w:rFonts w:ascii="仿宋_GB2312" w:hAnsi="宋体" w:eastAsia="仿宋_GB2312"/>
      <w:color w:val="000000"/>
      <w:szCs w:val="24"/>
    </w:rPr>
  </w:style>
  <w:style w:type="paragraph" w:customStyle="1" w:styleId="504">
    <w:name w:val="图中文字"/>
    <w:basedOn w:val="1"/>
    <w:qFormat/>
    <w:uiPriority w:val="0"/>
    <w:pPr>
      <w:snapToGrid w:val="0"/>
      <w:spacing w:line="0" w:lineRule="atLeast"/>
      <w:ind w:firstLine="200" w:firstLineChars="200"/>
      <w:jc w:val="center"/>
    </w:pPr>
    <w:rPr>
      <w:sz w:val="24"/>
      <w:szCs w:val="20"/>
    </w:rPr>
  </w:style>
  <w:style w:type="paragraph" w:customStyle="1" w:styleId="505">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6">
    <w:name w:val="MM Topic 3"/>
    <w:basedOn w:val="7"/>
    <w:qFormat/>
    <w:uiPriority w:val="0"/>
    <w:pPr>
      <w:tabs>
        <w:tab w:val="left" w:pos="1680"/>
      </w:tabs>
      <w:adjustRightInd/>
      <w:ind w:left="1680" w:hanging="420"/>
    </w:pPr>
  </w:style>
  <w:style w:type="paragraph" w:customStyle="1" w:styleId="507">
    <w:name w:val="标准小四"/>
    <w:basedOn w:val="1"/>
    <w:qFormat/>
    <w:uiPriority w:val="0"/>
    <w:pPr>
      <w:spacing w:line="360" w:lineRule="auto"/>
      <w:ind w:firstLine="480" w:firstLineChars="200"/>
    </w:pPr>
    <w:rPr>
      <w:rFonts w:ascii="Arial" w:hAnsi="Arial"/>
      <w:sz w:val="24"/>
      <w:szCs w:val="21"/>
    </w:rPr>
  </w:style>
  <w:style w:type="paragraph" w:customStyle="1" w:styleId="508">
    <w:name w:val="样式 标题 2H2h2Underrubrik1prop2l2Chapter Titlesect 1.2DO NO..."/>
    <w:basedOn w:val="6"/>
    <w:qFormat/>
    <w:uiPriority w:val="0"/>
    <w:pPr>
      <w:spacing w:before="120" w:after="120"/>
      <w:ind w:left="425" w:hanging="425"/>
    </w:pPr>
    <w:rPr>
      <w:rFonts w:ascii="微软雅黑" w:hAnsi="微软雅黑" w:eastAsia="微软雅黑" w:cs="宋体"/>
      <w:szCs w:val="20"/>
      <w:lang w:val="en-US"/>
    </w:rPr>
  </w:style>
  <w:style w:type="paragraph" w:customStyle="1" w:styleId="509">
    <w:name w:val="表格（小）"/>
    <w:basedOn w:val="1"/>
    <w:qFormat/>
    <w:uiPriority w:val="0"/>
    <w:pPr>
      <w:adjustRightInd/>
      <w:snapToGrid w:val="0"/>
      <w:spacing w:line="300" w:lineRule="auto"/>
    </w:pPr>
    <w:rPr>
      <w:rFonts w:eastAsia="仿宋"/>
      <w:szCs w:val="21"/>
    </w:rPr>
  </w:style>
  <w:style w:type="paragraph" w:customStyle="1" w:styleId="510">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11">
    <w:name w:val="Char2 Char Char1"/>
    <w:basedOn w:val="1"/>
    <w:qFormat/>
    <w:uiPriority w:val="6"/>
    <w:pPr>
      <w:adjustRightInd/>
    </w:pPr>
    <w:rPr>
      <w:rFonts w:ascii="Tahoma" w:hAnsi="Tahoma"/>
      <w:sz w:val="24"/>
      <w:szCs w:val="20"/>
    </w:rPr>
  </w:style>
  <w:style w:type="paragraph" w:customStyle="1" w:styleId="512">
    <w:name w:val="列出段落5"/>
    <w:basedOn w:val="1"/>
    <w:qFormat/>
    <w:uiPriority w:val="0"/>
    <w:pPr>
      <w:spacing w:line="360" w:lineRule="auto"/>
      <w:ind w:firstLine="200" w:firstLineChars="200"/>
    </w:pPr>
    <w:rPr>
      <w:rFonts w:eastAsia="楷体_GB2312" w:cs="Lucida Sans"/>
      <w:sz w:val="24"/>
    </w:rPr>
  </w:style>
  <w:style w:type="paragraph" w:customStyle="1" w:styleId="513">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4">
    <w:name w:val="表格文字"/>
    <w:basedOn w:val="1"/>
    <w:next w:val="8"/>
    <w:qFormat/>
    <w:uiPriority w:val="0"/>
    <w:pPr>
      <w:adjustRightInd/>
      <w:ind w:firstLine="200" w:firstLineChars="200"/>
    </w:pPr>
    <w:rPr>
      <w:rFonts w:ascii="Arial" w:hAnsi="Arial"/>
      <w:spacing w:val="-5"/>
      <w:kern w:val="0"/>
      <w:sz w:val="24"/>
      <w:szCs w:val="20"/>
    </w:rPr>
  </w:style>
  <w:style w:type="paragraph" w:customStyle="1" w:styleId="515">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6">
    <w:name w:val="TOC 标题111"/>
    <w:basedOn w:val="5"/>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7">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8">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19">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20">
    <w:name w:val="_Style 3"/>
    <w:basedOn w:val="1"/>
    <w:qFormat/>
    <w:uiPriority w:val="0"/>
    <w:pPr>
      <w:adjustRightInd/>
      <w:ind w:firstLine="420" w:firstLineChars="200"/>
    </w:pPr>
    <w:rPr>
      <w:rFonts w:eastAsia="仿宋_GB2312"/>
      <w:sz w:val="28"/>
    </w:rPr>
  </w:style>
  <w:style w:type="paragraph" w:customStyle="1" w:styleId="521">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2">
    <w:name w:val="Bulleting First Indent 1"/>
    <w:basedOn w:val="2"/>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3">
    <w:name w:val="左对齐表格文字"/>
    <w:basedOn w:val="1"/>
    <w:qFormat/>
    <w:uiPriority w:val="0"/>
    <w:pPr>
      <w:adjustRightInd/>
      <w:ind w:firstLine="200" w:firstLineChars="200"/>
      <w:jc w:val="right"/>
    </w:pPr>
  </w:style>
  <w:style w:type="paragraph" w:customStyle="1" w:styleId="524">
    <w:name w:val="Char Char11 Char Char Char Char Char Char Char Char Char"/>
    <w:basedOn w:val="1"/>
    <w:qFormat/>
    <w:uiPriority w:val="0"/>
    <w:pPr>
      <w:spacing w:line="360" w:lineRule="auto"/>
    </w:pPr>
    <w:rPr>
      <w:szCs w:val="20"/>
    </w:rPr>
  </w:style>
  <w:style w:type="paragraph" w:customStyle="1" w:styleId="525">
    <w:name w:val="正文1.25"/>
    <w:basedOn w:val="1"/>
    <w:qFormat/>
    <w:uiPriority w:val="0"/>
    <w:pPr>
      <w:adjustRightInd/>
      <w:spacing w:line="300" w:lineRule="auto"/>
      <w:ind w:firstLine="480" w:firstLineChars="200"/>
    </w:pPr>
    <w:rPr>
      <w:sz w:val="24"/>
      <w:szCs w:val="20"/>
    </w:rPr>
  </w:style>
  <w:style w:type="paragraph" w:customStyle="1" w:styleId="526">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7">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8">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9">
    <w:name w:val="Char Char1 Char Char Char1"/>
    <w:basedOn w:val="1"/>
    <w:qFormat/>
    <w:uiPriority w:val="6"/>
    <w:rPr>
      <w:rFonts w:ascii="仿宋_GB2312" w:eastAsia="仿宋_GB2312"/>
      <w:b/>
      <w:sz w:val="32"/>
      <w:szCs w:val="20"/>
    </w:rPr>
  </w:style>
  <w:style w:type="paragraph" w:customStyle="1" w:styleId="530">
    <w:name w:val="列出段落2"/>
    <w:basedOn w:val="1"/>
    <w:qFormat/>
    <w:uiPriority w:val="0"/>
    <w:pPr>
      <w:adjustRightInd/>
      <w:ind w:firstLine="420" w:firstLineChars="200"/>
    </w:pPr>
    <w:rPr>
      <w:rFonts w:ascii="宋体" w:hAnsi="宋体"/>
      <w:sz w:val="24"/>
    </w:rPr>
  </w:style>
  <w:style w:type="paragraph" w:customStyle="1" w:styleId="531">
    <w:name w:val="默认段落字体 Para Char Char Char Char Char Char Char"/>
    <w:basedOn w:val="1"/>
    <w:qFormat/>
    <w:uiPriority w:val="0"/>
    <w:rPr>
      <w:rFonts w:eastAsia="仿宋_GB2312"/>
      <w:sz w:val="28"/>
      <w:szCs w:val="20"/>
    </w:rPr>
  </w:style>
  <w:style w:type="paragraph" w:customStyle="1" w:styleId="532">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3">
    <w:name w:val="样式 标题 4PIM 4H4h4bulletblbbH41H42H43H44H45H46H47H48...1"/>
    <w:basedOn w:val="9"/>
    <w:qFormat/>
    <w:uiPriority w:val="0"/>
    <w:pPr>
      <w:widowControl/>
      <w:jc w:val="left"/>
    </w:pPr>
    <w:rPr>
      <w:rFonts w:cs="宋体"/>
      <w:sz w:val="24"/>
      <w:szCs w:val="20"/>
    </w:rPr>
  </w:style>
  <w:style w:type="paragraph" w:customStyle="1" w:styleId="534">
    <w:name w:val="彩色列表 - 强调文字颜色 11"/>
    <w:basedOn w:val="1"/>
    <w:qFormat/>
    <w:uiPriority w:val="0"/>
    <w:pPr>
      <w:adjustRightInd/>
      <w:ind w:firstLine="420" w:firstLineChars="200"/>
    </w:pPr>
    <w:rPr>
      <w:rFonts w:ascii="Calibri" w:hAnsi="Calibri"/>
      <w:szCs w:val="22"/>
    </w:rPr>
  </w:style>
  <w:style w:type="paragraph" w:customStyle="1" w:styleId="535">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536">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7">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38">
    <w:name w:val="Char Char Char1 Char1"/>
    <w:basedOn w:val="1"/>
    <w:qFormat/>
    <w:uiPriority w:val="6"/>
    <w:rPr>
      <w:szCs w:val="20"/>
    </w:rPr>
  </w:style>
  <w:style w:type="paragraph" w:customStyle="1" w:styleId="539">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40">
    <w:name w:val="样式 标题 2 + 宋体 左侧:  1.76 厘米 首行缩进:  0 厘米"/>
    <w:basedOn w:val="6"/>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1">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2">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3">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4">
    <w:name w:val="CM14"/>
    <w:basedOn w:val="235"/>
    <w:next w:val="235"/>
    <w:qFormat/>
    <w:uiPriority w:val="0"/>
    <w:pPr>
      <w:spacing w:after="68"/>
    </w:pPr>
    <w:rPr>
      <w:rFonts w:ascii="FHLHE E+ Futura Bk" w:eastAsia="FHLHE E+ Futura Bk" w:cs="Times New Roman"/>
      <w:color w:val="auto"/>
    </w:rPr>
  </w:style>
  <w:style w:type="paragraph" w:customStyle="1" w:styleId="545">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6">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7">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48">
    <w:name w:val="正文文字 2"/>
    <w:basedOn w:val="235"/>
    <w:next w:val="235"/>
    <w:qFormat/>
    <w:uiPriority w:val="0"/>
    <w:rPr>
      <w:rFonts w:ascii="宋体" w:eastAsia="宋体" w:cs="Times New Roman"/>
      <w:color w:val="auto"/>
    </w:rPr>
  </w:style>
  <w:style w:type="paragraph" w:customStyle="1" w:styleId="549">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50">
    <w:name w:val="Char Char1 Char"/>
    <w:basedOn w:val="1"/>
    <w:qFormat/>
    <w:uiPriority w:val="0"/>
    <w:rPr>
      <w:rFonts w:ascii="仿宋_GB2312" w:eastAsia="仿宋_GB2312"/>
      <w:b/>
      <w:sz w:val="32"/>
      <w:szCs w:val="32"/>
    </w:rPr>
  </w:style>
  <w:style w:type="paragraph" w:customStyle="1" w:styleId="551">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2">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3">
    <w:name w:val="Char Char111"/>
    <w:basedOn w:val="1"/>
    <w:qFormat/>
    <w:uiPriority w:val="0"/>
    <w:pPr>
      <w:spacing w:line="360" w:lineRule="auto"/>
    </w:pPr>
    <w:rPr>
      <w:szCs w:val="20"/>
    </w:rPr>
  </w:style>
  <w:style w:type="paragraph" w:customStyle="1" w:styleId="554">
    <w:name w:val="Char"/>
    <w:basedOn w:val="1"/>
    <w:qFormat/>
    <w:uiPriority w:val="0"/>
    <w:rPr>
      <w:rFonts w:ascii="仿宋_GB2312" w:eastAsia="仿宋_GB2312"/>
      <w:b/>
      <w:sz w:val="32"/>
      <w:szCs w:val="32"/>
    </w:rPr>
  </w:style>
  <w:style w:type="paragraph" w:customStyle="1" w:styleId="555">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6">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7">
    <w:name w:val="Char Char Char1 Char"/>
    <w:basedOn w:val="1"/>
    <w:qFormat/>
    <w:uiPriority w:val="0"/>
    <w:rPr>
      <w:szCs w:val="20"/>
    </w:rPr>
  </w:style>
  <w:style w:type="paragraph" w:customStyle="1" w:styleId="558">
    <w:name w:val="正文标准"/>
    <w:basedOn w:val="1"/>
    <w:qFormat/>
    <w:uiPriority w:val="0"/>
    <w:pPr>
      <w:adjustRightInd/>
      <w:spacing w:line="360" w:lineRule="auto"/>
      <w:ind w:firstLine="200" w:firstLineChars="200"/>
    </w:pPr>
    <w:rPr>
      <w:rFonts w:ascii="宋体" w:hAnsi="Calibri"/>
      <w:sz w:val="24"/>
    </w:rPr>
  </w:style>
  <w:style w:type="paragraph" w:customStyle="1" w:styleId="559">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60">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61">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2">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563">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4">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5">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6">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7">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8">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9">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70">
    <w:name w:val="标准有序列表（L1）"/>
    <w:basedOn w:val="8"/>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1">
    <w:name w:val="Char Char Char Char Char Char Char Char Char Char"/>
    <w:basedOn w:val="1"/>
    <w:qFormat/>
    <w:uiPriority w:val="0"/>
    <w:rPr>
      <w:rFonts w:ascii="仿宋_GB2312" w:eastAsia="仿宋_GB2312"/>
      <w:b/>
      <w:sz w:val="32"/>
      <w:szCs w:val="32"/>
    </w:rPr>
  </w:style>
  <w:style w:type="paragraph" w:customStyle="1" w:styleId="572">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3">
    <w:name w:val="_正文段落"/>
    <w:basedOn w:val="1"/>
    <w:qFormat/>
    <w:uiPriority w:val="0"/>
    <w:pPr>
      <w:adjustRightInd/>
      <w:ind w:firstLine="560"/>
    </w:pPr>
    <w:rPr>
      <w:rFonts w:ascii="仿宋_GB2312" w:hAnsi="仿宋" w:eastAsia="仿宋_GB2312"/>
      <w:kern w:val="0"/>
      <w:sz w:val="28"/>
      <w:szCs w:val="28"/>
    </w:rPr>
  </w:style>
  <w:style w:type="paragraph" w:customStyle="1" w:styleId="574">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5">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6">
    <w:name w:val="正文（首行缩进）"/>
    <w:basedOn w:val="26"/>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7">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78">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9">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80">
    <w:name w:val="Char Char Char1 Char2"/>
    <w:basedOn w:val="1"/>
    <w:qFormat/>
    <w:uiPriority w:val="0"/>
    <w:rPr>
      <w:szCs w:val="20"/>
    </w:rPr>
  </w:style>
  <w:style w:type="paragraph" w:customStyle="1" w:styleId="581">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2">
    <w:name w:val="默认段落字体 Para Char"/>
    <w:basedOn w:val="1"/>
    <w:qFormat/>
    <w:uiPriority w:val="0"/>
    <w:rPr>
      <w:rFonts w:ascii="Tahoma" w:hAnsi="Tahoma"/>
      <w:sz w:val="24"/>
      <w:szCs w:val="20"/>
    </w:rPr>
  </w:style>
  <w:style w:type="paragraph" w:customStyle="1" w:styleId="583">
    <w:name w:val="标题五"/>
    <w:basedOn w:val="1"/>
    <w:qFormat/>
    <w:uiPriority w:val="0"/>
    <w:pPr>
      <w:adjustRightInd/>
      <w:spacing w:before="156" w:beforeLines="50" w:line="360" w:lineRule="auto"/>
    </w:pPr>
    <w:rPr>
      <w:b/>
      <w:sz w:val="24"/>
    </w:rPr>
  </w:style>
  <w:style w:type="paragraph" w:customStyle="1" w:styleId="584">
    <w:name w:val="Char Char1101"/>
    <w:basedOn w:val="1"/>
    <w:qFormat/>
    <w:uiPriority w:val="0"/>
    <w:pPr>
      <w:spacing w:line="360" w:lineRule="auto"/>
    </w:pPr>
    <w:rPr>
      <w:rFonts w:ascii="Tahoma" w:hAnsi="Tahoma"/>
      <w:sz w:val="24"/>
      <w:szCs w:val="20"/>
    </w:rPr>
  </w:style>
  <w:style w:type="paragraph" w:customStyle="1" w:styleId="585">
    <w:name w:val="Char Char Char Char Char Char Char Char1"/>
    <w:basedOn w:val="1"/>
    <w:qFormat/>
    <w:uiPriority w:val="0"/>
    <w:pPr>
      <w:tabs>
        <w:tab w:val="left" w:pos="360"/>
      </w:tabs>
    </w:pPr>
    <w:rPr>
      <w:sz w:val="24"/>
      <w:szCs w:val="20"/>
    </w:rPr>
  </w:style>
  <w:style w:type="paragraph" w:customStyle="1" w:styleId="586">
    <w:name w:val="Char Char Char 字元 字元"/>
    <w:basedOn w:val="1"/>
    <w:qFormat/>
    <w:uiPriority w:val="0"/>
    <w:pPr>
      <w:adjustRightInd/>
      <w:spacing w:line="360" w:lineRule="auto"/>
      <w:ind w:firstLine="200" w:firstLineChars="200"/>
    </w:pPr>
    <w:rPr>
      <w:szCs w:val="20"/>
    </w:rPr>
  </w:style>
  <w:style w:type="paragraph" w:customStyle="1" w:styleId="587">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8">
    <w:name w:val="Char Char Char Char Char Char Char"/>
    <w:basedOn w:val="1"/>
    <w:qFormat/>
    <w:uiPriority w:val="0"/>
    <w:rPr>
      <w:rFonts w:ascii="仿宋_GB2312" w:eastAsia="仿宋_GB2312"/>
      <w:b/>
      <w:sz w:val="32"/>
      <w:szCs w:val="32"/>
    </w:rPr>
  </w:style>
  <w:style w:type="paragraph" w:customStyle="1" w:styleId="589">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90">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1">
    <w:name w:val="样式 标题 22h2L1 Heading 2H2sect 1.2H21sect 1.21H22sect 1.2..."/>
    <w:basedOn w:val="6"/>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2">
    <w:name w:val="样式6"/>
    <w:basedOn w:val="34"/>
    <w:qFormat/>
    <w:uiPriority w:val="0"/>
    <w:pPr>
      <w:spacing w:line="460" w:lineRule="exact"/>
      <w:outlineLvl w:val="2"/>
    </w:pPr>
    <w:rPr>
      <w:rFonts w:ascii="仿宋_GB2312" w:hAnsi="宋体" w:eastAsia="仿宋_GB2312"/>
      <w:b/>
      <w:bCs/>
      <w:sz w:val="24"/>
      <w:szCs w:val="24"/>
    </w:rPr>
  </w:style>
  <w:style w:type="paragraph" w:customStyle="1" w:styleId="593">
    <w:name w:val="批注框文本 Char Char"/>
    <w:basedOn w:val="1"/>
    <w:qFormat/>
    <w:uiPriority w:val="0"/>
    <w:pPr>
      <w:adjustRightInd/>
    </w:pPr>
    <w:rPr>
      <w:sz w:val="18"/>
      <w:szCs w:val="20"/>
    </w:rPr>
  </w:style>
  <w:style w:type="paragraph" w:customStyle="1" w:styleId="594">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5">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6">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7">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8">
    <w:name w:val="索引 11"/>
    <w:basedOn w:val="1"/>
    <w:next w:val="1"/>
    <w:qFormat/>
    <w:uiPriority w:val="99"/>
    <w:pPr>
      <w:adjustRightInd/>
      <w:spacing w:line="360" w:lineRule="auto"/>
    </w:pPr>
    <w:rPr>
      <w:rFonts w:ascii="仿宋_GB2312" w:eastAsia="仿宋_GB2312"/>
      <w:sz w:val="24"/>
      <w:szCs w:val="20"/>
    </w:rPr>
  </w:style>
  <w:style w:type="paragraph" w:customStyle="1" w:styleId="599">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00">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601">
    <w:name w:val="正文文字缩进项目"/>
    <w:basedOn w:val="26"/>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2">
    <w:name w:val="文档正文"/>
    <w:basedOn w:val="1"/>
    <w:qFormat/>
    <w:uiPriority w:val="0"/>
    <w:pPr>
      <w:spacing w:line="480" w:lineRule="atLeast"/>
      <w:ind w:firstLine="567"/>
      <w:textAlignment w:val="baseline"/>
    </w:pPr>
    <w:rPr>
      <w:kern w:val="0"/>
      <w:sz w:val="24"/>
      <w:szCs w:val="20"/>
    </w:rPr>
  </w:style>
  <w:style w:type="paragraph" w:customStyle="1" w:styleId="603">
    <w:name w:val="正文文字表格居中"/>
    <w:basedOn w:val="1"/>
    <w:next w:val="56"/>
    <w:qFormat/>
    <w:uiPriority w:val="0"/>
    <w:pPr>
      <w:snapToGrid w:val="0"/>
      <w:spacing w:line="360" w:lineRule="auto"/>
    </w:pPr>
    <w:rPr>
      <w:rFonts w:ascii="宋体"/>
      <w:b/>
      <w:sz w:val="24"/>
      <w:szCs w:val="20"/>
    </w:rPr>
  </w:style>
  <w:style w:type="paragraph" w:customStyle="1" w:styleId="604">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605">
    <w:name w:val="小节"/>
    <w:basedOn w:val="7"/>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6">
    <w:name w:val="Plain Text1"/>
    <w:basedOn w:val="1"/>
    <w:qFormat/>
    <w:uiPriority w:val="7"/>
    <w:pPr>
      <w:adjustRightInd/>
    </w:pPr>
    <w:rPr>
      <w:rFonts w:ascii="宋体" w:hAnsi="Courier New"/>
    </w:rPr>
  </w:style>
  <w:style w:type="paragraph" w:customStyle="1" w:styleId="607">
    <w:name w:val="Char3"/>
    <w:basedOn w:val="1"/>
    <w:qFormat/>
    <w:uiPriority w:val="0"/>
    <w:pPr>
      <w:adjustRightInd/>
    </w:pPr>
    <w:rPr>
      <w:rFonts w:ascii="仿宋_GB2312" w:eastAsia="仿宋_GB2312"/>
      <w:b/>
      <w:sz w:val="32"/>
      <w:szCs w:val="32"/>
    </w:rPr>
  </w:style>
  <w:style w:type="paragraph" w:customStyle="1" w:styleId="608">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9">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10">
    <w:name w:val="标题2"/>
    <w:basedOn w:val="6"/>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11">
    <w:name w:val="List Paragraph1"/>
    <w:basedOn w:val="1"/>
    <w:qFormat/>
    <w:uiPriority w:val="0"/>
    <w:pPr>
      <w:spacing w:line="360" w:lineRule="auto"/>
      <w:ind w:firstLine="200" w:firstLineChars="200"/>
    </w:pPr>
    <w:rPr>
      <w:rFonts w:eastAsia="楷体_GB2312" w:cs="Lucida Sans"/>
      <w:sz w:val="24"/>
    </w:rPr>
  </w:style>
  <w:style w:type="paragraph" w:customStyle="1" w:styleId="612">
    <w:name w:val="样式 标题 3标题 3 Char第二层条h33Bold Headbh章标题1小标题level_3PIM 3..."/>
    <w:basedOn w:val="7"/>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3">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4">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5">
    <w:name w:val="Char3 Char Char Char"/>
    <w:basedOn w:val="1"/>
    <w:qFormat/>
    <w:uiPriority w:val="0"/>
    <w:pPr>
      <w:widowControl/>
      <w:adjustRightInd/>
      <w:spacing w:after="160" w:line="240" w:lineRule="exact"/>
      <w:jc w:val="left"/>
    </w:pPr>
    <w:rPr>
      <w:szCs w:val="20"/>
    </w:rPr>
  </w:style>
  <w:style w:type="paragraph" w:customStyle="1" w:styleId="616">
    <w:name w:val="表格标题2"/>
    <w:basedOn w:val="617"/>
    <w:qFormat/>
    <w:uiPriority w:val="0"/>
    <w:rPr>
      <w:b/>
    </w:rPr>
  </w:style>
  <w:style w:type="paragraph" w:customStyle="1" w:styleId="617">
    <w:name w:val="表格内文"/>
    <w:basedOn w:val="1"/>
    <w:qFormat/>
    <w:uiPriority w:val="0"/>
    <w:pPr>
      <w:adjustRightInd/>
      <w:spacing w:line="360" w:lineRule="auto"/>
    </w:pPr>
    <w:rPr>
      <w:rFonts w:ascii="宋体" w:hAnsi="宋体" w:cs="宋体"/>
      <w:color w:val="000000"/>
      <w:szCs w:val="20"/>
    </w:rPr>
  </w:style>
  <w:style w:type="paragraph" w:customStyle="1" w:styleId="618">
    <w:name w:val="Char Char Char Char Char Char Char Char Char Char2"/>
    <w:basedOn w:val="1"/>
    <w:qFormat/>
    <w:uiPriority w:val="0"/>
    <w:rPr>
      <w:rFonts w:ascii="仿宋_GB2312" w:eastAsia="仿宋_GB2312"/>
      <w:b/>
      <w:sz w:val="32"/>
      <w:szCs w:val="32"/>
    </w:rPr>
  </w:style>
  <w:style w:type="paragraph" w:customStyle="1" w:styleId="619">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20">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1">
    <w:name w:val="Char Char11 Char Char Char Char Char Char Char Char Char11"/>
    <w:basedOn w:val="1"/>
    <w:qFormat/>
    <w:uiPriority w:val="0"/>
    <w:pPr>
      <w:spacing w:line="360" w:lineRule="auto"/>
    </w:pPr>
    <w:rPr>
      <w:szCs w:val="20"/>
    </w:rPr>
  </w:style>
  <w:style w:type="paragraph" w:customStyle="1" w:styleId="622">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3">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4">
    <w:name w:val="MM Topic 1"/>
    <w:basedOn w:val="5"/>
    <w:qFormat/>
    <w:uiPriority w:val="0"/>
    <w:pPr>
      <w:tabs>
        <w:tab w:val="left" w:pos="840"/>
      </w:tabs>
      <w:adjustRightInd/>
      <w:ind w:left="840" w:hanging="420"/>
    </w:pPr>
  </w:style>
  <w:style w:type="paragraph" w:customStyle="1" w:styleId="625">
    <w:name w:val="样式 标题 2标题2H2Heading 2 HiddenHeading 2 CCBSheading 22nd lev..."/>
    <w:basedOn w:val="6"/>
    <w:qFormat/>
    <w:uiPriority w:val="0"/>
    <w:pPr>
      <w:widowControl/>
      <w:spacing w:before="260" w:after="260" w:line="416" w:lineRule="auto"/>
      <w:ind w:left="0" w:firstLine="0"/>
    </w:pPr>
    <w:rPr>
      <w:rFonts w:ascii="Arial" w:hAnsi="Arial" w:eastAsia="黑体"/>
      <w:sz w:val="30"/>
      <w:szCs w:val="21"/>
    </w:rPr>
  </w:style>
  <w:style w:type="paragraph" w:customStyle="1" w:styleId="626">
    <w:name w:val="文本正文 Char"/>
    <w:basedOn w:val="1"/>
    <w:qFormat/>
    <w:uiPriority w:val="0"/>
    <w:pPr>
      <w:spacing w:line="360" w:lineRule="auto"/>
      <w:ind w:firstLine="200" w:firstLineChars="200"/>
    </w:pPr>
    <w:rPr>
      <w:kern w:val="0"/>
      <w:sz w:val="24"/>
      <w:szCs w:val="20"/>
    </w:rPr>
  </w:style>
  <w:style w:type="paragraph" w:customStyle="1" w:styleId="627">
    <w:name w:val="表格"/>
    <w:basedOn w:val="1"/>
    <w:qFormat/>
    <w:uiPriority w:val="0"/>
    <w:pPr>
      <w:snapToGrid w:val="0"/>
      <w:ind w:firstLine="42" w:firstLineChars="21"/>
    </w:pPr>
    <w:rPr>
      <w:rFonts w:ascii="宋体" w:hAnsi="宋体"/>
      <w:kern w:val="0"/>
      <w:sz w:val="20"/>
      <w:szCs w:val="20"/>
    </w:rPr>
  </w:style>
  <w:style w:type="paragraph" w:customStyle="1" w:styleId="628">
    <w:name w:val="标书标题4"/>
    <w:basedOn w:val="9"/>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9">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30">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1">
    <w:name w:val="表格项目符号 2"/>
    <w:basedOn w:val="30"/>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2">
    <w:name w:val="EB_表格"/>
    <w:basedOn w:val="1"/>
    <w:qFormat/>
    <w:uiPriority w:val="0"/>
    <w:pPr>
      <w:adjustRightInd/>
      <w:spacing w:line="300" w:lineRule="auto"/>
      <w:jc w:val="center"/>
    </w:pPr>
  </w:style>
  <w:style w:type="paragraph" w:customStyle="1" w:styleId="633">
    <w:name w:val="_Style 6"/>
    <w:basedOn w:val="1"/>
    <w:qFormat/>
    <w:uiPriority w:val="34"/>
    <w:pPr>
      <w:adjustRightInd/>
      <w:ind w:firstLine="420" w:firstLineChars="200"/>
    </w:pPr>
    <w:rPr>
      <w:rFonts w:eastAsia="仿宋_GB2312"/>
      <w:sz w:val="28"/>
    </w:rPr>
  </w:style>
  <w:style w:type="paragraph" w:customStyle="1" w:styleId="634">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5">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6">
    <w:name w:val="!大节"/>
    <w:basedOn w:val="6"/>
    <w:qFormat/>
    <w:uiPriority w:val="0"/>
    <w:pPr>
      <w:spacing w:before="260" w:after="260" w:line="415" w:lineRule="auto"/>
      <w:ind w:left="420" w:hanging="420"/>
    </w:pPr>
    <w:rPr>
      <w:rFonts w:ascii="Arial" w:hAnsi="Arial" w:eastAsia="微软雅黑"/>
      <w:lang w:val="en-US"/>
    </w:rPr>
  </w:style>
  <w:style w:type="paragraph" w:customStyle="1" w:styleId="637">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38">
    <w:name w:val="正文表标题"/>
    <w:next w:val="639"/>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9">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40">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41">
    <w:name w:val="trademark"/>
    <w:qFormat/>
    <w:uiPriority w:val="0"/>
    <w:pPr>
      <w:spacing w:after="60"/>
    </w:pPr>
    <w:rPr>
      <w:rFonts w:ascii="Futura Bk" w:hAnsi="Futura Bk" w:eastAsia="宋体" w:cs="Times New Roman"/>
      <w:sz w:val="15"/>
      <w:lang w:val="en-US" w:eastAsia="en-US" w:bidi="ar-SA"/>
    </w:rPr>
  </w:style>
  <w:style w:type="paragraph" w:customStyle="1" w:styleId="642">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3">
    <w:name w:val="Char Char1 Char Char Char Char Char Char1"/>
    <w:basedOn w:val="1"/>
    <w:qFormat/>
    <w:uiPriority w:val="0"/>
    <w:rPr>
      <w:rFonts w:ascii="仿宋_GB2312" w:eastAsia="仿宋_GB2312"/>
      <w:b/>
      <w:sz w:val="32"/>
      <w:szCs w:val="20"/>
    </w:rPr>
  </w:style>
  <w:style w:type="paragraph" w:customStyle="1" w:styleId="644">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5">
    <w:name w:val="Char1 Char Char Char1"/>
    <w:basedOn w:val="1"/>
    <w:qFormat/>
    <w:uiPriority w:val="0"/>
    <w:pPr>
      <w:adjustRightInd/>
      <w:ind w:firstLine="200" w:firstLineChars="200"/>
    </w:pPr>
    <w:rPr>
      <w:rFonts w:ascii="Tahoma" w:hAnsi="Tahoma"/>
      <w:sz w:val="24"/>
      <w:szCs w:val="20"/>
    </w:rPr>
  </w:style>
  <w:style w:type="paragraph" w:customStyle="1" w:styleId="646">
    <w:name w:val="a1"/>
    <w:basedOn w:val="1"/>
    <w:qFormat/>
    <w:uiPriority w:val="0"/>
    <w:pPr>
      <w:widowControl/>
      <w:spacing w:line="300" w:lineRule="atLeast"/>
      <w:jc w:val="left"/>
    </w:pPr>
    <w:rPr>
      <w:rFonts w:ascii="宋体" w:hAnsi="宋体"/>
      <w:kern w:val="0"/>
      <w:sz w:val="18"/>
      <w:szCs w:val="20"/>
    </w:rPr>
  </w:style>
  <w:style w:type="paragraph" w:customStyle="1" w:styleId="647">
    <w:name w:val="样式7"/>
    <w:basedOn w:val="648"/>
    <w:next w:val="1"/>
    <w:qFormat/>
    <w:uiPriority w:val="0"/>
    <w:pPr>
      <w:spacing w:after="156" w:afterLines="50"/>
      <w:jc w:val="left"/>
      <w:outlineLvl w:val="3"/>
    </w:pPr>
    <w:rPr>
      <w:sz w:val="24"/>
      <w:szCs w:val="24"/>
    </w:rPr>
  </w:style>
  <w:style w:type="paragraph" w:customStyle="1" w:styleId="648">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49">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50">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1">
    <w:name w:val="样式 样式2 + 左侧:  1 字符 右侧:  1 字符"/>
    <w:basedOn w:val="459"/>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2">
    <w:name w:val="Char2 Char Char2"/>
    <w:basedOn w:val="1"/>
    <w:qFormat/>
    <w:uiPriority w:val="0"/>
    <w:pPr>
      <w:adjustRightInd/>
    </w:pPr>
    <w:rPr>
      <w:rFonts w:ascii="Tahoma" w:hAnsi="Tahoma"/>
      <w:sz w:val="24"/>
      <w:szCs w:val="20"/>
    </w:rPr>
  </w:style>
  <w:style w:type="paragraph" w:customStyle="1" w:styleId="653">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4">
    <w:name w:val="三级条标题"/>
    <w:basedOn w:val="655"/>
    <w:next w:val="639"/>
    <w:qFormat/>
    <w:uiPriority w:val="0"/>
    <w:pPr>
      <w:tabs>
        <w:tab w:val="left" w:pos="1260"/>
        <w:tab w:val="left" w:pos="1680"/>
        <w:tab w:val="left" w:pos="2100"/>
        <w:tab w:val="left" w:pos="2520"/>
      </w:tabs>
      <w:ind w:left="2520"/>
      <w:outlineLvl w:val="4"/>
    </w:pPr>
  </w:style>
  <w:style w:type="paragraph" w:customStyle="1" w:styleId="655">
    <w:name w:val="二级条标题"/>
    <w:basedOn w:val="656"/>
    <w:next w:val="639"/>
    <w:qFormat/>
    <w:uiPriority w:val="0"/>
    <w:pPr>
      <w:tabs>
        <w:tab w:val="left" w:pos="1260"/>
        <w:tab w:val="left" w:pos="1680"/>
        <w:tab w:val="left" w:pos="2100"/>
      </w:tabs>
      <w:ind w:left="0"/>
      <w:outlineLvl w:val="3"/>
    </w:pPr>
  </w:style>
  <w:style w:type="paragraph" w:customStyle="1" w:styleId="656">
    <w:name w:val="一级条标题"/>
    <w:basedOn w:val="657"/>
    <w:next w:val="639"/>
    <w:qFormat/>
    <w:uiPriority w:val="0"/>
    <w:pPr>
      <w:tabs>
        <w:tab w:val="left" w:pos="1260"/>
        <w:tab w:val="left" w:pos="1680"/>
      </w:tabs>
      <w:spacing w:before="0" w:beforeLines="0" w:after="0" w:afterLines="0"/>
      <w:ind w:left="1680"/>
      <w:outlineLvl w:val="2"/>
    </w:pPr>
  </w:style>
  <w:style w:type="paragraph" w:customStyle="1" w:styleId="657">
    <w:name w:val="章标题"/>
    <w:next w:val="639"/>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58">
    <w:name w:val="数字标题2"/>
    <w:basedOn w:val="6"/>
    <w:next w:val="1"/>
    <w:qFormat/>
    <w:uiPriority w:val="0"/>
    <w:pPr>
      <w:tabs>
        <w:tab w:val="left" w:pos="480"/>
      </w:tabs>
      <w:ind w:left="480" w:hanging="480"/>
    </w:pPr>
    <w:rPr>
      <w:rFonts w:ascii="Times New Roman" w:eastAsia="宋体"/>
      <w:i/>
      <w:sz w:val="36"/>
      <w:szCs w:val="36"/>
      <w:lang w:val="en-US"/>
    </w:rPr>
  </w:style>
  <w:style w:type="paragraph" w:customStyle="1" w:styleId="659">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60">
    <w:name w:val="样式 标题 1Level 1 HeadPIM 1Section Headh1l11Heading 0Datash..."/>
    <w:basedOn w:val="5"/>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1">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2">
    <w:name w:val="样式 标题 1章节第一层h1H"/>
    <w:basedOn w:val="5"/>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3">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4">
    <w:name w:val="正文 项目2"/>
    <w:basedOn w:val="665"/>
    <w:qFormat/>
    <w:uiPriority w:val="0"/>
    <w:pPr>
      <w:tabs>
        <w:tab w:val="left" w:pos="840"/>
      </w:tabs>
      <w:spacing w:after="0"/>
      <w:ind w:left="900"/>
    </w:pPr>
  </w:style>
  <w:style w:type="paragraph" w:customStyle="1" w:styleId="665">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6">
    <w:name w:val="Body Text 2*"/>
    <w:basedOn w:val="1"/>
    <w:qFormat/>
    <w:uiPriority w:val="6"/>
    <w:pPr>
      <w:widowControl/>
      <w:adjustRightInd/>
      <w:ind w:left="720" w:hanging="720"/>
    </w:pPr>
    <w:rPr>
      <w:color w:val="000000"/>
      <w:kern w:val="0"/>
      <w:sz w:val="24"/>
      <w:szCs w:val="20"/>
      <w:lang w:val="en-GB"/>
    </w:rPr>
  </w:style>
  <w:style w:type="paragraph" w:customStyle="1" w:styleId="667">
    <w:name w:val="表1"/>
    <w:basedOn w:val="1"/>
    <w:qFormat/>
    <w:uiPriority w:val="0"/>
    <w:pPr>
      <w:tabs>
        <w:tab w:val="left" w:pos="703"/>
      </w:tabs>
      <w:adjustRightInd/>
      <w:spacing w:line="360" w:lineRule="auto"/>
      <w:ind w:left="703"/>
      <w:jc w:val="center"/>
    </w:pPr>
  </w:style>
  <w:style w:type="paragraph" w:customStyle="1" w:styleId="668">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9">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70">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71">
    <w:name w:val="2级标题"/>
    <w:basedOn w:val="672"/>
    <w:qFormat/>
    <w:uiPriority w:val="0"/>
    <w:pPr>
      <w:jc w:val="left"/>
      <w:outlineLvl w:val="1"/>
    </w:pPr>
    <w:rPr>
      <w:rFonts w:ascii="Times New Roman" w:hAnsi="Times New Roman" w:eastAsia="仿宋"/>
      <w:sz w:val="30"/>
    </w:rPr>
  </w:style>
  <w:style w:type="paragraph" w:customStyle="1" w:styleId="672">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3">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4">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5">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6">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7">
    <w:name w:val="bullet"/>
    <w:basedOn w:val="1"/>
    <w:qFormat/>
    <w:uiPriority w:val="0"/>
    <w:pPr>
      <w:tabs>
        <w:tab w:val="left" w:pos="840"/>
      </w:tabs>
      <w:adjustRightInd/>
      <w:ind w:left="840" w:hanging="420"/>
    </w:pPr>
  </w:style>
  <w:style w:type="paragraph" w:customStyle="1" w:styleId="678">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9">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80">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1">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2">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3">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4">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5">
    <w:name w:val="MM Topic 4"/>
    <w:basedOn w:val="9"/>
    <w:qFormat/>
    <w:uiPriority w:val="0"/>
    <w:pPr>
      <w:tabs>
        <w:tab w:val="left" w:pos="2100"/>
      </w:tabs>
      <w:adjustRightInd/>
      <w:ind w:left="2100" w:hanging="420"/>
    </w:pPr>
    <w:rPr>
      <w:lang w:val="en-US"/>
    </w:rPr>
  </w:style>
  <w:style w:type="paragraph" w:customStyle="1" w:styleId="686">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687">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8">
    <w:name w:val="Char Char11 Char Char Char Char Char Char Char Char Char1"/>
    <w:basedOn w:val="1"/>
    <w:qFormat/>
    <w:uiPriority w:val="6"/>
    <w:pPr>
      <w:spacing w:line="360" w:lineRule="auto"/>
    </w:pPr>
    <w:rPr>
      <w:szCs w:val="20"/>
    </w:rPr>
  </w:style>
  <w:style w:type="paragraph" w:customStyle="1" w:styleId="689">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90">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91">
    <w:name w:val="body text bold"/>
    <w:basedOn w:val="3"/>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2">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3">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4">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5">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6">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7">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8">
    <w:name w:val="单元格居中"/>
    <w:basedOn w:val="1"/>
    <w:qFormat/>
    <w:uiPriority w:val="0"/>
    <w:pPr>
      <w:adjustRightInd/>
      <w:spacing w:line="360" w:lineRule="auto"/>
      <w:jc w:val="center"/>
    </w:pPr>
    <w:rPr>
      <w:sz w:val="24"/>
    </w:rPr>
  </w:style>
  <w:style w:type="paragraph" w:customStyle="1" w:styleId="699">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700">
    <w:name w:val="Char Char Char Char Char Char Char1"/>
    <w:basedOn w:val="1"/>
    <w:qFormat/>
    <w:uiPriority w:val="6"/>
    <w:rPr>
      <w:rFonts w:ascii="仿宋_GB2312" w:eastAsia="仿宋_GB2312"/>
      <w:b/>
      <w:sz w:val="32"/>
      <w:szCs w:val="32"/>
    </w:rPr>
  </w:style>
  <w:style w:type="paragraph" w:customStyle="1" w:styleId="701">
    <w:name w:val="正文缩进1"/>
    <w:basedOn w:val="1"/>
    <w:next w:val="26"/>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2">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3">
    <w:name w:val="Char3 Char Char Char11"/>
    <w:basedOn w:val="1"/>
    <w:qFormat/>
    <w:uiPriority w:val="0"/>
    <w:pPr>
      <w:widowControl/>
      <w:adjustRightInd/>
      <w:spacing w:after="160" w:line="240" w:lineRule="exact"/>
      <w:jc w:val="left"/>
    </w:pPr>
    <w:rPr>
      <w:szCs w:val="20"/>
    </w:rPr>
  </w:style>
  <w:style w:type="paragraph" w:customStyle="1" w:styleId="704">
    <w:name w:val="Char Char1121"/>
    <w:basedOn w:val="1"/>
    <w:qFormat/>
    <w:uiPriority w:val="0"/>
    <w:pPr>
      <w:spacing w:line="360" w:lineRule="auto"/>
    </w:pPr>
    <w:rPr>
      <w:szCs w:val="20"/>
    </w:rPr>
  </w:style>
  <w:style w:type="paragraph" w:customStyle="1" w:styleId="705">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6">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7">
    <w:name w:val="Normal0"/>
    <w:qFormat/>
    <w:uiPriority w:val="0"/>
    <w:rPr>
      <w:rFonts w:ascii="Times New Roman" w:hAnsi="Times New Roman" w:eastAsia="宋体" w:cs="Times New Roman"/>
      <w:lang w:val="en-US" w:eastAsia="en-US" w:bidi="ar-SA"/>
    </w:rPr>
  </w:style>
  <w:style w:type="paragraph" w:customStyle="1" w:styleId="708">
    <w:name w:val="带编号样式"/>
    <w:basedOn w:val="626"/>
    <w:qFormat/>
    <w:uiPriority w:val="0"/>
    <w:pPr>
      <w:tabs>
        <w:tab w:val="left" w:pos="840"/>
      </w:tabs>
      <w:snapToGrid w:val="0"/>
      <w:ind w:left="840" w:hanging="420" w:firstLineChars="0"/>
    </w:pPr>
    <w:rPr>
      <w:rFonts w:ascii="仿宋_GB2312" w:eastAsia="仿宋_GB2312"/>
      <w:color w:val="000000"/>
    </w:rPr>
  </w:style>
  <w:style w:type="paragraph" w:customStyle="1" w:styleId="709">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10">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1">
    <w:name w:val="封面"/>
    <w:basedOn w:val="1"/>
    <w:qFormat/>
    <w:uiPriority w:val="0"/>
    <w:pPr>
      <w:spacing w:line="360" w:lineRule="atLeast"/>
      <w:jc w:val="right"/>
      <w:textAlignment w:val="baseline"/>
    </w:pPr>
    <w:rPr>
      <w:rFonts w:ascii="Symbol" w:hAnsi="Symbol"/>
      <w:kern w:val="0"/>
      <w:szCs w:val="20"/>
    </w:rPr>
  </w:style>
  <w:style w:type="paragraph" w:customStyle="1" w:styleId="712">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3">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4">
    <w:name w:val="默认段落字体 Para Char Char Char1 Char"/>
    <w:basedOn w:val="1"/>
    <w:qFormat/>
    <w:uiPriority w:val="0"/>
    <w:pPr>
      <w:spacing w:line="240" w:lineRule="atLeast"/>
      <w:ind w:left="420" w:firstLine="420"/>
    </w:pPr>
    <w:rPr>
      <w:sz w:val="24"/>
    </w:rPr>
  </w:style>
  <w:style w:type="paragraph" w:customStyle="1" w:styleId="715">
    <w:name w:val="WW-正文文字缩进 2"/>
    <w:basedOn w:val="1"/>
    <w:qFormat/>
    <w:uiPriority w:val="0"/>
    <w:pPr>
      <w:suppressAutoHyphens/>
      <w:adjustRightInd/>
      <w:ind w:firstLine="420"/>
    </w:pPr>
    <w:rPr>
      <w:kern w:val="1"/>
      <w:szCs w:val="20"/>
    </w:rPr>
  </w:style>
  <w:style w:type="paragraph" w:customStyle="1" w:styleId="716">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7">
    <w:name w:val="样式 标题 2 + 四号"/>
    <w:basedOn w:val="6"/>
    <w:qFormat/>
    <w:uiPriority w:val="0"/>
    <w:pPr>
      <w:spacing w:before="120" w:after="120"/>
      <w:ind w:left="0" w:firstLine="0"/>
      <w:jc w:val="both"/>
    </w:pPr>
    <w:rPr>
      <w:rFonts w:ascii="宋体" w:hAnsi="Arial" w:eastAsia="宋体"/>
      <w:sz w:val="28"/>
      <w:lang w:val="en-US"/>
    </w:rPr>
  </w:style>
  <w:style w:type="paragraph" w:customStyle="1" w:styleId="718">
    <w:name w:val="有符号正文"/>
    <w:basedOn w:val="1"/>
    <w:qFormat/>
    <w:uiPriority w:val="0"/>
    <w:pPr>
      <w:adjustRightInd/>
      <w:spacing w:line="400" w:lineRule="exact"/>
      <w:ind w:firstLine="200" w:firstLineChars="200"/>
    </w:pPr>
    <w:rPr>
      <w:rFonts w:ascii="Arial" w:hAnsi="Arial"/>
    </w:rPr>
  </w:style>
  <w:style w:type="paragraph" w:customStyle="1" w:styleId="719">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20">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21">
    <w:name w:val="4"/>
    <w:basedOn w:val="1"/>
    <w:next w:val="38"/>
    <w:qFormat/>
    <w:uiPriority w:val="0"/>
    <w:pPr>
      <w:spacing w:after="120" w:line="480" w:lineRule="auto"/>
      <w:ind w:left="420" w:leftChars="200"/>
    </w:pPr>
    <w:rPr>
      <w:sz w:val="24"/>
      <w:szCs w:val="20"/>
    </w:rPr>
  </w:style>
  <w:style w:type="paragraph" w:customStyle="1" w:styleId="722">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3">
    <w:name w:val="样式1"/>
    <w:basedOn w:val="1"/>
    <w:next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4">
    <w:name w:val="样式 标题 3H3 + 两端对齐"/>
    <w:basedOn w:val="7"/>
    <w:qFormat/>
    <w:uiPriority w:val="0"/>
    <w:pPr>
      <w:keepLines w:val="0"/>
      <w:spacing w:before="0" w:after="0" w:line="240" w:lineRule="auto"/>
      <w:jc w:val="left"/>
    </w:pPr>
    <w:rPr>
      <w:rFonts w:cs="宋体"/>
      <w:sz w:val="21"/>
      <w:szCs w:val="20"/>
    </w:rPr>
  </w:style>
  <w:style w:type="paragraph" w:customStyle="1" w:styleId="725">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6">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7">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8">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29">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30">
    <w:name w:val="Char Char1 Char Char Char"/>
    <w:basedOn w:val="1"/>
    <w:qFormat/>
    <w:uiPriority w:val="0"/>
    <w:rPr>
      <w:rFonts w:ascii="仿宋_GB2312" w:eastAsia="仿宋_GB2312"/>
      <w:b/>
      <w:sz w:val="32"/>
      <w:szCs w:val="20"/>
    </w:rPr>
  </w:style>
  <w:style w:type="paragraph" w:customStyle="1" w:styleId="731">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2">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3">
    <w:name w:val="Picture"/>
    <w:basedOn w:val="1"/>
    <w:next w:val="19"/>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4">
    <w:name w:val="Char Char1 Char Char Char2"/>
    <w:basedOn w:val="1"/>
    <w:qFormat/>
    <w:uiPriority w:val="0"/>
    <w:rPr>
      <w:rFonts w:ascii="仿宋_GB2312" w:eastAsia="仿宋_GB2312"/>
      <w:b/>
      <w:sz w:val="32"/>
      <w:szCs w:val="32"/>
    </w:rPr>
  </w:style>
  <w:style w:type="paragraph" w:customStyle="1" w:styleId="735">
    <w:name w:val="Char3 Char Char Char1"/>
    <w:basedOn w:val="1"/>
    <w:qFormat/>
    <w:uiPriority w:val="6"/>
    <w:pPr>
      <w:widowControl/>
      <w:adjustRightInd/>
      <w:spacing w:after="160" w:line="240" w:lineRule="exact"/>
      <w:jc w:val="left"/>
    </w:pPr>
    <w:rPr>
      <w:szCs w:val="20"/>
    </w:rPr>
  </w:style>
  <w:style w:type="paragraph" w:customStyle="1" w:styleId="736">
    <w:name w:val="Char1 Char Char Char21"/>
    <w:basedOn w:val="1"/>
    <w:qFormat/>
    <w:uiPriority w:val="0"/>
    <w:rPr>
      <w:rFonts w:ascii="Tahoma" w:hAnsi="Tahoma"/>
      <w:sz w:val="24"/>
      <w:szCs w:val="20"/>
    </w:rPr>
  </w:style>
  <w:style w:type="paragraph" w:customStyle="1" w:styleId="737">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38">
    <w:name w:val="正文（标题三）"/>
    <w:basedOn w:val="1"/>
    <w:qFormat/>
    <w:uiPriority w:val="0"/>
    <w:pPr>
      <w:spacing w:line="360" w:lineRule="auto"/>
      <w:ind w:firstLine="200" w:firstLineChars="200"/>
    </w:pPr>
    <w:rPr>
      <w:sz w:val="24"/>
    </w:rPr>
  </w:style>
  <w:style w:type="paragraph" w:customStyle="1" w:styleId="739">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40">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1">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2">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3">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4">
    <w:name w:val="Char1 Char Char Char4"/>
    <w:basedOn w:val="1"/>
    <w:qFormat/>
    <w:uiPriority w:val="0"/>
    <w:pPr>
      <w:adjustRightInd/>
      <w:ind w:firstLine="200" w:firstLineChars="200"/>
    </w:pPr>
    <w:rPr>
      <w:rFonts w:ascii="Tahoma" w:hAnsi="Tahoma"/>
      <w:sz w:val="24"/>
      <w:szCs w:val="20"/>
    </w:rPr>
  </w:style>
  <w:style w:type="paragraph" w:customStyle="1" w:styleId="745">
    <w:name w:val="_标题2"/>
    <w:basedOn w:val="712"/>
    <w:next w:val="712"/>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46">
    <w:name w:val="样式1 + (中宋体"/>
    <w:basedOn w:val="723"/>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7">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8">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9">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50">
    <w:name w:val="四号　首行缩进"/>
    <w:basedOn w:val="1"/>
    <w:qFormat/>
    <w:uiPriority w:val="0"/>
    <w:pPr>
      <w:adjustRightInd/>
      <w:spacing w:line="360" w:lineRule="auto"/>
    </w:pPr>
    <w:rPr>
      <w:rFonts w:ascii="宋体" w:hAnsi="宋体"/>
      <w:szCs w:val="20"/>
    </w:rPr>
  </w:style>
  <w:style w:type="paragraph" w:customStyle="1" w:styleId="751">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2">
    <w:name w:val="Char Char Char Char Char Char Char Char Char Char Char1 Char"/>
    <w:basedOn w:val="1"/>
    <w:qFormat/>
    <w:uiPriority w:val="0"/>
    <w:pPr>
      <w:adjustRightInd/>
    </w:pPr>
    <w:rPr>
      <w:rFonts w:ascii="Tahoma" w:hAnsi="Tahoma"/>
      <w:sz w:val="24"/>
    </w:rPr>
  </w:style>
  <w:style w:type="paragraph" w:customStyle="1" w:styleId="753">
    <w:name w:val="Char Char Char Char11"/>
    <w:basedOn w:val="1"/>
    <w:qFormat/>
    <w:uiPriority w:val="0"/>
    <w:rPr>
      <w:rFonts w:ascii="Tahoma" w:hAnsi="Tahoma"/>
      <w:sz w:val="24"/>
      <w:szCs w:val="20"/>
    </w:rPr>
  </w:style>
  <w:style w:type="paragraph" w:customStyle="1" w:styleId="754">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5">
    <w:name w:val="Char Char Char Char"/>
    <w:basedOn w:val="1"/>
    <w:qFormat/>
    <w:uiPriority w:val="0"/>
    <w:rPr>
      <w:rFonts w:ascii="Tahoma" w:hAnsi="Tahoma"/>
      <w:sz w:val="24"/>
      <w:szCs w:val="20"/>
    </w:rPr>
  </w:style>
  <w:style w:type="paragraph" w:customStyle="1" w:styleId="756">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7">
    <w:name w:val="Char19"/>
    <w:basedOn w:val="1"/>
    <w:qFormat/>
    <w:uiPriority w:val="0"/>
    <w:pPr>
      <w:adjustRightInd/>
    </w:pPr>
    <w:rPr>
      <w:szCs w:val="20"/>
    </w:rPr>
  </w:style>
  <w:style w:type="paragraph" w:customStyle="1" w:styleId="758">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9">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60">
    <w:name w:val="_Style 5"/>
    <w:basedOn w:val="1"/>
    <w:qFormat/>
    <w:uiPriority w:val="34"/>
    <w:pPr>
      <w:adjustRightInd/>
      <w:ind w:firstLine="420" w:firstLineChars="200"/>
    </w:pPr>
    <w:rPr>
      <w:rFonts w:eastAsia="仿宋_GB2312"/>
      <w:sz w:val="28"/>
    </w:rPr>
  </w:style>
  <w:style w:type="paragraph" w:customStyle="1" w:styleId="761">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2">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3">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4">
    <w:name w:val="标书表格字体格式"/>
    <w:next w:val="758"/>
    <w:qFormat/>
    <w:uiPriority w:val="0"/>
    <w:rPr>
      <w:rFonts w:ascii="Times New Roman" w:hAnsi="Times New Roman" w:eastAsia="宋体" w:cs="Times New Roman"/>
      <w:kern w:val="2"/>
      <w:sz w:val="21"/>
      <w:szCs w:val="24"/>
      <w:lang w:val="en-US" w:eastAsia="zh-CN" w:bidi="ar-SA"/>
    </w:rPr>
  </w:style>
  <w:style w:type="paragraph" w:customStyle="1" w:styleId="765">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6">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7">
    <w:name w:val="修订3"/>
    <w:qFormat/>
    <w:uiPriority w:val="0"/>
    <w:rPr>
      <w:rFonts w:ascii="Times New Roman" w:hAnsi="Times New Roman" w:eastAsia="宋体" w:cs="Times New Roman"/>
      <w:kern w:val="2"/>
      <w:sz w:val="21"/>
      <w:lang w:val="en-US" w:eastAsia="zh-CN" w:bidi="ar-SA"/>
    </w:rPr>
  </w:style>
  <w:style w:type="paragraph" w:customStyle="1" w:styleId="768">
    <w:name w:val="CSS1级正文 Char"/>
    <w:basedOn w:val="3"/>
    <w:qFormat/>
    <w:uiPriority w:val="0"/>
    <w:pPr>
      <w:autoSpaceDE/>
      <w:autoSpaceDN/>
      <w:snapToGrid w:val="0"/>
      <w:ind w:firstLine="480" w:firstLineChars="200"/>
    </w:pPr>
    <w:rPr>
      <w:rFonts w:ascii="Times New Roman"/>
      <w:szCs w:val="24"/>
      <w:lang w:val="en-US"/>
    </w:rPr>
  </w:style>
  <w:style w:type="paragraph" w:customStyle="1" w:styleId="769">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70">
    <w:name w:val="表文字"/>
    <w:qFormat/>
    <w:uiPriority w:val="0"/>
    <w:rPr>
      <w:rFonts w:ascii="宋体" w:hAnsi="Times New Roman" w:eastAsia="宋体" w:cs="Times New Roman"/>
      <w:kern w:val="2"/>
      <w:lang w:val="en-US" w:eastAsia="zh-CN" w:bidi="ar-SA"/>
    </w:rPr>
  </w:style>
  <w:style w:type="paragraph" w:customStyle="1" w:styleId="771">
    <w:name w:val="MM Title"/>
    <w:basedOn w:val="59"/>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2">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3">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4">
    <w:name w:val="Char Char Char Char Char Char Char Char2"/>
    <w:basedOn w:val="1"/>
    <w:qFormat/>
    <w:uiPriority w:val="0"/>
    <w:pPr>
      <w:tabs>
        <w:tab w:val="left" w:pos="360"/>
      </w:tabs>
    </w:pPr>
    <w:rPr>
      <w:sz w:val="24"/>
      <w:szCs w:val="20"/>
    </w:rPr>
  </w:style>
  <w:style w:type="paragraph" w:customStyle="1" w:styleId="775">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6">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7">
    <w:name w:val="中文标题 3"/>
    <w:basedOn w:val="26"/>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8">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9">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80">
    <w:name w:val="正文－恩普"/>
    <w:basedOn w:val="8"/>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81">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2">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3">
    <w:name w:val="p0"/>
    <w:basedOn w:val="1"/>
    <w:qFormat/>
    <w:uiPriority w:val="0"/>
    <w:pPr>
      <w:widowControl/>
      <w:adjustRightInd/>
    </w:pPr>
    <w:rPr>
      <w:kern w:val="0"/>
      <w:szCs w:val="21"/>
    </w:rPr>
  </w:style>
  <w:style w:type="paragraph" w:customStyle="1" w:styleId="784">
    <w:name w:val="Char6"/>
    <w:basedOn w:val="1"/>
    <w:qFormat/>
    <w:uiPriority w:val="0"/>
    <w:rPr>
      <w:rFonts w:ascii="仿宋_GB2312" w:eastAsia="仿宋_GB2312"/>
      <w:b/>
      <w:sz w:val="32"/>
      <w:szCs w:val="32"/>
    </w:rPr>
  </w:style>
  <w:style w:type="paragraph" w:customStyle="1" w:styleId="785">
    <w:name w:val="Char111"/>
    <w:basedOn w:val="1"/>
    <w:qFormat/>
    <w:uiPriority w:val="0"/>
    <w:rPr>
      <w:rFonts w:ascii="仿宋_GB2312" w:eastAsia="仿宋_GB2312"/>
      <w:b/>
      <w:sz w:val="32"/>
      <w:szCs w:val="32"/>
    </w:rPr>
  </w:style>
  <w:style w:type="paragraph" w:customStyle="1" w:styleId="786">
    <w:name w:val="标题3"/>
    <w:basedOn w:val="7"/>
    <w:next w:val="53"/>
    <w:qFormat/>
    <w:uiPriority w:val="0"/>
    <w:pPr>
      <w:tabs>
        <w:tab w:val="clear" w:pos="900"/>
      </w:tabs>
      <w:spacing w:after="0" w:line="360" w:lineRule="auto"/>
    </w:pPr>
    <w:rPr>
      <w:rFonts w:ascii="仿宋" w:hAnsi="仿宋" w:eastAsia="仿宋" w:cs="仿宋"/>
    </w:rPr>
  </w:style>
  <w:style w:type="paragraph" w:customStyle="1" w:styleId="787">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8">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89">
    <w:name w:val="Char1 Char Char Char2"/>
    <w:basedOn w:val="1"/>
    <w:qFormat/>
    <w:uiPriority w:val="0"/>
    <w:pPr>
      <w:adjustRightInd/>
      <w:ind w:firstLine="200" w:firstLineChars="200"/>
    </w:pPr>
    <w:rPr>
      <w:rFonts w:ascii="Tahoma" w:hAnsi="Tahoma"/>
      <w:sz w:val="24"/>
      <w:szCs w:val="20"/>
    </w:rPr>
  </w:style>
  <w:style w:type="paragraph" w:customStyle="1" w:styleId="790">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91">
    <w:name w:val="样式 标题 1 + 黑色 段前: 0.5 行 段后: 0.5 行1"/>
    <w:basedOn w:val="5"/>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2">
    <w:name w:val="Char Char Char Char Char Char Char2"/>
    <w:basedOn w:val="1"/>
    <w:qFormat/>
    <w:uiPriority w:val="0"/>
    <w:rPr>
      <w:rFonts w:ascii="仿宋_GB2312" w:eastAsia="仿宋_GB2312"/>
      <w:b/>
      <w:sz w:val="32"/>
      <w:szCs w:val="32"/>
    </w:rPr>
  </w:style>
  <w:style w:type="paragraph" w:customStyle="1" w:styleId="793">
    <w:name w:val="五级条标题"/>
    <w:basedOn w:val="794"/>
    <w:next w:val="639"/>
    <w:qFormat/>
    <w:uiPriority w:val="0"/>
    <w:pPr>
      <w:tabs>
        <w:tab w:val="left" w:pos="1260"/>
        <w:tab w:val="left" w:pos="1680"/>
        <w:tab w:val="left" w:pos="2100"/>
        <w:tab w:val="left" w:pos="2940"/>
        <w:tab w:val="left" w:pos="3360"/>
      </w:tabs>
      <w:ind w:left="3360"/>
      <w:outlineLvl w:val="6"/>
    </w:pPr>
  </w:style>
  <w:style w:type="paragraph" w:customStyle="1" w:styleId="794">
    <w:name w:val="四级条标题"/>
    <w:basedOn w:val="654"/>
    <w:next w:val="639"/>
    <w:qFormat/>
    <w:uiPriority w:val="0"/>
    <w:pPr>
      <w:tabs>
        <w:tab w:val="left" w:pos="2940"/>
        <w:tab w:val="clear" w:pos="2520"/>
      </w:tabs>
      <w:ind w:left="2940"/>
      <w:outlineLvl w:val="5"/>
    </w:pPr>
  </w:style>
  <w:style w:type="paragraph" w:customStyle="1" w:styleId="795">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6">
    <w:name w:val="Char23"/>
    <w:basedOn w:val="1"/>
    <w:qFormat/>
    <w:uiPriority w:val="0"/>
    <w:rPr>
      <w:rFonts w:ascii="仿宋_GB2312" w:eastAsia="仿宋_GB2312"/>
      <w:b/>
      <w:sz w:val="32"/>
      <w:szCs w:val="32"/>
    </w:rPr>
  </w:style>
  <w:style w:type="paragraph" w:customStyle="1" w:styleId="797">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8">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799">
    <w:name w:val="首行缩进"/>
    <w:basedOn w:val="1"/>
    <w:qFormat/>
    <w:uiPriority w:val="0"/>
    <w:pPr>
      <w:spacing w:line="360" w:lineRule="auto"/>
      <w:ind w:firstLine="480" w:firstLineChars="200"/>
    </w:pPr>
    <w:rPr>
      <w:rFonts w:ascii="宋体"/>
      <w:sz w:val="24"/>
      <w:szCs w:val="20"/>
    </w:rPr>
  </w:style>
  <w:style w:type="paragraph" w:customStyle="1" w:styleId="800">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801">
    <w:name w:val="单元格左对齐"/>
    <w:basedOn w:val="1"/>
    <w:qFormat/>
    <w:uiPriority w:val="0"/>
    <w:pPr>
      <w:adjustRightInd/>
      <w:spacing w:line="360" w:lineRule="auto"/>
    </w:pPr>
    <w:rPr>
      <w:sz w:val="24"/>
    </w:rPr>
  </w:style>
  <w:style w:type="paragraph" w:customStyle="1" w:styleId="802">
    <w:name w:val="正文主体"/>
    <w:basedOn w:val="623"/>
    <w:qFormat/>
    <w:uiPriority w:val="0"/>
  </w:style>
  <w:style w:type="paragraph" w:customStyle="1" w:styleId="803">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4">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5">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6">
    <w:name w:val="正文（首行缩进2字符）"/>
    <w:basedOn w:val="1"/>
    <w:qFormat/>
    <w:uiPriority w:val="0"/>
    <w:pPr>
      <w:adjustRightInd/>
      <w:spacing w:line="360" w:lineRule="auto"/>
      <w:ind w:firstLine="480" w:firstLineChars="200"/>
    </w:pPr>
    <w:rPr>
      <w:sz w:val="24"/>
      <w:szCs w:val="20"/>
    </w:rPr>
  </w:style>
  <w:style w:type="paragraph" w:customStyle="1" w:styleId="807">
    <w:name w:val="P1"/>
    <w:basedOn w:val="1"/>
    <w:qFormat/>
    <w:uiPriority w:val="0"/>
    <w:pPr>
      <w:adjustRightInd/>
      <w:spacing w:line="288" w:lineRule="auto"/>
      <w:ind w:firstLine="425" w:firstLineChars="200"/>
    </w:pPr>
  </w:style>
  <w:style w:type="paragraph" w:customStyle="1" w:styleId="808">
    <w:name w:val="列表内容"/>
    <w:basedOn w:val="1"/>
    <w:next w:val="1"/>
    <w:qFormat/>
    <w:uiPriority w:val="0"/>
    <w:pPr>
      <w:widowControl/>
      <w:tabs>
        <w:tab w:val="left" w:pos="840"/>
      </w:tabs>
      <w:ind w:left="840" w:hanging="420"/>
      <w:jc w:val="left"/>
    </w:pPr>
    <w:rPr>
      <w:kern w:val="0"/>
      <w:sz w:val="18"/>
    </w:rPr>
  </w:style>
  <w:style w:type="paragraph" w:customStyle="1" w:styleId="809">
    <w:name w:val="Char Char11 Char Char Char1"/>
    <w:basedOn w:val="1"/>
    <w:qFormat/>
    <w:uiPriority w:val="6"/>
    <w:pPr>
      <w:spacing w:line="360" w:lineRule="auto"/>
    </w:pPr>
    <w:rPr>
      <w:szCs w:val="20"/>
    </w:rPr>
  </w:style>
  <w:style w:type="paragraph" w:customStyle="1" w:styleId="810">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11">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2">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3">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4">
    <w:name w:val="正文文字缩进2字"/>
    <w:basedOn w:val="3"/>
    <w:qFormat/>
    <w:uiPriority w:val="0"/>
    <w:pPr>
      <w:autoSpaceDE/>
      <w:autoSpaceDN/>
      <w:adjustRightInd/>
      <w:spacing w:before="60" w:after="60"/>
      <w:ind w:firstLine="200" w:firstLineChars="200"/>
    </w:pPr>
    <w:rPr>
      <w:rFonts w:ascii="Times New Roman"/>
      <w:szCs w:val="20"/>
      <w:lang w:val="en-US"/>
    </w:rPr>
  </w:style>
  <w:style w:type="paragraph" w:customStyle="1" w:styleId="815">
    <w:name w:val="默认段落字体 Para Char Char Char Char"/>
    <w:basedOn w:val="1"/>
    <w:qFormat/>
    <w:uiPriority w:val="0"/>
    <w:pPr>
      <w:spacing w:line="360" w:lineRule="auto"/>
    </w:pPr>
    <w:rPr>
      <w:szCs w:val="20"/>
    </w:rPr>
  </w:style>
  <w:style w:type="paragraph" w:customStyle="1" w:styleId="816">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7">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8">
    <w:name w:val="Char2 Char Char Char2"/>
    <w:basedOn w:val="1"/>
    <w:qFormat/>
    <w:uiPriority w:val="0"/>
    <w:rPr>
      <w:rFonts w:ascii="仿宋_GB2312" w:eastAsia="仿宋_GB2312"/>
      <w:b/>
      <w:sz w:val="32"/>
      <w:szCs w:val="32"/>
    </w:rPr>
  </w:style>
  <w:style w:type="paragraph" w:customStyle="1" w:styleId="819">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20">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1">
    <w:name w:val="正文 首行缩进:  2 字符 Char"/>
    <w:basedOn w:val="1"/>
    <w:qFormat/>
    <w:uiPriority w:val="0"/>
    <w:pPr>
      <w:adjustRightInd/>
      <w:spacing w:line="360" w:lineRule="auto"/>
      <w:ind w:firstLine="480"/>
    </w:pPr>
    <w:rPr>
      <w:rFonts w:cs="宋体"/>
      <w:sz w:val="24"/>
      <w:szCs w:val="20"/>
    </w:rPr>
  </w:style>
  <w:style w:type="paragraph" w:customStyle="1" w:styleId="822">
    <w:name w:val="Char Char4 Char Char"/>
    <w:basedOn w:val="1"/>
    <w:qFormat/>
    <w:uiPriority w:val="0"/>
    <w:pPr>
      <w:widowControl/>
      <w:adjustRightInd/>
      <w:spacing w:after="160" w:line="240" w:lineRule="exact"/>
      <w:jc w:val="left"/>
    </w:pPr>
  </w:style>
  <w:style w:type="paragraph" w:customStyle="1" w:styleId="823">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4">
    <w:name w:val="Char Char11 Char Char Char2"/>
    <w:basedOn w:val="1"/>
    <w:qFormat/>
    <w:uiPriority w:val="0"/>
    <w:pPr>
      <w:spacing w:line="360" w:lineRule="auto"/>
    </w:pPr>
    <w:rPr>
      <w:szCs w:val="20"/>
    </w:rPr>
  </w:style>
  <w:style w:type="paragraph" w:customStyle="1" w:styleId="825">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6">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7">
    <w:name w:val="数字标题4"/>
    <w:basedOn w:val="9"/>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8">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29">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30">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1">
    <w:name w:val="Char311"/>
    <w:basedOn w:val="1"/>
    <w:qFormat/>
    <w:uiPriority w:val="0"/>
    <w:pPr>
      <w:adjustRightInd/>
      <w:ind w:firstLine="200" w:firstLineChars="200"/>
    </w:pPr>
    <w:rPr>
      <w:rFonts w:ascii="Tahoma" w:hAnsi="Tahoma"/>
      <w:sz w:val="24"/>
      <w:szCs w:val="20"/>
    </w:rPr>
  </w:style>
  <w:style w:type="paragraph" w:customStyle="1" w:styleId="832">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3">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4">
    <w:name w:val="正文 内标"/>
    <w:basedOn w:val="749"/>
    <w:qFormat/>
    <w:uiPriority w:val="0"/>
    <w:pPr>
      <w:tabs>
        <w:tab w:val="left" w:pos="0"/>
      </w:tabs>
      <w:ind w:left="900" w:firstLine="0" w:firstLineChars="0"/>
    </w:pPr>
  </w:style>
  <w:style w:type="paragraph" w:customStyle="1" w:styleId="835">
    <w:name w:val="Bulleted List"/>
    <w:basedOn w:val="1"/>
    <w:qFormat/>
    <w:uiPriority w:val="0"/>
    <w:pPr>
      <w:tabs>
        <w:tab w:val="left" w:pos="1260"/>
      </w:tabs>
      <w:adjustRightInd/>
      <w:ind w:left="1260" w:hanging="420"/>
    </w:pPr>
  </w:style>
  <w:style w:type="paragraph" w:customStyle="1" w:styleId="836">
    <w:name w:val="样式 正文文本缩进 2 + 仿宋_GB2312 黑色 行距: 1.5 倍行距"/>
    <w:basedOn w:val="38"/>
    <w:qFormat/>
    <w:uiPriority w:val="0"/>
    <w:pPr>
      <w:adjustRightInd/>
      <w:ind w:firstLine="560" w:firstLineChars="200"/>
      <w:textAlignment w:val="auto"/>
    </w:pPr>
    <w:rPr>
      <w:rFonts w:hAnsi="宋体" w:cs="宋体"/>
      <w:color w:val="000000"/>
      <w:kern w:val="2"/>
      <w:sz w:val="24"/>
    </w:rPr>
  </w:style>
  <w:style w:type="paragraph" w:customStyle="1" w:styleId="837">
    <w:name w:val="样式 左侧:  0.85 厘米"/>
    <w:basedOn w:val="1"/>
    <w:qFormat/>
    <w:uiPriority w:val="2"/>
    <w:pPr>
      <w:adjustRightInd/>
      <w:spacing w:line="360" w:lineRule="auto"/>
    </w:pPr>
    <w:rPr>
      <w:rFonts w:cs="宋体"/>
      <w:sz w:val="24"/>
      <w:szCs w:val="20"/>
    </w:rPr>
  </w:style>
  <w:style w:type="paragraph" w:customStyle="1" w:styleId="838">
    <w:name w:val="Char Char Char Char Char Char Char Char Char Char Char Char1 Char"/>
    <w:basedOn w:val="1"/>
    <w:qFormat/>
    <w:uiPriority w:val="0"/>
    <w:rPr>
      <w:rFonts w:ascii="Tahoma" w:hAnsi="Tahoma" w:cs="仿宋_GB2312"/>
      <w:sz w:val="24"/>
      <w:szCs w:val="20"/>
    </w:rPr>
  </w:style>
  <w:style w:type="paragraph" w:customStyle="1" w:styleId="839">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40">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1">
    <w:name w:val="模板普通正文"/>
    <w:basedOn w:val="26"/>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2">
    <w:name w:val="Char Char1 Char Char Char Char Char Char"/>
    <w:basedOn w:val="1"/>
    <w:qFormat/>
    <w:uiPriority w:val="0"/>
    <w:rPr>
      <w:rFonts w:ascii="仿宋_GB2312" w:eastAsia="仿宋_GB2312"/>
      <w:b/>
      <w:sz w:val="32"/>
      <w:szCs w:val="20"/>
    </w:rPr>
  </w:style>
  <w:style w:type="paragraph" w:customStyle="1" w:styleId="843">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4">
    <w:name w:val="Char Char1 Char Char Char Char Char Char2"/>
    <w:basedOn w:val="1"/>
    <w:qFormat/>
    <w:uiPriority w:val="0"/>
    <w:rPr>
      <w:rFonts w:ascii="仿宋_GB2312" w:eastAsia="仿宋_GB2312"/>
      <w:b/>
      <w:sz w:val="32"/>
      <w:szCs w:val="20"/>
    </w:rPr>
  </w:style>
  <w:style w:type="paragraph" w:customStyle="1" w:styleId="845">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6">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7">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8">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49">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50">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1">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2">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3">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4">
    <w:name w:val="Char31"/>
    <w:basedOn w:val="1"/>
    <w:qFormat/>
    <w:uiPriority w:val="0"/>
    <w:pPr>
      <w:adjustRightInd/>
    </w:pPr>
    <w:rPr>
      <w:rFonts w:ascii="仿宋_GB2312" w:eastAsia="仿宋_GB2312"/>
      <w:b/>
      <w:sz w:val="32"/>
      <w:szCs w:val="32"/>
    </w:rPr>
  </w:style>
  <w:style w:type="paragraph" w:customStyle="1" w:styleId="855">
    <w:name w:val="样式 标题 3h33rd level3Heading 3 - oldH3l3CTheading 3Headin..."/>
    <w:basedOn w:val="7"/>
    <w:qFormat/>
    <w:uiPriority w:val="0"/>
    <w:pPr>
      <w:snapToGrid w:val="0"/>
      <w:ind w:left="0" w:firstLine="0"/>
      <w:jc w:val="left"/>
    </w:pPr>
    <w:rPr>
      <w:rFonts w:eastAsia="黑体" w:cs="宋体"/>
      <w:sz w:val="28"/>
      <w:szCs w:val="20"/>
    </w:rPr>
  </w:style>
  <w:style w:type="paragraph" w:customStyle="1" w:styleId="856">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7">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8">
    <w:name w:val="Char Char1"/>
    <w:basedOn w:val="1"/>
    <w:qFormat/>
    <w:uiPriority w:val="0"/>
    <w:pPr>
      <w:widowControl/>
      <w:spacing w:after="160" w:line="240" w:lineRule="exact"/>
      <w:jc w:val="left"/>
    </w:pPr>
    <w:rPr>
      <w:rFonts w:eastAsia="仿宋_GB2312"/>
      <w:sz w:val="28"/>
    </w:rPr>
  </w:style>
  <w:style w:type="paragraph" w:customStyle="1" w:styleId="859">
    <w:name w:val="Char21"/>
    <w:basedOn w:val="1"/>
    <w:qFormat/>
    <w:uiPriority w:val="0"/>
    <w:pPr>
      <w:adjustRightInd/>
      <w:ind w:firstLine="200" w:firstLineChars="200"/>
    </w:pPr>
    <w:rPr>
      <w:rFonts w:ascii="仿宋_GB2312" w:eastAsia="仿宋_GB2312"/>
      <w:b/>
      <w:sz w:val="32"/>
      <w:szCs w:val="32"/>
    </w:rPr>
  </w:style>
  <w:style w:type="paragraph" w:customStyle="1" w:styleId="860">
    <w:name w:val="列表段落1"/>
    <w:basedOn w:val="1"/>
    <w:qFormat/>
    <w:uiPriority w:val="34"/>
    <w:pPr>
      <w:adjustRightInd/>
      <w:ind w:right="238" w:firstLine="420"/>
    </w:pPr>
    <w:rPr>
      <w:rFonts w:ascii="Calibri" w:hAnsi="Calibri"/>
      <w:sz w:val="24"/>
    </w:rPr>
  </w:style>
  <w:style w:type="paragraph" w:customStyle="1" w:styleId="861">
    <w:name w:val="Char Char110"/>
    <w:basedOn w:val="1"/>
    <w:qFormat/>
    <w:uiPriority w:val="6"/>
    <w:pPr>
      <w:spacing w:line="360" w:lineRule="auto"/>
    </w:pPr>
    <w:rPr>
      <w:rFonts w:ascii="Tahoma" w:hAnsi="Tahoma"/>
      <w:sz w:val="24"/>
      <w:szCs w:val="20"/>
    </w:rPr>
  </w:style>
  <w:style w:type="paragraph" w:customStyle="1" w:styleId="862">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3">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4">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5">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6">
    <w:name w:val="Char Char Char Char Char Char Char Char Char Char Char Char1 Char2"/>
    <w:basedOn w:val="1"/>
    <w:qFormat/>
    <w:uiPriority w:val="0"/>
    <w:rPr>
      <w:rFonts w:ascii="Tahoma" w:hAnsi="Tahoma" w:cs="仿宋_GB2312"/>
      <w:sz w:val="24"/>
      <w:szCs w:val="20"/>
    </w:rPr>
  </w:style>
  <w:style w:type="paragraph" w:customStyle="1" w:styleId="867">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8">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69">
    <w:name w:val="样式 列表编号 + 段后: 0.5 行"/>
    <w:basedOn w:val="18"/>
    <w:qFormat/>
    <w:uiPriority w:val="2"/>
    <w:pPr>
      <w:tabs>
        <w:tab w:val="clear" w:pos="390"/>
        <w:tab w:val="clear" w:pos="454"/>
      </w:tabs>
      <w:spacing w:after="0"/>
      <w:ind w:left="840" w:hanging="420"/>
      <w:contextualSpacing/>
    </w:pPr>
    <w:rPr>
      <w:rFonts w:cs="宋体"/>
    </w:rPr>
  </w:style>
  <w:style w:type="paragraph" w:customStyle="1" w:styleId="870">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1">
    <w:name w:val="_Style 12"/>
    <w:basedOn w:val="21"/>
    <w:qFormat/>
    <w:uiPriority w:val="0"/>
    <w:pPr>
      <w:snapToGrid w:val="0"/>
      <w:spacing w:line="360" w:lineRule="auto"/>
    </w:pPr>
  </w:style>
  <w:style w:type="paragraph" w:customStyle="1" w:styleId="872">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3">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4">
    <w:name w:val="_Style 94"/>
    <w:basedOn w:val="1"/>
    <w:next w:val="258"/>
    <w:qFormat/>
    <w:uiPriority w:val="34"/>
    <w:pPr>
      <w:adjustRightInd/>
      <w:spacing w:line="360" w:lineRule="auto"/>
      <w:ind w:firstLine="200" w:firstLineChars="200"/>
    </w:pPr>
    <w:rPr>
      <w:rFonts w:ascii="Calibri" w:hAnsi="Calibri"/>
      <w:sz w:val="28"/>
      <w:szCs w:val="20"/>
    </w:rPr>
  </w:style>
  <w:style w:type="paragraph" w:customStyle="1" w:styleId="875">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6">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7">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8">
    <w:name w:val="3级标题"/>
    <w:basedOn w:val="671"/>
    <w:qFormat/>
    <w:uiPriority w:val="0"/>
    <w:pPr>
      <w:outlineLvl w:val="2"/>
    </w:pPr>
  </w:style>
  <w:style w:type="paragraph" w:customStyle="1" w:styleId="879">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0">
    <w:name w:val="Char1 Char Char Char3"/>
    <w:basedOn w:val="1"/>
    <w:qFormat/>
    <w:uiPriority w:val="0"/>
    <w:pPr>
      <w:adjustRightInd/>
      <w:ind w:firstLine="200" w:firstLineChars="200"/>
    </w:pPr>
    <w:rPr>
      <w:rFonts w:ascii="Tahoma" w:hAnsi="Tahoma"/>
      <w:sz w:val="24"/>
      <w:szCs w:val="20"/>
    </w:rPr>
  </w:style>
  <w:style w:type="paragraph" w:customStyle="1" w:styleId="881">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2">
    <w:name w:val="MM Empty"/>
    <w:basedOn w:val="1"/>
    <w:qFormat/>
    <w:uiPriority w:val="0"/>
    <w:pPr>
      <w:adjustRightInd/>
    </w:pPr>
  </w:style>
  <w:style w:type="paragraph" w:customStyle="1" w:styleId="883">
    <w:name w:val="Char24"/>
    <w:basedOn w:val="1"/>
    <w:qFormat/>
    <w:uiPriority w:val="0"/>
    <w:rPr>
      <w:rFonts w:ascii="仿宋_GB2312" w:eastAsia="仿宋_GB2312"/>
      <w:b/>
      <w:sz w:val="32"/>
      <w:szCs w:val="32"/>
    </w:rPr>
  </w:style>
  <w:style w:type="paragraph" w:customStyle="1" w:styleId="884">
    <w:name w:val="正文箭头"/>
    <w:basedOn w:val="537"/>
    <w:qFormat/>
    <w:uiPriority w:val="0"/>
  </w:style>
  <w:style w:type="paragraph" w:customStyle="1" w:styleId="885">
    <w:name w:val="U_编号2"/>
    <w:basedOn w:val="1"/>
    <w:qFormat/>
    <w:uiPriority w:val="0"/>
    <w:pPr>
      <w:tabs>
        <w:tab w:val="left" w:pos="785"/>
      </w:tabs>
      <w:adjustRightInd/>
      <w:spacing w:beforeLines="10" w:afterLines="10" w:line="300" w:lineRule="auto"/>
    </w:pPr>
    <w:rPr>
      <w:sz w:val="24"/>
    </w:rPr>
  </w:style>
  <w:style w:type="paragraph" w:customStyle="1" w:styleId="886">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7">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8">
    <w:name w:val="标书标题3"/>
    <w:basedOn w:val="7"/>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89">
    <w:name w:val="TOC 标题11"/>
    <w:basedOn w:val="5"/>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0">
    <w:name w:val="_Style 1"/>
    <w:basedOn w:val="1"/>
    <w:qFormat/>
    <w:uiPriority w:val="34"/>
    <w:pPr>
      <w:adjustRightInd/>
      <w:ind w:firstLine="420" w:firstLineChars="200"/>
    </w:pPr>
    <w:rPr>
      <w:rFonts w:eastAsia="仿宋_GB2312"/>
      <w:sz w:val="28"/>
    </w:rPr>
  </w:style>
  <w:style w:type="paragraph" w:customStyle="1" w:styleId="891">
    <w:name w:val="表格 内容"/>
    <w:basedOn w:val="728"/>
    <w:qFormat/>
    <w:uiPriority w:val="0"/>
    <w:rPr>
      <w:b w:val="0"/>
      <w:sz w:val="20"/>
    </w:rPr>
  </w:style>
  <w:style w:type="paragraph" w:customStyle="1" w:styleId="892">
    <w:name w:val="正文首行缩进1"/>
    <w:basedOn w:val="3"/>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3">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4">
    <w:name w:val="数字标题5"/>
    <w:basedOn w:val="10"/>
    <w:next w:val="1"/>
    <w:qFormat/>
    <w:uiPriority w:val="0"/>
    <w:pPr>
      <w:tabs>
        <w:tab w:val="left" w:pos="1080"/>
      </w:tabs>
      <w:ind w:left="1080" w:hanging="1080"/>
    </w:pPr>
  </w:style>
  <w:style w:type="paragraph" w:customStyle="1" w:styleId="895">
    <w:name w:val="数字标题1"/>
    <w:basedOn w:val="5"/>
    <w:next w:val="1"/>
    <w:qFormat/>
    <w:uiPriority w:val="0"/>
    <w:pPr>
      <w:tabs>
        <w:tab w:val="left" w:pos="480"/>
      </w:tabs>
      <w:ind w:left="480" w:hanging="480"/>
    </w:pPr>
  </w:style>
  <w:style w:type="paragraph" w:customStyle="1" w:styleId="896">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7">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8">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899">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0">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1">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2">
    <w:name w:val="0"/>
    <w:basedOn w:val="1"/>
    <w:qFormat/>
    <w:uiPriority w:val="0"/>
    <w:pPr>
      <w:widowControl/>
    </w:pPr>
    <w:rPr>
      <w:kern w:val="0"/>
      <w:sz w:val="24"/>
      <w:szCs w:val="20"/>
    </w:rPr>
  </w:style>
  <w:style w:type="paragraph" w:customStyle="1" w:styleId="903">
    <w:name w:val="Char Char113"/>
    <w:basedOn w:val="1"/>
    <w:qFormat/>
    <w:uiPriority w:val="0"/>
    <w:pPr>
      <w:widowControl/>
      <w:spacing w:after="160" w:line="240" w:lineRule="exact"/>
      <w:jc w:val="left"/>
    </w:pPr>
    <w:rPr>
      <w:rFonts w:eastAsia="仿宋_GB2312"/>
      <w:sz w:val="28"/>
    </w:rPr>
  </w:style>
  <w:style w:type="paragraph" w:customStyle="1" w:styleId="904">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5">
    <w:name w:val="_Style 8"/>
    <w:basedOn w:val="1"/>
    <w:qFormat/>
    <w:uiPriority w:val="34"/>
    <w:pPr>
      <w:adjustRightInd/>
      <w:ind w:firstLine="420" w:firstLineChars="200"/>
    </w:pPr>
    <w:rPr>
      <w:rFonts w:eastAsia="仿宋_GB2312"/>
      <w:sz w:val="28"/>
    </w:rPr>
  </w:style>
  <w:style w:type="paragraph" w:customStyle="1" w:styleId="906">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7">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908">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09">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10">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1">
    <w:name w:val="Char Char112"/>
    <w:basedOn w:val="1"/>
    <w:qFormat/>
    <w:uiPriority w:val="6"/>
    <w:pPr>
      <w:widowControl/>
      <w:spacing w:after="160" w:line="240" w:lineRule="exact"/>
      <w:jc w:val="left"/>
    </w:pPr>
    <w:rPr>
      <w:rFonts w:eastAsia="仿宋_GB2312"/>
      <w:sz w:val="28"/>
    </w:rPr>
  </w:style>
  <w:style w:type="paragraph" w:customStyle="1" w:styleId="912">
    <w:name w:val="正文 图"/>
    <w:basedOn w:val="442"/>
    <w:qFormat/>
    <w:uiPriority w:val="0"/>
    <w:pPr>
      <w:adjustRightInd/>
      <w:spacing w:before="0"/>
      <w:ind w:firstLine="0"/>
      <w:jc w:val="center"/>
    </w:pPr>
    <w:rPr>
      <w:rFonts w:ascii="微软雅黑" w:hAnsi="微软雅黑"/>
    </w:rPr>
  </w:style>
  <w:style w:type="paragraph" w:customStyle="1" w:styleId="913">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4">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5">
    <w:name w:val="Thf"/>
    <w:basedOn w:val="561"/>
    <w:qFormat/>
    <w:uiPriority w:val="0"/>
    <w:pPr>
      <w:ind w:left="0"/>
    </w:pPr>
  </w:style>
  <w:style w:type="paragraph" w:customStyle="1" w:styleId="916">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7">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18">
    <w:name w:val="注释"/>
    <w:basedOn w:val="1"/>
    <w:qFormat/>
    <w:uiPriority w:val="0"/>
    <w:pPr>
      <w:adjustRightInd/>
      <w:spacing w:line="360" w:lineRule="auto"/>
      <w:ind w:firstLine="480"/>
    </w:pPr>
    <w:rPr>
      <w:sz w:val="24"/>
    </w:rPr>
  </w:style>
  <w:style w:type="table" w:customStyle="1" w:styleId="919">
    <w:name w:val="网格型2"/>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0">
    <w:name w:val="网格型1"/>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1">
    <w:name w:val="网格型6"/>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2">
    <w:name w:val="网格型3"/>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3">
    <w:name w:val="网格型4"/>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4">
    <w:name w:val="网格型5"/>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5">
    <w:name w:val="列出段落111"/>
    <w:basedOn w:val="1"/>
    <w:qFormat/>
    <w:uiPriority w:val="34"/>
    <w:pPr>
      <w:ind w:firstLine="420" w:firstLineChars="200"/>
    </w:pPr>
  </w:style>
  <w:style w:type="character" w:customStyle="1" w:styleId="926">
    <w:name w:val="交叉引用"/>
    <w:qFormat/>
    <w:uiPriority w:val="1"/>
    <w:rPr>
      <w:rFonts w:ascii="Arial" w:hAnsi="Arial" w:eastAsia="黑体"/>
      <w:snapToGrid w:val="0"/>
      <w:color w:val="0000FF"/>
      <w:kern w:val="0"/>
      <w:sz w:val="20"/>
      <w:szCs w:val="21"/>
      <w:u w:val="single"/>
      <w:lang w:val="en-US" w:eastAsia="zh-CN"/>
    </w:rPr>
  </w:style>
  <w:style w:type="character" w:customStyle="1" w:styleId="927">
    <w:name w:val="正文缩进 字符1"/>
    <w:qFormat/>
    <w:uiPriority w:val="0"/>
    <w:rPr>
      <w:rFonts w:ascii="宋体" w:eastAsia="宋体"/>
      <w:snapToGrid w:val="0"/>
      <w:color w:val="000000"/>
      <w:kern w:val="28"/>
      <w:sz w:val="28"/>
      <w:lang w:val="en-US" w:eastAsia="zh-CN" w:bidi="ar-SA"/>
    </w:rPr>
  </w:style>
  <w:style w:type="character" w:customStyle="1" w:styleId="928">
    <w:name w:val="页脚 字符1"/>
    <w:qFormat/>
    <w:locked/>
    <w:uiPriority w:val="99"/>
    <w:rPr>
      <w:kern w:val="2"/>
      <w:sz w:val="18"/>
      <w:szCs w:val="18"/>
    </w:rPr>
  </w:style>
  <w:style w:type="character" w:customStyle="1" w:styleId="929">
    <w:name w:val="页眉 字符1"/>
    <w:qFormat/>
    <w:uiPriority w:val="99"/>
    <w:rPr>
      <w:kern w:val="2"/>
      <w:sz w:val="18"/>
      <w:szCs w:val="18"/>
    </w:rPr>
  </w:style>
  <w:style w:type="character" w:customStyle="1" w:styleId="930">
    <w:name w:val="尾注文本 Char"/>
    <w:link w:val="39"/>
    <w:qFormat/>
    <w:uiPriority w:val="0"/>
    <w:rPr>
      <w:kern w:val="2"/>
      <w:sz w:val="21"/>
      <w:szCs w:val="24"/>
      <w:lang w:val="zh-CN"/>
    </w:rPr>
  </w:style>
  <w:style w:type="character" w:customStyle="1" w:styleId="931">
    <w:name w:val="无间隔 Char"/>
    <w:link w:val="482"/>
    <w:qFormat/>
    <w:uiPriority w:val="99"/>
    <w:rPr>
      <w:kern w:val="2"/>
      <w:sz w:val="21"/>
      <w:szCs w:val="22"/>
    </w:rPr>
  </w:style>
  <w:style w:type="character" w:customStyle="1" w:styleId="932">
    <w:name w:val="标准文本 Char Char"/>
    <w:link w:val="933"/>
    <w:qFormat/>
    <w:uiPriority w:val="0"/>
    <w:rPr>
      <w:rFonts w:cs="宋体"/>
      <w:kern w:val="2"/>
      <w:sz w:val="24"/>
    </w:rPr>
  </w:style>
  <w:style w:type="paragraph" w:customStyle="1" w:styleId="933">
    <w:name w:val="标准文本"/>
    <w:basedOn w:val="1"/>
    <w:link w:val="932"/>
    <w:qFormat/>
    <w:uiPriority w:val="0"/>
    <w:pPr>
      <w:adjustRightInd/>
      <w:spacing w:line="360" w:lineRule="auto"/>
      <w:ind w:firstLine="480" w:firstLineChars="200"/>
    </w:pPr>
    <w:rPr>
      <w:rFonts w:cs="宋体"/>
      <w:sz w:val="24"/>
      <w:szCs w:val="20"/>
    </w:rPr>
  </w:style>
  <w:style w:type="character" w:customStyle="1" w:styleId="934">
    <w:name w:val="Char Char213"/>
    <w:qFormat/>
    <w:uiPriority w:val="0"/>
    <w:rPr>
      <w:rFonts w:eastAsia="Century Gothic"/>
      <w:b/>
      <w:bCs/>
      <w:kern w:val="44"/>
      <w:sz w:val="32"/>
      <w:szCs w:val="44"/>
      <w:lang w:val="en-US" w:eastAsia="zh-CN" w:bidi="ar-SA"/>
    </w:rPr>
  </w:style>
  <w:style w:type="character" w:customStyle="1" w:styleId="935">
    <w:name w:val="apple-style-span"/>
    <w:qFormat/>
    <w:uiPriority w:val="0"/>
    <w:rPr>
      <w:rFonts w:ascii="Arial" w:hAnsi="Arial" w:eastAsia="黑体" w:cs="Arial"/>
      <w:snapToGrid w:val="0"/>
      <w:kern w:val="0"/>
      <w:szCs w:val="21"/>
    </w:rPr>
  </w:style>
  <w:style w:type="character" w:customStyle="1" w:styleId="936">
    <w:name w:val="15"/>
    <w:qFormat/>
    <w:uiPriority w:val="0"/>
    <w:rPr>
      <w:rFonts w:hint="default" w:ascii="Calibri" w:hAnsi="Calibri"/>
      <w:color w:val="0000FF"/>
      <w:u w:val="single"/>
    </w:rPr>
  </w:style>
  <w:style w:type="character" w:customStyle="1" w:styleId="937">
    <w:name w:val="16"/>
    <w:qFormat/>
    <w:uiPriority w:val="0"/>
    <w:rPr>
      <w:rFonts w:hint="eastAsia" w:ascii="宋体" w:hAnsi="宋体" w:eastAsia="宋体"/>
      <w:color w:val="000000"/>
      <w:sz w:val="20"/>
      <w:szCs w:val="20"/>
    </w:rPr>
  </w:style>
  <w:style w:type="character" w:customStyle="1" w:styleId="938">
    <w:name w:val="edui-unclickable"/>
    <w:qFormat/>
    <w:uiPriority w:val="0"/>
    <w:rPr>
      <w:color w:val="808080"/>
    </w:rPr>
  </w:style>
  <w:style w:type="character" w:customStyle="1" w:styleId="939">
    <w:name w:val="tpc_content1"/>
    <w:qFormat/>
    <w:uiPriority w:val="0"/>
    <w:rPr>
      <w:sz w:val="20"/>
      <w:szCs w:val="20"/>
    </w:rPr>
  </w:style>
  <w:style w:type="character" w:customStyle="1" w:styleId="940">
    <w:name w:val="正文文本缩进 字符"/>
    <w:qFormat/>
    <w:uiPriority w:val="0"/>
    <w:rPr>
      <w:rFonts w:ascii="Century Gothic" w:hAnsi="Century Gothic" w:eastAsia="Century Gothic"/>
      <w:kern w:val="2"/>
      <w:sz w:val="24"/>
      <w:lang w:val="en-US" w:eastAsia="zh-CN" w:bidi="ar-SA"/>
    </w:rPr>
  </w:style>
  <w:style w:type="character" w:customStyle="1" w:styleId="941">
    <w:name w:val="正文文本 2 字符"/>
    <w:qFormat/>
    <w:uiPriority w:val="0"/>
    <w:rPr>
      <w:rFonts w:ascii="Arial" w:hAnsi="Arial" w:eastAsia="宋体"/>
      <w:kern w:val="2"/>
      <w:sz w:val="24"/>
      <w:szCs w:val="24"/>
      <w:lang w:val="en-US" w:eastAsia="zh-CN" w:bidi="ar-SA"/>
    </w:rPr>
  </w:style>
  <w:style w:type="character" w:customStyle="1" w:styleId="942">
    <w:name w:val="edui-clickable2"/>
    <w:qFormat/>
    <w:uiPriority w:val="0"/>
    <w:rPr>
      <w:color w:val="0000FF"/>
      <w:u w:val="single"/>
    </w:rPr>
  </w:style>
  <w:style w:type="character" w:customStyle="1" w:styleId="943">
    <w:name w:val="style1"/>
    <w:qFormat/>
    <w:uiPriority w:val="0"/>
    <w:rPr>
      <w:rFonts w:ascii="Arial" w:hAnsi="Arial" w:eastAsia="黑体" w:cs="Arial"/>
      <w:snapToGrid w:val="0"/>
      <w:kern w:val="0"/>
      <w:szCs w:val="21"/>
    </w:rPr>
  </w:style>
  <w:style w:type="character" w:customStyle="1" w:styleId="944">
    <w:name w:val="zbggtop11 style5"/>
    <w:qFormat/>
    <w:uiPriority w:val="0"/>
    <w:rPr>
      <w:rFonts w:ascii="Arial" w:hAnsi="Arial" w:eastAsia="黑体" w:cs="Arial"/>
      <w:snapToGrid w:val="0"/>
      <w:kern w:val="0"/>
      <w:szCs w:val="21"/>
    </w:rPr>
  </w:style>
  <w:style w:type="character" w:customStyle="1" w:styleId="945">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6">
    <w:name w:val="bulletintext1"/>
    <w:qFormat/>
    <w:uiPriority w:val="0"/>
    <w:rPr>
      <w:color w:val="000000"/>
      <w:sz w:val="18"/>
    </w:rPr>
  </w:style>
  <w:style w:type="paragraph" w:customStyle="1" w:styleId="947">
    <w:name w:val="_Style 947"/>
    <w:basedOn w:val="1"/>
    <w:next w:val="258"/>
    <w:qFormat/>
    <w:uiPriority w:val="34"/>
    <w:pPr>
      <w:adjustRightInd/>
      <w:ind w:firstLine="420" w:firstLineChars="200"/>
    </w:pPr>
  </w:style>
  <w:style w:type="paragraph" w:customStyle="1" w:styleId="948">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49">
    <w:name w:val="纯文本2"/>
    <w:basedOn w:val="1"/>
    <w:qFormat/>
    <w:uiPriority w:val="0"/>
    <w:pPr>
      <w:adjustRightInd/>
      <w:snapToGrid w:val="0"/>
      <w:jc w:val="left"/>
    </w:pPr>
    <w:rPr>
      <w:rFonts w:ascii="Century Gothic" w:hAnsi="楷体_GB2312" w:eastAsia="Century Gothic"/>
      <w:szCs w:val="20"/>
    </w:rPr>
  </w:style>
  <w:style w:type="paragraph" w:customStyle="1" w:styleId="950">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1">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2">
    <w:name w:val="节"/>
    <w:basedOn w:val="6"/>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3">
    <w:name w:val="Blockquote"/>
    <w:basedOn w:val="1"/>
    <w:qFormat/>
    <w:uiPriority w:val="0"/>
    <w:pPr>
      <w:autoSpaceDE w:val="0"/>
      <w:autoSpaceDN w:val="0"/>
      <w:spacing w:before="100" w:after="100"/>
      <w:ind w:left="360" w:right="360"/>
      <w:jc w:val="left"/>
    </w:pPr>
    <w:rPr>
      <w:kern w:val="0"/>
      <w:sz w:val="24"/>
      <w:szCs w:val="20"/>
    </w:rPr>
  </w:style>
  <w:style w:type="paragraph" w:customStyle="1" w:styleId="954">
    <w:name w:val="p1"/>
    <w:basedOn w:val="1"/>
    <w:qFormat/>
    <w:uiPriority w:val="0"/>
    <w:pPr>
      <w:widowControl/>
      <w:adjustRightInd/>
      <w:jc w:val="left"/>
    </w:pPr>
    <w:rPr>
      <w:rFonts w:ascii=".PingFang SC" w:eastAsia=".PingFang SC"/>
      <w:color w:val="454545"/>
      <w:kern w:val="0"/>
      <w:sz w:val="18"/>
      <w:szCs w:val="18"/>
    </w:rPr>
  </w:style>
  <w:style w:type="paragraph" w:customStyle="1" w:styleId="955">
    <w:name w:val="Table Paragraph"/>
    <w:basedOn w:val="1"/>
    <w:qFormat/>
    <w:uiPriority w:val="0"/>
    <w:pPr>
      <w:adjustRightInd/>
      <w:jc w:val="left"/>
    </w:pPr>
    <w:rPr>
      <w:rFonts w:ascii="Calibri" w:hAnsi="Calibri"/>
      <w:kern w:val="0"/>
      <w:sz w:val="22"/>
      <w:szCs w:val="22"/>
      <w:lang w:eastAsia="en-US"/>
    </w:rPr>
  </w:style>
  <w:style w:type="paragraph" w:customStyle="1" w:styleId="956">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7">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8">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59">
    <w:name w:val="ksfind_class_select1"/>
    <w:basedOn w:val="69"/>
    <w:qFormat/>
    <w:uiPriority w:val="0"/>
    <w:rPr>
      <w:color w:val="000000"/>
      <w:shd w:val="clear" w:color="auto" w:fill="EFD200"/>
    </w:rPr>
  </w:style>
  <w:style w:type="character" w:customStyle="1" w:styleId="960">
    <w:name w:val="font71"/>
    <w:qFormat/>
    <w:uiPriority w:val="0"/>
    <w:rPr>
      <w:rFonts w:hint="eastAsia" w:ascii="宋体" w:hAnsi="宋体" w:eastAsia="宋体" w:cs="宋体"/>
      <w:color w:val="000000"/>
      <w:sz w:val="22"/>
      <w:szCs w:val="22"/>
      <w:u w:val="none"/>
    </w:rPr>
  </w:style>
  <w:style w:type="character" w:customStyle="1" w:styleId="961">
    <w:name w:val="font91"/>
    <w:qFormat/>
    <w:uiPriority w:val="0"/>
    <w:rPr>
      <w:rFonts w:hint="eastAsia" w:ascii="仿宋" w:hAnsi="仿宋" w:eastAsia="仿宋" w:cs="仿宋"/>
      <w:color w:val="000000"/>
      <w:sz w:val="22"/>
      <w:szCs w:val="22"/>
      <w:u w:val="none"/>
    </w:rPr>
  </w:style>
  <w:style w:type="paragraph" w:customStyle="1" w:styleId="962">
    <w:name w:val="修订4"/>
    <w:hidden/>
    <w:semiHidden/>
    <w:qFormat/>
    <w:uiPriority w:val="99"/>
    <w:rPr>
      <w:rFonts w:ascii="Times New Roman" w:hAnsi="Times New Roman" w:eastAsia="宋体" w:cs="Times New Roman"/>
      <w:kern w:val="2"/>
      <w:sz w:val="21"/>
      <w:szCs w:val="24"/>
      <w:lang w:val="en-US" w:eastAsia="zh-CN" w:bidi="ar-SA"/>
    </w:rPr>
  </w:style>
  <w:style w:type="character" w:customStyle="1" w:styleId="963">
    <w:name w:val="font101"/>
    <w:basedOn w:val="69"/>
    <w:qFormat/>
    <w:uiPriority w:val="0"/>
    <w:rPr>
      <w:rFonts w:hint="eastAsia" w:ascii="宋体" w:hAnsi="宋体" w:eastAsia="宋体" w:cs="宋体"/>
      <w:b/>
      <w:bCs/>
      <w:color w:val="000000"/>
      <w:sz w:val="24"/>
      <w:szCs w:val="24"/>
      <w:u w:val="single"/>
    </w:rPr>
  </w:style>
  <w:style w:type="paragraph" w:customStyle="1" w:styleId="964">
    <w:name w:val="纯文本4"/>
    <w:basedOn w:val="1"/>
    <w:unhideWhenUsed/>
    <w:qFormat/>
    <w:uiPriority w:val="0"/>
    <w:pPr>
      <w:adjustRightInd/>
    </w:pPr>
    <w:rPr>
      <w:rFonts w:ascii="宋体" w:hAnsi="Courier New"/>
      <w:szCs w:val="24"/>
    </w:rPr>
  </w:style>
  <w:style w:type="paragraph" w:customStyle="1" w:styleId="965">
    <w:name w:val="1册标题1"/>
    <w:basedOn w:val="1"/>
    <w:next w:val="1"/>
    <w:qFormat/>
    <w:uiPriority w:val="0"/>
    <w:pPr>
      <w:adjustRightInd/>
      <w:spacing w:beforeLines="50" w:afterLines="50" w:line="300" w:lineRule="auto"/>
      <w:jc w:val="center"/>
      <w:outlineLvl w:val="0"/>
    </w:pPr>
    <w:rPr>
      <w:rFonts w:ascii="Arial" w:hAnsi="Arial" w:eastAsia="黑体"/>
      <w:b/>
      <w:bCs/>
      <w:sz w:val="48"/>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1" Type="http://schemas.openxmlformats.org/officeDocument/2006/relationships/fontTable" Target="fontTable.xml"/><Relationship Id="rId30" Type="http://schemas.openxmlformats.org/officeDocument/2006/relationships/customXml" Target="../customXml/item2.xml"/><Relationship Id="rId3" Type="http://schemas.openxmlformats.org/officeDocument/2006/relationships/header" Target="header1.xml"/><Relationship Id="rId29" Type="http://schemas.openxmlformats.org/officeDocument/2006/relationships/numbering" Target="numbering.xml"/><Relationship Id="rId28" Type="http://schemas.openxmlformats.org/officeDocument/2006/relationships/customXml" Target="../customXml/item1.xml"/><Relationship Id="rId27" Type="http://schemas.openxmlformats.org/officeDocument/2006/relationships/image" Target="media/image1.png"/><Relationship Id="rId26" Type="http://schemas.openxmlformats.org/officeDocument/2006/relationships/theme" Target="theme/theme1.xml"/><Relationship Id="rId25" Type="http://schemas.openxmlformats.org/officeDocument/2006/relationships/footer" Target="footer12.xml"/><Relationship Id="rId24" Type="http://schemas.openxmlformats.org/officeDocument/2006/relationships/footer" Target="footer11.xml"/><Relationship Id="rId23" Type="http://schemas.openxmlformats.org/officeDocument/2006/relationships/header" Target="header11.xml"/><Relationship Id="rId22" Type="http://schemas.openxmlformats.org/officeDocument/2006/relationships/header" Target="header10.xml"/><Relationship Id="rId21" Type="http://schemas.openxmlformats.org/officeDocument/2006/relationships/footer" Target="footer10.xml"/><Relationship Id="rId20" Type="http://schemas.openxmlformats.org/officeDocument/2006/relationships/footer" Target="footer9.xml"/><Relationship Id="rId2" Type="http://schemas.openxmlformats.org/officeDocument/2006/relationships/settings" Target="settings.xml"/><Relationship Id="rId19" Type="http://schemas.openxmlformats.org/officeDocument/2006/relationships/header" Target="header9.xml"/><Relationship Id="rId18" Type="http://schemas.openxmlformats.org/officeDocument/2006/relationships/header" Target="header8.xml"/><Relationship Id="rId17" Type="http://schemas.openxmlformats.org/officeDocument/2006/relationships/footer" Target="footer8.xml"/><Relationship Id="rId16" Type="http://schemas.openxmlformats.org/officeDocument/2006/relationships/footer" Target="footer7.xml"/><Relationship Id="rId15" Type="http://schemas.openxmlformats.org/officeDocument/2006/relationships/header" Target="header7.xml"/><Relationship Id="rId14" Type="http://schemas.openxmlformats.org/officeDocument/2006/relationships/header" Target="header6.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9100F5C-791E-4169-8EF0-697330BC8A45}">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128</Pages>
  <Words>60666</Words>
  <Characters>70658</Characters>
  <Lines>281</Lines>
  <Paragraphs>79</Paragraphs>
  <TotalTime>8</TotalTime>
  <ScaleCrop>false</ScaleCrop>
  <LinksUpToDate>false</LinksUpToDate>
  <CharactersWithSpaces>75407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2021-07-30T00:22:00Z</dcterms:created>
  <dc:creator>玥</dc:creator>
  <cp:lastModifiedBy>喵妙妙</cp:lastModifiedBy>
  <cp:lastPrinted>2021-12-27T03:06:00Z</cp:lastPrinted>
  <dcterms:modified xsi:type="dcterms:W3CDTF">2023-06-08T12:08:03Z</dcterms:modified>
  <dc:title>杭州市市民卡扩大发卡工程</dc:title>
  <cp:revision>303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0FD1A88BCBDC48C0BE7BED3F6297D455</vt:lpwstr>
  </property>
</Properties>
</file>