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before="120" w:beforeLines="50"/>
        <w:jc w:val="center"/>
        <w:outlineLvl w:val="9"/>
        <w:rPr>
          <w:rFonts w:hint="eastAsia" w:hAnsi="宋体" w:eastAsia="宋体" w:cs="宋体"/>
          <w:b/>
          <w:color w:val="auto"/>
          <w:sz w:val="32"/>
          <w:szCs w:val="32"/>
          <w:highlight w:val="none"/>
          <w:lang w:val="en-US" w:eastAsia="zh-CN"/>
        </w:rPr>
      </w:pPr>
      <w:r>
        <w:rPr>
          <w:rFonts w:hint="eastAsia" w:hAnsi="宋体" w:eastAsia="宋体" w:cs="宋体"/>
          <w:b/>
          <w:color w:val="auto"/>
          <w:sz w:val="32"/>
          <w:szCs w:val="32"/>
          <w:highlight w:val="none"/>
          <w:lang w:val="en-US" w:eastAsia="zh-CN"/>
        </w:rPr>
        <w:t>宁海县力洋镇公共安全雪亮二期项目</w:t>
      </w:r>
    </w:p>
    <w:p>
      <w:pPr>
        <w:pageBreakBefore w:val="0"/>
        <w:kinsoku/>
        <w:wordWrap/>
        <w:overflowPunct/>
        <w:topLinePunct w:val="0"/>
        <w:autoSpaceDE/>
        <w:autoSpaceDN/>
        <w:bidi w:val="0"/>
        <w:spacing w:before="120" w:beforeLines="50"/>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竞争性磋商文件</w:t>
      </w:r>
    </w:p>
    <w:p>
      <w:pPr>
        <w:pStyle w:val="22"/>
        <w:pageBreakBefore w:val="0"/>
        <w:kinsoku/>
        <w:wordWrap/>
        <w:overflowPunct/>
        <w:topLinePunct w:val="0"/>
        <w:autoSpaceDE/>
        <w:autoSpaceDN/>
        <w:bidi w:val="0"/>
        <w:ind w:firstLine="0"/>
        <w:outlineLvl w:val="9"/>
        <w:rPr>
          <w:rFonts w:hint="eastAsia" w:ascii="宋体" w:hAnsi="宋体" w:eastAsia="宋体" w:cs="宋体"/>
          <w:b/>
          <w:bCs/>
          <w:color w:val="auto"/>
          <w:sz w:val="36"/>
          <w:szCs w:val="36"/>
          <w:highlight w:val="none"/>
        </w:rPr>
      </w:pPr>
    </w:p>
    <w:p>
      <w:pPr>
        <w:pStyle w:val="22"/>
        <w:pageBreakBefore w:val="0"/>
        <w:kinsoku/>
        <w:wordWrap/>
        <w:overflowPunct/>
        <w:topLinePunct w:val="0"/>
        <w:autoSpaceDE/>
        <w:autoSpaceDN/>
        <w:bidi w:val="0"/>
        <w:ind w:firstLine="0"/>
        <w:outlineLvl w:val="9"/>
        <w:rPr>
          <w:rFonts w:hint="eastAsia" w:ascii="宋体" w:hAnsi="宋体" w:eastAsia="宋体" w:cs="宋体"/>
          <w:b/>
          <w:color w:val="auto"/>
          <w:sz w:val="32"/>
          <w:szCs w:val="52"/>
          <w:highlight w:val="none"/>
        </w:rPr>
      </w:pPr>
    </w:p>
    <w:p>
      <w:pPr>
        <w:pStyle w:val="10"/>
        <w:pageBreakBefore w:val="0"/>
        <w:kinsoku/>
        <w:wordWrap/>
        <w:overflowPunct/>
        <w:topLinePunct w:val="0"/>
        <w:autoSpaceDE/>
        <w:autoSpaceDN/>
        <w:bidi w:val="0"/>
        <w:snapToGrid w:val="0"/>
        <w:spacing w:before="120" w:after="120"/>
        <w:ind w:firstLine="281" w:firstLineChars="100"/>
        <w:outlineLvl w:val="9"/>
        <w:rPr>
          <w:rFonts w:hint="eastAsia" w:ascii="宋体" w:hAnsi="宋体" w:eastAsia="宋体" w:cs="宋体"/>
          <w:b/>
          <w:bCs/>
          <w:color w:val="auto"/>
          <w:sz w:val="28"/>
          <w:szCs w:val="28"/>
          <w:highlight w:val="yellow"/>
          <w:lang w:eastAsia="zh-CN"/>
        </w:rPr>
      </w:pPr>
      <w:r>
        <w:rPr>
          <w:rFonts w:hint="eastAsia" w:ascii="宋体" w:hAnsi="宋体" w:eastAsia="宋体" w:cs="宋体"/>
          <w:b/>
          <w:bCs/>
          <w:color w:val="auto"/>
          <w:sz w:val="28"/>
          <w:szCs w:val="28"/>
          <w:highlight w:val="none"/>
        </w:rPr>
        <w:t>项目编号：</w:t>
      </w:r>
      <w:r>
        <w:rPr>
          <w:rFonts w:hint="eastAsia" w:ascii="宋体" w:hAnsi="宋体" w:cs="宋体"/>
          <w:b/>
          <w:bCs/>
          <w:color w:val="auto"/>
          <w:sz w:val="28"/>
          <w:szCs w:val="28"/>
          <w:highlight w:val="none"/>
          <w:lang w:eastAsia="zh-CN"/>
        </w:rPr>
        <w:t>ZJTX2022-CG030磋</w:t>
      </w:r>
    </w:p>
    <w:p>
      <w:pPr>
        <w:pStyle w:val="10"/>
        <w:pageBreakBefore w:val="0"/>
        <w:kinsoku/>
        <w:wordWrap/>
        <w:overflowPunct/>
        <w:topLinePunct w:val="0"/>
        <w:autoSpaceDE/>
        <w:autoSpaceDN/>
        <w:bidi w:val="0"/>
        <w:snapToGrid w:val="0"/>
        <w:spacing w:before="120" w:after="120"/>
        <w:ind w:left="319" w:leftChars="114" w:firstLine="0" w:firstLineChars="0"/>
        <w:outlineLvl w:val="9"/>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eastAsia="zh-CN"/>
        </w:rPr>
        <w:t>项目名称：</w:t>
      </w:r>
      <w:r>
        <w:rPr>
          <w:rFonts w:hint="eastAsia" w:ascii="宋体" w:hAnsi="宋体" w:cs="宋体"/>
          <w:b/>
          <w:bCs/>
          <w:color w:val="auto"/>
          <w:sz w:val="28"/>
          <w:szCs w:val="28"/>
          <w:highlight w:val="none"/>
          <w:lang w:val="en-US" w:eastAsia="zh-CN"/>
        </w:rPr>
        <w:t>宁海县力洋镇公共安全雪亮二期项目</w:t>
      </w:r>
    </w:p>
    <w:p>
      <w:pPr>
        <w:pStyle w:val="10"/>
        <w:pageBreakBefore w:val="0"/>
        <w:kinsoku/>
        <w:wordWrap/>
        <w:overflowPunct/>
        <w:topLinePunct w:val="0"/>
        <w:autoSpaceDE/>
        <w:autoSpaceDN/>
        <w:bidi w:val="0"/>
        <w:snapToGrid w:val="0"/>
        <w:spacing w:before="120" w:after="120"/>
        <w:ind w:left="319" w:leftChars="114" w:firstLine="0" w:firstLineChars="0"/>
        <w:outlineLvl w:val="9"/>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采购单位：</w:t>
      </w:r>
      <w:r>
        <w:rPr>
          <w:rFonts w:hint="eastAsia" w:ascii="宋体" w:hAnsi="宋体" w:cs="宋体"/>
          <w:b/>
          <w:bCs/>
          <w:color w:val="auto"/>
          <w:sz w:val="28"/>
          <w:szCs w:val="28"/>
          <w:highlight w:val="none"/>
          <w:lang w:val="en-US" w:eastAsia="zh-CN"/>
        </w:rPr>
        <w:t xml:space="preserve">宁海县力洋镇人民政府  </w:t>
      </w:r>
    </w:p>
    <w:p>
      <w:pPr>
        <w:pStyle w:val="10"/>
        <w:pageBreakBefore w:val="0"/>
        <w:kinsoku/>
        <w:wordWrap/>
        <w:overflowPunct/>
        <w:topLinePunct w:val="0"/>
        <w:autoSpaceDE/>
        <w:autoSpaceDN/>
        <w:bidi w:val="0"/>
        <w:snapToGrid w:val="0"/>
        <w:spacing w:before="120" w:after="120"/>
        <w:ind w:firstLine="281" w:firstLineChars="100"/>
        <w:outlineLvl w:val="9"/>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val="en-US" w:eastAsia="zh-CN"/>
        </w:rPr>
        <w:t>采购</w:t>
      </w:r>
      <w:r>
        <w:rPr>
          <w:rFonts w:hint="eastAsia" w:ascii="宋体" w:hAnsi="宋体" w:cs="宋体"/>
          <w:b/>
          <w:bCs/>
          <w:color w:val="auto"/>
          <w:sz w:val="28"/>
          <w:szCs w:val="28"/>
          <w:highlight w:val="none"/>
          <w:lang w:eastAsia="zh-CN"/>
        </w:rPr>
        <w:t>代理机构：浙江同欣工程管理有限公司</w:t>
      </w:r>
    </w:p>
    <w:p>
      <w:pPr>
        <w:pStyle w:val="10"/>
        <w:pageBreakBefore w:val="0"/>
        <w:kinsoku/>
        <w:wordWrap/>
        <w:overflowPunct/>
        <w:topLinePunct w:val="0"/>
        <w:autoSpaceDE/>
        <w:autoSpaceDN/>
        <w:bidi w:val="0"/>
        <w:snapToGrid w:val="0"/>
        <w:spacing w:before="120" w:after="120"/>
        <w:outlineLvl w:val="9"/>
        <w:rPr>
          <w:rFonts w:hint="eastAsia" w:ascii="宋体" w:hAnsi="宋体" w:eastAsia="宋体" w:cs="宋体"/>
          <w:b/>
          <w:bCs/>
          <w:color w:val="auto"/>
          <w:w w:val="95"/>
          <w:sz w:val="32"/>
          <w:szCs w:val="32"/>
          <w:highlight w:val="none"/>
        </w:rPr>
      </w:pPr>
    </w:p>
    <w:p>
      <w:pPr>
        <w:pStyle w:val="10"/>
        <w:pageBreakBefore w:val="0"/>
        <w:kinsoku/>
        <w:wordWrap/>
        <w:overflowPunct/>
        <w:topLinePunct w:val="0"/>
        <w:autoSpaceDE/>
        <w:autoSpaceDN/>
        <w:bidi w:val="0"/>
        <w:snapToGrid w:val="0"/>
        <w:spacing w:before="120" w:after="120"/>
        <w:outlineLvl w:val="9"/>
        <w:rPr>
          <w:rFonts w:hint="eastAsia" w:ascii="宋体" w:hAnsi="宋体" w:eastAsia="宋体" w:cs="宋体"/>
          <w:b/>
          <w:bCs/>
          <w:color w:val="auto"/>
          <w:w w:val="95"/>
          <w:sz w:val="32"/>
          <w:szCs w:val="32"/>
          <w:highlight w:val="none"/>
        </w:rPr>
      </w:pPr>
    </w:p>
    <w:p>
      <w:pPr>
        <w:pStyle w:val="22"/>
        <w:pageBreakBefore w:val="0"/>
        <w:kinsoku/>
        <w:wordWrap/>
        <w:overflowPunct/>
        <w:topLinePunct w:val="0"/>
        <w:autoSpaceDE/>
        <w:autoSpaceDN/>
        <w:bidi w:val="0"/>
        <w:ind w:firstLine="0"/>
        <w:outlineLvl w:val="9"/>
        <w:rPr>
          <w:rFonts w:hint="eastAsia" w:ascii="宋体" w:hAnsi="宋体" w:eastAsia="宋体" w:cs="宋体"/>
          <w:b/>
          <w:color w:val="auto"/>
          <w:szCs w:val="44"/>
          <w:highlight w:val="none"/>
        </w:rPr>
      </w:pPr>
    </w:p>
    <w:p>
      <w:pPr>
        <w:pStyle w:val="22"/>
        <w:pageBreakBefore w:val="0"/>
        <w:kinsoku/>
        <w:wordWrap/>
        <w:overflowPunct/>
        <w:topLinePunct w:val="0"/>
        <w:autoSpaceDE/>
        <w:autoSpaceDN/>
        <w:bidi w:val="0"/>
        <w:spacing w:before="0" w:after="0"/>
        <w:ind w:firstLine="0"/>
        <w:outlineLvl w:val="9"/>
        <w:rPr>
          <w:rFonts w:hint="eastAsia" w:ascii="宋体" w:hAnsi="宋体" w:eastAsia="宋体" w:cs="宋体"/>
          <w:color w:val="auto"/>
          <w:sz w:val="36"/>
          <w:szCs w:val="36"/>
          <w:highlight w:val="none"/>
        </w:rPr>
      </w:pPr>
    </w:p>
    <w:p>
      <w:pPr>
        <w:pStyle w:val="22"/>
        <w:pageBreakBefore w:val="0"/>
        <w:kinsoku/>
        <w:wordWrap/>
        <w:overflowPunct/>
        <w:topLinePunct w:val="0"/>
        <w:autoSpaceDE/>
        <w:autoSpaceDN/>
        <w:bidi w:val="0"/>
        <w:spacing w:before="0" w:after="0"/>
        <w:ind w:firstLine="0"/>
        <w:jc w:val="center"/>
        <w:outlineLvl w:val="9"/>
        <w:rPr>
          <w:rFonts w:hint="default" w:ascii="宋体" w:hAnsi="宋体" w:eastAsia="宋体" w:cs="宋体"/>
          <w:color w:val="auto"/>
          <w:sz w:val="36"/>
          <w:szCs w:val="36"/>
          <w:highlight w:val="none"/>
          <w:lang w:val="en-US" w:eastAsia="zh-CN"/>
        </w:rPr>
        <w:sectPr>
          <w:footerReference r:id="rId5" w:type="default"/>
          <w:pgSz w:w="11906" w:h="16838"/>
          <w:pgMar w:top="1440" w:right="1800" w:bottom="1440" w:left="1800" w:header="851" w:footer="851" w:gutter="0"/>
          <w:pgBorders>
            <w:top w:val="none" w:sz="0" w:space="0"/>
            <w:left w:val="none" w:sz="0" w:space="0"/>
            <w:bottom w:val="none" w:sz="0" w:space="0"/>
            <w:right w:val="none" w:sz="0" w:space="0"/>
          </w:pgBorders>
          <w:pgNumType w:start="1"/>
          <w:cols w:space="720" w:num="1"/>
          <w:docGrid w:linePitch="312" w:charSpace="0"/>
        </w:sectPr>
      </w:pPr>
      <w:r>
        <w:rPr>
          <w:rFonts w:hint="eastAsia" w:ascii="宋体" w:hAnsi="宋体"/>
          <w:b/>
          <w:sz w:val="32"/>
          <w:szCs w:val="32"/>
          <w:lang w:val="en-US" w:eastAsia="zh-CN"/>
        </w:rPr>
        <w:t>2022</w:t>
      </w:r>
      <w:r>
        <w:rPr>
          <w:rFonts w:hint="eastAsia" w:ascii="宋体" w:hAnsi="宋体"/>
          <w:b/>
          <w:sz w:val="32"/>
          <w:szCs w:val="32"/>
        </w:rPr>
        <w:t>年</w:t>
      </w:r>
      <w:r>
        <w:rPr>
          <w:rFonts w:hint="eastAsia" w:ascii="宋体" w:hAnsi="宋体"/>
          <w:b/>
          <w:sz w:val="32"/>
          <w:szCs w:val="32"/>
          <w:lang w:val="en-US" w:eastAsia="zh-CN"/>
        </w:rPr>
        <w:t>12</w:t>
      </w:r>
      <w:r>
        <w:rPr>
          <w:rFonts w:hint="eastAsia" w:ascii="宋体" w:hAnsi="宋体"/>
          <w:b/>
          <w:sz w:val="32"/>
          <w:szCs w:val="32"/>
        </w:rPr>
        <w:t>月</w:t>
      </w:r>
    </w:p>
    <w:p>
      <w:pPr>
        <w:pStyle w:val="22"/>
        <w:pageBreakBefore w:val="0"/>
        <w:kinsoku/>
        <w:wordWrap/>
        <w:overflowPunct/>
        <w:topLinePunct w:val="0"/>
        <w:autoSpaceDE/>
        <w:autoSpaceDN/>
        <w:bidi w:val="0"/>
        <w:spacing w:before="0" w:after="0"/>
        <w:ind w:firstLine="0"/>
        <w:outlineLvl w:val="9"/>
        <w:rPr>
          <w:rFonts w:hint="eastAsia" w:ascii="宋体" w:hAnsi="宋体" w:eastAsia="宋体" w:cs="宋体"/>
          <w:color w:val="auto"/>
          <w:sz w:val="36"/>
          <w:szCs w:val="36"/>
          <w:highlight w:val="none"/>
        </w:rPr>
      </w:pPr>
    </w:p>
    <w:p>
      <w:pPr>
        <w:pStyle w:val="22"/>
        <w:pageBreakBefore w:val="0"/>
        <w:kinsoku/>
        <w:wordWrap/>
        <w:overflowPunct/>
        <w:topLinePunct w:val="0"/>
        <w:autoSpaceDE/>
        <w:autoSpaceDN/>
        <w:bidi w:val="0"/>
        <w:ind w:firstLine="0"/>
        <w:jc w:val="center"/>
        <w:outlineLvl w:val="9"/>
        <w:rPr>
          <w:rFonts w:hint="eastAsia" w:ascii="宋体" w:hAnsi="宋体" w:eastAsia="宋体" w:cs="宋体"/>
          <w:b/>
          <w:bCs/>
          <w:color w:val="auto"/>
          <w:szCs w:val="28"/>
          <w:highlight w:val="none"/>
        </w:rPr>
      </w:pPr>
    </w:p>
    <w:p>
      <w:pPr>
        <w:pStyle w:val="22"/>
        <w:pageBreakBefore w:val="0"/>
        <w:kinsoku/>
        <w:wordWrap/>
        <w:overflowPunct/>
        <w:topLinePunct w:val="0"/>
        <w:autoSpaceDE/>
        <w:autoSpaceDN/>
        <w:bidi w:val="0"/>
        <w:ind w:firstLine="1474"/>
        <w:jc w:val="center"/>
        <w:outlineLvl w:val="9"/>
        <w:rPr>
          <w:rFonts w:hint="eastAsia" w:ascii="宋体" w:hAnsi="宋体" w:eastAsia="宋体" w:cs="宋体"/>
          <w:b/>
          <w:color w:val="auto"/>
          <w:sz w:val="30"/>
          <w:szCs w:val="48"/>
          <w:highlight w:val="none"/>
        </w:rPr>
        <w:sectPr>
          <w:footerReference r:id="rId6" w:type="default"/>
          <w:pgSz w:w="11906" w:h="16838"/>
          <w:pgMar w:top="1440" w:right="1800" w:bottom="1440" w:left="1800" w:header="851" w:footer="851" w:gutter="0"/>
          <w:pgBorders>
            <w:top w:val="none" w:sz="0" w:space="0"/>
            <w:left w:val="none" w:sz="0" w:space="0"/>
            <w:bottom w:val="none" w:sz="0" w:space="0"/>
            <w:right w:val="none" w:sz="0" w:space="0"/>
          </w:pgBorders>
          <w:pgNumType w:start="1"/>
          <w:cols w:space="720" w:num="1"/>
          <w:docGrid w:linePitch="312" w:charSpace="0"/>
        </w:sectPr>
      </w:pPr>
    </w:p>
    <w:p>
      <w:pPr>
        <w:pStyle w:val="15"/>
        <w:pageBreakBefore w:val="0"/>
        <w:tabs>
          <w:tab w:val="left" w:pos="1200"/>
          <w:tab w:val="right" w:leader="dot" w:pos="9060"/>
        </w:tabs>
        <w:kinsoku/>
        <w:wordWrap/>
        <w:overflowPunct/>
        <w:topLinePunct w:val="0"/>
        <w:autoSpaceDE/>
        <w:autoSpaceDN/>
        <w:bidi w:val="0"/>
        <w:jc w:val="center"/>
        <w:outlineLvl w:val="9"/>
        <w:rPr>
          <w:rFonts w:hint="eastAsia" w:ascii="宋体" w:hAnsi="宋体" w:eastAsia="宋体" w:cs="宋体"/>
          <w:color w:val="auto"/>
          <w:sz w:val="32"/>
          <w:szCs w:val="32"/>
          <w:highlight w:val="none"/>
        </w:rPr>
      </w:pPr>
      <w:bookmarkStart w:id="0" w:name="_Toc20823272"/>
      <w:bookmarkStart w:id="1" w:name="_Toc403987193"/>
      <w:bookmarkStart w:id="2" w:name="_Toc479757206"/>
      <w:bookmarkStart w:id="3" w:name="_Toc403986986"/>
      <w:bookmarkStart w:id="4" w:name="_Toc513029200"/>
      <w:bookmarkStart w:id="5" w:name="_Toc120614210"/>
      <w:bookmarkStart w:id="6" w:name="_Toc523127445"/>
      <w:bookmarkStart w:id="7" w:name="_Toc16938516"/>
    </w:p>
    <w:p>
      <w:pPr>
        <w:pStyle w:val="15"/>
        <w:pageBreakBefore w:val="0"/>
        <w:tabs>
          <w:tab w:val="left" w:pos="1200"/>
          <w:tab w:val="right" w:leader="dot" w:pos="9060"/>
        </w:tabs>
        <w:kinsoku/>
        <w:wordWrap/>
        <w:overflowPunct/>
        <w:topLinePunct w:val="0"/>
        <w:autoSpaceDE/>
        <w:autoSpaceDN/>
        <w:bidi w:val="0"/>
        <w:jc w:val="center"/>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目  录</w:t>
      </w:r>
      <w:bookmarkEnd w:id="0"/>
      <w:bookmarkEnd w:id="1"/>
      <w:bookmarkEnd w:id="2"/>
      <w:bookmarkEnd w:id="3"/>
      <w:bookmarkEnd w:id="4"/>
      <w:bookmarkEnd w:id="5"/>
      <w:bookmarkEnd w:id="6"/>
      <w:bookmarkEnd w:id="7"/>
    </w:p>
    <w:p>
      <w:pPr>
        <w:pageBreakBefore w:val="0"/>
        <w:kinsoku/>
        <w:wordWrap/>
        <w:overflowPunct/>
        <w:topLinePunct w:val="0"/>
        <w:autoSpaceDE/>
        <w:autoSpaceDN/>
        <w:bidi w:val="0"/>
        <w:outlineLvl w:val="9"/>
        <w:rPr>
          <w:rFonts w:hint="eastAsia" w:ascii="宋体" w:hAnsi="宋体" w:eastAsia="宋体" w:cs="宋体"/>
          <w:color w:val="auto"/>
          <w:sz w:val="32"/>
          <w:szCs w:val="32"/>
          <w:highlight w:val="none"/>
        </w:rPr>
      </w:pPr>
    </w:p>
    <w:p>
      <w:pPr>
        <w:pStyle w:val="15"/>
        <w:tabs>
          <w:tab w:val="right" w:leader="dot" w:pos="8958"/>
        </w:tabs>
        <w:rPr>
          <w:rFonts w:hint="eastAsia" w:ascii="宋体" w:hAnsi="宋体" w:eastAsia="宋体" w:cs="宋体"/>
          <w:color w:val="auto"/>
          <w:sz w:val="32"/>
          <w:szCs w:val="32"/>
          <w:highlight w:val="none"/>
        </w:rPr>
      </w:pP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TOC \o "1-1" \h \z \u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HYPERLINK \l _Toc11581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color w:val="auto"/>
          <w:kern w:val="2"/>
          <w:sz w:val="32"/>
          <w:szCs w:val="32"/>
          <w:highlight w:val="none"/>
        </w:rPr>
        <w:t>第一章 采购邀请</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_Toc11581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bCs w:val="0"/>
          <w:caps w:val="0"/>
          <w:color w:val="auto"/>
          <w:sz w:val="32"/>
          <w:szCs w:val="32"/>
          <w:highlight w:val="none"/>
        </w:rPr>
        <w:fldChar w:fldCharType="end"/>
      </w:r>
    </w:p>
    <w:p>
      <w:pPr>
        <w:pStyle w:val="15"/>
        <w:tabs>
          <w:tab w:val="right" w:leader="dot" w:pos="8958"/>
        </w:tabs>
        <w:rPr>
          <w:rFonts w:hint="eastAsia" w:ascii="宋体" w:hAnsi="宋体" w:eastAsia="宋体" w:cs="宋体"/>
          <w:color w:val="auto"/>
          <w:sz w:val="32"/>
          <w:szCs w:val="32"/>
          <w:highlight w:val="none"/>
        </w:rPr>
      </w:pP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HYPERLINK \l _Toc15207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color w:val="auto"/>
          <w:kern w:val="2"/>
          <w:sz w:val="32"/>
          <w:szCs w:val="32"/>
          <w:highlight w:val="none"/>
        </w:rPr>
        <w:t>第二章 供应商须知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_Toc15207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5</w:t>
      </w:r>
      <w:r>
        <w:rPr>
          <w:rFonts w:hint="eastAsia" w:ascii="宋体" w:hAnsi="宋体" w:eastAsia="宋体" w:cs="宋体"/>
          <w:color w:val="auto"/>
          <w:sz w:val="32"/>
          <w:szCs w:val="32"/>
          <w:highlight w:val="none"/>
        </w:rPr>
        <w:fldChar w:fldCharType="end"/>
      </w:r>
      <w:r>
        <w:rPr>
          <w:rFonts w:hint="eastAsia" w:ascii="宋体" w:hAnsi="宋体" w:eastAsia="宋体" w:cs="宋体"/>
          <w:bCs w:val="0"/>
          <w:caps w:val="0"/>
          <w:color w:val="auto"/>
          <w:sz w:val="32"/>
          <w:szCs w:val="32"/>
          <w:highlight w:val="none"/>
        </w:rPr>
        <w:fldChar w:fldCharType="end"/>
      </w:r>
    </w:p>
    <w:p>
      <w:pPr>
        <w:pStyle w:val="15"/>
        <w:tabs>
          <w:tab w:val="right" w:leader="dot" w:pos="8958"/>
        </w:tabs>
        <w:rPr>
          <w:rFonts w:hint="eastAsia" w:ascii="宋体" w:hAnsi="宋体" w:eastAsia="宋体" w:cs="宋体"/>
          <w:color w:val="auto"/>
          <w:sz w:val="32"/>
          <w:szCs w:val="32"/>
          <w:highlight w:val="none"/>
          <w:lang w:val="en-US" w:eastAsia="zh-CN"/>
        </w:rPr>
      </w:pP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HYPERLINK \l _Toc22301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color w:val="auto"/>
          <w:kern w:val="2"/>
          <w:sz w:val="32"/>
          <w:szCs w:val="32"/>
          <w:highlight w:val="none"/>
          <w:lang w:val="en-US" w:eastAsia="zh-CN" w:bidi="ar-SA"/>
        </w:rPr>
        <w:t>第三章 合同条款及格式</w:t>
      </w: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rPr>
        <w:tab/>
      </w:r>
      <w:r>
        <w:rPr>
          <w:rFonts w:hint="eastAsia" w:ascii="宋体" w:hAnsi="宋体" w:cs="宋体"/>
          <w:color w:val="auto"/>
          <w:sz w:val="32"/>
          <w:szCs w:val="32"/>
          <w:highlight w:val="none"/>
          <w:lang w:val="en-US" w:eastAsia="zh-CN"/>
        </w:rPr>
        <w:t>1</w:t>
      </w:r>
      <w:r>
        <w:rPr>
          <w:rFonts w:hint="eastAsia" w:ascii="宋体" w:hAnsi="宋体" w:eastAsia="宋体" w:cs="宋体"/>
          <w:bCs w:val="0"/>
          <w:caps w:val="0"/>
          <w:color w:val="auto"/>
          <w:sz w:val="32"/>
          <w:szCs w:val="32"/>
          <w:highlight w:val="none"/>
        </w:rPr>
        <w:fldChar w:fldCharType="end"/>
      </w:r>
      <w:r>
        <w:rPr>
          <w:rFonts w:hint="eastAsia" w:ascii="宋体" w:hAnsi="宋体" w:cs="宋体"/>
          <w:bCs w:val="0"/>
          <w:caps w:val="0"/>
          <w:color w:val="auto"/>
          <w:sz w:val="32"/>
          <w:szCs w:val="32"/>
          <w:highlight w:val="none"/>
          <w:lang w:val="en-US" w:eastAsia="zh-CN"/>
        </w:rPr>
        <w:t>8</w:t>
      </w:r>
    </w:p>
    <w:p>
      <w:pPr>
        <w:pStyle w:val="15"/>
        <w:tabs>
          <w:tab w:val="right" w:leader="dot" w:pos="8958"/>
        </w:tabs>
        <w:rPr>
          <w:rFonts w:hint="eastAsia" w:ascii="宋体" w:hAnsi="宋体" w:eastAsia="宋体" w:cs="宋体"/>
          <w:color w:val="auto"/>
          <w:sz w:val="32"/>
          <w:szCs w:val="32"/>
          <w:highlight w:val="none"/>
          <w:lang w:val="en-US" w:eastAsia="zh-CN"/>
        </w:rPr>
      </w:pP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HYPERLINK \l _Toc19729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color w:val="auto"/>
          <w:kern w:val="2"/>
          <w:sz w:val="32"/>
          <w:szCs w:val="32"/>
          <w:highlight w:val="none"/>
        </w:rPr>
        <w:t>第四章 项目需求</w:t>
      </w:r>
      <w:r>
        <w:rPr>
          <w:rFonts w:hint="eastAsia" w:ascii="宋体" w:hAnsi="宋体" w:eastAsia="宋体" w:cs="宋体"/>
          <w:color w:val="auto"/>
          <w:sz w:val="32"/>
          <w:szCs w:val="32"/>
          <w:highlight w:val="none"/>
        </w:rPr>
        <w:tab/>
      </w:r>
      <w:r>
        <w:rPr>
          <w:rFonts w:hint="eastAsia" w:ascii="宋体" w:hAnsi="宋体" w:cs="宋体"/>
          <w:color w:val="auto"/>
          <w:sz w:val="32"/>
          <w:szCs w:val="32"/>
          <w:highlight w:val="none"/>
          <w:lang w:val="en-US" w:eastAsia="zh-CN"/>
        </w:rPr>
        <w:t>2</w:t>
      </w:r>
      <w:r>
        <w:rPr>
          <w:rFonts w:hint="eastAsia" w:ascii="宋体" w:hAnsi="宋体" w:eastAsia="宋体" w:cs="宋体"/>
          <w:bCs w:val="0"/>
          <w:caps w:val="0"/>
          <w:color w:val="auto"/>
          <w:sz w:val="32"/>
          <w:szCs w:val="32"/>
          <w:highlight w:val="none"/>
        </w:rPr>
        <w:fldChar w:fldCharType="end"/>
      </w:r>
      <w:r>
        <w:rPr>
          <w:rFonts w:hint="eastAsia" w:ascii="宋体" w:hAnsi="宋体" w:cs="宋体"/>
          <w:bCs w:val="0"/>
          <w:caps w:val="0"/>
          <w:color w:val="auto"/>
          <w:sz w:val="32"/>
          <w:szCs w:val="32"/>
          <w:highlight w:val="none"/>
          <w:lang w:val="en-US" w:eastAsia="zh-CN"/>
        </w:rPr>
        <w:t>0</w:t>
      </w:r>
    </w:p>
    <w:p>
      <w:pPr>
        <w:pStyle w:val="15"/>
        <w:tabs>
          <w:tab w:val="right" w:leader="dot" w:pos="8958"/>
        </w:tabs>
        <w:rPr>
          <w:rFonts w:hint="eastAsia" w:ascii="宋体" w:hAnsi="宋体" w:eastAsia="宋体" w:cs="宋体"/>
          <w:color w:val="auto"/>
          <w:sz w:val="32"/>
          <w:szCs w:val="32"/>
          <w:highlight w:val="none"/>
          <w:lang w:val="en-US" w:eastAsia="zh-CN"/>
        </w:rPr>
      </w:pP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HYPERLINK \l _Toc31968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color w:val="auto"/>
          <w:kern w:val="2"/>
          <w:sz w:val="32"/>
          <w:szCs w:val="32"/>
          <w:highlight w:val="none"/>
        </w:rPr>
        <w:t>第五章 评审标准</w:t>
      </w:r>
      <w:r>
        <w:rPr>
          <w:rFonts w:hint="eastAsia" w:ascii="宋体" w:hAnsi="宋体" w:eastAsia="宋体" w:cs="宋体"/>
          <w:color w:val="auto"/>
          <w:sz w:val="32"/>
          <w:szCs w:val="32"/>
          <w:highlight w:val="none"/>
        </w:rPr>
        <w:tab/>
      </w:r>
      <w:r>
        <w:rPr>
          <w:rFonts w:hint="eastAsia" w:ascii="宋体" w:hAnsi="宋体" w:cs="宋体"/>
          <w:color w:val="auto"/>
          <w:sz w:val="32"/>
          <w:szCs w:val="32"/>
          <w:highlight w:val="none"/>
          <w:lang w:val="en-US" w:eastAsia="zh-CN"/>
        </w:rPr>
        <w:t>2</w:t>
      </w:r>
      <w:r>
        <w:rPr>
          <w:rFonts w:hint="eastAsia" w:ascii="宋体" w:hAnsi="宋体" w:eastAsia="宋体" w:cs="宋体"/>
          <w:bCs w:val="0"/>
          <w:caps w:val="0"/>
          <w:color w:val="auto"/>
          <w:sz w:val="32"/>
          <w:szCs w:val="32"/>
          <w:highlight w:val="none"/>
        </w:rPr>
        <w:fldChar w:fldCharType="end"/>
      </w:r>
      <w:r>
        <w:rPr>
          <w:rFonts w:hint="eastAsia" w:ascii="宋体" w:hAnsi="宋体" w:cs="宋体"/>
          <w:bCs w:val="0"/>
          <w:caps w:val="0"/>
          <w:color w:val="auto"/>
          <w:sz w:val="32"/>
          <w:szCs w:val="32"/>
          <w:highlight w:val="none"/>
          <w:lang w:val="en-US" w:eastAsia="zh-CN"/>
        </w:rPr>
        <w:t>8</w:t>
      </w:r>
    </w:p>
    <w:p>
      <w:pPr>
        <w:pStyle w:val="15"/>
        <w:tabs>
          <w:tab w:val="right" w:leader="dot" w:pos="8958"/>
        </w:tabs>
        <w:rPr>
          <w:rFonts w:hint="eastAsia" w:ascii="宋体" w:hAnsi="宋体" w:eastAsia="宋体" w:cs="宋体"/>
          <w:color w:val="auto"/>
          <w:sz w:val="32"/>
          <w:szCs w:val="32"/>
          <w:highlight w:val="none"/>
          <w:lang w:val="en-US" w:eastAsia="zh-CN"/>
        </w:rPr>
      </w:pPr>
      <w:r>
        <w:rPr>
          <w:rFonts w:hint="eastAsia" w:ascii="宋体" w:hAnsi="宋体" w:eastAsia="宋体" w:cs="宋体"/>
          <w:bCs w:val="0"/>
          <w:caps w:val="0"/>
          <w:color w:val="auto"/>
          <w:sz w:val="32"/>
          <w:szCs w:val="32"/>
          <w:highlight w:val="none"/>
        </w:rPr>
        <w:fldChar w:fldCharType="begin"/>
      </w:r>
      <w:r>
        <w:rPr>
          <w:rFonts w:hint="eastAsia" w:ascii="宋体" w:hAnsi="宋体" w:eastAsia="宋体" w:cs="宋体"/>
          <w:bCs w:val="0"/>
          <w:caps w:val="0"/>
          <w:color w:val="auto"/>
          <w:sz w:val="32"/>
          <w:szCs w:val="32"/>
          <w:highlight w:val="none"/>
        </w:rPr>
        <w:instrText xml:space="preserve"> HYPERLINK \l _Toc12702 </w:instrText>
      </w:r>
      <w:r>
        <w:rPr>
          <w:rFonts w:hint="eastAsia" w:ascii="宋体" w:hAnsi="宋体" w:eastAsia="宋体" w:cs="宋体"/>
          <w:bCs w:val="0"/>
          <w:caps w:val="0"/>
          <w:color w:val="auto"/>
          <w:sz w:val="32"/>
          <w:szCs w:val="32"/>
          <w:highlight w:val="none"/>
        </w:rPr>
        <w:fldChar w:fldCharType="separate"/>
      </w:r>
      <w:r>
        <w:rPr>
          <w:rFonts w:hint="eastAsia" w:ascii="宋体" w:hAnsi="宋体" w:eastAsia="宋体" w:cs="宋体"/>
          <w:color w:val="auto"/>
          <w:kern w:val="2"/>
          <w:sz w:val="32"/>
          <w:szCs w:val="32"/>
          <w:highlight w:val="none"/>
          <w:lang w:val="en-US" w:eastAsia="zh-CN" w:bidi="ar-SA"/>
        </w:rPr>
        <w:t>第六章 响应文件格式</w:t>
      </w:r>
      <w:r>
        <w:rPr>
          <w:rFonts w:hint="eastAsia" w:ascii="宋体" w:hAnsi="宋体" w:eastAsia="宋体" w:cs="宋体"/>
          <w:color w:val="auto"/>
          <w:sz w:val="32"/>
          <w:szCs w:val="32"/>
          <w:highlight w:val="none"/>
        </w:rPr>
        <w:tab/>
      </w:r>
      <w:r>
        <w:rPr>
          <w:rFonts w:hint="eastAsia" w:ascii="宋体" w:hAnsi="宋体" w:cs="宋体"/>
          <w:color w:val="auto"/>
          <w:sz w:val="32"/>
          <w:szCs w:val="32"/>
          <w:highlight w:val="none"/>
          <w:lang w:val="en-US" w:eastAsia="zh-CN"/>
        </w:rPr>
        <w:t>3</w:t>
      </w:r>
      <w:r>
        <w:rPr>
          <w:rFonts w:hint="eastAsia" w:ascii="宋体" w:hAnsi="宋体" w:eastAsia="宋体" w:cs="宋体"/>
          <w:bCs w:val="0"/>
          <w:caps w:val="0"/>
          <w:color w:val="auto"/>
          <w:sz w:val="32"/>
          <w:szCs w:val="32"/>
          <w:highlight w:val="none"/>
        </w:rPr>
        <w:fldChar w:fldCharType="end"/>
      </w:r>
      <w:r>
        <w:rPr>
          <w:rFonts w:hint="eastAsia" w:ascii="宋体" w:hAnsi="宋体" w:cs="宋体"/>
          <w:bCs w:val="0"/>
          <w:caps w:val="0"/>
          <w:color w:val="auto"/>
          <w:sz w:val="32"/>
          <w:szCs w:val="32"/>
          <w:highlight w:val="none"/>
          <w:lang w:val="en-US" w:eastAsia="zh-CN"/>
        </w:rPr>
        <w:t>1</w:t>
      </w:r>
    </w:p>
    <w:p>
      <w:pPr>
        <w:pStyle w:val="15"/>
        <w:keepNext w:val="0"/>
        <w:keepLines w:val="0"/>
        <w:pageBreakBefore w:val="0"/>
        <w:widowControl w:val="0"/>
        <w:tabs>
          <w:tab w:val="right" w:leader="dot" w:pos="8306"/>
        </w:tabs>
        <w:kinsoku/>
        <w:wordWrap/>
        <w:overflowPunct/>
        <w:topLinePunct w:val="0"/>
        <w:autoSpaceDE/>
        <w:autoSpaceDN/>
        <w:bidi w:val="0"/>
        <w:adjustRightInd w:val="0"/>
        <w:snapToGrid/>
        <w:spacing w:before="160" w:after="160"/>
        <w:jc w:val="center"/>
        <w:textAlignment w:val="baseline"/>
        <w:outlineLvl w:val="9"/>
        <w:rPr>
          <w:rFonts w:hint="eastAsia" w:ascii="宋体" w:hAnsi="宋体" w:eastAsia="宋体" w:cs="宋体"/>
          <w:bCs w:val="0"/>
          <w:caps w:val="0"/>
          <w:color w:val="auto"/>
          <w:szCs w:val="28"/>
          <w:highlight w:val="none"/>
        </w:rPr>
      </w:pPr>
      <w:r>
        <w:rPr>
          <w:rFonts w:hint="eastAsia" w:ascii="宋体" w:hAnsi="宋体" w:eastAsia="宋体" w:cs="宋体"/>
          <w:bCs w:val="0"/>
          <w:caps w:val="0"/>
          <w:color w:val="auto"/>
          <w:sz w:val="32"/>
          <w:szCs w:val="32"/>
          <w:highlight w:val="none"/>
        </w:rPr>
        <w:fldChar w:fldCharType="end"/>
      </w:r>
      <w:bookmarkStart w:id="8" w:name="_Toc120614213"/>
      <w:bookmarkStart w:id="9" w:name="_Toc513029202"/>
      <w:bookmarkStart w:id="10" w:name="_Toc16938518"/>
      <w:bookmarkStart w:id="11" w:name="_Toc20823274"/>
      <w:bookmarkStart w:id="12" w:name="_Ref352791871"/>
      <w:bookmarkStart w:id="13" w:name="_Toc341993114"/>
      <w:bookmarkStart w:id="14" w:name="_Toc337620692"/>
      <w:bookmarkStart w:id="15" w:name="_Toc342558384"/>
      <w:bookmarkStart w:id="16" w:name="_Toc337622590"/>
      <w:bookmarkStart w:id="17" w:name="_Toc337620800"/>
      <w:bookmarkStart w:id="18" w:name="_Toc373781378"/>
      <w:bookmarkStart w:id="19" w:name="_Toc341993788"/>
      <w:bookmarkStart w:id="20" w:name="_Toc337584644"/>
      <w:bookmarkStart w:id="21" w:name="_Toc337622690"/>
      <w:bookmarkStart w:id="22" w:name="_Toc337622983"/>
      <w:bookmarkStart w:id="23" w:name="_Toc337622640"/>
      <w:bookmarkStart w:id="24" w:name="_Toc342374716"/>
      <w:bookmarkStart w:id="25" w:name="_Toc337622372"/>
      <w:bookmarkStart w:id="26" w:name="_Toc403401434"/>
      <w:bookmarkStart w:id="27" w:name="_Toc337584958"/>
      <w:bookmarkStart w:id="28" w:name="_Toc337584877"/>
      <w:bookmarkStart w:id="29" w:name="_Toc341992710"/>
      <w:bookmarkStart w:id="30" w:name="_Toc337622790"/>
      <w:bookmarkStart w:id="31" w:name="_Toc403560410"/>
      <w:bookmarkStart w:id="32" w:name="_Toc342241487"/>
      <w:bookmarkStart w:id="33" w:name="_Toc341992630"/>
      <w:bookmarkStart w:id="34" w:name="_Toc337622278"/>
      <w:bookmarkStart w:id="35" w:name="_Toc342252863"/>
      <w:bookmarkStart w:id="36" w:name="_Toc366517151"/>
      <w:bookmarkStart w:id="37" w:name="_Toc341991044"/>
      <w:bookmarkStart w:id="38" w:name="_Toc337622251"/>
      <w:bookmarkStart w:id="39" w:name="_Toc342497332"/>
      <w:bookmarkStart w:id="40" w:name="_Toc341988484"/>
      <w:bookmarkStart w:id="41" w:name="_Toc337620620"/>
      <w:bookmarkStart w:id="42" w:name="_Toc365619242"/>
    </w:p>
    <w:p>
      <w:pPr>
        <w:pageBreakBefore w:val="0"/>
        <w:kinsoku/>
        <w:wordWrap/>
        <w:overflowPunct/>
        <w:topLinePunct w:val="0"/>
        <w:autoSpaceDE/>
        <w:autoSpaceDN/>
        <w:bidi w:val="0"/>
        <w:outlineLvl w:val="9"/>
        <w:rPr>
          <w:rFonts w:hint="eastAsia"/>
          <w:color w:val="auto"/>
          <w:highlight w:val="none"/>
        </w:rPr>
        <w:sectPr>
          <w:headerReference r:id="rId7" w:type="default"/>
          <w:footerReference r:id="rId8" w:type="default"/>
          <w:pgSz w:w="11906" w:h="16838"/>
          <w:pgMar w:top="1474" w:right="1474" w:bottom="1247" w:left="1474" w:header="851" w:footer="850" w:gutter="0"/>
          <w:pgBorders>
            <w:top w:val="none" w:sz="0" w:space="0"/>
            <w:left w:val="none" w:sz="0" w:space="0"/>
            <w:bottom w:val="none" w:sz="0" w:space="0"/>
            <w:right w:val="none" w:sz="0" w:space="0"/>
          </w:pgBorders>
          <w:pgNumType w:start="1"/>
          <w:cols w:space="720" w:num="1"/>
          <w:docGrid w:linePitch="312" w:charSpace="0"/>
        </w:sectPr>
      </w:pPr>
    </w:p>
    <w:p>
      <w:pPr>
        <w:pStyle w:val="23"/>
        <w:pageBreakBefore w:val="0"/>
        <w:kinsoku/>
        <w:wordWrap/>
        <w:overflowPunct/>
        <w:topLinePunct w:val="0"/>
        <w:autoSpaceDE/>
        <w:autoSpaceDN/>
        <w:bidi w:val="0"/>
        <w:ind w:left="0" w:leftChars="0" w:firstLine="0" w:firstLineChars="0"/>
        <w:outlineLvl w:val="9"/>
        <w:rPr>
          <w:rFonts w:hint="eastAsia"/>
          <w:color w:val="auto"/>
          <w:highlight w:val="none"/>
        </w:rPr>
        <w:sectPr>
          <w:footerReference r:id="rId9" w:type="default"/>
          <w:pgSz w:w="11906" w:h="16838"/>
          <w:pgMar w:top="1474" w:right="1474" w:bottom="1247" w:left="1474" w:header="851" w:footer="850" w:gutter="0"/>
          <w:pgBorders>
            <w:top w:val="none" w:sz="0" w:space="0"/>
            <w:left w:val="none" w:sz="0" w:space="0"/>
            <w:bottom w:val="none" w:sz="0" w:space="0"/>
            <w:right w:val="none" w:sz="0" w:space="0"/>
          </w:pgBorders>
          <w:pgNumType w:start="1"/>
          <w:cols w:space="720" w:num="1"/>
          <w:docGrid w:linePitch="312" w:charSpace="0"/>
        </w:sectPr>
      </w:pP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0"/>
        <w:rPr>
          <w:rFonts w:hint="eastAsia" w:ascii="宋体" w:hAnsi="宋体" w:eastAsia="宋体" w:cs="宋体"/>
          <w:b/>
          <w:color w:val="auto"/>
          <w:kern w:val="2"/>
          <w:sz w:val="32"/>
          <w:szCs w:val="32"/>
          <w:highlight w:val="none"/>
          <w:lang w:eastAsia="zh-CN"/>
        </w:rPr>
      </w:pPr>
      <w:bookmarkStart w:id="43" w:name="_Toc11581"/>
      <w:r>
        <w:rPr>
          <w:rFonts w:hint="eastAsia" w:ascii="宋体" w:hAnsi="宋体" w:eastAsia="宋体" w:cs="宋体"/>
          <w:b/>
          <w:color w:val="auto"/>
          <w:kern w:val="2"/>
          <w:sz w:val="32"/>
          <w:szCs w:val="32"/>
          <w:highlight w:val="none"/>
        </w:rPr>
        <w:t>第一章 采购邀请</w:t>
      </w:r>
      <w:bookmarkEnd w:id="43"/>
    </w:p>
    <w:tbl>
      <w:tblPr>
        <w:tblStyle w:val="1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noWrap w:val="0"/>
            <w:vAlign w:val="top"/>
          </w:tcPr>
          <w:p>
            <w:pPr>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i w:val="0"/>
                <w:iCs w:val="0"/>
                <w:color w:val="auto"/>
                <w:sz w:val="21"/>
                <w:szCs w:val="21"/>
                <w:highlight w:val="none"/>
                <w:u w:val="none"/>
                <w:lang w:eastAsia="zh-CN"/>
              </w:rPr>
            </w:pPr>
            <w:bookmarkStart w:id="44" w:name="_Toc35393790"/>
            <w:bookmarkStart w:id="45" w:name="_Toc35393621"/>
            <w:bookmarkStart w:id="46" w:name="_Toc28359079"/>
            <w:bookmarkStart w:id="47" w:name="_Toc28359002"/>
            <w:bookmarkStart w:id="48" w:name="_Hlk24379207"/>
            <w:r>
              <w:rPr>
                <w:rFonts w:hint="eastAsia" w:ascii="宋体" w:hAnsi="宋体" w:eastAsia="宋体" w:cs="宋体"/>
                <w:i w:val="0"/>
                <w:iCs w:val="0"/>
                <w:color w:val="auto"/>
                <w:sz w:val="21"/>
                <w:szCs w:val="21"/>
                <w:highlight w:val="none"/>
                <w:u w:val="none"/>
                <w:lang w:eastAsia="zh-CN"/>
              </w:rPr>
              <w:t>项目概况：</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jc w:val="left"/>
              <w:outlineLvl w:val="9"/>
              <w:rPr>
                <w:rFonts w:hint="eastAsia" w:ascii="宋体" w:hAnsi="宋体" w:eastAsia="宋体" w:cs="宋体"/>
                <w:color w:val="auto"/>
                <w:sz w:val="21"/>
                <w:szCs w:val="21"/>
                <w:highlight w:val="none"/>
              </w:rPr>
            </w:pPr>
            <w:r>
              <w:rPr>
                <w:rFonts w:hint="eastAsia" w:ascii="宋体" w:hAnsi="宋体" w:eastAsia="宋体" w:cs="宋体"/>
                <w:i w:val="0"/>
                <w:iCs w:val="0"/>
                <w:color w:val="auto"/>
                <w:sz w:val="21"/>
                <w:szCs w:val="21"/>
                <w:highlight w:val="none"/>
                <w:u w:val="none"/>
                <w:lang w:eastAsia="zh-CN"/>
              </w:rPr>
              <w:t>（</w:t>
            </w:r>
            <w:r>
              <w:rPr>
                <w:rFonts w:hint="eastAsia" w:ascii="宋体" w:hAnsi="宋体" w:cs="宋体"/>
                <w:i w:val="0"/>
                <w:iCs w:val="0"/>
                <w:color w:val="auto"/>
                <w:sz w:val="21"/>
                <w:szCs w:val="21"/>
                <w:highlight w:val="none"/>
                <w:u w:val="none"/>
                <w:lang w:val="en-US" w:eastAsia="zh-CN"/>
              </w:rPr>
              <w:t>宁海县力洋镇公共安全雪亮二期项目</w:t>
            </w:r>
            <w:r>
              <w:rPr>
                <w:rFonts w:hint="eastAsia" w:ascii="宋体" w:hAnsi="宋体" w:eastAsia="宋体" w:cs="宋体"/>
                <w:i w:val="0"/>
                <w:iCs w:val="0"/>
                <w:color w:val="auto"/>
                <w:sz w:val="21"/>
                <w:szCs w:val="21"/>
                <w:highlight w:val="none"/>
                <w:u w:val="none"/>
                <w:lang w:eastAsia="zh-CN"/>
              </w:rPr>
              <w:t>）</w:t>
            </w:r>
            <w:r>
              <w:rPr>
                <w:rFonts w:hint="eastAsia" w:ascii="宋体" w:hAnsi="宋体" w:eastAsia="宋体" w:cs="宋体"/>
                <w:i w:val="0"/>
                <w:iCs w:val="0"/>
                <w:color w:val="auto"/>
                <w:sz w:val="21"/>
                <w:szCs w:val="21"/>
                <w:highlight w:val="none"/>
              </w:rPr>
              <w:t>招标项目的潜在投标人应在浙江政府采购云平台</w:t>
            </w:r>
            <w:r>
              <w:rPr>
                <w:rFonts w:hint="eastAsia" w:ascii="宋体" w:hAnsi="宋体" w:eastAsia="宋体" w:cs="宋体"/>
                <w:i w:val="0"/>
                <w:iCs w:val="0"/>
                <w:color w:val="auto"/>
                <w:sz w:val="21"/>
                <w:szCs w:val="21"/>
                <w:highlight w:val="none"/>
                <w:u w:val="single"/>
              </w:rPr>
              <w:t>（http://www.zcygov.cn/）</w:t>
            </w:r>
            <w:r>
              <w:rPr>
                <w:rFonts w:hint="eastAsia" w:ascii="宋体" w:hAnsi="宋体" w:eastAsia="宋体" w:cs="宋体"/>
                <w:i w:val="0"/>
                <w:iCs w:val="0"/>
                <w:color w:val="auto"/>
                <w:sz w:val="21"/>
                <w:szCs w:val="21"/>
                <w:highlight w:val="none"/>
              </w:rPr>
              <w:t>获取（下载）</w:t>
            </w:r>
            <w:r>
              <w:rPr>
                <w:rFonts w:hint="eastAsia" w:ascii="宋体" w:hAnsi="宋体" w:cs="宋体"/>
                <w:i w:val="0"/>
                <w:iCs w:val="0"/>
                <w:color w:val="auto"/>
                <w:sz w:val="21"/>
                <w:szCs w:val="21"/>
                <w:highlight w:val="none"/>
                <w:lang w:eastAsia="zh-CN"/>
              </w:rPr>
              <w:t>磋商文件</w:t>
            </w:r>
            <w:r>
              <w:rPr>
                <w:rFonts w:hint="eastAsia" w:ascii="宋体" w:hAnsi="宋体" w:eastAsia="宋体" w:cs="宋体"/>
                <w:i w:val="0"/>
                <w:iCs w:val="0"/>
                <w:color w:val="auto"/>
                <w:sz w:val="21"/>
                <w:szCs w:val="21"/>
                <w:highlight w:val="none"/>
              </w:rPr>
              <w:t>，并于</w:t>
            </w:r>
            <w:r>
              <w:rPr>
                <w:rFonts w:hint="eastAsia" w:ascii="宋体" w:hAnsi="宋体" w:eastAsia="宋体" w:cs="宋体"/>
                <w:i w:val="0"/>
                <w:iCs w:val="0"/>
                <w:color w:val="auto"/>
                <w:sz w:val="21"/>
                <w:szCs w:val="21"/>
                <w:highlight w:val="none"/>
                <w:u w:val="single"/>
                <w:lang w:val="en-US" w:eastAsia="zh-CN"/>
              </w:rPr>
              <w:t>202</w:t>
            </w:r>
            <w:r>
              <w:rPr>
                <w:rFonts w:hint="eastAsia" w:ascii="宋体" w:hAnsi="宋体" w:cs="宋体"/>
                <w:i w:val="0"/>
                <w:iCs w:val="0"/>
                <w:color w:val="auto"/>
                <w:sz w:val="21"/>
                <w:szCs w:val="21"/>
                <w:highlight w:val="none"/>
                <w:u w:val="single"/>
                <w:lang w:val="en-US" w:eastAsia="zh-CN"/>
              </w:rPr>
              <w:t>2</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12月27</w:t>
            </w:r>
            <w:r>
              <w:rPr>
                <w:rFonts w:hint="eastAsia" w:ascii="宋体" w:hAnsi="宋体" w:eastAsia="宋体" w:cs="宋体"/>
                <w:bCs/>
                <w:i w:val="0"/>
                <w:iCs w:val="0"/>
                <w:color w:val="auto"/>
                <w:sz w:val="21"/>
                <w:szCs w:val="21"/>
                <w:highlight w:val="none"/>
                <w:u w:val="single"/>
              </w:rPr>
              <w:t>日</w:t>
            </w:r>
            <w:r>
              <w:rPr>
                <w:rFonts w:hint="eastAsia" w:ascii="宋体" w:hAnsi="宋体" w:cs="宋体"/>
                <w:bCs/>
                <w:i w:val="0"/>
                <w:iCs w:val="0"/>
                <w:color w:val="auto"/>
                <w:sz w:val="21"/>
                <w:szCs w:val="21"/>
                <w:highlight w:val="none"/>
                <w:u w:val="single"/>
                <w:lang w:val="en-US" w:eastAsia="zh-CN"/>
              </w:rPr>
              <w:t>13</w:t>
            </w:r>
            <w:r>
              <w:rPr>
                <w:rFonts w:hint="eastAsia" w:ascii="宋体" w:hAnsi="宋体" w:eastAsia="宋体" w:cs="宋体"/>
                <w:bCs/>
                <w:i w:val="0"/>
                <w:iCs w:val="0"/>
                <w:color w:val="auto"/>
                <w:sz w:val="21"/>
                <w:szCs w:val="21"/>
                <w:highlight w:val="none"/>
                <w:u w:val="single"/>
              </w:rPr>
              <w:t>:</w:t>
            </w:r>
            <w:r>
              <w:rPr>
                <w:rFonts w:hint="eastAsia" w:ascii="宋体" w:hAnsi="宋体" w:cs="宋体"/>
                <w:bCs/>
                <w:i w:val="0"/>
                <w:iCs w:val="0"/>
                <w:color w:val="auto"/>
                <w:sz w:val="21"/>
                <w:szCs w:val="21"/>
                <w:highlight w:val="none"/>
                <w:u w:val="single"/>
                <w:lang w:val="en-US" w:eastAsia="zh-CN"/>
              </w:rPr>
              <w:t>30</w:t>
            </w:r>
            <w:r>
              <w:rPr>
                <w:rFonts w:hint="eastAsia" w:hAnsi="宋体" w:cs="宋体"/>
                <w:bCs/>
                <w:i w:val="0"/>
                <w:iCs w:val="0"/>
                <w:color w:val="auto"/>
                <w:sz w:val="21"/>
                <w:szCs w:val="21"/>
                <w:highlight w:val="none"/>
                <w:u w:val="single"/>
                <w:lang w:val="en-US" w:eastAsia="zh-CN"/>
              </w:rPr>
              <w:t>（</w:t>
            </w:r>
            <w:r>
              <w:rPr>
                <w:rFonts w:hint="eastAsia" w:ascii="宋体" w:hAnsi="宋体" w:eastAsia="宋体" w:cs="宋体"/>
                <w:bCs/>
                <w:i w:val="0"/>
                <w:iCs w:val="0"/>
                <w:color w:val="auto"/>
                <w:sz w:val="21"/>
                <w:szCs w:val="21"/>
                <w:highlight w:val="none"/>
                <w:u w:val="single"/>
              </w:rPr>
              <w:t>北京时间）</w:t>
            </w:r>
            <w:r>
              <w:rPr>
                <w:rFonts w:hint="eastAsia" w:ascii="宋体" w:hAnsi="宋体" w:eastAsia="宋体" w:cs="宋体"/>
                <w:bCs/>
                <w:i w:val="0"/>
                <w:iCs w:val="0"/>
                <w:color w:val="auto"/>
                <w:sz w:val="21"/>
                <w:szCs w:val="21"/>
                <w:highlight w:val="none"/>
              </w:rPr>
              <w:t>前递交</w:t>
            </w:r>
            <w:r>
              <w:rPr>
                <w:rFonts w:hint="eastAsia" w:ascii="宋体" w:hAnsi="宋体" w:eastAsia="宋体" w:cs="宋体"/>
                <w:bCs/>
                <w:i w:val="0"/>
                <w:iCs w:val="0"/>
                <w:color w:val="auto"/>
                <w:sz w:val="21"/>
                <w:szCs w:val="21"/>
                <w:highlight w:val="none"/>
                <w:lang w:eastAsia="zh-CN"/>
              </w:rPr>
              <w:t>（上传）</w:t>
            </w:r>
            <w:r>
              <w:rPr>
                <w:rFonts w:hint="eastAsia" w:ascii="宋体" w:hAnsi="宋体" w:cs="宋体"/>
                <w:bCs/>
                <w:i w:val="0"/>
                <w:iCs w:val="0"/>
                <w:color w:val="auto"/>
                <w:sz w:val="21"/>
                <w:szCs w:val="21"/>
                <w:highlight w:val="none"/>
                <w:lang w:eastAsia="zh-CN"/>
              </w:rPr>
              <w:t>响应文件</w:t>
            </w:r>
            <w:r>
              <w:rPr>
                <w:rFonts w:hint="eastAsia" w:ascii="宋体" w:hAnsi="宋体" w:eastAsia="宋体" w:cs="宋体"/>
                <w:i w:val="0"/>
                <w:iCs w:val="0"/>
                <w:color w:val="auto"/>
                <w:sz w:val="21"/>
                <w:szCs w:val="21"/>
                <w:highlight w:val="none"/>
              </w:rPr>
              <w:t>。</w:t>
            </w:r>
          </w:p>
        </w:tc>
      </w:tr>
    </w:tbl>
    <w:p>
      <w:pPr>
        <w:keepNext w:val="0"/>
        <w:keepLines w:val="0"/>
        <w:pageBreakBefore w:val="0"/>
        <w:numPr>
          <w:ilvl w:val="0"/>
          <w:numId w:val="0"/>
        </w:numPr>
        <w:tabs>
          <w:tab w:val="left" w:pos="720"/>
        </w:tabs>
        <w:kinsoku/>
        <w:wordWrap/>
        <w:overflowPunct/>
        <w:topLinePunct w:val="0"/>
        <w:autoSpaceDE/>
        <w:autoSpaceDN/>
        <w:bidi w:val="0"/>
        <w:adjustRightInd/>
        <w:snapToGrid/>
        <w:spacing w:before="0" w:line="336" w:lineRule="auto"/>
        <w:ind w:left="0" w:leftChars="0"/>
        <w:textAlignment w:val="auto"/>
        <w:outlineLvl w:val="9"/>
        <w:rPr>
          <w:rFonts w:hint="eastAsia" w:ascii="宋体" w:hAnsi="宋体" w:eastAsia="宋体" w:cs="宋体"/>
          <w:b/>
          <w:bCs w:val="0"/>
          <w:i w:val="0"/>
          <w:iCs w:val="0"/>
          <w:color w:val="auto"/>
          <w:sz w:val="21"/>
          <w:szCs w:val="21"/>
          <w:highlight w:val="none"/>
        </w:rPr>
      </w:pPr>
      <w:r>
        <w:rPr>
          <w:rFonts w:hint="eastAsia" w:ascii="宋体" w:hAnsi="宋体" w:eastAsia="宋体" w:cs="宋体"/>
          <w:b/>
          <w:bCs w:val="0"/>
          <w:i w:val="0"/>
          <w:iCs w:val="0"/>
          <w:color w:val="auto"/>
          <w:sz w:val="21"/>
          <w:szCs w:val="21"/>
          <w:highlight w:val="none"/>
        </w:rPr>
        <w:t>一、项目基本情况</w:t>
      </w:r>
      <w:bookmarkEnd w:id="44"/>
      <w:bookmarkEnd w:id="45"/>
      <w:bookmarkEnd w:id="46"/>
      <w:bookmarkEnd w:id="47"/>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ascii="宋体" w:hAnsi="宋体" w:eastAsia="宋体" w:cs="宋体"/>
          <w:i w:val="0"/>
          <w:iCs w:val="0"/>
          <w:color w:val="auto"/>
          <w:sz w:val="21"/>
          <w:szCs w:val="21"/>
          <w:highlight w:val="none"/>
          <w:lang w:val="en-US" w:eastAsia="zh-CN"/>
        </w:rPr>
      </w:pPr>
      <w:r>
        <w:rPr>
          <w:rFonts w:hint="eastAsia"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项目编号：</w:t>
      </w:r>
      <w:r>
        <w:rPr>
          <w:rFonts w:hint="eastAsia" w:hAnsi="宋体" w:eastAsia="宋体" w:cs="宋体"/>
          <w:color w:val="auto"/>
          <w:sz w:val="21"/>
          <w:szCs w:val="21"/>
          <w:highlight w:val="none"/>
          <w:lang w:val="en-US" w:eastAsia="zh-CN"/>
        </w:rPr>
        <w:t>ZJTX2022-CG030磋</w:t>
      </w:r>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hAnsi="宋体" w:eastAsia="宋体" w:cs="宋体"/>
          <w:i w:val="0"/>
          <w:iCs w:val="0"/>
          <w:color w:val="auto"/>
          <w:sz w:val="21"/>
          <w:szCs w:val="21"/>
          <w:highlight w:val="none"/>
          <w:lang w:val="en-US" w:eastAsia="zh-CN"/>
        </w:rPr>
      </w:pPr>
      <w:r>
        <w:rPr>
          <w:rFonts w:hint="eastAsia"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项目名称：</w:t>
      </w:r>
      <w:bookmarkEnd w:id="48"/>
      <w:r>
        <w:rPr>
          <w:rFonts w:hint="eastAsia" w:hAnsi="宋体" w:eastAsia="宋体" w:cs="宋体"/>
          <w:i w:val="0"/>
          <w:iCs w:val="0"/>
          <w:color w:val="auto"/>
          <w:sz w:val="21"/>
          <w:szCs w:val="21"/>
          <w:highlight w:val="none"/>
          <w:lang w:val="en-US" w:eastAsia="zh-CN"/>
        </w:rPr>
        <w:t>宁海县力洋镇公共安全雪亮二期项目</w:t>
      </w:r>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default" w:ascii="宋体" w:hAnsi="宋体" w:eastAsia="宋体" w:cs="宋体"/>
          <w:i w:val="0"/>
          <w:iCs w:val="0"/>
          <w:color w:val="auto"/>
          <w:sz w:val="21"/>
          <w:szCs w:val="21"/>
          <w:highlight w:val="none"/>
          <w:lang w:val="en-US" w:eastAsia="zh-CN"/>
        </w:rPr>
      </w:pPr>
      <w:r>
        <w:rPr>
          <w:rFonts w:hint="eastAsia"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预算金额（元）：</w:t>
      </w:r>
      <w:r>
        <w:rPr>
          <w:rFonts w:hint="eastAsia" w:hAnsi="宋体" w:eastAsia="宋体" w:cs="宋体"/>
          <w:i w:val="0"/>
          <w:iCs w:val="0"/>
          <w:color w:val="auto"/>
          <w:sz w:val="21"/>
          <w:szCs w:val="21"/>
          <w:highlight w:val="none"/>
          <w:lang w:val="en-US" w:eastAsia="zh-CN"/>
        </w:rPr>
        <w:t>649540</w:t>
      </w:r>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default" w:ascii="宋体" w:hAnsi="宋体" w:eastAsia="宋体" w:cs="宋体"/>
          <w:i w:val="0"/>
          <w:iCs w:val="0"/>
          <w:color w:val="auto"/>
          <w:sz w:val="21"/>
          <w:szCs w:val="21"/>
          <w:highlight w:val="none"/>
          <w:lang w:val="en-US" w:eastAsia="zh-CN"/>
        </w:rPr>
      </w:pPr>
      <w:r>
        <w:rPr>
          <w:rFonts w:hint="eastAsia"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最高限价（元）：</w:t>
      </w:r>
      <w:r>
        <w:rPr>
          <w:rFonts w:hint="eastAsia" w:hAnsi="宋体" w:eastAsia="宋体" w:cs="宋体"/>
          <w:i w:val="0"/>
          <w:iCs w:val="0"/>
          <w:color w:val="auto"/>
          <w:sz w:val="21"/>
          <w:szCs w:val="21"/>
          <w:highlight w:val="none"/>
          <w:lang w:val="en-US" w:eastAsia="zh-CN"/>
        </w:rPr>
        <w:t>649540</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outlineLvl w:val="9"/>
        <w:rPr>
          <w:rFonts w:hint="eastAsia" w:ascii="宋体" w:hAnsi="宋体" w:eastAsia="宋体" w:cs="宋体"/>
          <w:i w:val="0"/>
          <w:iCs w:val="0"/>
          <w:color w:val="auto"/>
          <w:sz w:val="21"/>
          <w:szCs w:val="21"/>
          <w:highlight w:val="none"/>
          <w:lang w:eastAsia="zh-CN"/>
        </w:rPr>
      </w:pPr>
      <w:r>
        <w:rPr>
          <w:rFonts w:hint="eastAsia"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lang w:eastAsia="zh-CN"/>
        </w:rPr>
        <w:t>采购</w:t>
      </w:r>
      <w:r>
        <w:rPr>
          <w:rFonts w:hint="eastAsia" w:hAnsi="宋体" w:eastAsia="宋体" w:cs="宋体"/>
          <w:i w:val="0"/>
          <w:iCs w:val="0"/>
          <w:color w:val="auto"/>
          <w:sz w:val="21"/>
          <w:szCs w:val="21"/>
          <w:highlight w:val="none"/>
          <w:lang w:eastAsia="zh-CN"/>
        </w:rPr>
        <w:t>概况</w:t>
      </w:r>
      <w:r>
        <w:rPr>
          <w:rFonts w:hint="eastAsia" w:ascii="宋体" w:hAnsi="宋体" w:eastAsia="宋体" w:cs="宋体"/>
          <w:i w:val="0"/>
          <w:i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标项</w:t>
      </w:r>
      <w:r>
        <w:rPr>
          <w:rFonts w:hint="eastAsia" w:ascii="宋体" w:hAnsi="宋体" w:eastAsia="宋体" w:cs="宋体"/>
          <w:i w:val="0"/>
          <w:iCs w:val="0"/>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30" w:firstLineChars="300"/>
        <w:textAlignment w:val="auto"/>
        <w:outlineLvl w:val="9"/>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标项名称：</w:t>
      </w:r>
      <w:r>
        <w:rPr>
          <w:rFonts w:hint="eastAsia" w:hAnsi="宋体" w:eastAsia="宋体" w:cs="宋体"/>
          <w:i w:val="0"/>
          <w:iCs w:val="0"/>
          <w:color w:val="auto"/>
          <w:sz w:val="21"/>
          <w:szCs w:val="21"/>
          <w:highlight w:val="none"/>
          <w:lang w:val="en-US" w:eastAsia="zh-CN"/>
        </w:rPr>
        <w:t>宁海县力洋镇公共安全雪亮二期项目</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30" w:firstLineChars="300"/>
        <w:textAlignment w:val="auto"/>
        <w:outlineLvl w:val="9"/>
        <w:rPr>
          <w:rFonts w:hint="default"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预算金额（元）:</w:t>
      </w:r>
      <w:r>
        <w:rPr>
          <w:rFonts w:hint="eastAsia" w:hAnsi="宋体" w:eastAsia="宋体" w:cs="宋体"/>
          <w:i w:val="0"/>
          <w:iCs w:val="0"/>
          <w:color w:val="auto"/>
          <w:sz w:val="21"/>
          <w:szCs w:val="21"/>
          <w:highlight w:val="none"/>
          <w:lang w:val="en-US" w:eastAsia="zh-CN"/>
        </w:rPr>
        <w:t>649540</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30" w:firstLineChars="300"/>
        <w:textAlignment w:val="auto"/>
        <w:outlineLvl w:val="9"/>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数量：</w:t>
      </w:r>
      <w:r>
        <w:rPr>
          <w:rFonts w:hint="eastAsia" w:ascii="宋体" w:hAnsi="宋体" w:eastAsia="宋体" w:cs="宋体"/>
          <w:i w:val="0"/>
          <w:iCs w:val="0"/>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30" w:firstLineChars="300"/>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单位：</w:t>
      </w:r>
      <w:r>
        <w:rPr>
          <w:rFonts w:hint="eastAsia" w:hAnsi="宋体" w:eastAsia="宋体" w:cs="宋体"/>
          <w:i w:val="0"/>
          <w:iCs w:val="0"/>
          <w:color w:val="auto"/>
          <w:sz w:val="21"/>
          <w:szCs w:val="21"/>
          <w:highlight w:val="none"/>
          <w:lang w:val="en-US" w:eastAsia="zh-CN"/>
        </w:rPr>
        <w:t>批</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30" w:firstLineChars="300"/>
        <w:textAlignment w:val="auto"/>
        <w:outlineLvl w:val="9"/>
        <w:rPr>
          <w:rFonts w:hint="eastAsia"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eastAsia="zh-CN"/>
        </w:rPr>
        <w:t>简要规格描述：服务内容包含：</w:t>
      </w:r>
      <w:r>
        <w:rPr>
          <w:rFonts w:hint="eastAsia" w:hAnsi="宋体" w:eastAsia="宋体" w:cs="宋体"/>
          <w:i w:val="0"/>
          <w:iCs w:val="0"/>
          <w:color w:val="auto"/>
          <w:sz w:val="21"/>
          <w:szCs w:val="21"/>
          <w:highlight w:val="none"/>
          <w:lang w:eastAsia="zh-CN"/>
        </w:rPr>
        <w:t>详见磋商文件</w:t>
      </w:r>
    </w:p>
    <w:p>
      <w:pPr>
        <w:keepNext w:val="0"/>
        <w:keepLines w:val="0"/>
        <w:pageBreakBefore w:val="0"/>
        <w:widowControl w:val="0"/>
        <w:kinsoku/>
        <w:wordWrap/>
        <w:overflowPunct/>
        <w:topLinePunct w:val="0"/>
        <w:autoSpaceDE/>
        <w:autoSpaceDN/>
        <w:bidi w:val="0"/>
        <w:adjustRightInd/>
        <w:snapToGrid/>
        <w:spacing w:line="336" w:lineRule="auto"/>
        <w:ind w:left="0" w:leftChars="0" w:firstLine="630" w:firstLineChars="300"/>
        <w:textAlignment w:val="auto"/>
        <w:outlineLvl w:val="9"/>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 xml:space="preserve">合同履约期限：标项 1 </w:t>
      </w:r>
      <w:r>
        <w:rPr>
          <w:rFonts w:hint="eastAsia" w:hAnsi="宋体" w:eastAsia="宋体" w:cs="宋体"/>
          <w:i w:val="0"/>
          <w:iCs w:val="0"/>
          <w:color w:val="auto"/>
          <w:sz w:val="21"/>
          <w:szCs w:val="21"/>
          <w:highlight w:val="none"/>
          <w:lang w:eastAsia="zh-CN"/>
        </w:rPr>
        <w:t>详见磋商文件</w:t>
      </w:r>
    </w:p>
    <w:p>
      <w:pPr>
        <w:keepNext w:val="0"/>
        <w:keepLines w:val="0"/>
        <w:pageBreakBefore w:val="0"/>
        <w:numPr>
          <w:ilvl w:val="0"/>
          <w:numId w:val="2"/>
        </w:numPr>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eastAsia="zh-CN"/>
        </w:rPr>
        <w:t>本项目（否）接受联合体投标。</w:t>
      </w:r>
    </w:p>
    <w:p>
      <w:pPr>
        <w:keepNext w:val="0"/>
        <w:keepLines w:val="0"/>
        <w:pageBreakBefore w:val="0"/>
        <w:numPr>
          <w:ilvl w:val="0"/>
          <w:numId w:val="0"/>
        </w:numPr>
        <w:tabs>
          <w:tab w:val="left" w:pos="720"/>
        </w:tabs>
        <w:kinsoku/>
        <w:wordWrap/>
        <w:overflowPunct/>
        <w:topLinePunct w:val="0"/>
        <w:autoSpaceDE/>
        <w:autoSpaceDN/>
        <w:bidi w:val="0"/>
        <w:adjustRightInd/>
        <w:snapToGrid/>
        <w:spacing w:before="0" w:line="336" w:lineRule="auto"/>
        <w:ind w:left="0" w:leftChars="0"/>
        <w:textAlignment w:val="auto"/>
        <w:outlineLvl w:val="9"/>
        <w:rPr>
          <w:rFonts w:hint="eastAsia" w:ascii="宋体" w:hAnsi="宋体" w:eastAsia="宋体" w:cs="宋体"/>
          <w:b/>
          <w:bCs w:val="0"/>
          <w:i w:val="0"/>
          <w:iCs w:val="0"/>
          <w:color w:val="auto"/>
          <w:sz w:val="21"/>
          <w:szCs w:val="21"/>
          <w:highlight w:val="none"/>
        </w:rPr>
      </w:pPr>
      <w:bookmarkStart w:id="49" w:name="_Toc35393622"/>
      <w:bookmarkStart w:id="50" w:name="_Toc35393791"/>
      <w:bookmarkStart w:id="51" w:name="_Toc28359003"/>
      <w:bookmarkStart w:id="52" w:name="_Toc28359080"/>
      <w:r>
        <w:rPr>
          <w:rFonts w:hint="eastAsia" w:ascii="宋体" w:hAnsi="宋体" w:eastAsia="宋体" w:cs="宋体"/>
          <w:b/>
          <w:bCs w:val="0"/>
          <w:i w:val="0"/>
          <w:iCs w:val="0"/>
          <w:color w:val="auto"/>
          <w:sz w:val="21"/>
          <w:szCs w:val="21"/>
          <w:highlight w:val="none"/>
        </w:rPr>
        <w:t>二、申请人的资格要求：</w:t>
      </w:r>
      <w:bookmarkEnd w:id="49"/>
      <w:bookmarkEnd w:id="50"/>
      <w:bookmarkEnd w:id="51"/>
      <w:bookmarkEnd w:id="52"/>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1.满足《中华人民共和国政府采购法》第二十二条规定；未被“信用中国”</w:t>
      </w:r>
      <w:r>
        <w:rPr>
          <w:rFonts w:hint="eastAsia"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ascii="宋体" w:hAnsi="宋体" w:eastAsia="宋体" w:cs="宋体"/>
          <w:i w:val="0"/>
          <w:iCs w:val="0"/>
          <w:color w:val="auto"/>
          <w:sz w:val="21"/>
          <w:szCs w:val="21"/>
          <w:highlight w:val="none"/>
          <w:lang w:eastAsia="zh-CN"/>
        </w:rPr>
      </w:pPr>
      <w:bookmarkStart w:id="53" w:name="_Toc28359004"/>
      <w:bookmarkStart w:id="54" w:name="_Toc28359081"/>
      <w:r>
        <w:rPr>
          <w:rFonts w:hint="eastAsia" w:ascii="宋体" w:hAnsi="宋体" w:eastAsia="宋体" w:cs="宋体"/>
          <w:i w:val="0"/>
          <w:iCs w:val="0"/>
          <w:color w:val="auto"/>
          <w:sz w:val="21"/>
          <w:szCs w:val="21"/>
          <w:highlight w:val="none"/>
        </w:rPr>
        <w:t>2.落实政府采购政策需满足的资格要求：</w:t>
      </w:r>
      <w:r>
        <w:rPr>
          <w:rFonts w:hint="eastAsia" w:ascii="宋体" w:hAnsi="宋体" w:eastAsia="宋体" w:cs="宋体"/>
          <w:i w:val="0"/>
          <w:iCs w:val="0"/>
          <w:color w:val="auto"/>
          <w:sz w:val="21"/>
          <w:szCs w:val="21"/>
          <w:highlight w:val="none"/>
          <w:lang w:eastAsia="zh-CN"/>
        </w:rPr>
        <w:t>无。</w:t>
      </w:r>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3.本项目的特定资格要求：</w:t>
      </w:r>
      <w:r>
        <w:rPr>
          <w:rFonts w:hint="eastAsia" w:hAnsi="宋体" w:eastAsia="宋体" w:cs="宋体"/>
          <w:i w:val="0"/>
          <w:iCs w:val="0"/>
          <w:color w:val="auto"/>
          <w:sz w:val="21"/>
          <w:szCs w:val="21"/>
          <w:highlight w:val="none"/>
          <w:lang w:val="en-US" w:eastAsia="zh-CN"/>
        </w:rPr>
        <w:t>3.1</w:t>
      </w:r>
      <w:r>
        <w:rPr>
          <w:rFonts w:hint="eastAsia" w:ascii="宋体" w:hAnsi="宋体" w:eastAsia="宋体" w:cs="宋体"/>
          <w:i w:val="0"/>
          <w:iCs w:val="0"/>
          <w:color w:val="auto"/>
          <w:sz w:val="21"/>
          <w:szCs w:val="21"/>
          <w:highlight w:val="none"/>
          <w:lang w:val="en-US"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hAnsi="宋体" w:eastAsia="宋体" w:cs="宋体"/>
          <w:i w:val="0"/>
          <w:iCs w:val="0"/>
          <w:color w:val="auto"/>
          <w:sz w:val="21"/>
          <w:szCs w:val="21"/>
          <w:highlight w:val="none"/>
          <w:lang w:val="en-US" w:eastAsia="zh-CN"/>
        </w:rPr>
        <w:t>3.2</w:t>
      </w:r>
      <w:r>
        <w:rPr>
          <w:rFonts w:hint="eastAsia" w:ascii="宋体" w:hAnsi="宋体" w:eastAsia="宋体" w:cs="宋体"/>
          <w:i w:val="0"/>
          <w:iCs w:val="0"/>
          <w:color w:val="auto"/>
          <w:sz w:val="21"/>
          <w:szCs w:val="21"/>
          <w:highlight w:val="none"/>
          <w:lang w:val="en-US" w:eastAsia="zh-CN"/>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w:t>
      </w:r>
    </w:p>
    <w:p>
      <w:pPr>
        <w:keepNext w:val="0"/>
        <w:keepLines w:val="0"/>
        <w:pageBreakBefore w:val="0"/>
        <w:numPr>
          <w:ilvl w:val="0"/>
          <w:numId w:val="0"/>
        </w:numPr>
        <w:tabs>
          <w:tab w:val="left" w:pos="720"/>
        </w:tabs>
        <w:kinsoku/>
        <w:wordWrap/>
        <w:overflowPunct/>
        <w:topLinePunct w:val="0"/>
        <w:autoSpaceDE/>
        <w:autoSpaceDN/>
        <w:bidi w:val="0"/>
        <w:adjustRightInd/>
        <w:snapToGrid/>
        <w:spacing w:before="0" w:line="336" w:lineRule="auto"/>
        <w:ind w:left="0" w:leftChars="0" w:firstLine="0" w:firstLineChars="0"/>
        <w:textAlignment w:val="auto"/>
        <w:outlineLvl w:val="9"/>
        <w:rPr>
          <w:rFonts w:hint="eastAsia" w:ascii="宋体" w:hAnsi="宋体" w:eastAsia="宋体" w:cs="宋体"/>
          <w:b/>
          <w:bCs w:val="0"/>
          <w:i w:val="0"/>
          <w:iCs w:val="0"/>
          <w:color w:val="auto"/>
          <w:sz w:val="21"/>
          <w:szCs w:val="21"/>
          <w:highlight w:val="none"/>
          <w:lang w:eastAsia="zh-CN"/>
        </w:rPr>
      </w:pPr>
      <w:bookmarkStart w:id="55" w:name="_Toc35393792"/>
      <w:bookmarkStart w:id="56" w:name="_Toc35393623"/>
      <w:r>
        <w:rPr>
          <w:rFonts w:hint="eastAsia" w:ascii="宋体" w:hAnsi="宋体" w:eastAsia="宋体" w:cs="宋体"/>
          <w:b/>
          <w:bCs w:val="0"/>
          <w:i w:val="0"/>
          <w:iCs w:val="0"/>
          <w:color w:val="auto"/>
          <w:sz w:val="21"/>
          <w:szCs w:val="21"/>
          <w:highlight w:val="none"/>
        </w:rPr>
        <w:t>三、</w:t>
      </w:r>
      <w:bookmarkEnd w:id="53"/>
      <w:bookmarkEnd w:id="54"/>
      <w:bookmarkEnd w:id="55"/>
      <w:bookmarkEnd w:id="56"/>
      <w:r>
        <w:rPr>
          <w:rFonts w:hint="eastAsia" w:ascii="宋体" w:hAnsi="宋体" w:eastAsia="宋体" w:cs="宋体"/>
          <w:b/>
          <w:bCs w:val="0"/>
          <w:i w:val="0"/>
          <w:iCs w:val="0"/>
          <w:color w:val="auto"/>
          <w:sz w:val="21"/>
          <w:szCs w:val="21"/>
          <w:highlight w:val="none"/>
        </w:rPr>
        <w:t>获取（下载）采购文件</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时间：</w:t>
      </w:r>
      <w:r>
        <w:rPr>
          <w:rFonts w:hint="eastAsia" w:ascii="宋体" w:hAnsi="宋体" w:eastAsia="宋体" w:cs="宋体"/>
          <w:color w:val="auto"/>
          <w:sz w:val="21"/>
          <w:szCs w:val="21"/>
          <w:highlight w:val="none"/>
          <w:u w:val="single"/>
          <w:lang w:val="en-US" w:eastAsia="zh-CN"/>
        </w:rPr>
        <w:t>202</w:t>
      </w:r>
      <w:r>
        <w:rPr>
          <w:rFonts w:hint="eastAsia" w:hAnsi="宋体" w:eastAsia="宋体" w:cs="宋体"/>
          <w:color w:val="auto"/>
          <w:sz w:val="21"/>
          <w:szCs w:val="21"/>
          <w:highlight w:val="none"/>
          <w:u w:val="single"/>
          <w:lang w:val="en-US" w:eastAsia="zh-CN"/>
        </w:rPr>
        <w:t>2年</w:t>
      </w:r>
      <w:r>
        <w:rPr>
          <w:rFonts w:hint="eastAsia" w:hAnsi="宋体" w:cs="宋体"/>
          <w:bCs/>
          <w:i w:val="0"/>
          <w:iCs w:val="0"/>
          <w:color w:val="auto"/>
          <w:sz w:val="21"/>
          <w:szCs w:val="21"/>
          <w:highlight w:val="none"/>
          <w:u w:val="single"/>
          <w:lang w:val="en-US" w:eastAsia="zh-CN"/>
        </w:rPr>
        <w:t>12</w:t>
      </w:r>
      <w:r>
        <w:rPr>
          <w:rFonts w:hint="eastAsia" w:ascii="宋体" w:hAnsi="宋体" w:eastAsia="宋体" w:cs="宋体"/>
          <w:color w:val="auto"/>
          <w:sz w:val="21"/>
          <w:szCs w:val="21"/>
          <w:highlight w:val="none"/>
          <w:u w:val="single"/>
          <w:lang w:val="en-US" w:eastAsia="zh-CN"/>
        </w:rPr>
        <w:t>月</w:t>
      </w:r>
      <w:r>
        <w:rPr>
          <w:rFonts w:hint="eastAsia" w:hAnsi="宋体" w:cs="宋体"/>
          <w:bCs/>
          <w:i w:val="0"/>
          <w:iCs w:val="0"/>
          <w:color w:val="auto"/>
          <w:sz w:val="21"/>
          <w:szCs w:val="21"/>
          <w:highlight w:val="none"/>
          <w:u w:val="single"/>
          <w:lang w:val="en-US" w:eastAsia="zh-CN"/>
        </w:rPr>
        <w:t>13</w:t>
      </w:r>
      <w:r>
        <w:rPr>
          <w:rFonts w:hint="eastAsia" w:ascii="宋体" w:hAnsi="宋体" w:eastAsia="宋体" w:cs="宋体"/>
          <w:color w:val="auto"/>
          <w:sz w:val="21"/>
          <w:szCs w:val="21"/>
          <w:highlight w:val="none"/>
          <w:u w:val="single"/>
          <w:lang w:val="en-US" w:eastAsia="zh-CN"/>
        </w:rPr>
        <w:t>日</w:t>
      </w:r>
      <w:r>
        <w:rPr>
          <w:rFonts w:hint="eastAsia" w:ascii="宋体" w:hAnsi="宋体" w:eastAsia="宋体" w:cs="宋体"/>
          <w:color w:val="auto"/>
          <w:sz w:val="21"/>
          <w:szCs w:val="21"/>
          <w:highlight w:val="none"/>
        </w:rPr>
        <w:t>至</w:t>
      </w:r>
      <w:r>
        <w:rPr>
          <w:rFonts w:hint="eastAsia" w:ascii="宋体" w:hAnsi="宋体" w:eastAsia="宋体" w:cs="宋体"/>
          <w:color w:val="auto"/>
          <w:sz w:val="21"/>
          <w:szCs w:val="21"/>
          <w:highlight w:val="none"/>
          <w:u w:val="single"/>
        </w:rPr>
        <w:t>202</w:t>
      </w:r>
      <w:r>
        <w:rPr>
          <w:rFonts w:hint="eastAsia"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年</w:t>
      </w:r>
      <w:r>
        <w:rPr>
          <w:rFonts w:hint="eastAsia" w:hAnsi="宋体" w:cs="宋体"/>
          <w:bCs/>
          <w:i w:val="0"/>
          <w:iCs w:val="0"/>
          <w:color w:val="auto"/>
          <w:sz w:val="21"/>
          <w:szCs w:val="21"/>
          <w:highlight w:val="none"/>
          <w:u w:val="single"/>
          <w:lang w:val="en-US" w:eastAsia="zh-CN"/>
        </w:rPr>
        <w:t>12</w:t>
      </w:r>
      <w:r>
        <w:rPr>
          <w:rFonts w:hint="eastAsia" w:ascii="宋体" w:hAnsi="宋体" w:eastAsia="宋体" w:cs="宋体"/>
          <w:color w:val="auto"/>
          <w:sz w:val="21"/>
          <w:szCs w:val="21"/>
          <w:highlight w:val="none"/>
          <w:u w:val="single"/>
        </w:rPr>
        <w:t>月</w:t>
      </w:r>
      <w:r>
        <w:rPr>
          <w:rFonts w:hint="eastAsia" w:hAnsi="宋体" w:cs="宋体"/>
          <w:bCs/>
          <w:i w:val="0"/>
          <w:iCs w:val="0"/>
          <w:color w:val="auto"/>
          <w:sz w:val="21"/>
          <w:szCs w:val="21"/>
          <w:highlight w:val="none"/>
          <w:u w:val="single"/>
          <w:lang w:val="en-US" w:eastAsia="zh-CN"/>
        </w:rPr>
        <w:t>20</w:t>
      </w:r>
      <w:bookmarkStart w:id="100" w:name="_GoBack"/>
      <w:bookmarkEnd w:id="100"/>
      <w:r>
        <w:rPr>
          <w:rFonts w:hint="eastAsia" w:ascii="宋体" w:hAnsi="宋体" w:eastAsia="宋体" w:cs="宋体"/>
          <w:color w:val="auto"/>
          <w:sz w:val="21"/>
          <w:szCs w:val="21"/>
          <w:highlight w:val="none"/>
          <w:u w:val="single"/>
        </w:rPr>
        <w:t>日</w:t>
      </w:r>
      <w:r>
        <w:rPr>
          <w:rFonts w:hint="eastAsia" w:ascii="宋体" w:hAnsi="宋体" w:eastAsia="宋体" w:cs="宋体"/>
          <w:i w:val="0"/>
          <w:iCs w:val="0"/>
          <w:color w:val="auto"/>
          <w:sz w:val="21"/>
          <w:szCs w:val="21"/>
          <w:highlight w:val="none"/>
        </w:rPr>
        <w:t>，每天上午</w:t>
      </w:r>
      <w:r>
        <w:rPr>
          <w:rFonts w:hint="eastAsia" w:hAnsi="宋体" w:eastAsia="宋体" w:cs="宋体"/>
          <w:i w:val="0"/>
          <w:iCs w:val="0"/>
          <w:color w:val="auto"/>
          <w:sz w:val="21"/>
          <w:szCs w:val="21"/>
          <w:highlight w:val="none"/>
          <w:u w:val="single"/>
          <w:lang w:val="en-US" w:eastAsia="zh-CN"/>
        </w:rPr>
        <w:t>0</w:t>
      </w:r>
      <w:r>
        <w:rPr>
          <w:rFonts w:hint="eastAsia" w:ascii="宋体" w:hAnsi="宋体" w:eastAsia="宋体" w:cs="宋体"/>
          <w:i w:val="0"/>
          <w:iCs w:val="0"/>
          <w:color w:val="auto"/>
          <w:sz w:val="21"/>
          <w:szCs w:val="21"/>
          <w:highlight w:val="none"/>
          <w:u w:val="single"/>
        </w:rPr>
        <w:t>:</w:t>
      </w:r>
      <w:r>
        <w:rPr>
          <w:rFonts w:hint="eastAsia" w:hAnsi="宋体" w:eastAsia="宋体" w:cs="宋体"/>
          <w:i w:val="0"/>
          <w:iCs w:val="0"/>
          <w:color w:val="auto"/>
          <w:sz w:val="21"/>
          <w:szCs w:val="21"/>
          <w:highlight w:val="none"/>
          <w:u w:val="single"/>
          <w:lang w:val="en-US" w:eastAsia="zh-CN"/>
        </w:rPr>
        <w:t>0</w:t>
      </w:r>
      <w:r>
        <w:rPr>
          <w:rFonts w:hint="eastAsia" w:ascii="宋体" w:hAnsi="宋体" w:eastAsia="宋体" w:cs="宋体"/>
          <w:i w:val="0"/>
          <w:iCs w:val="0"/>
          <w:color w:val="auto"/>
          <w:sz w:val="21"/>
          <w:szCs w:val="21"/>
          <w:highlight w:val="none"/>
          <w:u w:val="single"/>
        </w:rPr>
        <w:t>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1</w:t>
      </w:r>
      <w:r>
        <w:rPr>
          <w:rFonts w:hint="eastAsia" w:hAnsi="宋体" w:eastAsia="宋体" w:cs="宋体"/>
          <w:i w:val="0"/>
          <w:iCs w:val="0"/>
          <w:color w:val="auto"/>
          <w:sz w:val="21"/>
          <w:szCs w:val="21"/>
          <w:highlight w:val="none"/>
          <w:u w:val="single"/>
          <w:lang w:val="en-US" w:eastAsia="zh-CN"/>
        </w:rPr>
        <w:t>2</w:t>
      </w:r>
      <w:r>
        <w:rPr>
          <w:rFonts w:hint="eastAsia" w:ascii="宋体" w:hAnsi="宋体" w:eastAsia="宋体" w:cs="宋体"/>
          <w:i w:val="0"/>
          <w:iCs w:val="0"/>
          <w:color w:val="auto"/>
          <w:sz w:val="21"/>
          <w:szCs w:val="21"/>
          <w:highlight w:val="none"/>
          <w:u w:val="single"/>
        </w:rPr>
        <w:t>:</w:t>
      </w:r>
      <w:r>
        <w:rPr>
          <w:rFonts w:hint="eastAsia" w:hAnsi="宋体" w:eastAsia="宋体" w:cs="宋体"/>
          <w:i w:val="0"/>
          <w:iCs w:val="0"/>
          <w:color w:val="auto"/>
          <w:sz w:val="21"/>
          <w:szCs w:val="21"/>
          <w:highlight w:val="none"/>
          <w:u w:val="single"/>
          <w:lang w:val="en-US" w:eastAsia="zh-CN"/>
        </w:rPr>
        <w:t>0</w:t>
      </w:r>
      <w:r>
        <w:rPr>
          <w:rFonts w:hint="eastAsia" w:ascii="宋体" w:hAnsi="宋体" w:eastAsia="宋体" w:cs="宋体"/>
          <w:i w:val="0"/>
          <w:iCs w:val="0"/>
          <w:color w:val="auto"/>
          <w:sz w:val="21"/>
          <w:szCs w:val="21"/>
          <w:highlight w:val="none"/>
          <w:u w:val="single"/>
        </w:rPr>
        <w:t>0</w:t>
      </w:r>
      <w:r>
        <w:rPr>
          <w:rFonts w:hint="eastAsia" w:ascii="宋体" w:hAnsi="宋体" w:eastAsia="宋体" w:cs="宋体"/>
          <w:i w:val="0"/>
          <w:iCs w:val="0"/>
          <w:color w:val="auto"/>
          <w:sz w:val="21"/>
          <w:szCs w:val="21"/>
          <w:highlight w:val="none"/>
        </w:rPr>
        <w:t>，下午</w:t>
      </w:r>
      <w:r>
        <w:rPr>
          <w:rFonts w:hint="eastAsia" w:ascii="宋体" w:hAnsi="宋体" w:eastAsia="宋体" w:cs="宋体"/>
          <w:i w:val="0"/>
          <w:iCs w:val="0"/>
          <w:color w:val="auto"/>
          <w:sz w:val="21"/>
          <w:szCs w:val="21"/>
          <w:highlight w:val="none"/>
          <w:u w:val="single"/>
        </w:rPr>
        <w:t>1</w:t>
      </w:r>
      <w:r>
        <w:rPr>
          <w:rFonts w:hint="eastAsia" w:hAnsi="宋体" w:eastAsia="宋体" w:cs="宋体"/>
          <w:i w:val="0"/>
          <w:iCs w:val="0"/>
          <w:color w:val="auto"/>
          <w:sz w:val="21"/>
          <w:szCs w:val="21"/>
          <w:highlight w:val="none"/>
          <w:u w:val="single"/>
          <w:lang w:val="en-US" w:eastAsia="zh-CN"/>
        </w:rPr>
        <w:t>2</w:t>
      </w:r>
      <w:r>
        <w:rPr>
          <w:rFonts w:hint="eastAsia" w:ascii="宋体" w:hAnsi="宋体" w:eastAsia="宋体" w:cs="宋体"/>
          <w:i w:val="0"/>
          <w:iCs w:val="0"/>
          <w:color w:val="auto"/>
          <w:sz w:val="21"/>
          <w:szCs w:val="21"/>
          <w:highlight w:val="none"/>
          <w:u w:val="single"/>
        </w:rPr>
        <w:t>:</w:t>
      </w:r>
      <w:r>
        <w:rPr>
          <w:rFonts w:hint="eastAsia" w:hAnsi="宋体" w:eastAsia="宋体" w:cs="宋体"/>
          <w:i w:val="0"/>
          <w:iCs w:val="0"/>
          <w:color w:val="auto"/>
          <w:sz w:val="21"/>
          <w:szCs w:val="21"/>
          <w:highlight w:val="none"/>
          <w:u w:val="single"/>
          <w:lang w:val="en-US" w:eastAsia="zh-CN"/>
        </w:rPr>
        <w:t>00</w:t>
      </w:r>
      <w:r>
        <w:rPr>
          <w:rFonts w:hint="eastAsia" w:ascii="宋体" w:hAnsi="宋体" w:eastAsia="宋体" w:cs="宋体"/>
          <w:i w:val="0"/>
          <w:iCs w:val="0"/>
          <w:color w:val="auto"/>
          <w:sz w:val="21"/>
          <w:szCs w:val="21"/>
          <w:highlight w:val="none"/>
          <w:u w:val="none"/>
        </w:rPr>
        <w:t>至</w:t>
      </w:r>
      <w:r>
        <w:rPr>
          <w:rFonts w:hint="eastAsia" w:hAnsi="宋体" w:eastAsia="宋体" w:cs="宋体"/>
          <w:i w:val="0"/>
          <w:iCs w:val="0"/>
          <w:color w:val="auto"/>
          <w:sz w:val="21"/>
          <w:szCs w:val="21"/>
          <w:highlight w:val="none"/>
          <w:u w:val="single"/>
          <w:lang w:val="en-US" w:eastAsia="zh-CN"/>
        </w:rPr>
        <w:t>23</w:t>
      </w:r>
      <w:r>
        <w:rPr>
          <w:rFonts w:hint="eastAsia" w:ascii="宋体" w:hAnsi="宋体" w:eastAsia="宋体" w:cs="宋体"/>
          <w:i w:val="0"/>
          <w:iCs w:val="0"/>
          <w:color w:val="auto"/>
          <w:sz w:val="21"/>
          <w:szCs w:val="21"/>
          <w:highlight w:val="none"/>
          <w:u w:val="single"/>
        </w:rPr>
        <w:t>:</w:t>
      </w:r>
      <w:r>
        <w:rPr>
          <w:rFonts w:hint="eastAsia" w:hAnsi="宋体" w:eastAsia="宋体" w:cs="宋体"/>
          <w:i w:val="0"/>
          <w:iCs w:val="0"/>
          <w:color w:val="auto"/>
          <w:sz w:val="21"/>
          <w:szCs w:val="21"/>
          <w:highlight w:val="none"/>
          <w:u w:val="single"/>
          <w:lang w:val="en-US" w:eastAsia="zh-CN"/>
        </w:rPr>
        <w:t>59</w:t>
      </w:r>
      <w:r>
        <w:rPr>
          <w:rFonts w:hint="eastAsia" w:ascii="宋体" w:hAnsi="宋体" w:eastAsia="宋体" w:cs="宋体"/>
          <w:i w:val="0"/>
          <w:iCs w:val="0"/>
          <w:color w:val="auto"/>
          <w:sz w:val="21"/>
          <w:szCs w:val="21"/>
          <w:highlight w:val="none"/>
        </w:rPr>
        <w:t>（北京时间，线上获取法定节假日均可，线下获取文件法定节假日除外）</w:t>
      </w:r>
      <w:r>
        <w:rPr>
          <w:rFonts w:hint="eastAsia" w:ascii="宋体" w:hAnsi="宋体" w:eastAsia="宋体" w:cs="宋体"/>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2.地点（网址）</w:t>
      </w:r>
      <w:r>
        <w:rPr>
          <w:rFonts w:hint="eastAsia" w:ascii="宋体" w:hAnsi="宋体" w:eastAsia="宋体" w:cs="宋体"/>
          <w:i w:val="0"/>
          <w:iCs w:val="0"/>
          <w:color w:val="auto"/>
          <w:sz w:val="21"/>
          <w:szCs w:val="21"/>
          <w:highlight w:val="none"/>
        </w:rPr>
        <w:t>：浙江政府采购云平台（http://www.zcygov.cn/）。</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方式：供应商注册后直接</w:t>
      </w:r>
      <w:r>
        <w:rPr>
          <w:rFonts w:hint="eastAsia" w:hAnsi="宋体" w:eastAsia="宋体" w:cs="宋体"/>
          <w:i w:val="0"/>
          <w:iCs w:val="0"/>
          <w:color w:val="auto"/>
          <w:sz w:val="21"/>
          <w:szCs w:val="21"/>
          <w:highlight w:val="none"/>
          <w:lang w:val="en-US" w:eastAsia="zh-CN"/>
        </w:rPr>
        <w:t>登录</w:t>
      </w:r>
      <w:r>
        <w:rPr>
          <w:rFonts w:hint="eastAsia" w:ascii="宋体" w:hAnsi="宋体" w:eastAsia="宋体" w:cs="宋体"/>
          <w:i w:val="0"/>
          <w:iCs w:val="0"/>
          <w:color w:val="auto"/>
          <w:sz w:val="21"/>
          <w:szCs w:val="21"/>
          <w:highlight w:val="none"/>
        </w:rPr>
        <w:t>“浙江政府采购云平台”（http://www.zcygov.cn/）下载电子</w:t>
      </w:r>
      <w:r>
        <w:rPr>
          <w:rFonts w:hint="eastAsia" w:hAnsi="宋体" w:eastAsia="宋体" w:cs="宋体"/>
          <w:i w:val="0"/>
          <w:iCs w:val="0"/>
          <w:color w:val="auto"/>
          <w:sz w:val="21"/>
          <w:szCs w:val="21"/>
          <w:highlight w:val="none"/>
          <w:lang w:eastAsia="zh-CN"/>
        </w:rPr>
        <w:t>磋商文件</w:t>
      </w:r>
      <w:r>
        <w:rPr>
          <w:rFonts w:hint="eastAsia" w:ascii="宋体" w:hAnsi="宋体" w:eastAsia="宋体" w:cs="宋体"/>
          <w:i w:val="0"/>
          <w:iCs w:val="0"/>
          <w:color w:val="auto"/>
          <w:sz w:val="21"/>
          <w:szCs w:val="21"/>
          <w:highlight w:val="none"/>
        </w:rPr>
        <w:t>。供应商未在规定时间内或未按上述方式获取</w:t>
      </w:r>
      <w:r>
        <w:rPr>
          <w:rFonts w:hint="eastAsia" w:hAnsi="宋体" w:eastAsia="宋体" w:cs="宋体"/>
          <w:i w:val="0"/>
          <w:iCs w:val="0"/>
          <w:color w:val="auto"/>
          <w:sz w:val="21"/>
          <w:szCs w:val="21"/>
          <w:highlight w:val="none"/>
          <w:lang w:eastAsia="zh-CN"/>
        </w:rPr>
        <w:t>磋商文件</w:t>
      </w:r>
      <w:r>
        <w:rPr>
          <w:rFonts w:hint="eastAsia" w:ascii="宋体" w:hAnsi="宋体" w:eastAsia="宋体" w:cs="宋体"/>
          <w:i w:val="0"/>
          <w:iCs w:val="0"/>
          <w:color w:val="auto"/>
          <w:sz w:val="21"/>
          <w:szCs w:val="21"/>
          <w:highlight w:val="none"/>
        </w:rPr>
        <w:t>的，其投标无效。</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售价</w:t>
      </w:r>
      <w:r>
        <w:rPr>
          <w:rFonts w:hint="eastAsia" w:ascii="宋体" w:hAnsi="宋体" w:eastAsia="宋体" w:cs="宋体"/>
          <w:i w:val="0"/>
          <w:iCs w:val="0"/>
          <w:color w:val="auto"/>
          <w:sz w:val="21"/>
          <w:szCs w:val="21"/>
          <w:highlight w:val="none"/>
          <w:lang w:eastAsia="zh-CN"/>
        </w:rPr>
        <w:t>（元）</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w:t>
      </w:r>
    </w:p>
    <w:p>
      <w:pPr>
        <w:keepNext w:val="0"/>
        <w:keepLines w:val="0"/>
        <w:pageBreakBefore w:val="0"/>
        <w:numPr>
          <w:ilvl w:val="0"/>
          <w:numId w:val="0"/>
        </w:numPr>
        <w:tabs>
          <w:tab w:val="left" w:pos="720"/>
        </w:tabs>
        <w:kinsoku/>
        <w:wordWrap/>
        <w:overflowPunct/>
        <w:topLinePunct w:val="0"/>
        <w:autoSpaceDE/>
        <w:autoSpaceDN/>
        <w:bidi w:val="0"/>
        <w:adjustRightInd/>
        <w:snapToGrid/>
        <w:spacing w:before="0" w:line="336" w:lineRule="auto"/>
        <w:ind w:left="0" w:leftChars="0"/>
        <w:textAlignment w:val="auto"/>
        <w:outlineLvl w:val="9"/>
        <w:rPr>
          <w:rFonts w:hint="eastAsia" w:ascii="宋体" w:hAnsi="宋体" w:eastAsia="宋体" w:cs="宋体"/>
          <w:b/>
          <w:bCs w:val="0"/>
          <w:i w:val="0"/>
          <w:iCs w:val="0"/>
          <w:color w:val="auto"/>
          <w:sz w:val="21"/>
          <w:szCs w:val="21"/>
          <w:highlight w:val="none"/>
        </w:rPr>
      </w:pPr>
      <w:bookmarkStart w:id="57" w:name="_Toc28359005"/>
      <w:bookmarkStart w:id="58" w:name="_Toc35393793"/>
      <w:bookmarkStart w:id="59" w:name="_Toc35393624"/>
      <w:bookmarkStart w:id="60" w:name="_Toc28359082"/>
      <w:r>
        <w:rPr>
          <w:rFonts w:hint="eastAsia" w:ascii="宋体" w:hAnsi="宋体" w:eastAsia="宋体" w:cs="宋体"/>
          <w:b/>
          <w:bCs w:val="0"/>
          <w:i w:val="0"/>
          <w:iCs w:val="0"/>
          <w:color w:val="auto"/>
          <w:sz w:val="21"/>
          <w:szCs w:val="21"/>
          <w:highlight w:val="none"/>
        </w:rPr>
        <w:t>四、</w:t>
      </w:r>
      <w:bookmarkEnd w:id="57"/>
      <w:bookmarkEnd w:id="58"/>
      <w:bookmarkEnd w:id="59"/>
      <w:bookmarkEnd w:id="60"/>
      <w:r>
        <w:rPr>
          <w:rFonts w:hint="eastAsia" w:ascii="宋体" w:hAnsi="宋体" w:eastAsia="宋体" w:cs="宋体"/>
          <w:b/>
          <w:bCs w:val="0"/>
          <w:i w:val="0"/>
          <w:iCs w:val="0"/>
          <w:color w:val="auto"/>
          <w:sz w:val="21"/>
          <w:szCs w:val="21"/>
          <w:highlight w:val="none"/>
        </w:rPr>
        <w:t>响应文件提交（上传）</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截止时间：</w:t>
      </w:r>
      <w:r>
        <w:rPr>
          <w:rFonts w:hint="eastAsia" w:ascii="宋体" w:hAnsi="宋体" w:eastAsia="宋体" w:cs="宋体"/>
          <w:i w:val="0"/>
          <w:iCs w:val="0"/>
          <w:color w:val="auto"/>
          <w:sz w:val="21"/>
          <w:szCs w:val="21"/>
          <w:highlight w:val="none"/>
          <w:u w:val="single"/>
          <w:lang w:val="en-US" w:eastAsia="zh-CN"/>
        </w:rPr>
        <w:t>202</w:t>
      </w:r>
      <w:r>
        <w:rPr>
          <w:rFonts w:hint="eastAsia" w:hAnsi="宋体" w:eastAsia="宋体" w:cs="宋体"/>
          <w:i w:val="0"/>
          <w:iCs w:val="0"/>
          <w:color w:val="auto"/>
          <w:sz w:val="21"/>
          <w:szCs w:val="21"/>
          <w:highlight w:val="none"/>
          <w:u w:val="single"/>
          <w:lang w:val="en-US" w:eastAsia="zh-CN"/>
        </w:rPr>
        <w:t>2</w:t>
      </w:r>
      <w:r>
        <w:rPr>
          <w:rFonts w:hint="eastAsia" w:ascii="宋体" w:hAnsi="宋体" w:eastAsia="宋体" w:cs="宋体"/>
          <w:bCs/>
          <w:i w:val="0"/>
          <w:iCs w:val="0"/>
          <w:color w:val="auto"/>
          <w:sz w:val="21"/>
          <w:szCs w:val="21"/>
          <w:highlight w:val="none"/>
          <w:u w:val="single"/>
        </w:rPr>
        <w:t>年</w:t>
      </w:r>
      <w:r>
        <w:rPr>
          <w:rFonts w:hint="eastAsia" w:hAnsi="宋体" w:cs="宋体"/>
          <w:bCs/>
          <w:i w:val="0"/>
          <w:iCs w:val="0"/>
          <w:color w:val="auto"/>
          <w:sz w:val="21"/>
          <w:szCs w:val="21"/>
          <w:highlight w:val="none"/>
          <w:u w:val="single"/>
          <w:lang w:val="en-US" w:eastAsia="zh-CN"/>
        </w:rPr>
        <w:t>12</w:t>
      </w:r>
      <w:r>
        <w:rPr>
          <w:rFonts w:hint="eastAsia" w:ascii="宋体" w:hAnsi="宋体" w:eastAsia="宋体" w:cs="宋体"/>
          <w:bCs/>
          <w:i w:val="0"/>
          <w:iCs w:val="0"/>
          <w:color w:val="auto"/>
          <w:sz w:val="21"/>
          <w:szCs w:val="21"/>
          <w:highlight w:val="none"/>
          <w:u w:val="single"/>
          <w:lang w:val="en-US" w:eastAsia="zh-CN"/>
        </w:rPr>
        <w:t>月</w:t>
      </w:r>
      <w:r>
        <w:rPr>
          <w:rFonts w:hint="eastAsia" w:hAnsi="宋体" w:eastAsia="宋体" w:cs="宋体"/>
          <w:bCs/>
          <w:i w:val="0"/>
          <w:iCs w:val="0"/>
          <w:color w:val="auto"/>
          <w:sz w:val="21"/>
          <w:szCs w:val="21"/>
          <w:highlight w:val="none"/>
          <w:u w:val="single"/>
          <w:lang w:val="en-US" w:eastAsia="zh-CN"/>
        </w:rPr>
        <w:t>27</w:t>
      </w:r>
      <w:r>
        <w:rPr>
          <w:rFonts w:hint="eastAsia" w:ascii="宋体" w:hAnsi="宋体" w:eastAsia="宋体" w:cs="宋体"/>
          <w:bCs/>
          <w:i w:val="0"/>
          <w:iCs w:val="0"/>
          <w:color w:val="auto"/>
          <w:sz w:val="21"/>
          <w:szCs w:val="21"/>
          <w:highlight w:val="none"/>
          <w:u w:val="single"/>
        </w:rPr>
        <w:t>日</w:t>
      </w:r>
      <w:r>
        <w:rPr>
          <w:rFonts w:hint="eastAsia" w:hAnsi="宋体" w:eastAsia="宋体" w:cs="宋体"/>
          <w:bCs/>
          <w:i w:val="0"/>
          <w:iCs w:val="0"/>
          <w:color w:val="auto"/>
          <w:sz w:val="21"/>
          <w:szCs w:val="21"/>
          <w:highlight w:val="none"/>
          <w:u w:val="single"/>
          <w:lang w:val="en-US" w:eastAsia="zh-CN"/>
        </w:rPr>
        <w:t>13</w:t>
      </w:r>
      <w:r>
        <w:rPr>
          <w:rFonts w:hint="eastAsia" w:ascii="宋体" w:hAnsi="宋体" w:eastAsia="宋体" w:cs="宋体"/>
          <w:bCs/>
          <w:i w:val="0"/>
          <w:iCs w:val="0"/>
          <w:color w:val="auto"/>
          <w:sz w:val="21"/>
          <w:szCs w:val="21"/>
          <w:highlight w:val="none"/>
          <w:u w:val="single"/>
        </w:rPr>
        <w:t>:</w:t>
      </w:r>
      <w:r>
        <w:rPr>
          <w:rFonts w:hint="eastAsia" w:hAnsi="宋体" w:cs="宋体"/>
          <w:bCs/>
          <w:i w:val="0"/>
          <w:iCs w:val="0"/>
          <w:color w:val="auto"/>
          <w:sz w:val="21"/>
          <w:szCs w:val="21"/>
          <w:highlight w:val="none"/>
          <w:u w:val="single"/>
          <w:lang w:val="en-US" w:eastAsia="zh-CN"/>
        </w:rPr>
        <w:t>30</w:t>
      </w:r>
      <w:r>
        <w:rPr>
          <w:rFonts w:hint="eastAsia" w:ascii="宋体" w:hAnsi="宋体" w:eastAsia="宋体" w:cs="宋体"/>
          <w:i w:val="0"/>
          <w:iCs w:val="0"/>
          <w:color w:val="auto"/>
          <w:sz w:val="21"/>
          <w:szCs w:val="21"/>
          <w:highlight w:val="none"/>
          <w:lang w:val="en-US" w:eastAsia="zh-CN"/>
        </w:rPr>
        <w:t>（</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2.地点（网址）：</w:t>
      </w:r>
      <w:r>
        <w:rPr>
          <w:rFonts w:hint="eastAsia" w:hAnsi="宋体" w:eastAsia="宋体" w:cs="宋体"/>
          <w:i w:val="0"/>
          <w:iCs w:val="0"/>
          <w:color w:val="auto"/>
          <w:sz w:val="21"/>
          <w:szCs w:val="21"/>
          <w:highlight w:val="none"/>
          <w:lang w:val="en-US" w:eastAsia="zh-CN"/>
        </w:rPr>
        <w:t>宁海县公共资源交易中心（宁海县桃源街道金水东路5号五楼，详见五楼大厅公告）。供应商如提供备份响应文件的，应于截止时间前，将以U盘存储的电子备份响应文件递交至上述地点，逾期送达或未密封将予以拒收。供应商仅提供备份响应文件（包括以U盘存储的电子备份响应文件）的，投标无效。</w:t>
      </w:r>
    </w:p>
    <w:p>
      <w:pPr>
        <w:keepNext w:val="0"/>
        <w:keepLines w:val="0"/>
        <w:pageBreakBefore w:val="0"/>
        <w:kinsoku/>
        <w:wordWrap/>
        <w:overflowPunct/>
        <w:topLinePunct w:val="0"/>
        <w:autoSpaceDE/>
        <w:autoSpaceDN/>
        <w:bidi w:val="0"/>
        <w:adjustRightInd/>
        <w:snapToGrid/>
        <w:spacing w:line="336" w:lineRule="auto"/>
        <w:ind w:left="0" w:leftChars="0"/>
        <w:textAlignment w:val="auto"/>
        <w:outlineLvl w:val="9"/>
        <w:rPr>
          <w:rFonts w:hint="eastAsia" w:ascii="宋体" w:hAnsi="宋体" w:eastAsia="宋体" w:cs="宋体"/>
          <w:i w:val="0"/>
          <w:iCs w:val="0"/>
          <w:color w:val="auto"/>
          <w:sz w:val="21"/>
          <w:szCs w:val="21"/>
          <w:highlight w:val="none"/>
          <w:lang w:val="en-US" w:eastAsia="zh-CN"/>
        </w:rPr>
      </w:pPr>
      <w:r>
        <w:rPr>
          <w:rFonts w:hint="eastAsia" w:hAnsi="宋体" w:eastAsia="宋体" w:cs="宋体"/>
          <w:b/>
          <w:bCs w:val="0"/>
          <w:i w:val="0"/>
          <w:iCs w:val="0"/>
          <w:color w:val="auto"/>
          <w:sz w:val="21"/>
          <w:szCs w:val="21"/>
          <w:highlight w:val="none"/>
          <w:lang w:val="en-US" w:eastAsia="zh-CN"/>
        </w:rPr>
        <w:t>五</w:t>
      </w:r>
      <w:r>
        <w:rPr>
          <w:rFonts w:hint="eastAsia" w:ascii="宋体" w:hAnsi="宋体" w:eastAsia="宋体" w:cs="宋体"/>
          <w:b/>
          <w:bCs w:val="0"/>
          <w:i w:val="0"/>
          <w:iCs w:val="0"/>
          <w:color w:val="auto"/>
          <w:sz w:val="21"/>
          <w:szCs w:val="21"/>
          <w:highlight w:val="none"/>
        </w:rPr>
        <w:t>、响应文件开启</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lang w:val="en-US" w:eastAsia="zh-CN"/>
        </w:rPr>
      </w:pPr>
      <w:r>
        <w:rPr>
          <w:rFonts w:hint="eastAsia"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lang w:val="en-US" w:eastAsia="zh-CN"/>
        </w:rPr>
        <w:t>.开启时间：</w:t>
      </w:r>
      <w:r>
        <w:rPr>
          <w:rFonts w:hint="eastAsia" w:ascii="宋体" w:hAnsi="宋体" w:eastAsia="宋体" w:cs="宋体"/>
          <w:i w:val="0"/>
          <w:iCs w:val="0"/>
          <w:color w:val="auto"/>
          <w:sz w:val="21"/>
          <w:szCs w:val="21"/>
          <w:highlight w:val="none"/>
          <w:u w:val="single"/>
          <w:lang w:val="en-US" w:eastAsia="zh-CN"/>
        </w:rPr>
        <w:t>202</w:t>
      </w:r>
      <w:r>
        <w:rPr>
          <w:rFonts w:hint="eastAsia" w:hAnsi="宋体" w:eastAsia="宋体" w:cs="宋体"/>
          <w:i w:val="0"/>
          <w:iCs w:val="0"/>
          <w:color w:val="auto"/>
          <w:sz w:val="21"/>
          <w:szCs w:val="21"/>
          <w:highlight w:val="none"/>
          <w:u w:val="single"/>
          <w:lang w:val="en-US" w:eastAsia="zh-CN"/>
        </w:rPr>
        <w:t>2</w:t>
      </w:r>
      <w:r>
        <w:rPr>
          <w:rFonts w:hint="eastAsia" w:ascii="宋体" w:hAnsi="宋体" w:eastAsia="宋体" w:cs="宋体"/>
          <w:bCs/>
          <w:i w:val="0"/>
          <w:iCs w:val="0"/>
          <w:color w:val="auto"/>
          <w:sz w:val="21"/>
          <w:szCs w:val="21"/>
          <w:highlight w:val="none"/>
          <w:u w:val="single"/>
        </w:rPr>
        <w:t>年</w:t>
      </w:r>
      <w:r>
        <w:rPr>
          <w:rFonts w:hint="eastAsia" w:hAnsi="宋体" w:cs="宋体"/>
          <w:bCs/>
          <w:i w:val="0"/>
          <w:iCs w:val="0"/>
          <w:color w:val="auto"/>
          <w:sz w:val="21"/>
          <w:szCs w:val="21"/>
          <w:highlight w:val="none"/>
          <w:u w:val="single"/>
          <w:lang w:val="en-US" w:eastAsia="zh-CN"/>
        </w:rPr>
        <w:t>12</w:t>
      </w:r>
      <w:r>
        <w:rPr>
          <w:rFonts w:hint="eastAsia" w:ascii="宋体" w:hAnsi="宋体" w:eastAsia="宋体" w:cs="宋体"/>
          <w:bCs/>
          <w:i w:val="0"/>
          <w:iCs w:val="0"/>
          <w:color w:val="auto"/>
          <w:sz w:val="21"/>
          <w:szCs w:val="21"/>
          <w:highlight w:val="none"/>
          <w:u w:val="single"/>
          <w:lang w:val="en-US" w:eastAsia="zh-CN"/>
        </w:rPr>
        <w:t>月</w:t>
      </w:r>
      <w:r>
        <w:rPr>
          <w:rFonts w:hint="eastAsia" w:hAnsi="宋体" w:cs="宋体"/>
          <w:bCs/>
          <w:i w:val="0"/>
          <w:iCs w:val="0"/>
          <w:color w:val="auto"/>
          <w:sz w:val="21"/>
          <w:szCs w:val="21"/>
          <w:highlight w:val="none"/>
          <w:u w:val="single"/>
          <w:lang w:val="en-US" w:eastAsia="zh-CN"/>
        </w:rPr>
        <w:t>27</w:t>
      </w:r>
      <w:r>
        <w:rPr>
          <w:rFonts w:hint="eastAsia" w:ascii="宋体" w:hAnsi="宋体" w:eastAsia="宋体" w:cs="宋体"/>
          <w:bCs/>
          <w:i w:val="0"/>
          <w:iCs w:val="0"/>
          <w:color w:val="auto"/>
          <w:sz w:val="21"/>
          <w:szCs w:val="21"/>
          <w:highlight w:val="none"/>
          <w:u w:val="single"/>
        </w:rPr>
        <w:t>日</w:t>
      </w:r>
      <w:r>
        <w:rPr>
          <w:rFonts w:hint="eastAsia" w:hAnsi="宋体" w:eastAsia="宋体" w:cs="宋体"/>
          <w:bCs/>
          <w:i w:val="0"/>
          <w:iCs w:val="0"/>
          <w:color w:val="auto"/>
          <w:sz w:val="21"/>
          <w:szCs w:val="21"/>
          <w:highlight w:val="none"/>
          <w:u w:val="single"/>
          <w:lang w:val="en-US" w:eastAsia="zh-CN"/>
        </w:rPr>
        <w:t>13</w:t>
      </w:r>
      <w:r>
        <w:rPr>
          <w:rFonts w:hint="eastAsia" w:ascii="宋体" w:hAnsi="宋体" w:eastAsia="宋体" w:cs="宋体"/>
          <w:bCs/>
          <w:i w:val="0"/>
          <w:iCs w:val="0"/>
          <w:color w:val="auto"/>
          <w:sz w:val="21"/>
          <w:szCs w:val="21"/>
          <w:highlight w:val="none"/>
          <w:u w:val="single"/>
        </w:rPr>
        <w:t>:</w:t>
      </w:r>
      <w:r>
        <w:rPr>
          <w:rFonts w:hint="eastAsia" w:hAnsi="宋体" w:cs="宋体"/>
          <w:bCs/>
          <w:i w:val="0"/>
          <w:iCs w:val="0"/>
          <w:color w:val="auto"/>
          <w:sz w:val="21"/>
          <w:szCs w:val="21"/>
          <w:highlight w:val="none"/>
          <w:u w:val="single"/>
          <w:lang w:val="en-US" w:eastAsia="zh-CN"/>
        </w:rPr>
        <w:t>30</w:t>
      </w:r>
      <w:r>
        <w:rPr>
          <w:rFonts w:hint="eastAsia" w:ascii="宋体" w:hAnsi="宋体" w:eastAsia="宋体" w:cs="宋体"/>
          <w:i w:val="0"/>
          <w:iCs w:val="0"/>
          <w:color w:val="auto"/>
          <w:sz w:val="21"/>
          <w:szCs w:val="21"/>
          <w:highlight w:val="none"/>
          <w:lang w:val="en-US" w:eastAsia="zh-CN"/>
        </w:rPr>
        <w:t>（</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36" w:lineRule="auto"/>
        <w:ind w:left="0" w:leftChars="0" w:firstLine="540"/>
        <w:textAlignment w:val="auto"/>
        <w:outlineLvl w:val="9"/>
        <w:rPr>
          <w:rFonts w:hint="eastAsia" w:ascii="宋体" w:hAnsi="宋体" w:eastAsia="宋体" w:cs="宋体"/>
          <w:i w:val="0"/>
          <w:iCs w:val="0"/>
          <w:color w:val="auto"/>
          <w:sz w:val="21"/>
          <w:szCs w:val="21"/>
          <w:highlight w:val="none"/>
          <w:lang w:val="en-US" w:eastAsia="zh-CN"/>
        </w:rPr>
      </w:pPr>
      <w:r>
        <w:rPr>
          <w:rFonts w:hint="eastAsia"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lang w:val="en-US" w:eastAsia="zh-CN"/>
        </w:rPr>
        <w:t>.地点（网址）：宁海县公共资源交易中心（宁海县桃源街道金水东路5号五楼，详见五楼大厅公告）。</w:t>
      </w:r>
    </w:p>
    <w:p>
      <w:pPr>
        <w:keepNext w:val="0"/>
        <w:keepLines w:val="0"/>
        <w:pageBreakBefore w:val="0"/>
        <w:numPr>
          <w:ilvl w:val="0"/>
          <w:numId w:val="0"/>
        </w:numPr>
        <w:tabs>
          <w:tab w:val="left" w:pos="720"/>
        </w:tabs>
        <w:kinsoku/>
        <w:wordWrap/>
        <w:overflowPunct/>
        <w:topLinePunct w:val="0"/>
        <w:autoSpaceDE/>
        <w:autoSpaceDN/>
        <w:bidi w:val="0"/>
        <w:adjustRightInd/>
        <w:snapToGrid/>
        <w:spacing w:before="0" w:line="336" w:lineRule="auto"/>
        <w:ind w:left="0" w:leftChars="0"/>
        <w:textAlignment w:val="auto"/>
        <w:outlineLvl w:val="9"/>
        <w:rPr>
          <w:rFonts w:hint="eastAsia" w:ascii="宋体" w:hAnsi="宋体" w:eastAsia="宋体" w:cs="宋体"/>
          <w:b/>
          <w:bCs w:val="0"/>
          <w:i w:val="0"/>
          <w:iCs w:val="0"/>
          <w:color w:val="auto"/>
          <w:sz w:val="21"/>
          <w:szCs w:val="21"/>
          <w:highlight w:val="none"/>
        </w:rPr>
      </w:pPr>
      <w:bookmarkStart w:id="61" w:name="_Toc28359007"/>
      <w:bookmarkStart w:id="62" w:name="_Toc35393625"/>
      <w:bookmarkStart w:id="63" w:name="_Toc28359084"/>
      <w:bookmarkStart w:id="64" w:name="_Toc35393794"/>
      <w:r>
        <w:rPr>
          <w:rFonts w:hint="eastAsia" w:ascii="宋体" w:hAnsi="宋体" w:eastAsia="宋体" w:cs="宋体"/>
          <w:b/>
          <w:bCs w:val="0"/>
          <w:i w:val="0"/>
          <w:iCs w:val="0"/>
          <w:color w:val="auto"/>
          <w:sz w:val="21"/>
          <w:szCs w:val="21"/>
          <w:highlight w:val="none"/>
          <w:lang w:val="en-US" w:eastAsia="zh-CN"/>
        </w:rPr>
        <w:t>六</w:t>
      </w:r>
      <w:r>
        <w:rPr>
          <w:rFonts w:hint="eastAsia" w:ascii="宋体" w:hAnsi="宋体" w:eastAsia="宋体" w:cs="宋体"/>
          <w:b/>
          <w:bCs w:val="0"/>
          <w:i w:val="0"/>
          <w:iCs w:val="0"/>
          <w:color w:val="auto"/>
          <w:sz w:val="21"/>
          <w:szCs w:val="21"/>
          <w:highlight w:val="none"/>
        </w:rPr>
        <w:t>、公告期限</w:t>
      </w:r>
      <w:bookmarkEnd w:id="61"/>
      <w:bookmarkEnd w:id="62"/>
      <w:bookmarkEnd w:id="63"/>
      <w:bookmarkEnd w:id="64"/>
    </w:p>
    <w:p>
      <w:pPr>
        <w:keepNext w:val="0"/>
        <w:keepLines w:val="0"/>
        <w:pageBreakBefore w:val="0"/>
        <w:kinsoku/>
        <w:wordWrap/>
        <w:overflowPunct/>
        <w:topLinePunct w:val="0"/>
        <w:autoSpaceDE/>
        <w:autoSpaceDN/>
        <w:bidi w:val="0"/>
        <w:adjustRightInd/>
        <w:snapToGrid/>
        <w:spacing w:line="336" w:lineRule="auto"/>
        <w:ind w:left="0" w:leftChars="0" w:firstLine="420" w:firstLineChars="200"/>
        <w:textAlignment w:val="auto"/>
        <w:outlineLvl w:val="9"/>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自本公告发布之日起3个工作日。</w:t>
      </w:r>
    </w:p>
    <w:p>
      <w:pPr>
        <w:keepNext w:val="0"/>
        <w:keepLines w:val="0"/>
        <w:pageBreakBefore w:val="0"/>
        <w:numPr>
          <w:ilvl w:val="0"/>
          <w:numId w:val="0"/>
        </w:numPr>
        <w:tabs>
          <w:tab w:val="left" w:pos="720"/>
        </w:tabs>
        <w:kinsoku/>
        <w:wordWrap/>
        <w:overflowPunct/>
        <w:topLinePunct w:val="0"/>
        <w:autoSpaceDE/>
        <w:autoSpaceDN/>
        <w:bidi w:val="0"/>
        <w:adjustRightInd/>
        <w:snapToGrid/>
        <w:spacing w:before="0" w:line="336" w:lineRule="auto"/>
        <w:ind w:left="0" w:leftChars="0"/>
        <w:textAlignment w:val="auto"/>
        <w:outlineLvl w:val="9"/>
        <w:rPr>
          <w:rFonts w:hint="eastAsia" w:ascii="宋体" w:hAnsi="宋体" w:eastAsia="宋体" w:cs="宋体"/>
          <w:b/>
          <w:bCs w:val="0"/>
          <w:i w:val="0"/>
          <w:iCs w:val="0"/>
          <w:color w:val="auto"/>
          <w:sz w:val="21"/>
          <w:szCs w:val="21"/>
          <w:highlight w:val="none"/>
          <w:lang w:eastAsia="zh-CN"/>
        </w:rPr>
      </w:pPr>
      <w:r>
        <w:rPr>
          <w:rFonts w:hint="eastAsia" w:ascii="宋体" w:hAnsi="宋体" w:eastAsia="宋体" w:cs="宋体"/>
          <w:b/>
          <w:bCs w:val="0"/>
          <w:i w:val="0"/>
          <w:iCs w:val="0"/>
          <w:color w:val="auto"/>
          <w:sz w:val="21"/>
          <w:szCs w:val="21"/>
          <w:highlight w:val="none"/>
          <w:lang w:eastAsia="zh-CN"/>
        </w:rPr>
        <w:t>七、其他补充事宜</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2.其他事项：</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eastAsia="zh-CN"/>
        </w:rPr>
        <w:t>落实的政策：</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2.1.1</w:t>
      </w:r>
      <w:r>
        <w:rPr>
          <w:rFonts w:hint="eastAsia" w:ascii="宋体" w:hAnsi="宋体" w:eastAsia="宋体" w:cs="宋体"/>
          <w:color w:val="auto"/>
          <w:sz w:val="21"/>
          <w:szCs w:val="21"/>
          <w:highlight w:val="none"/>
          <w:lang w:eastAsia="zh-CN"/>
        </w:rPr>
        <w:t>对小微企业的产品给予价格优惠（监狱企业、残疾人福利性单位视同小微企业；残疾人福利性单位属于小型、微型企业的，不重复享受政策）；</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2.1.2扶持不发达地区和少数民族地区；</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lang w:eastAsia="zh-CN"/>
        </w:rPr>
        <w:t>供应商需按照《浙江省政府采购供应商注册及诚信管理暂行办法》的规定在“浙江政府采购网”政采云平台注册登记的，成为浙江省政府采购注册供应商。如未注册的供应商，请注意注册所需时间。</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lang w:eastAsia="zh-CN"/>
        </w:rPr>
        <w:t>投标与开标注意事项</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2.3.1</w:t>
      </w:r>
      <w:r>
        <w:rPr>
          <w:rFonts w:hint="eastAsia" w:ascii="宋体" w:hAnsi="宋体" w:eastAsia="宋体" w:cs="宋体"/>
          <w:color w:val="auto"/>
          <w:sz w:val="21"/>
          <w:szCs w:val="21"/>
          <w:highlight w:val="none"/>
        </w:rPr>
        <w:t>本项目实行网上投标，采用电子投标文件。若供应商参与投标，自行承担投标一切费用。</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2.3.2</w:t>
      </w:r>
      <w:r>
        <w:rPr>
          <w:rFonts w:hint="eastAsia" w:ascii="宋体" w:hAnsi="宋体" w:eastAsia="宋体" w:cs="宋体"/>
          <w:color w:val="auto"/>
          <w:sz w:val="21"/>
          <w:szCs w:val="21"/>
          <w:highlight w:val="none"/>
        </w:rPr>
        <w:t>标前准备：各供应商应在开标前确保成为浙江政府采购网正式注册入库供应商，并完成CA数字证书办理。因未注册入库、未办理CA数字证书等原因造成无法投标或投标失败等后果由供应商自行承担。</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2.3.3</w:t>
      </w:r>
      <w:r>
        <w:rPr>
          <w:rFonts w:hint="eastAsia" w:ascii="宋体" w:hAnsi="宋体" w:eastAsia="宋体" w:cs="宋体"/>
          <w:color w:val="auto"/>
          <w:sz w:val="21"/>
          <w:szCs w:val="21"/>
          <w:highlight w:val="none"/>
        </w:rPr>
        <w:t>投标文件制作：</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2.3.3.1</w:t>
      </w:r>
      <w:r>
        <w:rPr>
          <w:rFonts w:hint="eastAsia" w:ascii="宋体" w:hAnsi="宋体" w:eastAsia="宋体" w:cs="宋体"/>
          <w:color w:val="auto"/>
          <w:sz w:val="21"/>
          <w:szCs w:val="21"/>
          <w:highlight w:val="none"/>
        </w:rPr>
        <w:t>应按照本项目招标文件和政府采购云平台的要求编制、加密并递交投标文件。供应商在使用系统进行投标的过程中遇到涉及平台使用的任何问题，可致电政府采购云平台技术支持热线咨询，联系方式：400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8817190。</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2.3.3.2</w:t>
      </w:r>
      <w:r>
        <w:rPr>
          <w:rFonts w:hint="eastAsia" w:ascii="宋体" w:hAnsi="宋体" w:eastAsia="宋体" w:cs="宋体"/>
          <w:color w:val="auto"/>
          <w:sz w:val="21"/>
          <w:szCs w:val="21"/>
          <w:highlight w:val="none"/>
        </w:rPr>
        <w:t>供应商通过政府采购云平台电子投标工具制作投标文件，电子投标工具请供应商自行前往浙江政府采购网下载并安装，投标文件制作具体流程详见政府采购云平台。</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2.3.3.3</w:t>
      </w:r>
      <w:r>
        <w:rPr>
          <w:rFonts w:hint="eastAsia" w:ascii="宋体" w:hAnsi="宋体" w:eastAsia="宋体" w:cs="宋体"/>
          <w:color w:val="auto"/>
          <w:sz w:val="21"/>
          <w:szCs w:val="21"/>
          <w:highlight w:val="none"/>
        </w:rPr>
        <w:t>以U盘存储的电子备份投标文件1份，按政府采购云平台</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rPr>
        <w:t>制作的电子备份文件，以用于异常情况处理。</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2.5供应商应于投标截止时间前将电子投标文件上传到政府采购云平台www.zcygov.cn，未上传电子投标文件，视为供应商放弃投标。</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2.6供应商如提供备份投标文件的，应于提交投标文件截止时间前，将以U盘存储的电子备份投标文件密封，递交至</w:t>
      </w:r>
      <w:r>
        <w:rPr>
          <w:rFonts w:hint="eastAsia" w:ascii="宋体" w:hAnsi="宋体" w:eastAsia="宋体" w:cs="宋体"/>
          <w:color w:val="auto"/>
          <w:sz w:val="21"/>
          <w:szCs w:val="21"/>
          <w:highlight w:val="none"/>
          <w:lang w:eastAsia="zh-CN"/>
        </w:rPr>
        <w:t>宁海县公共资源交易中心（宁海县桃源街道金水东路5号五楼，详见五楼大厅公告）</w:t>
      </w:r>
      <w:r>
        <w:rPr>
          <w:rFonts w:hint="eastAsia" w:ascii="宋体" w:hAnsi="宋体" w:eastAsia="宋体" w:cs="宋体"/>
          <w:color w:val="auto"/>
          <w:sz w:val="21"/>
          <w:szCs w:val="21"/>
          <w:highlight w:val="none"/>
          <w:lang w:val="en-US" w:eastAsia="zh-CN"/>
        </w:rPr>
        <w:t>，逾期送达或未密封将予以拒收。供应商仅提供以U盘存储的电子备份投标文件的，投标无效。</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2.7采购代理机构将在招标文件规定的开标时间通过政府采购云平台组织开标、开启投标文件，所有供应商均应准时在线参加。开标时间后30分钟内供应商可以登录政府采购云平台www.zcygov.cn，用“项目采购</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开标评标”功能进行解密投标文件。</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2.8供应商可采用邮寄（含快递）方式递交备份投标文件。</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2.8.1采用邮寄方式递交备份投标文件，需按以下要求递交：</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拟在2022年</w:t>
      </w:r>
      <w:r>
        <w:rPr>
          <w:rFonts w:hint="eastAsia" w:ascii="宋体" w:hAnsi="宋体" w:cs="宋体"/>
          <w:bCs/>
          <w:i w:val="0"/>
          <w:iCs w:val="0"/>
          <w:color w:val="auto"/>
          <w:sz w:val="21"/>
          <w:szCs w:val="21"/>
          <w:highlight w:val="none"/>
          <w:u w:val="single"/>
          <w:lang w:val="en-US" w:eastAsia="zh-CN"/>
        </w:rPr>
        <w:t>12</w:t>
      </w:r>
      <w:r>
        <w:rPr>
          <w:rFonts w:hint="eastAsia" w:ascii="宋体" w:hAnsi="宋体" w:eastAsia="宋体" w:cs="宋体"/>
          <w:color w:val="auto"/>
          <w:sz w:val="21"/>
          <w:szCs w:val="21"/>
          <w:highlight w:val="none"/>
          <w:lang w:val="en-US" w:eastAsia="zh-CN"/>
        </w:rPr>
        <w:t>月</w:t>
      </w:r>
      <w:r>
        <w:rPr>
          <w:rFonts w:hint="eastAsia" w:ascii="宋体" w:hAnsi="宋体" w:cs="宋体"/>
          <w:bCs/>
          <w:i w:val="0"/>
          <w:iCs w:val="0"/>
          <w:color w:val="auto"/>
          <w:sz w:val="21"/>
          <w:szCs w:val="21"/>
          <w:highlight w:val="none"/>
          <w:u w:val="single"/>
          <w:lang w:val="en-US" w:eastAsia="zh-CN"/>
        </w:rPr>
        <w:t>26</w:t>
      </w:r>
      <w:r>
        <w:rPr>
          <w:rFonts w:hint="eastAsia" w:ascii="宋体" w:hAnsi="宋体" w:eastAsia="宋体" w:cs="宋体"/>
          <w:color w:val="auto"/>
          <w:sz w:val="21"/>
          <w:szCs w:val="21"/>
          <w:highlight w:val="none"/>
          <w:lang w:val="en-US" w:eastAsia="zh-CN"/>
        </w:rPr>
        <w:t>日16:00（含）前到件的邮寄地址为：</w:t>
      </w:r>
      <w:r>
        <w:rPr>
          <w:rFonts w:hint="eastAsia" w:ascii="宋体" w:hAnsi="宋体" w:cs="宋体"/>
          <w:color w:val="auto"/>
          <w:sz w:val="21"/>
          <w:szCs w:val="21"/>
          <w:highlight w:val="none"/>
          <w:lang w:val="en-US" w:eastAsia="zh-CN"/>
        </w:rPr>
        <w:t>宁海县兴海北路166号(东方蓝色慧谷1号楼2楼）</w:t>
      </w:r>
      <w:r>
        <w:rPr>
          <w:rFonts w:hint="eastAsia" w:ascii="宋体" w:hAnsi="宋体" w:eastAsia="宋体" w:cs="宋体"/>
          <w:color w:val="auto"/>
          <w:sz w:val="21"/>
          <w:szCs w:val="21"/>
          <w:highlight w:val="none"/>
          <w:lang w:val="en-US" w:eastAsia="zh-CN"/>
        </w:rPr>
        <w:t>；</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收件人：</w:t>
      </w:r>
      <w:r>
        <w:rPr>
          <w:rFonts w:hint="eastAsia" w:ascii="宋体" w:hAnsi="宋体" w:cs="宋体"/>
          <w:color w:val="auto"/>
          <w:sz w:val="21"/>
          <w:szCs w:val="21"/>
          <w:highlight w:val="none"/>
          <w:lang w:val="en-US" w:eastAsia="zh-CN"/>
        </w:rPr>
        <w:t>叶工</w:t>
      </w:r>
      <w:r>
        <w:rPr>
          <w:rFonts w:hint="eastAsia" w:ascii="宋体" w:hAnsi="宋体" w:eastAsia="宋体" w:cs="宋体"/>
          <w:color w:val="auto"/>
          <w:sz w:val="21"/>
          <w:szCs w:val="21"/>
          <w:highlight w:val="none"/>
          <w:lang w:val="en-US" w:eastAsia="zh-CN"/>
        </w:rPr>
        <w:t xml:space="preserve">  联系方式：</w:t>
      </w:r>
      <w:r>
        <w:rPr>
          <w:rFonts w:hint="eastAsia" w:ascii="宋体" w:hAnsi="宋体" w:cs="宋体"/>
          <w:color w:val="auto"/>
          <w:sz w:val="21"/>
          <w:szCs w:val="21"/>
          <w:highlight w:val="none"/>
          <w:lang w:val="en-US" w:eastAsia="zh-CN"/>
        </w:rPr>
        <w:t>0574-65359886</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请各供应商确保密封包装在邮寄过程密封包装完好，因邮寄过程的密封破损造成不符合开标要求的，本采购代理及采购人概不负责。</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2.9评标结束后，中标人需提供纸质投标文件3套，寄至代理机构备案。</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2.10开标过程全程视频监控记录。</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2.11投标人员须做好佩戴口罩、手套等防护措施，自觉接受体温检测、接受防疫询问，并如实报告相关情况。</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2.12投标人员还需配合做好疫情防控“五个一律”：一律全面消毒、一律体温检测、一律承诺登记、一律按序办事、一律服从管理。</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2.13</w:t>
      </w:r>
      <w:r>
        <w:rPr>
          <w:rFonts w:hint="eastAsia" w:ascii="宋体" w:hAnsi="宋体" w:eastAsia="宋体" w:cs="宋体"/>
          <w:color w:val="auto"/>
          <w:sz w:val="21"/>
          <w:szCs w:val="21"/>
          <w:highlight w:val="none"/>
        </w:rPr>
        <w:t>如投标截止时间前疫情解除，上述第</w:t>
      </w:r>
      <w:r>
        <w:rPr>
          <w:rFonts w:hint="eastAsia" w:ascii="宋体" w:hAnsi="宋体" w:eastAsia="宋体" w:cs="宋体"/>
          <w:color w:val="auto"/>
          <w:sz w:val="21"/>
          <w:szCs w:val="21"/>
          <w:highlight w:val="none"/>
          <w:lang w:val="en-US" w:eastAsia="zh-CN"/>
        </w:rPr>
        <w:t>2.8-2.11</w:t>
      </w:r>
      <w:r>
        <w:rPr>
          <w:rFonts w:hint="eastAsia" w:ascii="宋体" w:hAnsi="宋体" w:eastAsia="宋体" w:cs="宋体"/>
          <w:color w:val="auto"/>
          <w:sz w:val="21"/>
          <w:szCs w:val="21"/>
          <w:highlight w:val="none"/>
        </w:rPr>
        <w:t>条内容废止。</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2.14</w:t>
      </w:r>
      <w:r>
        <w:rPr>
          <w:rFonts w:hint="eastAsia" w:ascii="宋体" w:hAnsi="宋体" w:eastAsia="宋体" w:cs="宋体"/>
          <w:color w:val="auto"/>
          <w:sz w:val="21"/>
          <w:szCs w:val="21"/>
          <w:highlight w:val="none"/>
        </w:rPr>
        <w:t>肺炎防疫期间，请各供应商遵守</w:t>
      </w:r>
      <w:r>
        <w:rPr>
          <w:rFonts w:hint="eastAsia" w:ascii="宋体" w:hAnsi="宋体" w:eastAsia="宋体" w:cs="宋体"/>
          <w:color w:val="auto"/>
          <w:sz w:val="21"/>
          <w:szCs w:val="21"/>
          <w:highlight w:val="none"/>
          <w:lang w:val="en-US" w:eastAsia="zh-CN"/>
        </w:rPr>
        <w:t>宁波市宁海县公共资源交易中心</w:t>
      </w:r>
      <w:r>
        <w:rPr>
          <w:rFonts w:hint="eastAsia" w:ascii="宋体" w:hAnsi="宋体" w:eastAsia="宋体" w:cs="宋体"/>
          <w:color w:val="auto"/>
          <w:sz w:val="21"/>
          <w:szCs w:val="21"/>
          <w:highlight w:val="none"/>
        </w:rPr>
        <w:t>各项防疫措施规定。</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十四、对本次招标提出询问，请按以下方式联系。</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采购人：</w:t>
      </w:r>
      <w:r>
        <w:rPr>
          <w:rFonts w:hint="eastAsia" w:hAnsi="宋体" w:eastAsia="宋体" w:cs="宋体"/>
          <w:color w:val="auto"/>
          <w:sz w:val="21"/>
          <w:szCs w:val="21"/>
          <w:highlight w:val="none"/>
          <w:lang w:val="en-US" w:eastAsia="zh-CN" w:bidi="ar-SA"/>
        </w:rPr>
        <w:t>宁海县力洋镇人民政府</w:t>
      </w:r>
      <w:r>
        <w:rPr>
          <w:rFonts w:hint="eastAsia" w:ascii="宋体" w:hAnsi="宋体" w:eastAsia="宋体" w:cs="宋体"/>
          <w:color w:val="auto"/>
          <w:sz w:val="21"/>
          <w:szCs w:val="21"/>
          <w:highlight w:val="none"/>
          <w:lang w:val="en-US" w:eastAsia="zh-CN" w:bidi="ar-SA"/>
        </w:rPr>
        <w:t xml:space="preserve">  </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地址：</w:t>
      </w:r>
      <w:r>
        <w:rPr>
          <w:rFonts w:hint="eastAsia" w:hAnsi="宋体" w:eastAsia="宋体" w:cs="宋体"/>
          <w:color w:val="auto"/>
          <w:sz w:val="21"/>
          <w:szCs w:val="21"/>
          <w:highlight w:val="none"/>
          <w:lang w:val="en-US" w:eastAsia="zh-CN" w:bidi="ar-SA"/>
        </w:rPr>
        <w:t>宁海县力洋镇人民政府</w:t>
      </w:r>
    </w:p>
    <w:p>
      <w:pPr>
        <w:keepNext w:val="0"/>
        <w:keepLines w:val="0"/>
        <w:pageBreakBefore w:val="0"/>
        <w:widowControl w:val="0"/>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联系人： </w:t>
      </w:r>
      <w:r>
        <w:rPr>
          <w:rFonts w:hint="eastAsia" w:hAnsi="宋体" w:eastAsia="宋体" w:cs="宋体"/>
          <w:color w:val="auto"/>
          <w:sz w:val="21"/>
          <w:szCs w:val="21"/>
          <w:highlight w:val="none"/>
          <w:lang w:val="en-US" w:eastAsia="zh-CN" w:bidi="ar-SA"/>
        </w:rPr>
        <w:t>韩工</w:t>
      </w:r>
    </w:p>
    <w:p>
      <w:pPr>
        <w:keepNext w:val="0"/>
        <w:keepLines w:val="0"/>
        <w:pageBreakBefore w:val="0"/>
        <w:widowControl w:val="0"/>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联系电话： 0574-65101613</w:t>
      </w:r>
    </w:p>
    <w:p>
      <w:pPr>
        <w:keepNext w:val="0"/>
        <w:keepLines w:val="0"/>
        <w:pageBreakBefore w:val="0"/>
        <w:widowControl w:val="0"/>
        <w:kinsoku/>
        <w:wordWrap/>
        <w:overflowPunct/>
        <w:topLinePunct w:val="0"/>
        <w:autoSpaceDE/>
        <w:autoSpaceDN/>
        <w:bidi w:val="0"/>
        <w:snapToGrid w:val="0"/>
        <w:spacing w:line="360" w:lineRule="auto"/>
        <w:ind w:firstLine="435"/>
        <w:jc w:val="left"/>
        <w:outlineLvl w:val="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质疑联系人：</w:t>
      </w:r>
      <w:r>
        <w:rPr>
          <w:rFonts w:hint="eastAsia" w:hAnsi="宋体" w:eastAsia="宋体" w:cs="宋体"/>
          <w:color w:val="auto"/>
          <w:sz w:val="21"/>
          <w:szCs w:val="21"/>
          <w:highlight w:val="none"/>
          <w:lang w:val="en-US" w:eastAsia="zh-CN" w:bidi="ar-SA"/>
        </w:rPr>
        <w:t>王宏义</w:t>
      </w:r>
    </w:p>
    <w:p>
      <w:pPr>
        <w:keepNext w:val="0"/>
        <w:keepLines w:val="0"/>
        <w:pageBreakBefore w:val="0"/>
        <w:widowControl w:val="0"/>
        <w:kinsoku/>
        <w:wordWrap/>
        <w:overflowPunct/>
        <w:topLinePunct w:val="0"/>
        <w:autoSpaceDE/>
        <w:autoSpaceDN/>
        <w:bidi w:val="0"/>
        <w:snapToGrid w:val="0"/>
        <w:spacing w:line="360" w:lineRule="auto"/>
        <w:ind w:firstLine="420" w:firstLineChars="200"/>
        <w:jc w:val="left"/>
        <w:outlineLvl w:val="1"/>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质疑联系方式：</w:t>
      </w:r>
      <w:r>
        <w:rPr>
          <w:rFonts w:hint="eastAsia" w:hAnsi="宋体" w:eastAsia="宋体" w:cs="宋体"/>
          <w:color w:val="auto"/>
          <w:sz w:val="21"/>
          <w:szCs w:val="21"/>
          <w:highlight w:val="none"/>
          <w:lang w:val="en-US" w:eastAsia="zh-CN" w:bidi="ar-SA"/>
        </w:rPr>
        <w:t>13566551117</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名    称：</w:t>
      </w:r>
      <w:r>
        <w:rPr>
          <w:rFonts w:hint="eastAsia" w:hAnsi="宋体" w:eastAsia="宋体" w:cs="宋体"/>
          <w:color w:val="auto"/>
          <w:sz w:val="21"/>
          <w:szCs w:val="21"/>
          <w:highlight w:val="none"/>
          <w:lang w:val="en-US" w:eastAsia="zh-CN" w:bidi="ar-SA"/>
        </w:rPr>
        <w:t>浙江同欣工程管理有限公司</w:t>
      </w:r>
    </w:p>
    <w:p>
      <w:pPr>
        <w:keepNext w:val="0"/>
        <w:keepLines w:val="0"/>
        <w:pageBreakBefore w:val="0"/>
        <w:widowControl w:val="0"/>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地    址：</w:t>
      </w:r>
      <w:r>
        <w:rPr>
          <w:rFonts w:hint="eastAsia" w:hAnsi="宋体" w:eastAsia="宋体" w:cs="宋体"/>
          <w:color w:val="auto"/>
          <w:sz w:val="21"/>
          <w:szCs w:val="21"/>
          <w:highlight w:val="none"/>
          <w:lang w:val="en-US" w:eastAsia="zh-CN" w:bidi="ar-SA"/>
        </w:rPr>
        <w:t>宁海县兴海北路166号(东方蓝色慧谷1号楼2楼）</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传    真： /</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项目联系人（询问）：</w:t>
      </w:r>
      <w:r>
        <w:rPr>
          <w:rFonts w:hint="eastAsia" w:hAnsi="宋体" w:eastAsia="宋体" w:cs="宋体"/>
          <w:color w:val="auto"/>
          <w:sz w:val="21"/>
          <w:szCs w:val="21"/>
          <w:highlight w:val="none"/>
          <w:lang w:val="en-US" w:eastAsia="zh-CN" w:bidi="ar-SA"/>
        </w:rPr>
        <w:t>叶工</w:t>
      </w:r>
    </w:p>
    <w:p>
      <w:pPr>
        <w:keepNext w:val="0"/>
        <w:keepLines w:val="0"/>
        <w:pageBreakBefore w:val="0"/>
        <w:widowControl w:val="0"/>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项目联系方式（询问）：</w:t>
      </w:r>
      <w:r>
        <w:rPr>
          <w:rFonts w:hint="eastAsia" w:hAnsi="宋体" w:eastAsia="宋体" w:cs="宋体"/>
          <w:color w:val="auto"/>
          <w:sz w:val="21"/>
          <w:szCs w:val="21"/>
          <w:highlight w:val="none"/>
          <w:lang w:val="en-US" w:eastAsia="zh-CN" w:bidi="ar-SA"/>
        </w:rPr>
        <w:t>0574-65359886</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质疑联系人：</w:t>
      </w:r>
      <w:r>
        <w:rPr>
          <w:rFonts w:hint="eastAsia" w:hAnsi="宋体" w:eastAsia="宋体" w:cs="宋体"/>
          <w:color w:val="auto"/>
          <w:sz w:val="21"/>
          <w:szCs w:val="21"/>
          <w:highlight w:val="none"/>
          <w:lang w:val="en-US" w:eastAsia="zh-CN" w:bidi="ar-SA"/>
        </w:rPr>
        <w:t>钱工</w:t>
      </w:r>
    </w:p>
    <w:p>
      <w:pPr>
        <w:keepNext w:val="0"/>
        <w:keepLines w:val="0"/>
        <w:pageBreakBefore w:val="0"/>
        <w:widowControl w:val="0"/>
        <w:kinsoku/>
        <w:wordWrap/>
        <w:overflowPunct/>
        <w:topLinePunct w:val="0"/>
        <w:autoSpaceDE/>
        <w:autoSpaceDN/>
        <w:bidi w:val="0"/>
        <w:spacing w:line="360" w:lineRule="auto"/>
        <w:ind w:firstLine="420" w:firstLineChars="200"/>
        <w:rPr>
          <w:rFonts w:hint="default"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质疑联系方式：</w:t>
      </w:r>
      <w:r>
        <w:rPr>
          <w:rFonts w:hint="eastAsia" w:hAnsi="宋体" w:eastAsia="宋体" w:cs="宋体"/>
          <w:color w:val="auto"/>
          <w:sz w:val="21"/>
          <w:szCs w:val="21"/>
          <w:highlight w:val="none"/>
          <w:lang w:val="en-US" w:eastAsia="zh-CN" w:bidi="ar-SA"/>
        </w:rPr>
        <w:t>13967861520</w:t>
      </w:r>
    </w:p>
    <w:p>
      <w:pPr>
        <w:pStyle w:val="24"/>
        <w:keepNext w:val="0"/>
        <w:keepLines w:val="0"/>
        <w:pageBreakBefore w:val="0"/>
        <w:widowControl w:val="0"/>
        <w:kinsoku/>
        <w:wordWrap/>
        <w:overflowPunct/>
        <w:topLinePunct w:val="0"/>
        <w:autoSpaceDE/>
        <w:autoSpaceDN/>
        <w:bidi w:val="0"/>
        <w:adjustRightInd/>
        <w:snapToGrid/>
        <w:spacing w:after="0" w:afterLines="0"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3.同级政府采购监督管理部门：</w:t>
      </w:r>
    </w:p>
    <w:p>
      <w:pPr>
        <w:keepNext w:val="0"/>
        <w:keepLines w:val="0"/>
        <w:pageBreakBefore w:val="0"/>
        <w:widowControl w:val="0"/>
        <w:kinsoku/>
        <w:wordWrap/>
        <w:overflowPunct/>
        <w:topLinePunct w:val="0"/>
        <w:autoSpaceDE/>
        <w:autoSpaceDN/>
        <w:bidi w:val="0"/>
        <w:snapToGrid w:val="0"/>
        <w:spacing w:line="360" w:lineRule="auto"/>
        <w:ind w:firstLine="435"/>
        <w:jc w:val="left"/>
        <w:outlineLvl w:val="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名    称：宁海县政府采购管理办公室             </w:t>
      </w:r>
    </w:p>
    <w:p>
      <w:pPr>
        <w:keepNext w:val="0"/>
        <w:keepLines w:val="0"/>
        <w:pageBreakBefore w:val="0"/>
        <w:widowControl w:val="0"/>
        <w:kinsoku/>
        <w:wordWrap/>
        <w:overflowPunct/>
        <w:topLinePunct w:val="0"/>
        <w:autoSpaceDE/>
        <w:autoSpaceDN/>
        <w:bidi w:val="0"/>
        <w:snapToGrid w:val="0"/>
        <w:spacing w:line="360" w:lineRule="auto"/>
        <w:ind w:firstLine="435"/>
        <w:jc w:val="left"/>
        <w:outlineLvl w:val="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地    址：宁海县跃龙街道桃源中路218号            </w:t>
      </w:r>
    </w:p>
    <w:p>
      <w:pPr>
        <w:keepNext w:val="0"/>
        <w:keepLines w:val="0"/>
        <w:pageBreakBefore w:val="0"/>
        <w:widowControl w:val="0"/>
        <w:kinsoku/>
        <w:wordWrap/>
        <w:overflowPunct/>
        <w:topLinePunct w:val="0"/>
        <w:autoSpaceDE/>
        <w:autoSpaceDN/>
        <w:bidi w:val="0"/>
        <w:snapToGrid w:val="0"/>
        <w:spacing w:line="360" w:lineRule="auto"/>
        <w:ind w:firstLine="435"/>
        <w:jc w:val="left"/>
        <w:outlineLvl w:val="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传    真：0574-65265612            </w:t>
      </w:r>
    </w:p>
    <w:p>
      <w:pPr>
        <w:keepNext w:val="0"/>
        <w:keepLines w:val="0"/>
        <w:pageBreakBefore w:val="0"/>
        <w:widowControl w:val="0"/>
        <w:kinsoku/>
        <w:wordWrap/>
        <w:overflowPunct/>
        <w:topLinePunct w:val="0"/>
        <w:autoSpaceDE/>
        <w:autoSpaceDN/>
        <w:bidi w:val="0"/>
        <w:snapToGrid w:val="0"/>
        <w:spacing w:line="360" w:lineRule="auto"/>
        <w:ind w:firstLine="435"/>
        <w:jc w:val="left"/>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SA"/>
        </w:rPr>
        <w:t xml:space="preserve">联系人 ：王老师     </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snapToGrid w:val="0"/>
        <w:spacing w:line="360" w:lineRule="auto"/>
        <w:ind w:firstLine="435"/>
        <w:jc w:val="left"/>
        <w:outlineLvl w:val="1"/>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投诉电话：0574-65265668 </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若对项目采购电子交易系统操作有疑问，可登录政采云（https://www.zcygov.cn/），点击右侧咨询小采，获取采小蜜智能服务管家帮助，或拨打政采云服务热线400-881-7190获取热线服务帮助。</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CA问题联系电话（人工）：汇信CA 400-888-4636；天谷CA 400-087-8198。</w:t>
      </w: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p>
    <w:p>
      <w:pPr>
        <w:pStyle w:val="24"/>
        <w:keepNext w:val="0"/>
        <w:keepLines w:val="0"/>
        <w:pageBreakBefore w:val="0"/>
        <w:widowControl w:val="0"/>
        <w:kinsoku/>
        <w:wordWrap/>
        <w:overflowPunct/>
        <w:topLinePunct w:val="0"/>
        <w:autoSpaceDE/>
        <w:autoSpaceDN/>
        <w:bidi w:val="0"/>
        <w:adjustRightInd/>
        <w:snapToGrid/>
        <w:spacing w:after="0" w:afterLines="0" w:line="336" w:lineRule="auto"/>
        <w:ind w:firstLine="420" w:firstLineChars="200"/>
        <w:jc w:val="left"/>
        <w:textAlignment w:val="auto"/>
        <w:outlineLvl w:val="9"/>
        <w:rPr>
          <w:rFonts w:hint="eastAsia" w:ascii="宋体" w:hAnsi="宋体" w:eastAsia="宋体" w:cs="宋体"/>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9"/>
        <w:rPr>
          <w:rFonts w:hint="eastAsia" w:ascii="宋体" w:hAnsi="宋体" w:eastAsia="宋体" w:cs="宋体"/>
          <w:b/>
          <w:color w:val="auto"/>
          <w:kern w:val="2"/>
          <w:sz w:val="32"/>
          <w:szCs w:val="32"/>
          <w:highlight w:val="none"/>
        </w:rPr>
        <w:sectPr>
          <w:footerReference r:id="rId10" w:type="default"/>
          <w:pgSz w:w="11906" w:h="16838"/>
          <w:pgMar w:top="1474" w:right="1474" w:bottom="1247" w:left="1474" w:header="851" w:footer="850" w:gutter="0"/>
          <w:pgBorders>
            <w:top w:val="none" w:sz="0" w:space="0"/>
            <w:left w:val="none" w:sz="0" w:space="0"/>
            <w:bottom w:val="none" w:sz="0" w:space="0"/>
            <w:right w:val="none" w:sz="0" w:space="0"/>
          </w:pgBorders>
          <w:pgNumType w:fmt="decimal" w:start="1"/>
          <w:cols w:space="720" w:num="1"/>
          <w:docGrid w:linePitch="312" w:charSpace="0"/>
        </w:sectPr>
      </w:pP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0"/>
        <w:rPr>
          <w:rFonts w:hint="eastAsia" w:ascii="宋体" w:hAnsi="宋体" w:eastAsia="宋体" w:cs="宋体"/>
          <w:b/>
          <w:color w:val="auto"/>
          <w:kern w:val="2"/>
          <w:sz w:val="32"/>
          <w:szCs w:val="32"/>
          <w:highlight w:val="none"/>
        </w:rPr>
      </w:pPr>
      <w:bookmarkStart w:id="65" w:name="_Toc15207"/>
      <w:r>
        <w:rPr>
          <w:rFonts w:hint="eastAsia" w:ascii="宋体" w:hAnsi="宋体" w:eastAsia="宋体" w:cs="宋体"/>
          <w:b/>
          <w:color w:val="auto"/>
          <w:kern w:val="2"/>
          <w:sz w:val="32"/>
          <w:szCs w:val="32"/>
          <w:highlight w:val="none"/>
        </w:rPr>
        <w:t>第二章 供应商须知</w:t>
      </w:r>
      <w:bookmarkEnd w:id="8"/>
      <w:bookmarkEnd w:id="9"/>
      <w:bookmarkEnd w:id="10"/>
      <w:bookmarkEnd w:id="11"/>
      <w:bookmarkEnd w:id="65"/>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80"/>
        <w:gridCol w:w="1520"/>
        <w:gridCol w:w="6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81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1</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和预算</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outlineLvl w:val="9"/>
              <w:rPr>
                <w:rFonts w:hint="eastAsia" w:hAnsi="宋体" w:eastAsia="宋体" w:cs="宋体"/>
                <w:color w:val="auto"/>
                <w:kern w:val="2"/>
                <w:sz w:val="21"/>
                <w:szCs w:val="21"/>
                <w:highlight w:val="none"/>
                <w:lang w:val="en-US" w:eastAsia="zh-CN"/>
              </w:rPr>
            </w:pPr>
            <w:r>
              <w:rPr>
                <w:rFonts w:hint="eastAsia" w:hAnsi="宋体" w:eastAsia="宋体" w:cs="宋体"/>
                <w:color w:val="auto"/>
                <w:kern w:val="2"/>
                <w:sz w:val="21"/>
                <w:szCs w:val="21"/>
                <w:highlight w:val="none"/>
                <w:lang w:val="en-US" w:eastAsia="zh-CN"/>
              </w:rPr>
              <w:t>1、采购预算/最高限价：649540元；若供应商的投标报价超过采购预算/最高限价的，其投标作无效标处理。</w:t>
            </w:r>
          </w:p>
          <w:p>
            <w:pPr>
              <w:keepNext w:val="0"/>
              <w:keepLines w:val="0"/>
              <w:pageBreakBefore w:val="0"/>
              <w:widowControl w:val="0"/>
              <w:kinsoku/>
              <w:wordWrap/>
              <w:overflowPunct/>
              <w:topLinePunct w:val="0"/>
              <w:autoSpaceDE/>
              <w:autoSpaceDN/>
              <w:bidi w:val="0"/>
              <w:adjustRightInd/>
              <w:snapToGrid/>
              <w:spacing w:line="360" w:lineRule="auto"/>
              <w:jc w:val="left"/>
              <w:outlineLvl w:val="9"/>
              <w:rPr>
                <w:rFonts w:hint="eastAsia" w:hAnsi="宋体" w:eastAsia="宋体" w:cs="宋体"/>
                <w:color w:val="auto"/>
                <w:kern w:val="2"/>
                <w:sz w:val="21"/>
                <w:szCs w:val="21"/>
                <w:highlight w:val="yellow"/>
                <w:lang w:val="en-US" w:eastAsia="zh-CN"/>
              </w:rPr>
            </w:pPr>
            <w:r>
              <w:rPr>
                <w:rFonts w:hint="eastAsia" w:hAnsi="宋体" w:eastAsia="宋体" w:cs="宋体"/>
                <w:color w:val="auto"/>
                <w:kern w:val="2"/>
                <w:sz w:val="21"/>
                <w:szCs w:val="21"/>
                <w:highlight w:val="none"/>
                <w:lang w:val="en-US" w:eastAsia="zh-CN"/>
              </w:rPr>
              <w:t>2、报价要求：投标报价是履行合同的最终价格，应包括设备费、安装费、材料费、设备调试费、验收、检验、培训、售后服务和维保、施工技术措施费用、税金、保险以及验收、招标服务费等完成本项目所需的所有一切费用。</w:t>
            </w:r>
          </w:p>
          <w:p>
            <w:pPr>
              <w:keepNext w:val="0"/>
              <w:keepLines w:val="0"/>
              <w:pageBreakBefore w:val="0"/>
              <w:widowControl w:val="0"/>
              <w:kinsoku/>
              <w:wordWrap/>
              <w:overflowPunct/>
              <w:topLinePunct w:val="0"/>
              <w:autoSpaceDE/>
              <w:autoSpaceDN/>
              <w:bidi w:val="0"/>
              <w:adjustRightInd/>
              <w:snapToGrid/>
              <w:spacing w:line="360" w:lineRule="auto"/>
              <w:jc w:val="left"/>
              <w:outlineLvl w:val="9"/>
              <w:rPr>
                <w:rFonts w:hint="eastAsia" w:hAnsi="宋体" w:eastAsia="宋体" w:cs="宋体"/>
                <w:color w:val="auto"/>
                <w:kern w:val="2"/>
                <w:sz w:val="21"/>
                <w:szCs w:val="21"/>
                <w:highlight w:val="none"/>
                <w:lang w:val="en-US" w:eastAsia="zh-CN"/>
              </w:rPr>
            </w:pPr>
            <w:r>
              <w:rPr>
                <w:rFonts w:hint="eastAsia" w:hAnsi="宋体" w:eastAsia="宋体" w:cs="宋体"/>
                <w:color w:val="auto"/>
                <w:kern w:val="2"/>
                <w:sz w:val="21"/>
                <w:szCs w:val="21"/>
                <w:highlight w:val="none"/>
                <w:lang w:val="en-US" w:eastAsia="zh-CN"/>
              </w:rPr>
              <w:t>3、服务期限内，成交人承诺的成交总价不因市场因素和政策因素变动而调整。</w:t>
            </w:r>
          </w:p>
          <w:p>
            <w:pPr>
              <w:pStyle w:val="8"/>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不论投标结果如何，供应商均应自行承担所有与投标有关的全部费用。</w:t>
            </w:r>
          </w:p>
          <w:p>
            <w:pPr>
              <w:pStyle w:val="8"/>
              <w:keepNext w:val="0"/>
              <w:keepLines w:val="0"/>
              <w:pageBreakBefore w:val="0"/>
              <w:widowControl w:val="0"/>
              <w:kinsoku/>
              <w:wordWrap/>
              <w:overflowPunct/>
              <w:topLinePunct w:val="0"/>
              <w:autoSpaceDE/>
              <w:autoSpaceDN/>
              <w:bidi w:val="0"/>
              <w:adjustRightInd/>
              <w:snapToGrid/>
              <w:spacing w:line="360" w:lineRule="auto"/>
              <w:outlineLvl w:val="9"/>
              <w:rPr>
                <w:rFonts w:hint="default" w:ascii="宋体" w:hAnsi="宋体" w:eastAsia="宋体" w:cs="宋体"/>
                <w:color w:val="auto"/>
                <w:kern w:val="2"/>
                <w:sz w:val="21"/>
                <w:szCs w:val="21"/>
                <w:highlight w:val="none"/>
                <w:lang w:val="en-US" w:eastAsia="zh-CN" w:bidi="ar-SA"/>
              </w:rPr>
            </w:pPr>
            <w:r>
              <w:rPr>
                <w:rFonts w:hint="eastAsia"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val="en-US" w:eastAsia="zh-CN" w:bidi="ar-SA"/>
              </w:rPr>
              <w:t>、招标代理服务费的收取标准：</w:t>
            </w:r>
          </w:p>
          <w:p>
            <w:pPr>
              <w:snapToGrid w:val="0"/>
              <w:spacing w:line="44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5.1招标代理机构按照中标总金额，根据以下表格差额累进制方式以货物招标标准向中标供应商收取招标服务费。</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9"/>
              <w:gridCol w:w="1596"/>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89"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zh-CN" w:eastAsia="zh-CN" w:bidi="ar-S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74295</wp:posOffset>
                            </wp:positionV>
                            <wp:extent cx="1553845" cy="461010"/>
                            <wp:effectExtent l="1270" t="4445" r="6985" b="10795"/>
                            <wp:wrapNone/>
                            <wp:docPr id="1" name="直接连接符 1"/>
                            <wp:cNvGraphicFramePr/>
                            <a:graphic xmlns:a="http://schemas.openxmlformats.org/drawingml/2006/main">
                              <a:graphicData uri="http://schemas.microsoft.com/office/word/2010/wordprocessingShape">
                                <wps:wsp>
                                  <wps:cNvCnPr/>
                                  <wps:spPr>
                                    <a:xfrm>
                                      <a:off x="0" y="0"/>
                                      <a:ext cx="1553845" cy="4610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5.85pt;height:36.3pt;width:122.35pt;z-index:251659264;mso-width-relative:page;mso-height-relative:page;" filled="f" stroked="t" coordsize="21600,21600" o:gfxdata="UEsDBAoAAAAAAIdO4kAAAAAAAAAAAAAAAAAEAAAAZHJzL1BLAwQUAAAACACHTuJAxbTdRdYAAAAI AQAADwAAAGRycy9kb3ducmV2LnhtbE2PS0/DQAyE70j8h5WRuFTt5oFKFLLpAciNCwXE1c2aJCLr TbPbB/x6zAlOlj2j8TfV5uxGdaQ5DJ4NpKsEFHHr7cCdgdeXZlmAChHZ4uiZDHxRgE19eVFhaf2J n+m4jZ2SEA4lGuhjnEqtQ9uTw7DyE7FoH352GGWdO21nPEm4G3WWJGvtcGD50ONE9z21n9uDMxCa N9o334t2kbznnads//D0iMZcX6XJHahI5/hnhl98QYdamHb+wDao0cCyuBWn3FOZomf5WrrtDBQ3 Oei60v8L1D9QSwMEFAAAAAgAh07iQOokm3n2AQAA6QMAAA4AAABkcnMvZTJvRG9jLnhtbK1TzY7T MBC+I/EOlu80bdmulqjpHrYsFwSVgAeYOk5iyX/yuE37ErwAEjc4ceTO2+zyGIyd0IXl0gM5OGPP 58/zfR4vrw9Gs70MqJyt+Gwy5Uxa4Wpl24p/eH/77IozjGBr0M7Kih8l8uvV0yfL3pdy7jqnaxkY kVgse1/xLkZfFgWKThrAifPSUrJxwUCkaWiLOkBP7EYX8+n0suhdqH1wQiLS6npI8pExnEPomkYJ uXZiZ6SNA2uQGiJJwk555KtcbdNIEd82DcrIdMVJacwjHULxNo3FagllG8B3SowlwDklPNJkQFk6 9ES1hghsF9Q/VEaJ4NA1cSKcKQYh2RFSMZs+8uZdB15mLWQ1+pPp+P9oxZv9JjBVUydwZsHQhd9/ +n738cvPH59pvP/2lc2SSb3HkrA3dhPGGfpNSIoPTTDpT1rYIRt7PBkrD5EJWpwtFs+vLhacCcpd XM5IaiItHnb7gPGVdIaloOJa2SQcSti/xjhAf0PSsrasr/iLxTxxAnVhQ7dPofGkBG2b96LTqr5V WqcdGNrtjQ5sD6kT8jeW8BcsHbIG7AZcTiUYlJ2E+qWtWTx68sjS0+CpBCNrzrSkl5SijIyg9DlI Uq8tmZCsHcxM0dbVR7qRnQ+q7ciJ7H7GUAdky8ZuTS325zwzPbzQ1S9QSwMECgAAAAAAh07iQAAA AAAAAAAAAAAAAAYAAABfcmVscy9QSwMEFAAAAAgAh07iQIoUZjzRAAAAlAEAAAsAAABfcmVscy8u cmVsc6WQwWrDMAyG74O9g9F9cZrDGKNOL6PQa+kewNiKYxpbRjLZ+vbzDoNl9LajfqHvE//+8JkW tSJLpGxg1/WgMDvyMQcD75fj0wsoqTZ7u1BGAzcUOIyPD/szLra2I5ljEdUoWQzMtZZXrcXNmKx0 VDC3zUScbG0jB12su9qAeuj7Z82/GTBumOrkDfDJD6Aut9LMf9gpOiahqXaOkqZpiu4eVQe2ZY7u yDbhG7lGsxywGvAsGgdqWdd+BH1fv/un3tNHPuO61X6HjOuPV2+6HL8AUEsDBBQAAAAIAIdO4kB+ 5uUg9wAAAOEBAAATAAAAW0NvbnRlbnRfVHlwZXNdLnhtbJWRQU7DMBBF90jcwfIWJU67QAgl6YK0 S0CoHGBkTxKLZGx5TGhvj5O2G0SRWNoz/78nu9wcxkFMGNg6quQqL6RA0s5Y6ir5vt9lD1JwBDIw OMJKHpHlpr69KfdHjyxSmriSfYz+USnWPY7AufNIadK6MEJMx9ApD/oDOlTrorhX2lFEilmcO2Rd NtjC5xDF9pCuTyYBB5bi6bQ4syoJ3g9WQ0ymaiLzg5KdCXlKLjvcW893SUOqXwnz5DrgnHtJTxOs QfEKIT7DmDSUCayM+6KAU/53yWw5cuba1mrMm8BNir3hdLG61o5r1zj93/Ltkrp0q+WD6m9QSwEC FAAUAAAACACHTuJAfublIPcAAADhAQAAEwAAAAAAAAABACAAAABlBAAAW0NvbnRlbnRfVHlwZXNd LnhtbFBLAQIUAAoAAAAAAIdO4kAAAAAAAAAAAAAAAAAGAAAAAAAAAAAAEAAAAEcDAABfcmVscy9Q SwECFAAUAAAACACHTuJAihRmPNEAAACUAQAACwAAAAAAAAABACAAAABrAwAAX3JlbHMvLnJlbHNQ SwECFAAKAAAAAACHTuJAAAAAAAAAAAAAAAAABAAAAAAAAAAAABAAAAAAAAAAZHJzL1BLAQIUABQA AAAIAIdO4kDFtN1F1gAAAAgBAAAPAAAAAAAAAAEAIAAAACIAAABkcnMvZG93bnJldi54bWxQSwEC FAAUAAAACACHTuJA6iSbefYBAADpAwAADgAAAAAAAAABACAAAAAlAQAAZHJzL2Uyb0RvYy54bWxQ SwUGAAAAAAYABgBZAQAAjQUAAAAA ">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highlight w:val="none"/>
                      <w:lang w:val="en-US" w:eastAsia="zh-CN" w:bidi="ar-SA"/>
                    </w:rPr>
                    <w:t xml:space="preserve">           费率</w:t>
                  </w:r>
                </w:p>
                <w:p>
                  <w:pPr>
                    <w:tabs>
                      <w:tab w:val="center" w:pos="4153"/>
                      <w:tab w:val="right" w:pos="8306"/>
                    </w:tabs>
                    <w:snapToGrid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中标金额</w:t>
                  </w:r>
                </w:p>
              </w:tc>
              <w:tc>
                <w:tcPr>
                  <w:tcW w:w="1246" w:type="pct"/>
                  <w:noWrap w:val="0"/>
                  <w:vAlign w:val="center"/>
                </w:tcPr>
                <w:p>
                  <w:pPr>
                    <w:tabs>
                      <w:tab w:val="center" w:pos="4153"/>
                      <w:tab w:val="right" w:pos="8306"/>
                    </w:tabs>
                    <w:snapToGrid w:val="0"/>
                    <w:ind w:firstLine="210" w:firstLineChars="1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货物招标</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服务招标</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89"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100万以下</w:t>
                  </w:r>
                </w:p>
              </w:tc>
              <w:tc>
                <w:tcPr>
                  <w:tcW w:w="1246"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1.5%</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1.5%</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89"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100～500万</w:t>
                  </w:r>
                </w:p>
              </w:tc>
              <w:tc>
                <w:tcPr>
                  <w:tcW w:w="1246"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0.8%</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89"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500～1000万</w:t>
                  </w:r>
                </w:p>
              </w:tc>
              <w:tc>
                <w:tcPr>
                  <w:tcW w:w="1246"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0.8%</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0.45%</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89"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1000～5000万</w:t>
                  </w:r>
                </w:p>
              </w:tc>
              <w:tc>
                <w:tcPr>
                  <w:tcW w:w="1246"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0.5%</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0.25%</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889"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5000万～1亿</w:t>
                  </w:r>
                </w:p>
              </w:tc>
              <w:tc>
                <w:tcPr>
                  <w:tcW w:w="1246"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0.25%</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0.1%</w:t>
                  </w:r>
                </w:p>
              </w:tc>
              <w:tc>
                <w:tcPr>
                  <w:tcW w:w="932" w:type="pct"/>
                  <w:noWrap w:val="0"/>
                  <w:vAlign w:val="center"/>
                </w:tcPr>
                <w:p>
                  <w:pPr>
                    <w:tabs>
                      <w:tab w:val="center" w:pos="4153"/>
                      <w:tab w:val="right" w:pos="8306"/>
                    </w:tabs>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0.2%</w:t>
                  </w:r>
                </w:p>
              </w:tc>
            </w:tr>
          </w:tbl>
          <w:p>
            <w:pPr>
              <w:pStyle w:val="8"/>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5.2、该费用须中标人在领取中标通知书</w:t>
            </w:r>
            <w:r>
              <w:rPr>
                <w:rFonts w:hint="eastAsia" w:ascii="宋体" w:hAnsi="宋体" w:eastAsia="宋体" w:cs="宋体"/>
                <w:bCs/>
                <w:color w:val="auto"/>
                <w:highlight w:val="none"/>
              </w:rPr>
              <w:t>前一次性支付给招标代理人</w:t>
            </w:r>
            <w:r>
              <w:rPr>
                <w:rFonts w:hint="eastAsia" w:ascii="Arial" w:hAnsi="Arial"/>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备注：（1）招标代理服务费只收现金、银行票汇款、电汇款。</w:t>
            </w:r>
          </w:p>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rPr>
            </w:pPr>
            <w:r>
              <w:rPr>
                <w:rFonts w:hint="eastAsia" w:hAnsi="宋体" w:eastAsia="宋体" w:cs="宋体"/>
                <w:snapToGrid w:val="0"/>
                <w:color w:val="auto"/>
                <w:sz w:val="21"/>
                <w:szCs w:val="21"/>
                <w:highlight w:val="none"/>
                <w:lang w:eastAsia="zh-CN"/>
              </w:rPr>
              <w:t>（</w:t>
            </w:r>
            <w:r>
              <w:rPr>
                <w:rFonts w:hint="eastAsia" w:hAnsi="宋体" w:eastAsia="宋体" w:cs="宋体"/>
                <w:snapToGrid w:val="0"/>
                <w:color w:val="auto"/>
                <w:sz w:val="21"/>
                <w:szCs w:val="21"/>
                <w:highlight w:val="none"/>
                <w:lang w:val="en-US" w:eastAsia="zh-CN"/>
              </w:rPr>
              <w:t>2</w:t>
            </w:r>
            <w:r>
              <w:rPr>
                <w:rFonts w:hint="eastAsia" w:hAnsi="宋体" w:eastAsia="宋体" w:cs="宋体"/>
                <w:snapToGrid w:val="0"/>
                <w:color w:val="auto"/>
                <w:sz w:val="21"/>
                <w:szCs w:val="21"/>
                <w:highlight w:val="none"/>
                <w:lang w:eastAsia="zh-CN"/>
              </w:rPr>
              <w:t>）</w:t>
            </w:r>
            <w:r>
              <w:rPr>
                <w:rFonts w:hint="eastAsia" w:ascii="宋体" w:hAnsi="宋体" w:eastAsia="宋体" w:cs="宋体"/>
                <w:color w:val="auto"/>
                <w:sz w:val="21"/>
                <w:szCs w:val="21"/>
                <w:highlight w:val="none"/>
              </w:rPr>
              <w:t>采购代理机构财务信息：</w:t>
            </w:r>
          </w:p>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开户银行：</w:t>
            </w:r>
            <w:r>
              <w:rPr>
                <w:rFonts w:hint="eastAsia" w:hAnsi="宋体" w:eastAsia="宋体" w:cs="宋体"/>
                <w:color w:val="auto"/>
                <w:sz w:val="21"/>
                <w:szCs w:val="21"/>
                <w:highlight w:val="none"/>
                <w:lang w:val="en-US" w:eastAsia="zh-CN" w:bidi="ar-SA"/>
              </w:rPr>
              <w:t>宁波银行宁海支行</w:t>
            </w:r>
          </w:p>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lang w:val="en-US" w:eastAsia="zh-CN" w:bidi="ar-SA"/>
              </w:rPr>
            </w:pPr>
            <w:r>
              <w:rPr>
                <w:rFonts w:hint="eastAsia" w:hAnsi="宋体" w:eastAsia="宋体" w:cs="宋体"/>
                <w:color w:val="auto"/>
                <w:sz w:val="21"/>
                <w:szCs w:val="21"/>
                <w:highlight w:val="none"/>
                <w:lang w:val="en-US" w:eastAsia="zh-CN" w:bidi="ar-SA"/>
              </w:rPr>
              <w:t>账号</w:t>
            </w:r>
            <w:r>
              <w:rPr>
                <w:rFonts w:hint="eastAsia" w:ascii="宋体" w:hAnsi="宋体" w:eastAsia="宋体" w:cs="宋体"/>
                <w:color w:val="auto"/>
                <w:sz w:val="21"/>
                <w:szCs w:val="21"/>
                <w:highlight w:val="none"/>
                <w:lang w:val="en-US" w:eastAsia="zh-CN" w:bidi="ar-SA"/>
              </w:rPr>
              <w:t>：</w:t>
            </w:r>
            <w:r>
              <w:rPr>
                <w:rFonts w:hint="eastAsia" w:hAnsi="宋体" w:eastAsia="宋体" w:cs="宋体"/>
                <w:color w:val="auto"/>
                <w:sz w:val="21"/>
                <w:szCs w:val="21"/>
                <w:highlight w:val="none"/>
                <w:lang w:val="en-US" w:eastAsia="zh-CN" w:bidi="ar-SA"/>
              </w:rPr>
              <w:t>60010122000943036</w:t>
            </w:r>
          </w:p>
          <w:p>
            <w:pPr>
              <w:keepNext w:val="0"/>
              <w:keepLines w:val="0"/>
              <w:pageBreakBefore w:val="0"/>
              <w:widowControl w:val="0"/>
              <w:kinsoku/>
              <w:wordWrap/>
              <w:overflowPunct/>
              <w:topLinePunct w:val="0"/>
              <w:autoSpaceDE/>
              <w:autoSpaceDN/>
              <w:bidi w:val="0"/>
              <w:adjustRightInd/>
              <w:snapToGrid/>
              <w:spacing w:line="360" w:lineRule="auto"/>
              <w:jc w:val="left"/>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sz w:val="21"/>
                <w:szCs w:val="21"/>
                <w:highlight w:val="none"/>
                <w:lang w:val="en-US" w:eastAsia="zh-CN" w:bidi="ar-SA"/>
              </w:rPr>
              <w:t>户名：</w:t>
            </w:r>
            <w:r>
              <w:rPr>
                <w:rFonts w:hint="eastAsia" w:hAnsi="宋体" w:eastAsia="宋体" w:cs="宋体"/>
                <w:color w:val="auto"/>
                <w:sz w:val="21"/>
                <w:szCs w:val="21"/>
                <w:highlight w:val="none"/>
                <w:lang w:val="en-US" w:eastAsia="zh-CN" w:bidi="ar-SA"/>
              </w:rPr>
              <w:t>浙江同欣工程管理有限公司宁海桃源分公司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lang w:eastAsia="zh-CN"/>
              </w:rPr>
            </w:pPr>
            <w:r>
              <w:rPr>
                <w:rFonts w:hint="eastAsia" w:hAnsi="宋体" w:eastAsia="宋体" w:cs="宋体"/>
                <w:color w:val="auto"/>
                <w:sz w:val="21"/>
                <w:szCs w:val="21"/>
                <w:highlight w:val="none"/>
                <w:lang w:val="en-US" w:eastAsia="zh-CN"/>
              </w:rPr>
              <w:t>2</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val="en-US" w:eastAsia="zh-CN"/>
              </w:rPr>
              <w:t>3</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提交首次响应文件之日</w:t>
            </w:r>
            <w:r>
              <w:rPr>
                <w:rFonts w:hint="eastAsia" w:ascii="宋体" w:hAnsi="宋体" w:eastAsia="宋体" w:cs="宋体"/>
                <w:color w:val="auto"/>
                <w:sz w:val="21"/>
                <w:szCs w:val="21"/>
                <w:highlight w:val="none"/>
              </w:rPr>
              <w:t>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lang w:eastAsia="zh-CN"/>
              </w:rPr>
            </w:pPr>
            <w:r>
              <w:rPr>
                <w:rFonts w:hint="eastAsia" w:hAnsi="宋体" w:eastAsia="宋体" w:cs="宋体"/>
                <w:color w:val="auto"/>
                <w:sz w:val="21"/>
                <w:szCs w:val="21"/>
                <w:highlight w:val="none"/>
                <w:lang w:val="en-US" w:eastAsia="zh-CN"/>
              </w:rPr>
              <w:t>4</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响应文件份数</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文件组成</w:t>
            </w:r>
            <w:r>
              <w:rPr>
                <w:rFonts w:hint="eastAsia" w:ascii="宋体" w:hAnsi="宋体" w:eastAsia="宋体" w:cs="宋体"/>
                <w:color w:val="auto"/>
                <w:sz w:val="21"/>
                <w:szCs w:val="21"/>
                <w:highlight w:val="none"/>
                <w:lang w:val="en-US" w:eastAsia="zh-CN"/>
              </w:rPr>
              <w:t>与份数</w:t>
            </w:r>
            <w:r>
              <w:rPr>
                <w:rFonts w:hint="eastAsia" w:ascii="宋体" w:hAnsi="宋体" w:eastAsia="宋体" w:cs="宋体"/>
                <w:color w:val="auto"/>
                <w:sz w:val="21"/>
                <w:szCs w:val="21"/>
                <w:highlight w:val="none"/>
              </w:rPr>
              <w:t>：</w:t>
            </w:r>
          </w:p>
          <w:p>
            <w:pPr>
              <w:autoSpaceDE w:val="0"/>
              <w:autoSpaceDN w:val="0"/>
              <w:snapToGrid w:val="0"/>
              <w:textAlignment w:val="bottom"/>
              <w:rPr>
                <w:rFonts w:hint="eastAsia" w:hAnsi="宋体" w:eastAsia="宋体" w:cs="仿宋"/>
                <w:sz w:val="21"/>
              </w:rPr>
            </w:pPr>
            <w:r>
              <w:rPr>
                <w:rFonts w:hint="eastAsia" w:hAnsi="宋体" w:eastAsia="宋体" w:cs="仿宋"/>
                <w:sz w:val="21"/>
              </w:rPr>
              <w:t>1、上传到政府采购云平台的电子加密响应文件（含资格证明文件、技术商务文件、报价文件）1份。</w:t>
            </w:r>
          </w:p>
          <w:p>
            <w:pPr>
              <w:autoSpaceDE w:val="0"/>
              <w:autoSpaceDN w:val="0"/>
              <w:snapToGrid w:val="0"/>
              <w:textAlignment w:val="bottom"/>
              <w:rPr>
                <w:rFonts w:hint="eastAsia" w:hAnsi="宋体" w:eastAsia="宋体" w:cs="仿宋"/>
                <w:sz w:val="21"/>
              </w:rPr>
            </w:pPr>
            <w:r>
              <w:rPr>
                <w:rFonts w:hint="eastAsia" w:hAnsi="宋体" w:eastAsia="宋体" w:cs="仿宋"/>
                <w:sz w:val="21"/>
              </w:rPr>
              <w:t>2、以U盘存储的电子备份响应文件（含资格证明文件、技术商务文件、报价文件）1份。</w:t>
            </w:r>
          </w:p>
          <w:p>
            <w:pPr>
              <w:autoSpaceDE w:val="0"/>
              <w:autoSpaceDN w:val="0"/>
              <w:snapToGrid w:val="0"/>
              <w:textAlignment w:val="bottom"/>
              <w:rPr>
                <w:rFonts w:hAnsi="宋体" w:eastAsia="宋体" w:cs="仿宋"/>
                <w:sz w:val="21"/>
              </w:rPr>
            </w:pPr>
            <w:r>
              <w:rPr>
                <w:rFonts w:hint="eastAsia" w:hAnsi="宋体" w:eastAsia="宋体" w:cs="仿宋"/>
                <w:sz w:val="21"/>
              </w:rPr>
              <w:t>备注：供应商应将以</w:t>
            </w:r>
            <w:r>
              <w:rPr>
                <w:rFonts w:hAnsi="宋体" w:eastAsia="宋体" w:cs="仿宋"/>
                <w:sz w:val="21"/>
              </w:rPr>
              <w:t>U</w:t>
            </w:r>
            <w:r>
              <w:rPr>
                <w:rFonts w:hint="eastAsia" w:hAnsi="宋体" w:eastAsia="宋体" w:cs="仿宋"/>
                <w:sz w:val="21"/>
              </w:rPr>
              <w:t>盘存储的电子备份响应文件用封袋密封后递交。</w:t>
            </w:r>
          </w:p>
          <w:p>
            <w:pPr>
              <w:autoSpaceDE w:val="0"/>
              <w:autoSpaceDN w:val="0"/>
              <w:snapToGrid w:val="0"/>
              <w:textAlignment w:val="bottom"/>
              <w:rPr>
                <w:rFonts w:hAnsi="宋体" w:eastAsia="宋体" w:cs="仿宋"/>
                <w:sz w:val="21"/>
              </w:rPr>
            </w:pPr>
            <w:r>
              <w:rPr>
                <w:rFonts w:hint="eastAsia" w:hAnsi="宋体" w:eastAsia="宋体" w:cs="仿宋"/>
                <w:sz w:val="21"/>
              </w:rPr>
              <w:t>说明：</w:t>
            </w:r>
          </w:p>
          <w:p>
            <w:pPr>
              <w:autoSpaceDE w:val="0"/>
              <w:autoSpaceDN w:val="0"/>
              <w:snapToGrid w:val="0"/>
              <w:textAlignment w:val="bottom"/>
              <w:rPr>
                <w:rFonts w:hint="eastAsia" w:hAnsi="宋体" w:eastAsia="宋体" w:cs="仿宋"/>
                <w:sz w:val="21"/>
              </w:rPr>
            </w:pPr>
            <w:r>
              <w:rPr>
                <w:rFonts w:hint="eastAsia" w:hAnsi="宋体" w:eastAsia="宋体" w:cs="仿宋"/>
                <w:sz w:val="21"/>
              </w:rPr>
              <w:t>（1）“电子加密响应文件”：</w:t>
            </w:r>
          </w:p>
          <w:p>
            <w:pPr>
              <w:autoSpaceDE w:val="0"/>
              <w:autoSpaceDN w:val="0"/>
              <w:snapToGrid w:val="0"/>
              <w:textAlignment w:val="bottom"/>
              <w:rPr>
                <w:rFonts w:hint="eastAsia" w:hAnsi="宋体" w:eastAsia="宋体" w:cs="仿宋"/>
                <w:sz w:val="21"/>
              </w:rPr>
            </w:pPr>
            <w:r>
              <w:rPr>
                <w:rFonts w:hint="eastAsia" w:hAnsi="宋体" w:eastAsia="宋体" w:cs="仿宋"/>
                <w:sz w:val="21"/>
              </w:rPr>
              <w:t>①“电子加密响应文件”是指通过“政采云电子交易客户端”完成响应文件编制后生成并加密的数据电文形式的响应文件。</w:t>
            </w:r>
          </w:p>
          <w:p>
            <w:pPr>
              <w:autoSpaceDE w:val="0"/>
              <w:autoSpaceDN w:val="0"/>
              <w:snapToGrid w:val="0"/>
              <w:textAlignment w:val="bottom"/>
              <w:rPr>
                <w:rFonts w:hint="eastAsia" w:hAnsi="宋体" w:eastAsia="宋体" w:cs="仿宋"/>
                <w:sz w:val="21"/>
              </w:rPr>
            </w:pPr>
            <w:r>
              <w:rPr>
                <w:rFonts w:hint="eastAsia" w:hAnsi="宋体" w:eastAsia="宋体" w:cs="仿宋"/>
                <w:sz w:val="21"/>
              </w:rPr>
              <w:t>②供应商应先安装“政采云电子交易客户端”，并按照本磋商文件和“政府采购云平台”的要求，通过“政采云电子交易客户端”编制并加密响应文件。</w:t>
            </w:r>
          </w:p>
          <w:p>
            <w:pPr>
              <w:autoSpaceDE w:val="0"/>
              <w:autoSpaceDN w:val="0"/>
              <w:snapToGrid w:val="0"/>
              <w:textAlignment w:val="bottom"/>
              <w:rPr>
                <w:rFonts w:hint="eastAsia" w:hAnsi="宋体" w:eastAsia="宋体" w:cs="仿宋"/>
                <w:sz w:val="21"/>
              </w:rPr>
            </w:pPr>
            <w:r>
              <w:rPr>
                <w:rFonts w:hint="eastAsia" w:hAnsi="宋体" w:eastAsia="宋体" w:cs="仿宋"/>
                <w:sz w:val="21"/>
              </w:rPr>
              <w:t>（2）“电子备份响应文件”：</w:t>
            </w:r>
          </w:p>
          <w:p>
            <w:pPr>
              <w:autoSpaceDE w:val="0"/>
              <w:autoSpaceDN w:val="0"/>
              <w:snapToGrid w:val="0"/>
              <w:textAlignment w:val="bottom"/>
              <w:rPr>
                <w:rFonts w:hint="eastAsia" w:hAnsi="宋体" w:eastAsia="宋体" w:cs="仿宋"/>
                <w:sz w:val="21"/>
              </w:rPr>
            </w:pPr>
            <w:r>
              <w:rPr>
                <w:rFonts w:hint="eastAsia" w:hAnsi="宋体" w:eastAsia="宋体" w:cs="仿宋"/>
                <w:sz w:val="21"/>
              </w:rPr>
              <w:t>①“电子备份响应文件”是指与“电子加密响应文件”同时生成的数据电文形式的电子文件。</w:t>
            </w:r>
          </w:p>
          <w:p>
            <w:pPr>
              <w:autoSpaceDE w:val="0"/>
              <w:autoSpaceDN w:val="0"/>
              <w:snapToGrid w:val="0"/>
              <w:textAlignment w:val="bottom"/>
              <w:rPr>
                <w:rFonts w:hint="eastAsia" w:hAnsi="宋体" w:eastAsia="宋体" w:cs="仿宋"/>
                <w:sz w:val="21"/>
              </w:rPr>
            </w:pPr>
            <w:r>
              <w:rPr>
                <w:rFonts w:hint="eastAsia" w:hAnsi="宋体" w:eastAsia="宋体" w:cs="仿宋"/>
                <w:sz w:val="21"/>
              </w:rPr>
              <w:t>②供应商可自主选择是否编制“电子备份响应文件”。</w:t>
            </w:r>
          </w:p>
          <w:p>
            <w:pPr>
              <w:keepNext w:val="0"/>
              <w:keepLines w:val="0"/>
              <w:pageBreakBefore w:val="0"/>
              <w:widowControl w:val="0"/>
              <w:kinsoku/>
              <w:wordWrap/>
              <w:overflowPunct/>
              <w:topLinePunct w:val="0"/>
              <w:autoSpaceDE/>
              <w:autoSpaceDN/>
              <w:bidi w:val="0"/>
              <w:adjustRightInd/>
              <w:snapToGrid/>
              <w:spacing w:line="360" w:lineRule="auto"/>
              <w:outlineLvl w:val="9"/>
              <w:rPr>
                <w:rFonts w:hint="eastAsia" w:ascii="宋体" w:hAnsi="宋体" w:eastAsia="宋体" w:cs="宋体"/>
                <w:color w:val="auto"/>
                <w:sz w:val="21"/>
                <w:szCs w:val="21"/>
                <w:highlight w:val="none"/>
              </w:rPr>
            </w:pPr>
            <w:r>
              <w:rPr>
                <w:rFonts w:hint="eastAsia" w:hAnsi="宋体" w:eastAsia="宋体" w:cs="仿宋"/>
                <w:sz w:val="21"/>
              </w:rPr>
              <w:t>③其他方式编制的备份响应文件视为无效备份响应文件。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5</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w:t>
            </w:r>
          </w:p>
        </w:tc>
        <w:tc>
          <w:tcPr>
            <w:tcW w:w="6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9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解释：本磋商文件的解释权属于</w:t>
            </w:r>
            <w:r>
              <w:rPr>
                <w:rFonts w:hint="eastAsia" w:hAnsi="宋体" w:eastAsia="宋体" w:cs="宋体"/>
                <w:color w:val="auto"/>
                <w:sz w:val="21"/>
                <w:szCs w:val="21"/>
                <w:highlight w:val="none"/>
                <w:lang w:eastAsia="zh-CN"/>
              </w:rPr>
              <w:t>采购单位</w:t>
            </w:r>
            <w:r>
              <w:rPr>
                <w:rFonts w:hint="eastAsia" w:ascii="宋体" w:hAnsi="宋体" w:eastAsia="宋体" w:cs="宋体"/>
                <w:color w:val="auto"/>
                <w:sz w:val="21"/>
                <w:szCs w:val="21"/>
                <w:highlight w:val="none"/>
              </w:rPr>
              <w:t>。</w:t>
            </w:r>
          </w:p>
        </w:tc>
      </w:tr>
    </w:tbl>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560" w:firstLineChars="200"/>
        <w:outlineLvl w:val="9"/>
        <w:rPr>
          <w:rFonts w:hint="eastAsia" w:ascii="宋体" w:hAnsi="宋体" w:eastAsia="宋体" w:cs="宋体"/>
          <w:b/>
          <w:color w:val="auto"/>
          <w:sz w:val="21"/>
          <w:highlight w:val="none"/>
        </w:rPr>
      </w:pPr>
      <w:r>
        <w:rPr>
          <w:rFonts w:hint="eastAsia" w:ascii="宋体" w:hAnsi="宋体" w:eastAsia="宋体" w:cs="宋体"/>
          <w:color w:val="auto"/>
          <w:highlight w:val="none"/>
        </w:rPr>
        <w:br w:type="page"/>
      </w:r>
      <w:bookmarkStart w:id="66" w:name="_Toc513029242"/>
      <w:bookmarkStart w:id="67" w:name="_Toc120614221"/>
      <w:bookmarkStart w:id="68" w:name="_Toc16938558"/>
      <w:bookmarkStart w:id="69" w:name="_Toc479757207"/>
      <w:bookmarkStart w:id="70" w:name="_Toc20823314"/>
      <w:r>
        <w:rPr>
          <w:rFonts w:hint="eastAsia" w:ascii="宋体" w:hAnsi="宋体" w:eastAsia="宋体" w:cs="宋体"/>
          <w:b/>
          <w:color w:val="auto"/>
          <w:sz w:val="21"/>
          <w:highlight w:val="none"/>
        </w:rPr>
        <w:t>一  总  则</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（一） 适用范围</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本磋商文件适用于本项目的采购邀请、响应、评审、验收、合同履约、付款等行为（法律、法规另有规定的，从其规定）。</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（二）定义</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1.“采购单位”系指组织本次</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的代理机构和采购人。</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2.“供应商”系指向采购单位提交响应文件的单位或个人。</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highlight w:val="none"/>
        </w:rPr>
        <w:t>“产品”系指供应商按</w:t>
      </w:r>
      <w:r>
        <w:rPr>
          <w:rFonts w:hint="eastAsia" w:ascii="宋体" w:hAnsi="宋体" w:cs="宋体"/>
          <w:color w:val="auto"/>
          <w:highlight w:val="none"/>
          <w:lang w:eastAsia="zh-CN"/>
        </w:rPr>
        <w:t>磋商文件</w:t>
      </w:r>
      <w:r>
        <w:rPr>
          <w:rFonts w:hint="eastAsia" w:ascii="宋体" w:hAnsi="宋体" w:eastAsia="宋体" w:cs="宋体"/>
          <w:color w:val="auto"/>
          <w:highlight w:val="none"/>
        </w:rPr>
        <w:t>规定，须向采购人提供的一切设备、保险、税金、备品备件、工具、手册及其它有关技术资料和材料。</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cs="宋体"/>
          <w:color w:val="auto"/>
          <w:highlight w:val="none"/>
          <w:lang w:eastAsia="zh-CN"/>
        </w:rPr>
        <w:t>.</w:t>
      </w:r>
      <w:r>
        <w:rPr>
          <w:rFonts w:hint="eastAsia" w:ascii="宋体" w:hAnsi="宋体" w:eastAsia="宋体" w:cs="宋体"/>
          <w:color w:val="auto"/>
          <w:highlight w:val="none"/>
        </w:rPr>
        <w:t>“服务”系指</w:t>
      </w:r>
      <w:r>
        <w:rPr>
          <w:rFonts w:hint="eastAsia" w:ascii="宋体" w:hAnsi="宋体" w:cs="宋体"/>
          <w:color w:val="auto"/>
          <w:highlight w:val="none"/>
          <w:lang w:eastAsia="zh-CN"/>
        </w:rPr>
        <w:t>磋商文件</w:t>
      </w:r>
      <w:r>
        <w:rPr>
          <w:rFonts w:hint="eastAsia" w:ascii="宋体" w:hAnsi="宋体" w:eastAsia="宋体" w:cs="宋体"/>
          <w:color w:val="auto"/>
          <w:highlight w:val="none"/>
        </w:rPr>
        <w:t>规定供应商须</w:t>
      </w:r>
      <w:r>
        <w:rPr>
          <w:rFonts w:hint="eastAsia" w:ascii="宋体" w:hAnsi="宋体" w:cs="宋体"/>
          <w:color w:val="auto"/>
          <w:highlight w:val="none"/>
          <w:lang w:val="en-US" w:eastAsia="zh-CN"/>
        </w:rPr>
        <w:t>提供的本项目相关服务</w:t>
      </w:r>
      <w:r>
        <w:rPr>
          <w:rFonts w:hint="eastAsia" w:ascii="宋体" w:hAnsi="宋体" w:eastAsia="宋体" w:cs="宋体"/>
          <w:color w:val="auto"/>
          <w:highlight w:val="none"/>
        </w:rPr>
        <w:t>以及其他类似的义务。</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highlight w:val="none"/>
        </w:rPr>
        <w:t>“项目”系指供应商按</w:t>
      </w:r>
      <w:r>
        <w:rPr>
          <w:rFonts w:hint="eastAsia" w:ascii="宋体" w:hAnsi="宋体" w:cs="宋体"/>
          <w:color w:val="auto"/>
          <w:highlight w:val="none"/>
          <w:lang w:eastAsia="zh-CN"/>
        </w:rPr>
        <w:t>磋商文件</w:t>
      </w:r>
      <w:r>
        <w:rPr>
          <w:rFonts w:hint="eastAsia" w:ascii="宋体" w:hAnsi="宋体" w:eastAsia="宋体" w:cs="宋体"/>
          <w:color w:val="auto"/>
          <w:highlight w:val="none"/>
        </w:rPr>
        <w:t>规定向采购人提供的产品和服务。</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.“书面形式”包括信函、传真、</w:t>
      </w:r>
      <w:r>
        <w:rPr>
          <w:rFonts w:hint="eastAsia" w:ascii="宋体" w:hAnsi="宋体" w:eastAsia="宋体" w:cs="宋体"/>
          <w:color w:val="auto"/>
          <w:highlight w:val="none"/>
          <w:lang w:eastAsia="zh-CN"/>
        </w:rPr>
        <w:t>电函</w:t>
      </w:r>
      <w:r>
        <w:rPr>
          <w:rFonts w:hint="eastAsia" w:ascii="宋体" w:hAnsi="宋体" w:eastAsia="宋体" w:cs="宋体"/>
          <w:color w:val="auto"/>
          <w:highlight w:val="none"/>
        </w:rPr>
        <w:t>等。</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.“★”系指实质性要求条款</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供应商的投标对任何带“★”号的重要商务和技术条款的偏离和未作实质性响应都将直接导致</w:t>
      </w:r>
      <w:r>
        <w:rPr>
          <w:rFonts w:hint="eastAsia" w:ascii="宋体" w:hAnsi="宋体" w:eastAsia="宋体" w:cs="宋体"/>
          <w:color w:val="auto"/>
          <w:highlight w:val="none"/>
          <w:lang w:val="en-US" w:eastAsia="zh-CN"/>
        </w:rPr>
        <w:t>投标无效</w:t>
      </w:r>
      <w:r>
        <w:rPr>
          <w:rFonts w:hint="eastAsia" w:ascii="宋体" w:hAnsi="宋体" w:eastAsia="宋体" w:cs="宋体"/>
          <w:color w:val="auto"/>
          <w:highlight w:val="none"/>
        </w:rPr>
        <w:t>。</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（三）采购方式</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本次采购采用竞争性磋商方式进行。</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（四）磋商委托</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如</w:t>
      </w:r>
      <w:r>
        <w:rPr>
          <w:rFonts w:hint="eastAsia"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派授权代表出席</w:t>
      </w:r>
      <w:r>
        <w:rPr>
          <w:rFonts w:hint="eastAsia" w:ascii="宋体" w:hAnsi="宋体" w:eastAsia="宋体" w:cs="宋体"/>
          <w:color w:val="auto"/>
          <w:kern w:val="2"/>
          <w:sz w:val="21"/>
          <w:szCs w:val="21"/>
          <w:highlight w:val="none"/>
          <w:lang w:eastAsia="zh-CN"/>
        </w:rPr>
        <w:t>磋商</w:t>
      </w:r>
      <w:r>
        <w:rPr>
          <w:rFonts w:hint="eastAsia" w:ascii="宋体" w:hAnsi="宋体" w:eastAsia="宋体" w:cs="宋体"/>
          <w:color w:val="auto"/>
          <w:kern w:val="2"/>
          <w:sz w:val="21"/>
          <w:szCs w:val="21"/>
          <w:highlight w:val="none"/>
        </w:rPr>
        <w:t>会议</w:t>
      </w:r>
      <w:r>
        <w:rPr>
          <w:rFonts w:hint="eastAsia" w:ascii="宋体" w:hAnsi="宋体" w:eastAsia="宋体" w:cs="宋体"/>
          <w:color w:val="auto"/>
          <w:kern w:val="2"/>
          <w:sz w:val="21"/>
          <w:szCs w:val="21"/>
          <w:highlight w:val="none"/>
          <w:lang w:eastAsia="zh-CN"/>
        </w:rPr>
        <w:t>，授权代表</w:t>
      </w:r>
      <w:r>
        <w:rPr>
          <w:rFonts w:hint="eastAsia" w:ascii="宋体" w:hAnsi="宋体" w:eastAsia="宋体" w:cs="宋体"/>
          <w:color w:val="auto"/>
          <w:kern w:val="2"/>
          <w:sz w:val="21"/>
          <w:szCs w:val="21"/>
          <w:highlight w:val="none"/>
        </w:rPr>
        <w:t>须携带有效身份证件。如供应商代表不是法定代表人，须有法定代表人出具的授权委托书（格式见第六章）。</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（五）磋商费用</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不论采购结果如何，供应商均应自行承担所有与采购有关的全部费用（磋商文件有相关规定除外）。</w:t>
      </w:r>
    </w:p>
    <w:p>
      <w:pPr>
        <w:pStyle w:val="5"/>
        <w:keepNext w:val="0"/>
        <w:keepLines w:val="0"/>
        <w:pageBreakBefore w:val="0"/>
        <w:widowControl w:val="0"/>
        <w:numPr>
          <w:ilvl w:val="0"/>
          <w:numId w:val="0"/>
        </w:numPr>
        <w:tabs>
          <w:tab w:val="left" w:pos="720"/>
          <w:tab w:val="center" w:pos="481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（六）联合体报价</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highlight w:val="none"/>
        </w:rPr>
      </w:pPr>
      <w:r>
        <w:rPr>
          <w:rFonts w:hint="eastAsia" w:ascii="宋体" w:hAnsi="宋体" w:eastAsia="宋体" w:cs="宋体"/>
          <w:bCs/>
          <w:color w:val="auto"/>
          <w:highlight w:val="none"/>
        </w:rPr>
        <w:t>本项目不接受联合体报价。</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（七）转包与分包</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highlight w:val="none"/>
        </w:rPr>
      </w:pPr>
      <w:r>
        <w:rPr>
          <w:rFonts w:hint="eastAsia" w:ascii="宋体" w:hAnsi="宋体" w:eastAsia="宋体" w:cs="宋体"/>
          <w:bCs/>
          <w:color w:val="auto"/>
          <w:highlight w:val="none"/>
        </w:rPr>
        <w:t>本项目不允许转包，未经采购人同意，不得分包。</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（八）特别说明</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★1.供应商磋商所使用的资格、信誉、荣誉、业绩与企业认证必须为本法人所拥有。</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★2.供应商应仔细阅读磋商文件的所有内容，按照磋商文件的要求提交响应文件，并对所提供的全部资料的真实性承担法律责任。</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★3.供应商在采购活动中提供任何虚假材料</w:t>
      </w:r>
      <w:r>
        <w:rPr>
          <w:rFonts w:hint="eastAsia" w:ascii="宋体" w:hAnsi="宋体" w:cs="宋体"/>
          <w:color w:val="auto"/>
          <w:highlight w:val="none"/>
          <w:lang w:eastAsia="zh-CN"/>
        </w:rPr>
        <w:t>，</w:t>
      </w:r>
      <w:r>
        <w:rPr>
          <w:rFonts w:hint="eastAsia" w:ascii="宋体" w:hAnsi="宋体" w:eastAsia="宋体" w:cs="宋体"/>
          <w:color w:val="auto"/>
          <w:highlight w:val="none"/>
        </w:rPr>
        <w:t>其响应文件无效，并报监管部门查处；成交后发现的</w:t>
      </w:r>
      <w:r>
        <w:rPr>
          <w:rFonts w:hint="eastAsia" w:ascii="宋体" w:hAnsi="宋体" w:cs="宋体"/>
          <w:color w:val="auto"/>
          <w:highlight w:val="none"/>
          <w:lang w:eastAsia="zh-CN"/>
        </w:rPr>
        <w:t>，成交人</w:t>
      </w:r>
      <w:r>
        <w:rPr>
          <w:rFonts w:hint="eastAsia" w:ascii="宋体" w:hAnsi="宋体" w:eastAsia="宋体" w:cs="宋体"/>
          <w:color w:val="auto"/>
          <w:highlight w:val="none"/>
        </w:rPr>
        <w:t>须依照</w:t>
      </w:r>
      <w:r>
        <w:rPr>
          <w:rFonts w:hint="eastAsia" w:ascii="宋体" w:hAnsi="宋体" w:eastAsia="宋体" w:cs="宋体"/>
          <w:color w:val="auto"/>
          <w:highlight w:val="none"/>
          <w:lang w:eastAsia="zh-CN"/>
        </w:rPr>
        <w:t>相关</w:t>
      </w:r>
      <w:r>
        <w:rPr>
          <w:rFonts w:hint="eastAsia" w:ascii="宋体" w:hAnsi="宋体" w:eastAsia="宋体" w:cs="宋体"/>
          <w:color w:val="auto"/>
          <w:highlight w:val="none"/>
        </w:rPr>
        <w:t>规定赔偿采购人，且民事赔偿并不免除违法供应商的行政与刑事责任。</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4.提供相同品牌产品且通过资格审查、符合性审查的不同供应商参加同一合同项下投标的，按一家供应商计算。</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若采用综合评分法进行评审的，评审后得分最高的同品牌供应商获得成交人推荐资格；评审得分相同的，由磋商小组按照磋商文件规定的方式确定一个供应商获得成交人的推荐资格，磋商文件未规定的采取随机抽取的方式确定，其他同品牌供应商不作为成交候选人。</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非单一产品采购项目，供应商使用相同制造产品（相同制造产品是指磋商文件中指定的“核心产品”）作为其项目的一部分，按一家供应商认定。</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（九）关于分公司投标</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（十）关于知识产权</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2、投标报价应包含所有应向所有权人支付的专利权、商标权或其它知识产权的一切相关费用。</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（十一）质疑和投诉</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 供应商认为磋商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 提出质疑的供应商应当是参与所质疑项目采购活动的供应商。未依法获取磋商文件的，不得就磋商文件提出质疑；未提交响应文件的供应商，视为与采购结果没有利害关系，不得就采购响应截止时间后的采购过程、采购结果提出质疑。</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3.供应商提出质疑应当提交质疑函和必要的证明材料，质疑函应当面以书面形式提出，质疑函格式和内容须符合财政部《质疑函范本》要求，供应商可到</w:t>
      </w:r>
      <w:r>
        <w:rPr>
          <w:rFonts w:hint="eastAsia" w:ascii="宋体" w:hAnsi="宋体" w:cs="宋体"/>
          <w:color w:val="auto"/>
          <w:highlight w:val="none"/>
          <w:lang w:val="en-US" w:eastAsia="zh-CN"/>
        </w:rPr>
        <w:t>浙江</w:t>
      </w:r>
      <w:r>
        <w:rPr>
          <w:rFonts w:hint="eastAsia" w:ascii="宋体" w:hAnsi="宋体" w:eastAsia="宋体" w:cs="宋体"/>
          <w:color w:val="auto"/>
          <w:highlight w:val="none"/>
        </w:rPr>
        <w:t>政府采购网自行下载财政部《质疑函范本》。</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w:t>
      </w:r>
      <w:r>
        <w:rPr>
          <w:rFonts w:hint="eastAsia" w:ascii="宋体" w:hAnsi="宋体" w:cs="宋体"/>
          <w:color w:val="auto"/>
          <w:highlight w:val="none"/>
          <w:lang w:eastAsia="zh-CN"/>
        </w:rPr>
        <w:t>磋商文件</w:t>
      </w:r>
      <w:r>
        <w:rPr>
          <w:rFonts w:hint="eastAsia" w:ascii="宋体" w:hAnsi="宋体" w:eastAsia="宋体" w:cs="宋体"/>
          <w:color w:val="auto"/>
          <w:highlight w:val="none"/>
        </w:rPr>
        <w:t>第一章有关联系方式。</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5. 供应商对采购人或采购代理机构的质疑答复不满意或者采购人或采购代理机构未在规定时间内作出答复的，可以在答复期满后十五个工作日内向同级采购监管部门投诉。</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二  磋商文件</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（一）磋商文件的构成。本磋商文件由以下部分组成：</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1.采购邀请</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2.供应商须知</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3.合同条款及格式</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4.项目需求</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5.评审标准</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6.响应文件格式</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7.本项目磋商文件的澄清、答复、修改、补充的内容</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（二）供应商的风险</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供应商没有按照磋商文件要求提供全部资料，或者供应商没有对磋商文件在各方面作出实质性响应是供应商的风险，并可能导致其响应文件被拒绝。</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 xml:space="preserve">（三）磋商文件的澄清与修改 </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i w:val="0"/>
          <w:caps w:val="0"/>
          <w:color w:val="auto"/>
          <w:spacing w:val="0"/>
          <w:sz w:val="21"/>
          <w:szCs w:val="21"/>
          <w:highlight w:val="none"/>
          <w:shd w:val="clear" w:color="auto" w:fill="FFFFFF"/>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w:t>
      </w:r>
      <w:r>
        <w:rPr>
          <w:rFonts w:hint="eastAsia" w:ascii="宋体" w:hAnsi="宋体" w:eastAsia="宋体" w:cs="宋体"/>
          <w:bCs/>
          <w:color w:val="auto"/>
          <w:highlight w:val="none"/>
        </w:rPr>
        <w:t>在原公告发布媒体上发布澄清公告</w:t>
      </w:r>
      <w:r>
        <w:rPr>
          <w:rFonts w:hint="eastAsia" w:ascii="宋体" w:hAnsi="宋体" w:eastAsia="宋体" w:cs="宋体"/>
          <w:i w:val="0"/>
          <w:caps w:val="0"/>
          <w:color w:val="auto"/>
          <w:spacing w:val="0"/>
          <w:sz w:val="21"/>
          <w:szCs w:val="21"/>
          <w:highlight w:val="none"/>
          <w:shd w:val="clear" w:color="auto" w:fill="FFFFFF"/>
        </w:rPr>
        <w:t>；不足5日的，采购人、采购代理机构应当顺延提交首次响应文件截止时间。</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both"/>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2.澄清公告为磋商文件的组成部分，一经在网站发布，视同已通知所有磋商文件的收受人，不再采用其它方式传达相关信息</w:t>
      </w:r>
      <w:r>
        <w:rPr>
          <w:rFonts w:hint="eastAsia" w:hAnsi="宋体" w:eastAsia="宋体" w:cs="宋体"/>
          <w:bCs/>
          <w:color w:val="auto"/>
          <w:kern w:val="2"/>
          <w:sz w:val="21"/>
          <w:szCs w:val="21"/>
          <w:highlight w:val="none"/>
          <w:lang w:val="en-US" w:eastAsia="zh-CN" w:bidi="ar-SA"/>
        </w:rPr>
        <w:t>，</w:t>
      </w:r>
      <w:r>
        <w:rPr>
          <w:rFonts w:hint="eastAsia" w:ascii="宋体" w:hAnsi="宋体" w:eastAsia="宋体" w:cs="宋体"/>
          <w:bCs/>
          <w:color w:val="auto"/>
          <w:kern w:val="2"/>
          <w:sz w:val="21"/>
          <w:szCs w:val="21"/>
          <w:highlight w:val="none"/>
          <w:lang w:val="en-US" w:eastAsia="zh-CN" w:bidi="ar-SA"/>
        </w:rPr>
        <w:t>若因未能及时了解到网站上发布的相关信息而导致的一切后果自行承担。</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both"/>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3.磋商文件澄清、答复、修改、补充的内容为磋商文件的组成部分。当磋商文件与磋商文件的答复、澄清、修改、补充通知就同一内容的表述不一致时，以最后发出的澄清公告为准。</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bCs/>
          <w:color w:val="auto"/>
          <w:kern w:val="2"/>
          <w:sz w:val="21"/>
          <w:szCs w:val="21"/>
          <w:highlight w:val="none"/>
          <w:lang w:val="en-US" w:eastAsia="zh-CN" w:bidi="ar-SA"/>
        </w:rPr>
        <w:t>4.磋商文件的澄清、答复、修改或补充都应该通过本代理机构以法定形式发布，采购人非通过本机构，不得擅自澄清、答复、修改或补充磋商文件。</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三  响应文件的编制</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（一）响应文件的组成</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响应文件由</w:t>
      </w:r>
      <w:r>
        <w:rPr>
          <w:rFonts w:hint="eastAsia" w:ascii="宋体" w:hAnsi="宋体" w:eastAsia="宋体" w:cs="宋体"/>
          <w:bCs/>
          <w:color w:val="auto"/>
          <w:sz w:val="21"/>
          <w:highlight w:val="none"/>
          <w:lang w:eastAsia="zh-CN"/>
        </w:rPr>
        <w:t>资格文件</w:t>
      </w:r>
      <w:r>
        <w:rPr>
          <w:rFonts w:hint="eastAsia" w:ascii="宋体" w:hAnsi="宋体" w:eastAsia="宋体" w:cs="宋体"/>
          <w:bCs/>
          <w:color w:val="auto"/>
          <w:sz w:val="21"/>
          <w:highlight w:val="none"/>
        </w:rPr>
        <w:t>、商务技术文件和报价文件三</w:t>
      </w:r>
      <w:r>
        <w:rPr>
          <w:rFonts w:hint="eastAsia" w:ascii="宋体" w:hAnsi="宋体" w:eastAsia="宋体" w:cs="宋体"/>
          <w:bCs/>
          <w:color w:val="auto"/>
          <w:sz w:val="21"/>
          <w:highlight w:val="none"/>
          <w:lang w:eastAsia="zh-CN"/>
        </w:rPr>
        <w:t>部分</w:t>
      </w:r>
      <w:r>
        <w:rPr>
          <w:rFonts w:hint="eastAsia" w:ascii="宋体" w:hAnsi="宋体" w:eastAsia="宋体" w:cs="宋体"/>
          <w:bCs/>
          <w:color w:val="auto"/>
          <w:sz w:val="21"/>
          <w:highlight w:val="none"/>
        </w:rPr>
        <w:t>组成。</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bCs w:val="0"/>
          <w:color w:val="auto"/>
          <w:sz w:val="21"/>
          <w:highlight w:val="none"/>
        </w:rPr>
      </w:pPr>
      <w:r>
        <w:rPr>
          <w:rFonts w:hint="eastAsia" w:ascii="宋体" w:hAnsi="宋体" w:eastAsia="宋体" w:cs="宋体"/>
          <w:b/>
          <w:bCs w:val="0"/>
          <w:color w:val="auto"/>
          <w:sz w:val="21"/>
          <w:highlight w:val="none"/>
        </w:rPr>
        <w:t>1、</w:t>
      </w:r>
      <w:r>
        <w:rPr>
          <w:rFonts w:hint="eastAsia" w:ascii="宋体" w:hAnsi="宋体" w:eastAsia="宋体" w:cs="宋体"/>
          <w:b/>
          <w:bCs w:val="0"/>
          <w:color w:val="auto"/>
          <w:sz w:val="21"/>
          <w:highlight w:val="none"/>
          <w:lang w:eastAsia="zh-CN"/>
        </w:rPr>
        <w:t>资格文件</w:t>
      </w:r>
      <w:r>
        <w:rPr>
          <w:rFonts w:hint="eastAsia" w:ascii="宋体" w:hAnsi="宋体" w:eastAsia="宋体" w:cs="宋体"/>
          <w:b/>
          <w:bCs w:val="0"/>
          <w:color w:val="auto"/>
          <w:sz w:val="21"/>
          <w:highlight w:val="none"/>
        </w:rPr>
        <w:t>内容包括</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（1）供应商资格声明函（格式详见第六章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2）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（3）供应商特定资格条件的证明文件：详见“第一章  采购邀请 二、申请人的资格要求：3.本项目的特定资格要求”；</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（4）磋商文件要求的其他资格条件证明材料（如有）；</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bCs w:val="0"/>
          <w:color w:val="auto"/>
          <w:sz w:val="21"/>
          <w:highlight w:val="none"/>
        </w:rPr>
      </w:pPr>
      <w:r>
        <w:rPr>
          <w:rFonts w:hint="eastAsia" w:ascii="宋体" w:hAnsi="宋体" w:eastAsia="宋体" w:cs="宋体"/>
          <w:b/>
          <w:bCs w:val="0"/>
          <w:color w:val="auto"/>
          <w:sz w:val="21"/>
          <w:highlight w:val="none"/>
        </w:rPr>
        <w:t>2、商务技术文件内容包括</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1）符合性自查表（格式详见第六章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2）投标函（格式详见第六章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3）法定代表人身份证明及授权委托书（格式详见第六章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4）技术（服务）条款响应（偏离）表（格式详见第六章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5）商务条款响应（偏离）表（格式详见第六章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6）技术部分：针对本项目第四章项目需求和第五章评审标准中的条款拟定完整方案，格式自拟；</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7）业绩一览表（格式详见第六章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8）供应商认为有需要提供的其它有关证明资料。</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bCs w:val="0"/>
          <w:color w:val="auto"/>
          <w:sz w:val="21"/>
          <w:highlight w:val="none"/>
        </w:rPr>
      </w:pPr>
      <w:r>
        <w:rPr>
          <w:rFonts w:hint="eastAsia" w:ascii="宋体" w:hAnsi="宋体" w:eastAsia="宋体" w:cs="宋体"/>
          <w:b/>
          <w:bCs w:val="0"/>
          <w:color w:val="auto"/>
          <w:sz w:val="21"/>
          <w:highlight w:val="none"/>
        </w:rPr>
        <w:t>3、报价文件内容包括</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（1）报价一览表；</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ascii="宋体" w:hAnsi="宋体" w:cs="宋体"/>
          <w:bCs/>
          <w:color w:val="auto"/>
          <w:sz w:val="21"/>
          <w:highlight w:val="none"/>
          <w:lang w:val="en-US" w:eastAsia="zh-CN"/>
        </w:rPr>
        <w:t>2</w:t>
      </w:r>
      <w:r>
        <w:rPr>
          <w:rFonts w:hint="eastAsia" w:ascii="宋体" w:hAnsi="宋体" w:eastAsia="宋体" w:cs="宋体"/>
          <w:bCs/>
          <w:color w:val="auto"/>
          <w:sz w:val="21"/>
          <w:highlight w:val="none"/>
        </w:rPr>
        <w:t>）投标分项报价表；</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lang w:eastAsia="zh-CN"/>
        </w:rPr>
      </w:pPr>
      <w:r>
        <w:rPr>
          <w:rFonts w:hint="eastAsia" w:hAnsi="宋体" w:eastAsia="宋体" w:cs="宋体"/>
          <w:bCs/>
          <w:color w:val="auto"/>
          <w:sz w:val="21"/>
          <w:highlight w:val="none"/>
          <w:lang w:eastAsia="zh-CN"/>
        </w:rPr>
        <w:t>（</w:t>
      </w:r>
      <w:r>
        <w:rPr>
          <w:rFonts w:hint="eastAsia" w:hAnsi="宋体" w:eastAsia="宋体" w:cs="宋体"/>
          <w:bCs/>
          <w:color w:val="auto"/>
          <w:sz w:val="21"/>
          <w:highlight w:val="none"/>
          <w:lang w:val="en-US" w:eastAsia="zh-CN"/>
        </w:rPr>
        <w:t>3</w:t>
      </w:r>
      <w:r>
        <w:rPr>
          <w:rFonts w:hint="eastAsia" w:hAnsi="宋体" w:eastAsia="宋体" w:cs="宋体"/>
          <w:bCs/>
          <w:color w:val="auto"/>
          <w:sz w:val="21"/>
          <w:highlight w:val="none"/>
          <w:lang w:eastAsia="zh-CN"/>
        </w:rPr>
        <w:t>）中小企业声明函（如有）（格式见附件）；</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hAnsi="宋体" w:cs="宋体"/>
          <w:bCs/>
          <w:color w:val="auto"/>
          <w:sz w:val="21"/>
          <w:highlight w:val="none"/>
          <w:lang w:val="en-US" w:eastAsia="zh-CN"/>
        </w:rPr>
        <w:t>4</w:t>
      </w:r>
      <w:r>
        <w:rPr>
          <w:rFonts w:hint="eastAsia" w:ascii="宋体" w:hAnsi="宋体" w:eastAsia="宋体" w:cs="宋体"/>
          <w:bCs/>
          <w:color w:val="auto"/>
          <w:sz w:val="21"/>
          <w:highlight w:val="none"/>
        </w:rPr>
        <w:t>）残疾人福利性单位声明函；</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w:t>
      </w:r>
      <w:r>
        <w:rPr>
          <w:rFonts w:hint="eastAsia" w:hAnsi="宋体" w:cs="宋体"/>
          <w:bCs/>
          <w:color w:val="auto"/>
          <w:sz w:val="21"/>
          <w:highlight w:val="none"/>
          <w:lang w:val="en-US" w:eastAsia="zh-CN"/>
        </w:rPr>
        <w:t>5</w:t>
      </w:r>
      <w:r>
        <w:rPr>
          <w:rFonts w:hint="eastAsia" w:ascii="宋体" w:hAnsi="宋体" w:eastAsia="宋体" w:cs="宋体"/>
          <w:bCs/>
          <w:color w:val="auto"/>
          <w:sz w:val="21"/>
          <w:highlight w:val="none"/>
        </w:rPr>
        <w:t>）供应商针对报价需要说明的其他文件和说明；</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szCs w:val="21"/>
          <w:highlight w:val="none"/>
          <w:lang w:val="en-US" w:eastAsia="zh-CN" w:bidi="ar-SA"/>
        </w:rPr>
        <w:t>★ 注：法定代表人授权委托书必须由法定代表人签署（签名或印章）并加盖单位公章；供应商资格声明函、投标函、报价一览表必须由法定代表人或授权代表签署（签名或印章）并加盖单位公章。</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（二）响应文件的语言及计量</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★1.响应文件以及供应商与采购单位就有关磋商事宜的所有来往函电，均应以中文汉语书写。除签名、盖章、专用名称等特殊情形外，以中文汉语以外的文字表述的响应文件视同未提供。</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★2.报价计量单位：磋商文件已有明确规定的，使用磋商文件规定的计量单位；磋商文件没有规定的，应采用中华人民共和国法定计量单位（货币单位：人民币元），否则视同未响应。</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（三）报价要求</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1.报价应按磋商文件中相关附表格式填写。</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★2.响应文件只允许有一个总报价，有选择的或有条件的报价将不予接受。</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（四）响应文件的有效期</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★1.自递交首次响应文件截止日起</w:t>
      </w:r>
      <w:r>
        <w:rPr>
          <w:rFonts w:hint="eastAsia" w:ascii="宋体" w:hAnsi="宋体" w:eastAsia="宋体" w:cs="宋体"/>
          <w:color w:val="auto"/>
          <w:sz w:val="21"/>
          <w:highlight w:val="none"/>
          <w:u w:val="single"/>
        </w:rPr>
        <w:t xml:space="preserve"> 60 </w:t>
      </w:r>
      <w:r>
        <w:rPr>
          <w:rFonts w:hint="eastAsia" w:ascii="宋体" w:hAnsi="宋体" w:eastAsia="宋体" w:cs="宋体"/>
          <w:color w:val="auto"/>
          <w:sz w:val="21"/>
          <w:highlight w:val="none"/>
        </w:rPr>
        <w:t>天响应文件应保持有效。</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2.在特殊情况下，采购人可与供应商协商延长响应文件的有效期，这种要求和答复均以书面形式进行。</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3.供应商可拒绝接受延期要求，但不能修改响应文件。 </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4.</w:t>
      </w:r>
      <w:r>
        <w:rPr>
          <w:rFonts w:hint="eastAsia" w:ascii="宋体" w:hAnsi="宋体" w:eastAsia="宋体" w:cs="宋体"/>
          <w:color w:val="auto"/>
          <w:sz w:val="21"/>
          <w:highlight w:val="none"/>
          <w:lang w:eastAsia="zh-CN"/>
        </w:rPr>
        <w:t>成交人</w:t>
      </w:r>
      <w:r>
        <w:rPr>
          <w:rFonts w:hint="eastAsia" w:ascii="宋体" w:hAnsi="宋体" w:eastAsia="宋体" w:cs="宋体"/>
          <w:color w:val="auto"/>
          <w:sz w:val="21"/>
          <w:highlight w:val="none"/>
        </w:rPr>
        <w:t>的响应文件自递交首次响应文件截止</w:t>
      </w:r>
      <w:r>
        <w:rPr>
          <w:rFonts w:hint="eastAsia" w:ascii="宋体" w:hAnsi="宋体" w:eastAsia="宋体" w:cs="宋体"/>
          <w:color w:val="auto"/>
          <w:sz w:val="21"/>
          <w:highlight w:val="none"/>
          <w:lang w:val="en-US" w:eastAsia="zh-CN"/>
        </w:rPr>
        <w:t>之</w:t>
      </w:r>
      <w:r>
        <w:rPr>
          <w:rFonts w:hint="eastAsia" w:ascii="宋体" w:hAnsi="宋体" w:eastAsia="宋体" w:cs="宋体"/>
          <w:color w:val="auto"/>
          <w:sz w:val="21"/>
          <w:highlight w:val="none"/>
        </w:rPr>
        <w:t>日起至合同履行完毕止均应保持有效。</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w:t>
      </w:r>
      <w:r>
        <w:rPr>
          <w:rFonts w:hint="eastAsia" w:ascii="宋体" w:hAnsi="宋体" w:eastAsia="宋体" w:cs="宋体"/>
          <w:b/>
          <w:color w:val="auto"/>
          <w:sz w:val="21"/>
          <w:highlight w:val="none"/>
          <w:lang w:val="en-US" w:eastAsia="zh-CN"/>
        </w:rPr>
        <w:t>五</w:t>
      </w:r>
      <w:r>
        <w:rPr>
          <w:rFonts w:hint="eastAsia" w:ascii="宋体" w:hAnsi="宋体" w:eastAsia="宋体" w:cs="宋体"/>
          <w:b/>
          <w:color w:val="auto"/>
          <w:sz w:val="21"/>
          <w:highlight w:val="none"/>
        </w:rPr>
        <w:t>）响应文件的签署和份数</w:t>
      </w:r>
    </w:p>
    <w:p>
      <w:pPr>
        <w:spacing w:line="440" w:lineRule="exact"/>
        <w:ind w:firstLine="420" w:firstLineChars="200"/>
        <w:rPr>
          <w:rFonts w:hAnsi="宋体" w:eastAsia="宋体" w:cs="仿宋"/>
          <w:sz w:val="21"/>
        </w:rPr>
      </w:pPr>
      <w:bookmarkStart w:id="71" w:name="_Toc425780285"/>
      <w:bookmarkStart w:id="72" w:name="_Toc429407701"/>
      <w:bookmarkStart w:id="73" w:name="_Toc425151741"/>
      <w:bookmarkStart w:id="74" w:name="_Toc430790222"/>
      <w:r>
        <w:rPr>
          <w:rFonts w:hAnsi="宋体" w:eastAsia="宋体" w:cs="仿宋"/>
          <w:sz w:val="21"/>
        </w:rPr>
        <w:t>1</w:t>
      </w:r>
      <w:r>
        <w:rPr>
          <w:rFonts w:hint="eastAsia" w:hAnsi="宋体" w:eastAsia="宋体" w:cs="仿宋"/>
          <w:sz w:val="21"/>
          <w:lang w:val="en-US" w:eastAsia="zh-CN"/>
        </w:rPr>
        <w:t>.</w:t>
      </w:r>
      <w:r>
        <w:rPr>
          <w:rFonts w:hint="eastAsia" w:hAnsi="宋体" w:eastAsia="宋体" w:cs="仿宋"/>
          <w:sz w:val="21"/>
        </w:rPr>
        <w:t>供应商应按本磋商文件规定的格式和顺序编制响应文件，响应文件要求有目录并标注页码，响应文件内容不完整、编排混乱导致响应文件被误读、漏读或者查找不到相关内容的，是供应商的责任。</w:t>
      </w:r>
    </w:p>
    <w:p>
      <w:pPr>
        <w:spacing w:line="440" w:lineRule="exact"/>
        <w:ind w:firstLine="420" w:firstLineChars="200"/>
        <w:rPr>
          <w:rFonts w:hAnsi="宋体" w:eastAsia="宋体" w:cs="仿宋"/>
          <w:sz w:val="21"/>
        </w:rPr>
      </w:pPr>
      <w:r>
        <w:rPr>
          <w:rFonts w:hint="eastAsia" w:hAnsi="宋体" w:eastAsia="宋体" w:cs="仿宋"/>
          <w:sz w:val="21"/>
        </w:rPr>
        <w:t>2.响应文件的份数：</w:t>
      </w:r>
    </w:p>
    <w:p>
      <w:pPr>
        <w:spacing w:line="440" w:lineRule="exact"/>
        <w:ind w:firstLine="420" w:firstLineChars="200"/>
        <w:rPr>
          <w:rFonts w:hAnsi="宋体" w:eastAsia="宋体" w:cs="仿宋"/>
          <w:sz w:val="21"/>
        </w:rPr>
      </w:pPr>
      <w:r>
        <w:rPr>
          <w:rFonts w:hint="eastAsia" w:hAnsi="宋体" w:eastAsia="宋体" w:cs="仿宋"/>
          <w:sz w:val="21"/>
        </w:rPr>
        <w:t>本项目实行网上投标，供应商应准备以下响应文件：</w:t>
      </w:r>
    </w:p>
    <w:p>
      <w:pPr>
        <w:spacing w:line="440" w:lineRule="exact"/>
        <w:ind w:firstLine="525" w:firstLineChars="250"/>
        <w:rPr>
          <w:rFonts w:hAnsi="宋体" w:eastAsia="宋体" w:cs="仿宋"/>
          <w:sz w:val="21"/>
        </w:rPr>
      </w:pPr>
      <w:r>
        <w:rPr>
          <w:rFonts w:hint="eastAsia" w:hAnsi="宋体" w:eastAsia="宋体" w:cs="仿宋"/>
          <w:sz w:val="21"/>
        </w:rPr>
        <w:t>（</w:t>
      </w:r>
      <w:r>
        <w:rPr>
          <w:rFonts w:hAnsi="宋体" w:eastAsia="宋体" w:cs="仿宋"/>
          <w:sz w:val="21"/>
        </w:rPr>
        <w:t>1</w:t>
      </w:r>
      <w:r>
        <w:rPr>
          <w:rFonts w:hint="eastAsia" w:hAnsi="宋体" w:eastAsia="宋体" w:cs="仿宋"/>
          <w:sz w:val="21"/>
        </w:rPr>
        <w:t>）上传到政府采购云平台的电子加密响应文件（含资格证明文件、技术商务文件、报价文件）</w:t>
      </w:r>
      <w:r>
        <w:rPr>
          <w:rFonts w:hAnsi="宋体" w:eastAsia="宋体" w:cs="仿宋"/>
          <w:sz w:val="21"/>
        </w:rPr>
        <w:t>1</w:t>
      </w:r>
      <w:r>
        <w:rPr>
          <w:rFonts w:hint="eastAsia" w:hAnsi="宋体" w:eastAsia="宋体" w:cs="仿宋"/>
          <w:sz w:val="21"/>
        </w:rPr>
        <w:t>份。</w:t>
      </w:r>
    </w:p>
    <w:p>
      <w:pPr>
        <w:spacing w:line="440" w:lineRule="exact"/>
        <w:ind w:firstLine="525" w:firstLineChars="250"/>
        <w:rPr>
          <w:rFonts w:hAnsi="宋体" w:eastAsia="宋体" w:cs="仿宋"/>
          <w:sz w:val="21"/>
        </w:rPr>
      </w:pPr>
      <w:r>
        <w:rPr>
          <w:rFonts w:hint="eastAsia" w:hAnsi="宋体" w:eastAsia="宋体" w:cs="仿宋"/>
          <w:sz w:val="21"/>
        </w:rPr>
        <w:t>（</w:t>
      </w:r>
      <w:r>
        <w:rPr>
          <w:rFonts w:hAnsi="宋体" w:eastAsia="宋体" w:cs="仿宋"/>
          <w:sz w:val="21"/>
        </w:rPr>
        <w:t>2</w:t>
      </w:r>
      <w:r>
        <w:rPr>
          <w:rFonts w:hint="eastAsia" w:hAnsi="宋体" w:eastAsia="宋体" w:cs="仿宋"/>
          <w:sz w:val="21"/>
        </w:rPr>
        <w:t>）以</w:t>
      </w:r>
      <w:r>
        <w:rPr>
          <w:rFonts w:hAnsi="宋体" w:eastAsia="宋体" w:cs="仿宋"/>
          <w:sz w:val="21"/>
        </w:rPr>
        <w:t>U</w:t>
      </w:r>
      <w:r>
        <w:rPr>
          <w:rFonts w:hint="eastAsia" w:hAnsi="宋体" w:eastAsia="宋体" w:cs="仿宋"/>
          <w:sz w:val="21"/>
        </w:rPr>
        <w:t>盘存储的电子备份响应文件（含资格证明文件、技术商务文件、报价文件）</w:t>
      </w:r>
      <w:r>
        <w:rPr>
          <w:rFonts w:hAnsi="宋体" w:eastAsia="宋体" w:cs="仿宋"/>
          <w:sz w:val="21"/>
        </w:rPr>
        <w:t>1</w:t>
      </w:r>
      <w:r>
        <w:rPr>
          <w:rFonts w:hint="eastAsia" w:hAnsi="宋体" w:eastAsia="宋体" w:cs="仿宋"/>
          <w:sz w:val="21"/>
        </w:rPr>
        <w:t>份。</w:t>
      </w:r>
    </w:p>
    <w:p>
      <w:pPr>
        <w:spacing w:line="440" w:lineRule="exact"/>
        <w:ind w:firstLine="525" w:firstLineChars="250"/>
        <w:rPr>
          <w:rFonts w:hAnsi="宋体" w:eastAsia="宋体" w:cs="仿宋"/>
          <w:sz w:val="21"/>
        </w:rPr>
      </w:pPr>
      <w:r>
        <w:rPr>
          <w:rFonts w:hint="eastAsia" w:hAnsi="宋体" w:eastAsia="宋体" w:cs="仿宋"/>
          <w:sz w:val="21"/>
        </w:rPr>
        <w:t>2.</w:t>
      </w:r>
      <w:r>
        <w:rPr>
          <w:rFonts w:hint="eastAsia" w:hAnsi="宋体" w:eastAsia="宋体" w:cs="仿宋"/>
          <w:sz w:val="21"/>
          <w:lang w:val="en-US" w:eastAsia="zh-CN"/>
        </w:rPr>
        <w:t>1</w:t>
      </w:r>
      <w:r>
        <w:rPr>
          <w:rFonts w:hint="eastAsia" w:hAnsi="宋体" w:eastAsia="宋体" w:cs="仿宋"/>
          <w:sz w:val="21"/>
        </w:rPr>
        <w:t>电子响应文件：</w:t>
      </w:r>
    </w:p>
    <w:p>
      <w:pPr>
        <w:spacing w:line="440" w:lineRule="exact"/>
        <w:ind w:firstLine="525" w:firstLineChars="250"/>
        <w:rPr>
          <w:rFonts w:hAnsi="宋体" w:eastAsia="宋体" w:cs="仿宋"/>
          <w:sz w:val="21"/>
        </w:rPr>
      </w:pPr>
      <w:r>
        <w:rPr>
          <w:rFonts w:hint="eastAsia" w:hAnsi="宋体" w:eastAsia="宋体" w:cs="仿宋"/>
          <w:sz w:val="21"/>
        </w:rPr>
        <w:t>供应商应根据政府采购云平台的要求及本磋商文件规定的格式和顺序编制电子响应文件并进行关联定位。</w:t>
      </w:r>
    </w:p>
    <w:p>
      <w:pPr>
        <w:tabs>
          <w:tab w:val="left" w:pos="709"/>
        </w:tabs>
        <w:spacing w:line="440" w:lineRule="exact"/>
        <w:ind w:firstLine="420" w:firstLineChars="200"/>
        <w:contextualSpacing/>
        <w:rPr>
          <w:rFonts w:hAnsi="宋体" w:eastAsia="宋体" w:cs="仿宋"/>
          <w:sz w:val="21"/>
        </w:rPr>
      </w:pPr>
      <w:r>
        <w:rPr>
          <w:rFonts w:hint="eastAsia" w:hAnsi="宋体" w:eastAsia="宋体" w:cs="仿宋"/>
          <w:sz w:val="21"/>
        </w:rPr>
        <w:t>3</w:t>
      </w:r>
      <w:r>
        <w:rPr>
          <w:rFonts w:hint="eastAsia" w:hAnsi="宋体" w:eastAsia="宋体" w:cs="仿宋"/>
          <w:sz w:val="21"/>
          <w:lang w:val="en-US" w:eastAsia="zh-CN"/>
        </w:rPr>
        <w:t>.</w:t>
      </w:r>
      <w:r>
        <w:rPr>
          <w:rFonts w:hint="eastAsia" w:hAnsi="宋体" w:eastAsia="宋体" w:cs="仿宋"/>
          <w:sz w:val="21"/>
        </w:rPr>
        <w:t>响应文件的包装、递交、修改和撤回</w:t>
      </w:r>
    </w:p>
    <w:p>
      <w:pPr>
        <w:tabs>
          <w:tab w:val="left" w:pos="709"/>
        </w:tabs>
        <w:spacing w:line="440" w:lineRule="exact"/>
        <w:ind w:firstLine="420" w:firstLineChars="200"/>
        <w:contextualSpacing/>
        <w:rPr>
          <w:rFonts w:hAnsi="宋体" w:eastAsia="宋体" w:cs="仿宋"/>
          <w:sz w:val="21"/>
        </w:rPr>
      </w:pPr>
      <w:r>
        <w:rPr>
          <w:rFonts w:hint="eastAsia" w:hAnsi="宋体" w:eastAsia="宋体" w:cs="仿宋"/>
          <w:sz w:val="21"/>
        </w:rPr>
        <w:t>3</w:t>
      </w:r>
      <w:r>
        <w:rPr>
          <w:rFonts w:hAnsi="宋体" w:eastAsia="宋体" w:cs="仿宋"/>
          <w:sz w:val="21"/>
        </w:rPr>
        <w:t>.1</w:t>
      </w:r>
      <w:r>
        <w:rPr>
          <w:rFonts w:hint="eastAsia" w:hAnsi="宋体" w:eastAsia="宋体" w:cs="仿宋"/>
          <w:sz w:val="21"/>
        </w:rPr>
        <w:t>以</w:t>
      </w:r>
      <w:r>
        <w:rPr>
          <w:rFonts w:hAnsi="宋体" w:eastAsia="宋体" w:cs="仿宋"/>
          <w:sz w:val="21"/>
        </w:rPr>
        <w:t>U</w:t>
      </w:r>
      <w:r>
        <w:rPr>
          <w:rFonts w:hint="eastAsia" w:hAnsi="宋体" w:eastAsia="宋体" w:cs="仿宋"/>
          <w:sz w:val="21"/>
        </w:rPr>
        <w:t>盘存储的电子备份响应文件用封袋密封后递交。</w:t>
      </w:r>
    </w:p>
    <w:p>
      <w:pPr>
        <w:tabs>
          <w:tab w:val="left" w:pos="709"/>
        </w:tabs>
        <w:spacing w:line="440" w:lineRule="exact"/>
        <w:ind w:firstLine="420" w:firstLineChars="200"/>
        <w:contextualSpacing/>
        <w:rPr>
          <w:rFonts w:hAnsi="宋体" w:eastAsia="宋体" w:cs="仿宋"/>
          <w:sz w:val="21"/>
        </w:rPr>
      </w:pPr>
      <w:r>
        <w:rPr>
          <w:rFonts w:hint="eastAsia" w:hAnsi="宋体" w:eastAsia="宋体" w:cs="仿宋"/>
          <w:sz w:val="21"/>
        </w:rPr>
        <w:t>3</w:t>
      </w:r>
      <w:r>
        <w:rPr>
          <w:rFonts w:hAnsi="宋体" w:eastAsia="宋体" w:cs="仿宋"/>
          <w:sz w:val="21"/>
        </w:rPr>
        <w:t>.</w:t>
      </w:r>
      <w:r>
        <w:rPr>
          <w:rFonts w:hint="eastAsia" w:hAnsi="宋体" w:eastAsia="宋体" w:cs="仿宋"/>
          <w:sz w:val="21"/>
        </w:rPr>
        <w:t>2未按规定密封或标记的响应文件将被拒绝，由此造成响应文件被误投或提前拆封的风险由供应商承担。</w:t>
      </w:r>
    </w:p>
    <w:p>
      <w:pPr>
        <w:tabs>
          <w:tab w:val="left" w:pos="709"/>
        </w:tabs>
        <w:spacing w:line="440" w:lineRule="exact"/>
        <w:ind w:firstLine="420" w:firstLineChars="200"/>
        <w:contextualSpacing/>
        <w:rPr>
          <w:rFonts w:hAnsi="宋体" w:eastAsia="宋体" w:cs="仿宋"/>
          <w:sz w:val="21"/>
        </w:rPr>
      </w:pPr>
      <w:r>
        <w:rPr>
          <w:rFonts w:hint="eastAsia" w:hAnsi="宋体" w:eastAsia="宋体" w:cs="仿宋"/>
          <w:sz w:val="21"/>
        </w:rPr>
        <w:t>3</w:t>
      </w:r>
      <w:r>
        <w:rPr>
          <w:rFonts w:hAnsi="宋体" w:eastAsia="宋体" w:cs="仿宋"/>
          <w:sz w:val="21"/>
        </w:rPr>
        <w:t>.</w:t>
      </w:r>
      <w:r>
        <w:rPr>
          <w:rFonts w:hint="eastAsia" w:hAnsi="宋体" w:eastAsia="宋体" w:cs="仿宋"/>
          <w:sz w:val="21"/>
        </w:rPr>
        <w:t>3供应商在投标截止时间之前，可以对已提交的电子备份响应文件进行修改或撤回，并书面通知招标采购单位；投标截止时间后，供应商不得撤回、修改响应文件。修改后重新递交的电子备份响应文件应当按本磋商文件的要求签署、盖章和密封。</w:t>
      </w:r>
    </w:p>
    <w:p>
      <w:pPr>
        <w:tabs>
          <w:tab w:val="left" w:pos="709"/>
        </w:tabs>
        <w:spacing w:line="440" w:lineRule="exact"/>
        <w:ind w:firstLine="420" w:firstLineChars="200"/>
        <w:contextualSpacing/>
        <w:rPr>
          <w:rFonts w:hint="eastAsia" w:hAnsi="宋体" w:eastAsia="宋体" w:cs="仿宋"/>
          <w:sz w:val="21"/>
        </w:rPr>
      </w:pPr>
      <w:r>
        <w:rPr>
          <w:rFonts w:hint="eastAsia" w:hAnsi="宋体" w:eastAsia="宋体" w:cs="仿宋"/>
          <w:sz w:val="21"/>
        </w:rPr>
        <w:t>3</w:t>
      </w:r>
      <w:r>
        <w:rPr>
          <w:rFonts w:hAnsi="宋体" w:eastAsia="宋体" w:cs="仿宋"/>
          <w:sz w:val="21"/>
        </w:rPr>
        <w:t>.</w:t>
      </w:r>
      <w:r>
        <w:rPr>
          <w:rFonts w:hint="eastAsia" w:hAnsi="宋体" w:eastAsia="宋体" w:cs="仿宋"/>
          <w:sz w:val="21"/>
        </w:rPr>
        <w:t>4供应商应当在投标截止时间前完成电子响应文件的传输递交，并可以补充、修改或者撤回电子响应文件。补充或者修改电子响应文件的，应当先行撤回原文件，补充、修改后重新传输递交。投标截止时间前未完成传输的，视为撤回响应文件。投标、响应截止时间后传输递交的投标、响应文件，将被拒收。</w:t>
      </w:r>
    </w:p>
    <w:bookmarkEnd w:id="71"/>
    <w:bookmarkEnd w:id="72"/>
    <w:bookmarkEnd w:id="73"/>
    <w:bookmarkEnd w:id="74"/>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w:t>
      </w:r>
      <w:r>
        <w:rPr>
          <w:rFonts w:hint="eastAsia" w:ascii="宋体" w:hAnsi="宋体" w:eastAsia="宋体" w:cs="宋体"/>
          <w:b/>
          <w:color w:val="auto"/>
          <w:sz w:val="21"/>
          <w:highlight w:val="none"/>
          <w:lang w:eastAsia="zh-CN"/>
        </w:rPr>
        <w:t>六</w:t>
      </w:r>
      <w:r>
        <w:rPr>
          <w:rFonts w:hint="eastAsia" w:ascii="宋体" w:hAnsi="宋体" w:eastAsia="宋体" w:cs="宋体"/>
          <w:b/>
          <w:color w:val="auto"/>
          <w:sz w:val="21"/>
          <w:highlight w:val="none"/>
        </w:rPr>
        <w:t>）响应文件的包装、递交、修改和撤回</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rPr>
        <w:t>1</w:t>
      </w:r>
      <w:r>
        <w:rPr>
          <w:rFonts w:hint="eastAsia" w:ascii="宋体" w:hAnsi="宋体" w:eastAsia="宋体" w:cs="宋体"/>
          <w:b w:val="0"/>
          <w:bCs/>
          <w:color w:val="auto"/>
          <w:sz w:val="21"/>
          <w:highlight w:val="none"/>
          <w:lang w:eastAsia="zh-CN"/>
        </w:rPr>
        <w:t>、</w:t>
      </w:r>
      <w:r>
        <w:rPr>
          <w:rFonts w:hint="eastAsia" w:ascii="宋体" w:hAnsi="宋体" w:eastAsia="宋体" w:cs="宋体"/>
          <w:b w:val="0"/>
          <w:bCs/>
          <w:color w:val="auto"/>
          <w:sz w:val="21"/>
          <w:highlight w:val="none"/>
        </w:rPr>
        <w:t>以U盘存储的电子备份投标文件用封袋密封后递交。</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rPr>
        <w:t>2、电子备份投标文件的包装封面上应注明供应商名称、供应商地址、投标文件名称</w:t>
      </w:r>
      <w:r>
        <w:rPr>
          <w:rFonts w:hint="eastAsia" w:hAnsi="宋体" w:eastAsia="宋体" w:cs="宋体"/>
          <w:b w:val="0"/>
          <w:bCs/>
          <w:color w:val="auto"/>
          <w:sz w:val="21"/>
          <w:highlight w:val="none"/>
          <w:lang w:eastAsia="zh-CN"/>
        </w:rPr>
        <w:t>（</w:t>
      </w:r>
      <w:r>
        <w:rPr>
          <w:rFonts w:hint="eastAsia" w:ascii="宋体" w:hAnsi="宋体" w:eastAsia="宋体" w:cs="宋体"/>
          <w:b w:val="0"/>
          <w:bCs/>
          <w:color w:val="auto"/>
          <w:sz w:val="21"/>
          <w:highlight w:val="none"/>
        </w:rPr>
        <w:t>电子备份投标文件</w:t>
      </w:r>
      <w:r>
        <w:rPr>
          <w:rFonts w:hint="eastAsia" w:hAnsi="宋体" w:eastAsia="宋体" w:cs="宋体"/>
          <w:b w:val="0"/>
          <w:bCs/>
          <w:color w:val="auto"/>
          <w:sz w:val="21"/>
          <w:highlight w:val="none"/>
          <w:lang w:eastAsia="zh-CN"/>
        </w:rPr>
        <w:t>）</w:t>
      </w:r>
      <w:r>
        <w:rPr>
          <w:rFonts w:hint="eastAsia" w:ascii="宋体" w:hAnsi="宋体" w:eastAsia="宋体" w:cs="宋体"/>
          <w:b w:val="0"/>
          <w:bCs/>
          <w:color w:val="auto"/>
          <w:sz w:val="21"/>
          <w:highlight w:val="none"/>
        </w:rPr>
        <w:t>、投标项目名称、项目编号、标项号，并加盖供应商公章。</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lang w:val="en-US" w:eastAsia="zh-CN"/>
        </w:rPr>
        <w:t>3</w:t>
      </w:r>
      <w:r>
        <w:rPr>
          <w:rFonts w:hint="eastAsia" w:ascii="宋体" w:hAnsi="宋体" w:eastAsia="宋体" w:cs="宋体"/>
          <w:b w:val="0"/>
          <w:bCs/>
          <w:color w:val="auto"/>
          <w:sz w:val="21"/>
          <w:highlight w:val="none"/>
          <w:lang w:eastAsia="zh-CN"/>
        </w:rPr>
        <w:t>、</w:t>
      </w:r>
      <w:r>
        <w:rPr>
          <w:rFonts w:hint="eastAsia" w:ascii="宋体" w:hAnsi="宋体" w:eastAsia="宋体" w:cs="宋体"/>
          <w:b w:val="0"/>
          <w:bCs/>
          <w:color w:val="auto"/>
          <w:sz w:val="21"/>
          <w:highlight w:val="none"/>
        </w:rPr>
        <w:t>未按规定密封或标记的电子备份投标文件将被拒绝，由此造成电子备份投标文件被提前拆封的风险由供应商承担。</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lang w:val="en-US" w:eastAsia="zh-CN"/>
        </w:rPr>
        <w:t>4</w:t>
      </w:r>
      <w:r>
        <w:rPr>
          <w:rFonts w:hint="eastAsia" w:ascii="宋体" w:hAnsi="宋体" w:eastAsia="宋体" w:cs="宋体"/>
          <w:b w:val="0"/>
          <w:bCs/>
          <w:color w:val="auto"/>
          <w:sz w:val="21"/>
          <w:highlight w:val="none"/>
          <w:lang w:eastAsia="zh-CN"/>
        </w:rPr>
        <w:t>、</w:t>
      </w:r>
      <w:r>
        <w:rPr>
          <w:rFonts w:hint="eastAsia" w:ascii="宋体" w:hAnsi="宋体" w:eastAsia="宋体" w:cs="宋体"/>
          <w:b w:val="0"/>
          <w:bCs/>
          <w:color w:val="auto"/>
          <w:sz w:val="21"/>
          <w:highlight w:val="none"/>
        </w:rPr>
        <w:t>供应商在投标截止时间之前，可以对已提交的电子备份投标文件进行修改或撤回，并书面通知招标采购单位；投标截止时间后，供应商不得撤回、修改电子备份投标文件。修改后重新递交的电子备份投标文件应当按本</w:t>
      </w:r>
      <w:r>
        <w:rPr>
          <w:rFonts w:hint="eastAsia" w:ascii="宋体" w:hAnsi="宋体" w:eastAsia="宋体" w:cs="宋体"/>
          <w:b w:val="0"/>
          <w:bCs/>
          <w:color w:val="auto"/>
          <w:sz w:val="21"/>
          <w:highlight w:val="none"/>
          <w:lang w:eastAsia="zh-CN"/>
        </w:rPr>
        <w:t>招标文件</w:t>
      </w:r>
      <w:r>
        <w:rPr>
          <w:rFonts w:hint="eastAsia" w:ascii="宋体" w:hAnsi="宋体" w:eastAsia="宋体" w:cs="宋体"/>
          <w:b w:val="0"/>
          <w:bCs/>
          <w:color w:val="auto"/>
          <w:sz w:val="21"/>
          <w:highlight w:val="none"/>
        </w:rPr>
        <w:t>的要求签署、盖章和密封。</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lang w:val="en-US" w:eastAsia="zh-CN"/>
        </w:rPr>
        <w:t>5、</w:t>
      </w:r>
      <w:r>
        <w:rPr>
          <w:rFonts w:hint="eastAsia" w:ascii="宋体" w:hAnsi="宋体" w:eastAsia="宋体" w:cs="宋体"/>
          <w:b w:val="0"/>
          <w:bCs/>
          <w:color w:val="auto"/>
          <w:sz w:val="21"/>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w:t>
      </w:r>
      <w:r>
        <w:rPr>
          <w:rFonts w:hint="eastAsia" w:ascii="宋体" w:hAnsi="宋体" w:eastAsia="宋体" w:cs="宋体"/>
          <w:b/>
          <w:color w:val="auto"/>
          <w:sz w:val="21"/>
          <w:highlight w:val="none"/>
          <w:lang w:eastAsia="zh-CN"/>
        </w:rPr>
        <w:t>七</w:t>
      </w:r>
      <w:r>
        <w:rPr>
          <w:rFonts w:hint="eastAsia" w:ascii="宋体" w:hAnsi="宋体" w:eastAsia="宋体" w:cs="宋体"/>
          <w:b/>
          <w:color w:val="auto"/>
          <w:sz w:val="21"/>
          <w:highlight w:val="none"/>
        </w:rPr>
        <w:t>）响应无效的情形</w:t>
      </w:r>
    </w:p>
    <w:p>
      <w:pPr>
        <w:pStyle w:val="9"/>
        <w:keepNext w:val="0"/>
        <w:keepLines w:val="0"/>
        <w:pageBreakBefore w:val="0"/>
        <w:widowControl w:val="0"/>
        <w:kinsoku/>
        <w:wordWrap/>
        <w:overflowPunct/>
        <w:topLinePunct w:val="0"/>
        <w:autoSpaceDE/>
        <w:autoSpaceDN/>
        <w:bidi w:val="0"/>
        <w:adjustRightInd/>
        <w:snapToGrid/>
        <w:spacing w:after="0"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实质上没有响应磋商文件要求的响应文件将被视为无效响应，供应商不得通过修正或撤销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由法定代表人或授权代表签字或者加盖公章。限期内不补正或经补正后仍不符合磋商文件要求的，应认定其响应无效。供应商澄清、说明或更正后，不影响磋商小组对其响应文件所作的评价和评分结果。</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1.在资格审查时，如发现下列情形之一的，响应文件将被视为无效：</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（1）资格证明文件不全的，或者不符合磋商文件标明的资格要求的；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cs="宋体"/>
          <w:b/>
          <w:color w:val="auto"/>
          <w:sz w:val="21"/>
          <w:highlight w:val="none"/>
          <w:lang w:val="en-US" w:eastAsia="zh-CN"/>
        </w:rPr>
        <w:t>2.</w:t>
      </w:r>
      <w:r>
        <w:rPr>
          <w:rFonts w:hint="eastAsia" w:ascii="宋体" w:hAnsi="宋体" w:eastAsia="宋体" w:cs="宋体"/>
          <w:b/>
          <w:color w:val="auto"/>
          <w:sz w:val="21"/>
          <w:highlight w:val="none"/>
        </w:rPr>
        <w:t>在</w:t>
      </w:r>
      <w:r>
        <w:rPr>
          <w:rFonts w:hint="eastAsia" w:ascii="宋体" w:hAnsi="宋体" w:eastAsia="宋体" w:cs="宋体"/>
          <w:b/>
          <w:color w:val="auto"/>
          <w:sz w:val="21"/>
          <w:highlight w:val="none"/>
          <w:lang w:eastAsia="zh-CN"/>
        </w:rPr>
        <w:t>符合性</w:t>
      </w:r>
      <w:r>
        <w:rPr>
          <w:rFonts w:hint="eastAsia" w:ascii="宋体" w:hAnsi="宋体" w:eastAsia="宋体" w:cs="宋体"/>
          <w:b/>
          <w:color w:val="auto"/>
          <w:sz w:val="21"/>
          <w:highlight w:val="none"/>
          <w:lang w:val="en-US" w:eastAsia="zh-CN"/>
        </w:rPr>
        <w:t>审查</w:t>
      </w:r>
      <w:r>
        <w:rPr>
          <w:rFonts w:hint="eastAsia" w:ascii="宋体" w:hAnsi="宋体" w:eastAsia="宋体" w:cs="宋体"/>
          <w:b/>
          <w:color w:val="auto"/>
          <w:sz w:val="21"/>
          <w:highlight w:val="none"/>
          <w:lang w:eastAsia="zh-CN"/>
        </w:rPr>
        <w:t>（商务技术文件）</w:t>
      </w:r>
      <w:r>
        <w:rPr>
          <w:rFonts w:hint="eastAsia" w:ascii="宋体" w:hAnsi="宋体" w:eastAsia="宋体" w:cs="宋体"/>
          <w:b/>
          <w:color w:val="auto"/>
          <w:sz w:val="21"/>
          <w:highlight w:val="none"/>
        </w:rPr>
        <w:t>时，如发现下列情形之一的，响应文件将被视为无效：</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w:t>
      </w:r>
      <w:r>
        <w:rPr>
          <w:rFonts w:hint="eastAsia" w:ascii="宋体" w:hAnsi="宋体" w:eastAsia="宋体" w:cs="宋体"/>
          <w:color w:val="auto"/>
          <w:sz w:val="21"/>
          <w:highlight w:val="none"/>
          <w:lang w:val="en-US" w:eastAsia="zh-CN"/>
        </w:rPr>
        <w:t>未</w:t>
      </w:r>
      <w:r>
        <w:rPr>
          <w:rFonts w:hint="eastAsia" w:ascii="宋体" w:hAnsi="宋体" w:eastAsia="宋体" w:cs="宋体"/>
          <w:color w:val="auto"/>
          <w:sz w:val="21"/>
          <w:highlight w:val="none"/>
        </w:rPr>
        <w:t>提交投标函</w:t>
      </w:r>
      <w:r>
        <w:rPr>
          <w:rFonts w:hint="eastAsia" w:ascii="宋体" w:hAnsi="宋体" w:eastAsia="宋体" w:cs="宋体"/>
          <w:color w:val="auto"/>
          <w:sz w:val="21"/>
          <w:highlight w:val="none"/>
          <w:lang w:val="en-US" w:eastAsia="zh-CN"/>
        </w:rPr>
        <w:t>或投标函内容不</w:t>
      </w:r>
      <w:r>
        <w:rPr>
          <w:rFonts w:hint="eastAsia" w:ascii="宋体" w:hAnsi="宋体" w:eastAsia="宋体" w:cs="宋体"/>
          <w:color w:val="auto"/>
          <w:sz w:val="21"/>
          <w:highlight w:val="none"/>
        </w:rPr>
        <w:t>符合</w:t>
      </w:r>
      <w:r>
        <w:rPr>
          <w:rFonts w:hint="eastAsia" w:ascii="宋体" w:hAnsi="宋体" w:eastAsia="宋体" w:cs="宋体"/>
          <w:color w:val="auto"/>
          <w:sz w:val="21"/>
          <w:highlight w:val="none"/>
          <w:lang w:eastAsia="zh-CN"/>
        </w:rPr>
        <w:t>磋商文件</w:t>
      </w:r>
      <w:r>
        <w:rPr>
          <w:rFonts w:hint="eastAsia" w:ascii="宋体" w:hAnsi="宋体" w:eastAsia="宋体" w:cs="宋体"/>
          <w:color w:val="auto"/>
          <w:sz w:val="21"/>
          <w:highlight w:val="none"/>
        </w:rPr>
        <w:t>要求；</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2</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未按照磋商文件规定要求签署或盖章；</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3</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响应文件规定部分无法定代表人签署本人姓名（或印盖本人姓名章），或签署人</w:t>
      </w:r>
      <w:r>
        <w:rPr>
          <w:rFonts w:hint="eastAsia" w:ascii="宋体" w:hAnsi="宋体" w:eastAsia="宋体" w:cs="宋体"/>
          <w:color w:val="auto"/>
          <w:sz w:val="21"/>
          <w:highlight w:val="none"/>
        </w:rPr>
        <w:t>未提供</w:t>
      </w:r>
      <w:r>
        <w:rPr>
          <w:rFonts w:hint="eastAsia" w:ascii="宋体" w:hAnsi="宋体" w:eastAsia="宋体" w:cs="宋体"/>
          <w:color w:val="auto"/>
          <w:sz w:val="21"/>
          <w:highlight w:val="none"/>
          <w:lang w:val="en-US" w:eastAsia="zh-CN"/>
        </w:rPr>
        <w:t>有效的</w:t>
      </w:r>
      <w:r>
        <w:rPr>
          <w:rFonts w:hint="eastAsia" w:ascii="宋体" w:hAnsi="宋体" w:eastAsia="宋体" w:cs="宋体"/>
          <w:color w:val="auto"/>
          <w:sz w:val="21"/>
          <w:highlight w:val="none"/>
        </w:rPr>
        <w:t>法定代表人授权委托书</w:t>
      </w:r>
      <w:r>
        <w:rPr>
          <w:rFonts w:hint="eastAsia" w:ascii="宋体" w:hAnsi="宋体" w:eastAsia="宋体" w:cs="宋体"/>
          <w:color w:val="auto"/>
          <w:sz w:val="21"/>
          <w:highlight w:val="none"/>
          <w:lang w:val="en-US" w:eastAsia="zh-CN"/>
        </w:rPr>
        <w:t>或</w:t>
      </w:r>
      <w:r>
        <w:rPr>
          <w:rFonts w:hint="eastAsia" w:ascii="宋体" w:hAnsi="宋体" w:eastAsia="宋体" w:cs="宋体"/>
          <w:color w:val="auto"/>
          <w:sz w:val="21"/>
          <w:highlight w:val="none"/>
        </w:rPr>
        <w:t xml:space="preserve">授权委托书填写项目不齐全的； </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4</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eastAsia="zh-CN"/>
        </w:rPr>
        <w:t>响应文件</w:t>
      </w:r>
      <w:r>
        <w:rPr>
          <w:rFonts w:hint="eastAsia" w:ascii="宋体" w:hAnsi="宋体" w:eastAsia="宋体" w:cs="宋体"/>
          <w:color w:val="auto"/>
          <w:sz w:val="21"/>
          <w:highlight w:val="none"/>
        </w:rPr>
        <w:t>项目不齐全</w:t>
      </w:r>
      <w:r>
        <w:rPr>
          <w:rFonts w:hint="eastAsia" w:ascii="宋体" w:hAnsi="宋体" w:eastAsia="宋体" w:cs="宋体"/>
          <w:color w:val="auto"/>
          <w:sz w:val="21"/>
          <w:highlight w:val="none"/>
          <w:lang w:eastAsia="zh-CN"/>
        </w:rPr>
        <w:t>；</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5</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eastAsia="zh-CN"/>
        </w:rPr>
        <w:t>响应文件</w:t>
      </w:r>
      <w:r>
        <w:rPr>
          <w:rFonts w:hint="eastAsia" w:ascii="宋体" w:hAnsi="宋体" w:eastAsia="宋体" w:cs="宋体"/>
          <w:color w:val="auto"/>
          <w:sz w:val="21"/>
          <w:highlight w:val="none"/>
        </w:rPr>
        <w:t>标明的响应或偏离与事实不符或虚假投标的；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6</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eastAsia="zh-CN"/>
        </w:rPr>
        <w:t>响应文件</w:t>
      </w:r>
      <w:r>
        <w:rPr>
          <w:rFonts w:hint="eastAsia" w:ascii="宋体" w:hAnsi="宋体" w:eastAsia="宋体" w:cs="宋体"/>
          <w:color w:val="auto"/>
          <w:sz w:val="21"/>
          <w:highlight w:val="none"/>
        </w:rPr>
        <w:t>的实质性内容未使用中文表述、意思表述不明确、前后矛盾或者使用计量单位不符合</w:t>
      </w:r>
      <w:r>
        <w:rPr>
          <w:rFonts w:hint="eastAsia" w:ascii="宋体" w:hAnsi="宋体" w:eastAsia="宋体" w:cs="宋体"/>
          <w:color w:val="auto"/>
          <w:sz w:val="21"/>
          <w:highlight w:val="none"/>
          <w:lang w:eastAsia="zh-CN"/>
        </w:rPr>
        <w:t>磋商文件</w:t>
      </w:r>
      <w:r>
        <w:rPr>
          <w:rFonts w:hint="eastAsia" w:ascii="宋体" w:hAnsi="宋体" w:eastAsia="宋体" w:cs="宋体"/>
          <w:color w:val="auto"/>
          <w:sz w:val="21"/>
          <w:highlight w:val="none"/>
        </w:rPr>
        <w:t>要求的（经</w:t>
      </w:r>
      <w:r>
        <w:rPr>
          <w:rFonts w:hint="eastAsia" w:ascii="宋体" w:hAnsi="宋体" w:eastAsia="宋体" w:cs="宋体"/>
          <w:color w:val="auto"/>
          <w:sz w:val="21"/>
          <w:highlight w:val="none"/>
          <w:lang w:val="en-US" w:eastAsia="zh-CN"/>
        </w:rPr>
        <w:t>磋商小组</w:t>
      </w:r>
      <w:r>
        <w:rPr>
          <w:rFonts w:hint="eastAsia" w:ascii="宋体" w:hAnsi="宋体" w:eastAsia="宋体" w:cs="宋体"/>
          <w:color w:val="auto"/>
          <w:sz w:val="21"/>
          <w:highlight w:val="none"/>
        </w:rPr>
        <w:t>认定并允许其当场更正的笔误除外）；</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7</w:t>
      </w:r>
      <w:r>
        <w:rPr>
          <w:rFonts w:hint="eastAsia" w:ascii="宋体" w:hAnsi="宋体" w:eastAsia="宋体" w:cs="宋体"/>
          <w:color w:val="auto"/>
          <w:sz w:val="21"/>
          <w:highlight w:val="none"/>
        </w:rPr>
        <w:t>）带“★”的条款不能满足</w:t>
      </w:r>
      <w:r>
        <w:rPr>
          <w:rFonts w:hint="eastAsia" w:ascii="宋体" w:hAnsi="宋体" w:eastAsia="宋体" w:cs="宋体"/>
          <w:color w:val="auto"/>
          <w:sz w:val="21"/>
          <w:highlight w:val="none"/>
          <w:lang w:eastAsia="zh-CN"/>
        </w:rPr>
        <w:t>磋商文件</w:t>
      </w:r>
      <w:r>
        <w:rPr>
          <w:rFonts w:hint="eastAsia" w:ascii="宋体" w:hAnsi="宋体" w:eastAsia="宋体" w:cs="宋体"/>
          <w:color w:val="auto"/>
          <w:sz w:val="21"/>
          <w:highlight w:val="none"/>
        </w:rPr>
        <w:t>要求、未实质性响应</w:t>
      </w:r>
      <w:r>
        <w:rPr>
          <w:rFonts w:hint="eastAsia" w:ascii="宋体" w:hAnsi="宋体" w:eastAsia="宋体" w:cs="宋体"/>
          <w:color w:val="auto"/>
          <w:sz w:val="21"/>
          <w:highlight w:val="none"/>
          <w:lang w:eastAsia="zh-CN"/>
        </w:rPr>
        <w:t>磋商文件</w:t>
      </w:r>
      <w:r>
        <w:rPr>
          <w:rFonts w:hint="eastAsia" w:ascii="宋体" w:hAnsi="宋体" w:eastAsia="宋体" w:cs="宋体"/>
          <w:color w:val="auto"/>
          <w:sz w:val="21"/>
          <w:highlight w:val="none"/>
        </w:rPr>
        <w:t>要求或者</w:t>
      </w:r>
      <w:r>
        <w:rPr>
          <w:rFonts w:hint="eastAsia" w:ascii="宋体" w:hAnsi="宋体" w:eastAsia="宋体" w:cs="宋体"/>
          <w:color w:val="auto"/>
          <w:sz w:val="21"/>
          <w:highlight w:val="none"/>
          <w:lang w:eastAsia="zh-CN"/>
        </w:rPr>
        <w:t>响应文件</w:t>
      </w:r>
      <w:r>
        <w:rPr>
          <w:rFonts w:hint="eastAsia" w:ascii="宋体" w:hAnsi="宋体" w:eastAsia="宋体" w:cs="宋体"/>
          <w:color w:val="auto"/>
          <w:sz w:val="21"/>
          <w:highlight w:val="none"/>
        </w:rPr>
        <w:t>有采购</w:t>
      </w:r>
      <w:r>
        <w:rPr>
          <w:rFonts w:hint="eastAsia" w:ascii="宋体" w:hAnsi="宋体" w:eastAsia="宋体" w:cs="宋体"/>
          <w:color w:val="auto"/>
          <w:sz w:val="21"/>
          <w:highlight w:val="none"/>
          <w:lang w:val="en-US" w:eastAsia="zh-CN"/>
        </w:rPr>
        <w:t>人</w:t>
      </w:r>
      <w:r>
        <w:rPr>
          <w:rFonts w:hint="eastAsia" w:ascii="宋体" w:hAnsi="宋体" w:eastAsia="宋体" w:cs="宋体"/>
          <w:color w:val="auto"/>
          <w:sz w:val="21"/>
          <w:highlight w:val="none"/>
        </w:rPr>
        <w:t>不能接受的附加条件的</w:t>
      </w:r>
      <w:r>
        <w:rPr>
          <w:rFonts w:hint="eastAsia" w:ascii="宋体" w:hAnsi="宋体" w:eastAsia="宋体" w:cs="宋体"/>
          <w:color w:val="auto"/>
          <w:sz w:val="21"/>
          <w:highlight w:val="none"/>
          <w:lang w:eastAsia="zh-CN"/>
        </w:rPr>
        <w:t>；</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w:t>
      </w:r>
      <w:r>
        <w:rPr>
          <w:rFonts w:hint="eastAsia" w:ascii="宋体" w:hAnsi="宋体" w:cs="宋体"/>
          <w:color w:val="auto"/>
          <w:sz w:val="21"/>
          <w:highlight w:val="none"/>
          <w:lang w:val="en-US" w:eastAsia="zh-CN"/>
        </w:rPr>
        <w:t>8</w:t>
      </w:r>
      <w:r>
        <w:rPr>
          <w:rFonts w:hint="eastAsia" w:ascii="宋体" w:hAnsi="宋体" w:eastAsia="宋体" w:cs="宋体"/>
          <w:color w:val="auto"/>
          <w:sz w:val="21"/>
          <w:highlight w:val="none"/>
        </w:rPr>
        <w:t>）投标技术方案不明确，存在一个或一个以上备选（替代）投标方案的；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rPr>
        <w:t>（</w:t>
      </w:r>
      <w:r>
        <w:rPr>
          <w:rFonts w:hint="eastAsia" w:ascii="宋体" w:hAnsi="宋体" w:cs="宋体"/>
          <w:color w:val="auto"/>
          <w:sz w:val="21"/>
          <w:highlight w:val="none"/>
          <w:lang w:val="en-US" w:eastAsia="zh-CN"/>
        </w:rPr>
        <w:t>9</w:t>
      </w:r>
      <w:r>
        <w:rPr>
          <w:rFonts w:hint="eastAsia" w:ascii="宋体" w:hAnsi="宋体" w:eastAsia="宋体" w:cs="宋体"/>
          <w:color w:val="auto"/>
          <w:sz w:val="21"/>
          <w:highlight w:val="none"/>
        </w:rPr>
        <w:t>）法律、法规和</w:t>
      </w:r>
      <w:r>
        <w:rPr>
          <w:rFonts w:hint="eastAsia" w:ascii="宋体" w:hAnsi="宋体" w:eastAsia="宋体" w:cs="宋体"/>
          <w:color w:val="auto"/>
          <w:sz w:val="21"/>
          <w:highlight w:val="none"/>
          <w:lang w:eastAsia="zh-CN"/>
        </w:rPr>
        <w:t>磋商文件</w:t>
      </w:r>
      <w:r>
        <w:rPr>
          <w:rFonts w:hint="eastAsia" w:ascii="宋体" w:hAnsi="宋体" w:eastAsia="宋体" w:cs="宋体"/>
          <w:color w:val="auto"/>
          <w:sz w:val="21"/>
          <w:highlight w:val="none"/>
        </w:rPr>
        <w:t>规定的其他无效情形</w:t>
      </w:r>
      <w:r>
        <w:rPr>
          <w:rFonts w:hint="eastAsia" w:ascii="宋体" w:hAnsi="宋体" w:eastAsia="宋体" w:cs="宋体"/>
          <w:color w:val="auto"/>
          <w:sz w:val="21"/>
          <w:highlight w:val="none"/>
          <w:lang w:eastAsia="zh-CN"/>
        </w:rPr>
        <w:t>；</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w:t>
      </w:r>
      <w:r>
        <w:rPr>
          <w:rFonts w:hint="eastAsia" w:ascii="宋体" w:hAnsi="宋体" w:cs="宋体"/>
          <w:color w:val="auto"/>
          <w:sz w:val="21"/>
          <w:highlight w:val="none"/>
          <w:lang w:val="en-US" w:eastAsia="zh-CN"/>
        </w:rPr>
        <w:t>10</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响应文件的有效期不满足磋商文件要求。</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3.在</w:t>
      </w:r>
      <w:r>
        <w:rPr>
          <w:rFonts w:hint="eastAsia" w:ascii="宋体" w:hAnsi="宋体" w:eastAsia="宋体" w:cs="宋体"/>
          <w:b/>
          <w:color w:val="auto"/>
          <w:sz w:val="21"/>
          <w:highlight w:val="none"/>
          <w:lang w:eastAsia="zh-CN"/>
        </w:rPr>
        <w:t>符合性</w:t>
      </w:r>
      <w:r>
        <w:rPr>
          <w:rFonts w:hint="eastAsia" w:ascii="宋体" w:hAnsi="宋体" w:eastAsia="宋体" w:cs="宋体"/>
          <w:b/>
          <w:color w:val="auto"/>
          <w:sz w:val="21"/>
          <w:highlight w:val="none"/>
          <w:lang w:val="en-US" w:eastAsia="zh-CN"/>
        </w:rPr>
        <w:t>审查</w:t>
      </w:r>
      <w:r>
        <w:rPr>
          <w:rFonts w:hint="eastAsia" w:ascii="宋体" w:hAnsi="宋体" w:eastAsia="宋体" w:cs="宋体"/>
          <w:b/>
          <w:color w:val="auto"/>
          <w:sz w:val="21"/>
          <w:highlight w:val="none"/>
          <w:lang w:eastAsia="zh-CN"/>
        </w:rPr>
        <w:t>（报价文件）</w:t>
      </w:r>
      <w:r>
        <w:rPr>
          <w:rFonts w:hint="eastAsia" w:ascii="宋体" w:hAnsi="宋体" w:eastAsia="宋体" w:cs="宋体"/>
          <w:b/>
          <w:color w:val="auto"/>
          <w:sz w:val="21"/>
          <w:highlight w:val="none"/>
        </w:rPr>
        <w:t>时，如发现下列情形之一的，响应文件将被视为无效：</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1</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未按照磋商文件规定要求签署或盖章；</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2</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响应文件项目不齐全；</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3</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未采用人民币报价或者未按照磋商文件标明的币种报价的；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4</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报价超出最高限价，或者超出采购预算金额，采购人不能支付的；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5</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投标报价具有选择性的；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6</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投标报价中出现重大缺项、漏项；</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7</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磋商小组认为供应商的报价明显低于其他通过符合性审查供应商的报价，有可能影响产品质量或者不能诚信履约的，且不能在评标现场合理时间内提供相关证明材料说明其报价的合理性的；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8</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响应文件（报价文件）内容与响应文件（商务技术文件）内容有重大差异的；</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9</w:t>
      </w:r>
      <w:r>
        <w:rPr>
          <w:rFonts w:hint="eastAsia" w:ascii="宋体" w:hAnsi="宋体" w:eastAsia="宋体" w:cs="宋体"/>
          <w:color w:val="auto"/>
          <w:sz w:val="21"/>
          <w:highlight w:val="none"/>
        </w:rPr>
        <w:t>）</w:t>
      </w:r>
      <w:r>
        <w:rPr>
          <w:rFonts w:hint="eastAsia" w:ascii="宋体" w:hAnsi="宋体" w:eastAsia="宋体" w:cs="宋体"/>
          <w:color w:val="auto"/>
          <w:sz w:val="21"/>
          <w:highlight w:val="none"/>
          <w:lang w:val="en-US" w:eastAsia="zh-CN"/>
        </w:rPr>
        <w:t>法律、法规和磋商文件规定的其他无效情形；</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四、磋商程序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211" w:firstLineChars="100"/>
        <w:outlineLvl w:val="9"/>
        <w:rPr>
          <w:rFonts w:hint="eastAsia" w:ascii="宋体" w:hAnsi="宋体" w:eastAsia="宋体" w:cs="宋体"/>
          <w:b/>
          <w:color w:val="auto"/>
          <w:highlight w:val="none"/>
        </w:rPr>
      </w:pPr>
      <w:r>
        <w:rPr>
          <w:rFonts w:hint="eastAsia" w:ascii="宋体" w:hAnsi="宋体" w:cs="宋体"/>
          <w:b/>
          <w:color w:val="auto"/>
          <w:highlight w:val="none"/>
          <w:lang w:eastAsia="zh-CN"/>
        </w:rPr>
        <w:t>（一）</w:t>
      </w:r>
      <w:r>
        <w:rPr>
          <w:rFonts w:hint="eastAsia" w:ascii="宋体" w:hAnsi="宋体" w:eastAsia="宋体" w:cs="宋体"/>
          <w:b/>
          <w:color w:val="auto"/>
          <w:highlight w:val="none"/>
        </w:rPr>
        <w:t>磋商程序：</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bCs/>
          <w:color w:val="auto"/>
          <w:kern w:val="2"/>
          <w:sz w:val="21"/>
          <w:szCs w:val="21"/>
          <w:highlight w:val="none"/>
          <w:lang w:eastAsia="zh-CN" w:bidi="ar"/>
        </w:rPr>
      </w:pPr>
      <w:r>
        <w:rPr>
          <w:rFonts w:hint="eastAsia" w:ascii="宋体" w:hAnsi="宋体" w:eastAsia="宋体" w:cs="宋体"/>
          <w:bCs/>
          <w:color w:val="auto"/>
          <w:kern w:val="2"/>
          <w:sz w:val="21"/>
          <w:szCs w:val="21"/>
          <w:highlight w:val="none"/>
          <w:lang w:val="en-US" w:eastAsia="zh-CN" w:bidi="ar"/>
        </w:rPr>
        <w:t>1、</w:t>
      </w:r>
      <w:r>
        <w:rPr>
          <w:rFonts w:hint="eastAsia" w:ascii="宋体" w:hAnsi="宋体" w:eastAsia="宋体" w:cs="宋体"/>
          <w:bCs/>
          <w:color w:val="auto"/>
          <w:kern w:val="2"/>
          <w:sz w:val="21"/>
          <w:szCs w:val="21"/>
          <w:highlight w:val="none"/>
          <w:lang w:bidi="ar"/>
        </w:rPr>
        <w:t>电子招投标开标</w:t>
      </w:r>
      <w:r>
        <w:rPr>
          <w:rFonts w:hint="eastAsia" w:ascii="宋体" w:hAnsi="宋体" w:eastAsia="宋体" w:cs="宋体"/>
          <w:bCs/>
          <w:color w:val="auto"/>
          <w:kern w:val="2"/>
          <w:sz w:val="21"/>
          <w:szCs w:val="21"/>
          <w:highlight w:val="none"/>
          <w:lang w:val="en-US" w:eastAsia="zh-CN" w:bidi="ar"/>
        </w:rPr>
        <w:t>程序</w:t>
      </w:r>
      <w:r>
        <w:rPr>
          <w:rFonts w:hint="eastAsia" w:ascii="宋体" w:hAnsi="宋体" w:eastAsia="宋体" w:cs="宋体"/>
          <w:bCs/>
          <w:color w:val="auto"/>
          <w:kern w:val="2"/>
          <w:sz w:val="21"/>
          <w:szCs w:val="21"/>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第一阶段</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首次递交响应文件截止时间后，供应商登录政府采购云平台，用“项目采购</w:t>
      </w:r>
      <w:r>
        <w:rPr>
          <w:rFonts w:hint="eastAsia"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开标评标”功能对电子</w:t>
      </w:r>
      <w:r>
        <w:rPr>
          <w:rFonts w:hint="eastAsia" w:ascii="宋体" w:hAnsi="宋体" w:eastAsia="宋体" w:cs="宋体"/>
          <w:color w:val="auto"/>
          <w:kern w:val="2"/>
          <w:sz w:val="21"/>
          <w:szCs w:val="21"/>
          <w:highlight w:val="none"/>
          <w:lang w:val="en-US" w:eastAsia="zh-CN"/>
        </w:rPr>
        <w:t>响应</w:t>
      </w:r>
      <w:r>
        <w:rPr>
          <w:rFonts w:hint="eastAsia" w:ascii="宋体" w:hAnsi="宋体" w:eastAsia="宋体" w:cs="宋体"/>
          <w:color w:val="auto"/>
          <w:kern w:val="2"/>
          <w:sz w:val="21"/>
          <w:szCs w:val="21"/>
          <w:highlight w:val="none"/>
        </w:rPr>
        <w:t>文件进行在线解密，在线解密电子</w:t>
      </w:r>
      <w:r>
        <w:rPr>
          <w:rFonts w:hint="eastAsia" w:ascii="宋体" w:hAnsi="宋体" w:eastAsia="宋体" w:cs="宋体"/>
          <w:color w:val="auto"/>
          <w:kern w:val="2"/>
          <w:sz w:val="21"/>
          <w:szCs w:val="21"/>
          <w:highlight w:val="none"/>
          <w:lang w:val="en-US" w:eastAsia="zh-CN"/>
        </w:rPr>
        <w:t>响应</w:t>
      </w:r>
      <w:r>
        <w:rPr>
          <w:rFonts w:hint="eastAsia" w:ascii="宋体" w:hAnsi="宋体" w:eastAsia="宋体" w:cs="宋体"/>
          <w:color w:val="auto"/>
          <w:kern w:val="2"/>
          <w:sz w:val="21"/>
          <w:szCs w:val="21"/>
          <w:highlight w:val="none"/>
        </w:rPr>
        <w:t>文件时间为开标时间</w:t>
      </w:r>
      <w:r>
        <w:rPr>
          <w:rFonts w:hint="eastAsia" w:ascii="宋体" w:hAnsi="宋体" w:eastAsia="宋体" w:cs="宋体"/>
          <w:color w:val="auto"/>
          <w:kern w:val="2"/>
          <w:sz w:val="21"/>
          <w:szCs w:val="21"/>
          <w:highlight w:val="none"/>
          <w:lang w:val="en-US" w:eastAsia="zh-CN"/>
        </w:rPr>
        <w:t>后30分钟</w:t>
      </w:r>
      <w:r>
        <w:rPr>
          <w:rFonts w:hint="eastAsia" w:ascii="宋体" w:hAnsi="宋体" w:eastAsia="宋体" w:cs="宋体"/>
          <w:color w:val="auto"/>
          <w:kern w:val="2"/>
          <w:sz w:val="21"/>
          <w:szCs w:val="21"/>
          <w:highlight w:val="none"/>
        </w:rPr>
        <w:t>内。</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第二阶段</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bCs/>
          <w:color w:val="auto"/>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rPr>
        <w:t>1）</w:t>
      </w:r>
      <w:r>
        <w:rPr>
          <w:rFonts w:hint="eastAsia" w:hAnsi="宋体" w:eastAsia="宋体" w:cs="宋体"/>
          <w:color w:val="auto"/>
          <w:kern w:val="2"/>
          <w:sz w:val="21"/>
          <w:szCs w:val="21"/>
          <w:highlight w:val="none"/>
          <w:lang w:val="en-US" w:eastAsia="zh-CN"/>
        </w:rPr>
        <w:t>采购人或采购代理机构</w:t>
      </w:r>
      <w:r>
        <w:rPr>
          <w:rFonts w:hint="eastAsia" w:ascii="宋体" w:hAnsi="宋体" w:eastAsia="宋体" w:cs="宋体"/>
          <w:color w:val="auto"/>
          <w:kern w:val="2"/>
          <w:sz w:val="21"/>
          <w:szCs w:val="21"/>
          <w:highlight w:val="none"/>
          <w:lang w:val="en-US" w:eastAsia="zh-CN"/>
        </w:rPr>
        <w:t>查阅响应文件，</w:t>
      </w:r>
      <w:r>
        <w:rPr>
          <w:rFonts w:hint="eastAsia" w:hAnsi="宋体" w:eastAsia="宋体" w:cs="宋体"/>
          <w:color w:val="auto"/>
          <w:kern w:val="2"/>
          <w:sz w:val="21"/>
          <w:szCs w:val="21"/>
          <w:highlight w:val="none"/>
          <w:lang w:val="en-US" w:eastAsia="zh-CN"/>
        </w:rPr>
        <w:t>不符合资格审查的供应商将被拒绝</w:t>
      </w:r>
      <w:r>
        <w:rPr>
          <w:rFonts w:hint="eastAsia" w:ascii="宋体" w:hAnsi="宋体" w:eastAsia="宋体" w:cs="宋体"/>
          <w:color w:val="auto"/>
          <w:kern w:val="2"/>
          <w:sz w:val="21"/>
          <w:szCs w:val="21"/>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如磋商小组对响应文件有疑义，将向供应商在线发送询标函，供应商应在规定的时间内对在线询标函做出询标澄清。逾期澄清或未澄清的供应商视同认可磋商结果。</w:t>
      </w:r>
    </w:p>
    <w:p>
      <w:pPr>
        <w:keepNext w:val="0"/>
        <w:keepLines w:val="0"/>
        <w:pageBreakBefore w:val="0"/>
        <w:widowControl w:val="0"/>
        <w:numPr>
          <w:ilvl w:val="0"/>
          <w:numId w:val="3"/>
        </w:numPr>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在磋商过程中，磋商小组可以根据磋商文件和磋商情况实质性变动采购需求中的技术、服务要求（即本磋商文件第四章 项目需求）以及合同草案条款（即本磋商文件第三章 合同条款及格式）；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字或加盖公章。递交的响应文件（或补充文件）具有相应的法律效力；磋商结束后，磋商小组要求所有实质性响应的供应商在规定时间内在线提交最</w:t>
      </w:r>
      <w:r>
        <w:rPr>
          <w:rFonts w:hint="eastAsia" w:hAnsi="宋体" w:eastAsia="宋体" w:cs="宋体"/>
          <w:b w:val="0"/>
          <w:bCs w:val="0"/>
          <w:color w:val="auto"/>
          <w:kern w:val="2"/>
          <w:sz w:val="21"/>
          <w:szCs w:val="21"/>
          <w:highlight w:val="none"/>
          <w:lang w:val="en-US" w:eastAsia="zh-CN"/>
        </w:rPr>
        <w:t>后</w:t>
      </w:r>
      <w:r>
        <w:rPr>
          <w:rFonts w:hint="eastAsia" w:ascii="宋体" w:hAnsi="宋体" w:eastAsia="宋体" w:cs="宋体"/>
          <w:b w:val="0"/>
          <w:bCs w:val="0"/>
          <w:color w:val="auto"/>
          <w:kern w:val="2"/>
          <w:sz w:val="21"/>
          <w:szCs w:val="21"/>
          <w:highlight w:val="none"/>
          <w:lang w:val="en-US" w:eastAsia="zh-CN"/>
        </w:rPr>
        <w:t>报价。最</w:t>
      </w:r>
      <w:r>
        <w:rPr>
          <w:rFonts w:hint="eastAsia" w:hAnsi="宋体" w:eastAsia="宋体" w:cs="宋体"/>
          <w:b w:val="0"/>
          <w:bCs w:val="0"/>
          <w:color w:val="auto"/>
          <w:kern w:val="2"/>
          <w:sz w:val="21"/>
          <w:szCs w:val="21"/>
          <w:highlight w:val="none"/>
          <w:lang w:val="en-US" w:eastAsia="zh-CN"/>
        </w:rPr>
        <w:t>后</w:t>
      </w:r>
      <w:r>
        <w:rPr>
          <w:rFonts w:hint="eastAsia" w:ascii="宋体" w:hAnsi="宋体" w:eastAsia="宋体" w:cs="宋体"/>
          <w:b w:val="0"/>
          <w:bCs w:val="0"/>
          <w:color w:val="auto"/>
          <w:kern w:val="2"/>
          <w:sz w:val="21"/>
          <w:szCs w:val="21"/>
          <w:highlight w:val="none"/>
          <w:lang w:val="en-US" w:eastAsia="zh-CN"/>
        </w:rPr>
        <w:t>报价是供应商响应文件的有效组成部分。</w:t>
      </w:r>
    </w:p>
    <w:p>
      <w:pPr>
        <w:keepNext w:val="0"/>
        <w:keepLines w:val="0"/>
        <w:pageBreakBefore w:val="0"/>
        <w:widowControl w:val="0"/>
        <w:numPr>
          <w:ilvl w:val="0"/>
          <w:numId w:val="3"/>
        </w:numPr>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经磋商确定最终采购需求和提交最</w:t>
      </w:r>
      <w:r>
        <w:rPr>
          <w:rFonts w:hint="eastAsia" w:hAnsi="宋体" w:eastAsia="宋体" w:cs="宋体"/>
          <w:color w:val="auto"/>
          <w:kern w:val="2"/>
          <w:sz w:val="21"/>
          <w:szCs w:val="21"/>
          <w:highlight w:val="none"/>
          <w:lang w:val="en-US" w:eastAsia="zh-CN"/>
        </w:rPr>
        <w:t>后</w:t>
      </w:r>
      <w:r>
        <w:rPr>
          <w:rFonts w:hint="eastAsia" w:ascii="宋体" w:hAnsi="宋体" w:eastAsia="宋体" w:cs="宋体"/>
          <w:color w:val="auto"/>
          <w:kern w:val="2"/>
          <w:sz w:val="21"/>
          <w:szCs w:val="21"/>
          <w:highlight w:val="none"/>
          <w:lang w:val="en-US" w:eastAsia="zh-CN"/>
        </w:rPr>
        <w:t>报价的供应商后，由磋商小组采用综合评分法对提交最</w:t>
      </w:r>
      <w:r>
        <w:rPr>
          <w:rFonts w:hint="eastAsia" w:hAnsi="宋体" w:eastAsia="宋体" w:cs="宋体"/>
          <w:color w:val="auto"/>
          <w:kern w:val="2"/>
          <w:sz w:val="21"/>
          <w:szCs w:val="21"/>
          <w:highlight w:val="none"/>
          <w:lang w:val="en-US" w:eastAsia="zh-CN"/>
        </w:rPr>
        <w:t>后</w:t>
      </w:r>
      <w:r>
        <w:rPr>
          <w:rFonts w:hint="eastAsia" w:ascii="宋体" w:hAnsi="宋体" w:eastAsia="宋体" w:cs="宋体"/>
          <w:color w:val="auto"/>
          <w:kern w:val="2"/>
          <w:sz w:val="21"/>
          <w:szCs w:val="21"/>
          <w:highlight w:val="none"/>
          <w:lang w:val="en-US" w:eastAsia="zh-CN"/>
        </w:rPr>
        <w:t>报价的供应商的响应文件和最</w:t>
      </w:r>
      <w:r>
        <w:rPr>
          <w:rFonts w:hint="eastAsia" w:hAnsi="宋体" w:eastAsia="宋体" w:cs="宋体"/>
          <w:color w:val="auto"/>
          <w:kern w:val="2"/>
          <w:sz w:val="21"/>
          <w:szCs w:val="21"/>
          <w:highlight w:val="none"/>
          <w:lang w:val="en-US" w:eastAsia="zh-CN"/>
        </w:rPr>
        <w:t>后</w:t>
      </w:r>
      <w:r>
        <w:rPr>
          <w:rFonts w:hint="eastAsia" w:ascii="宋体" w:hAnsi="宋体" w:eastAsia="宋体" w:cs="宋体"/>
          <w:color w:val="auto"/>
          <w:kern w:val="2"/>
          <w:sz w:val="21"/>
          <w:szCs w:val="21"/>
          <w:highlight w:val="none"/>
          <w:lang w:val="en-US" w:eastAsia="zh-CN"/>
        </w:rPr>
        <w:t>报价进行综合评分（评分标准详见第五章 评审标准）；</w:t>
      </w:r>
    </w:p>
    <w:p>
      <w:pPr>
        <w:keepNext w:val="0"/>
        <w:keepLines w:val="0"/>
        <w:pageBreakBefore w:val="0"/>
        <w:widowControl w:val="0"/>
        <w:numPr>
          <w:ilvl w:val="0"/>
          <w:numId w:val="3"/>
        </w:numPr>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磋商小组根据综合评分情况，按照评审得分由高到低顺序推荐3名以上成交候选供应商，并编写评审报告。若评审得分相同，则最后报价低者为成交候选人；评审得分且最</w:t>
      </w:r>
      <w:r>
        <w:rPr>
          <w:rFonts w:hint="eastAsia" w:hAnsi="宋体" w:eastAsia="宋体" w:cs="宋体"/>
          <w:color w:val="auto"/>
          <w:kern w:val="2"/>
          <w:sz w:val="21"/>
          <w:szCs w:val="21"/>
          <w:highlight w:val="none"/>
          <w:lang w:val="en-US" w:eastAsia="zh-CN"/>
        </w:rPr>
        <w:t>后</w:t>
      </w:r>
      <w:r>
        <w:rPr>
          <w:rFonts w:hint="eastAsia" w:ascii="宋体" w:hAnsi="宋体" w:eastAsia="宋体" w:cs="宋体"/>
          <w:color w:val="auto"/>
          <w:kern w:val="2"/>
          <w:sz w:val="21"/>
          <w:szCs w:val="21"/>
          <w:highlight w:val="none"/>
          <w:lang w:val="en-US" w:eastAsia="zh-CN"/>
        </w:rPr>
        <w:t>报价相同的则由抽签决定成交候选人。</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kern w:val="2"/>
          <w:sz w:val="21"/>
          <w:szCs w:val="21"/>
          <w:highlight w:val="none"/>
        </w:rPr>
        <w:t>公布</w:t>
      </w:r>
      <w:r>
        <w:rPr>
          <w:rFonts w:hint="eastAsia" w:ascii="宋体" w:hAnsi="宋体" w:eastAsia="宋体" w:cs="宋体"/>
          <w:color w:val="auto"/>
          <w:kern w:val="2"/>
          <w:sz w:val="21"/>
          <w:szCs w:val="21"/>
          <w:highlight w:val="none"/>
          <w:lang w:val="en-US" w:eastAsia="zh-CN"/>
        </w:rPr>
        <w:t>评审结果</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磋商会议结束。</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（8）采购人从评审报告提出的成交候选供应商中，按照得分排序由高到低的原则确定</w:t>
      </w:r>
      <w:r>
        <w:rPr>
          <w:rFonts w:hint="eastAsia" w:hAnsi="宋体" w:eastAsia="宋体" w:cs="宋体"/>
          <w:b w:val="0"/>
          <w:bCs w:val="0"/>
          <w:color w:val="auto"/>
          <w:kern w:val="2"/>
          <w:sz w:val="21"/>
          <w:szCs w:val="21"/>
          <w:highlight w:val="none"/>
          <w:lang w:val="en-US" w:eastAsia="zh-CN"/>
        </w:rPr>
        <w:t>1名成交人</w:t>
      </w:r>
      <w:r>
        <w:rPr>
          <w:rFonts w:hint="eastAsia" w:ascii="宋体" w:hAnsi="宋体" w:eastAsia="宋体" w:cs="宋体"/>
          <w:b w:val="0"/>
          <w:bCs w:val="0"/>
          <w:color w:val="auto"/>
          <w:kern w:val="2"/>
          <w:sz w:val="21"/>
          <w:szCs w:val="21"/>
          <w:highlight w:val="none"/>
          <w:lang w:val="en-US" w:eastAsia="zh-CN"/>
        </w:rPr>
        <w:t>。采购代理机构在</w:t>
      </w:r>
      <w:r>
        <w:rPr>
          <w:rFonts w:hint="eastAsia" w:hAnsi="宋体" w:eastAsia="宋体" w:cs="宋体"/>
          <w:b w:val="0"/>
          <w:bCs w:val="0"/>
          <w:color w:val="auto"/>
          <w:kern w:val="2"/>
          <w:sz w:val="21"/>
          <w:szCs w:val="21"/>
          <w:highlight w:val="none"/>
          <w:lang w:val="en-US" w:eastAsia="zh-CN"/>
        </w:rPr>
        <w:t>采购公告发布的网站</w:t>
      </w:r>
      <w:r>
        <w:rPr>
          <w:rFonts w:hint="eastAsia" w:ascii="宋体" w:hAnsi="宋体" w:eastAsia="宋体" w:cs="宋体"/>
          <w:b w:val="0"/>
          <w:bCs w:val="0"/>
          <w:color w:val="auto"/>
          <w:kern w:val="2"/>
          <w:sz w:val="21"/>
          <w:szCs w:val="21"/>
          <w:highlight w:val="none"/>
          <w:lang w:val="en-US" w:eastAsia="zh-CN"/>
        </w:rPr>
        <w:t>上公布成交结果。</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、特别说明：</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kern w:val="2"/>
          <w:sz w:val="21"/>
          <w:szCs w:val="21"/>
          <w:highlight w:val="none"/>
        </w:rPr>
        <w:t>如对电子化开标及评审程序有调整的，按调整后的程序操作。</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本项目原则上采用政采云</w:t>
      </w:r>
      <w:r>
        <w:rPr>
          <w:rFonts w:hint="eastAsia" w:ascii="宋体" w:hAnsi="宋体" w:eastAsia="宋体" w:cs="宋体"/>
          <w:bCs/>
          <w:color w:val="auto"/>
          <w:kern w:val="2"/>
          <w:sz w:val="21"/>
          <w:szCs w:val="21"/>
          <w:highlight w:val="none"/>
          <w:lang w:bidi="ar"/>
        </w:rPr>
        <w:t>电子招投标开标</w:t>
      </w:r>
      <w:r>
        <w:rPr>
          <w:rFonts w:hint="eastAsia" w:ascii="宋体" w:hAnsi="宋体" w:eastAsia="宋体" w:cs="宋体"/>
          <w:bCs/>
          <w:color w:val="auto"/>
          <w:kern w:val="2"/>
          <w:sz w:val="21"/>
          <w:szCs w:val="21"/>
          <w:highlight w:val="none"/>
          <w:lang w:val="en-US" w:eastAsia="zh-CN" w:bidi="ar"/>
        </w:rPr>
        <w:t>程序</w:t>
      </w:r>
      <w:r>
        <w:rPr>
          <w:rFonts w:hint="eastAsia" w:ascii="宋体" w:hAnsi="宋体" w:eastAsia="宋体" w:cs="宋体"/>
          <w:color w:val="auto"/>
          <w:kern w:val="2"/>
          <w:sz w:val="21"/>
          <w:szCs w:val="21"/>
          <w:highlight w:val="none"/>
        </w:rPr>
        <w:t>，但有</w:t>
      </w:r>
      <w:r>
        <w:rPr>
          <w:rFonts w:hint="eastAsia" w:hAnsi="宋体" w:eastAsia="宋体" w:cs="宋体"/>
          <w:color w:val="auto"/>
          <w:kern w:val="2"/>
          <w:sz w:val="21"/>
          <w:szCs w:val="21"/>
          <w:highlight w:val="none"/>
          <w:lang w:val="en-US" w:eastAsia="zh-CN"/>
        </w:rPr>
        <w:t>以</w:t>
      </w:r>
      <w:r>
        <w:rPr>
          <w:rFonts w:hint="eastAsia" w:ascii="宋体" w:hAnsi="宋体" w:eastAsia="宋体" w:cs="宋体"/>
          <w:color w:val="auto"/>
          <w:kern w:val="2"/>
          <w:sz w:val="21"/>
          <w:szCs w:val="21"/>
          <w:highlight w:val="none"/>
        </w:rPr>
        <w:t>下情形之一的，按以下情况处理：</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（1）若供应商在规定时间内无法解密或解密失败，代理机构将开启</w:t>
      </w:r>
      <w:r>
        <w:rPr>
          <w:rFonts w:hint="eastAsia" w:ascii="宋体" w:hAnsi="宋体" w:eastAsia="宋体" w:cs="宋体"/>
          <w:color w:val="auto"/>
          <w:kern w:val="2"/>
          <w:sz w:val="21"/>
          <w:szCs w:val="21"/>
          <w:highlight w:val="none"/>
          <w:lang w:val="en-US" w:eastAsia="zh-CN"/>
        </w:rPr>
        <w:t>解密失败</w:t>
      </w:r>
      <w:r>
        <w:rPr>
          <w:rFonts w:hint="eastAsia" w:ascii="宋体" w:hAnsi="宋体" w:eastAsia="宋体" w:cs="宋体"/>
          <w:color w:val="auto"/>
          <w:kern w:val="2"/>
          <w:sz w:val="21"/>
          <w:szCs w:val="21"/>
          <w:highlight w:val="none"/>
        </w:rPr>
        <w:t>供应商递交的</w:t>
      </w:r>
      <w:r>
        <w:rPr>
          <w:rFonts w:hint="eastAsia" w:ascii="宋体" w:hAnsi="宋体" w:eastAsia="宋体" w:cs="宋体"/>
          <w:color w:val="auto"/>
          <w:kern w:val="0"/>
          <w:sz w:val="21"/>
          <w:szCs w:val="21"/>
          <w:highlight w:val="none"/>
        </w:rPr>
        <w:t>以U盘存储的电子备份</w:t>
      </w:r>
      <w:r>
        <w:rPr>
          <w:rFonts w:hint="eastAsia" w:ascii="宋体" w:hAnsi="宋体" w:eastAsia="宋体" w:cs="宋体"/>
          <w:color w:val="auto"/>
          <w:kern w:val="0"/>
          <w:sz w:val="21"/>
          <w:szCs w:val="21"/>
          <w:highlight w:val="none"/>
          <w:lang w:val="en-US" w:eastAsia="zh-CN"/>
        </w:rPr>
        <w:t>响应</w:t>
      </w:r>
      <w:r>
        <w:rPr>
          <w:rFonts w:hint="eastAsia" w:ascii="宋体" w:hAnsi="宋体" w:eastAsia="宋体" w:cs="宋体"/>
          <w:color w:val="auto"/>
          <w:kern w:val="0"/>
          <w:sz w:val="21"/>
          <w:szCs w:val="21"/>
          <w:highlight w:val="none"/>
        </w:rPr>
        <w:t>文件</w:t>
      </w:r>
      <w:r>
        <w:rPr>
          <w:rFonts w:hint="eastAsia" w:ascii="宋体" w:hAnsi="宋体" w:eastAsia="宋体" w:cs="宋体"/>
          <w:color w:val="auto"/>
          <w:kern w:val="2"/>
          <w:sz w:val="21"/>
          <w:szCs w:val="21"/>
          <w:highlight w:val="none"/>
        </w:rPr>
        <w:t>，上传至政采云平台项目采购模块，电子</w:t>
      </w:r>
      <w:r>
        <w:rPr>
          <w:rFonts w:hint="eastAsia" w:ascii="宋体" w:hAnsi="宋体" w:eastAsia="宋体" w:cs="宋体"/>
          <w:color w:val="auto"/>
          <w:kern w:val="2"/>
          <w:sz w:val="21"/>
          <w:szCs w:val="21"/>
          <w:highlight w:val="none"/>
          <w:lang w:val="en-US" w:eastAsia="zh-CN"/>
        </w:rPr>
        <w:t>响应</w:t>
      </w:r>
      <w:r>
        <w:rPr>
          <w:rFonts w:hint="eastAsia" w:ascii="宋体" w:hAnsi="宋体" w:eastAsia="宋体" w:cs="宋体"/>
          <w:color w:val="auto"/>
          <w:kern w:val="2"/>
          <w:sz w:val="21"/>
          <w:szCs w:val="21"/>
          <w:highlight w:val="none"/>
        </w:rPr>
        <w:t>文件自动失效。</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（2）若因</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kern w:val="2"/>
          <w:sz w:val="21"/>
          <w:szCs w:val="21"/>
          <w:highlight w:val="none"/>
        </w:rPr>
        <w:t>原因无法读取或电子开评标无法正常进行，代理机构将开启所有供应商递交的</w:t>
      </w:r>
      <w:r>
        <w:rPr>
          <w:rFonts w:hint="eastAsia" w:hAnsi="宋体" w:eastAsia="宋体" w:cs="宋体"/>
          <w:color w:val="auto"/>
          <w:kern w:val="2"/>
          <w:sz w:val="21"/>
          <w:szCs w:val="21"/>
          <w:highlight w:val="none"/>
          <w:lang w:val="en-US" w:eastAsia="zh-CN"/>
        </w:rPr>
        <w:t>U盘</w:t>
      </w:r>
      <w:r>
        <w:rPr>
          <w:rFonts w:hint="eastAsia" w:ascii="宋体" w:hAnsi="宋体" w:eastAsia="宋体" w:cs="宋体"/>
          <w:color w:val="auto"/>
          <w:kern w:val="2"/>
          <w:sz w:val="21"/>
          <w:szCs w:val="21"/>
          <w:highlight w:val="none"/>
        </w:rPr>
        <w:t>备份</w:t>
      </w:r>
      <w:r>
        <w:rPr>
          <w:rFonts w:hint="eastAsia" w:hAnsi="宋体" w:eastAsia="宋体" w:cs="宋体"/>
          <w:color w:val="auto"/>
          <w:kern w:val="2"/>
          <w:sz w:val="21"/>
          <w:szCs w:val="21"/>
          <w:highlight w:val="none"/>
          <w:lang w:eastAsia="zh-CN"/>
        </w:rPr>
        <w:t>响应文件</w:t>
      </w:r>
      <w:r>
        <w:rPr>
          <w:rFonts w:hint="eastAsia" w:ascii="宋体" w:hAnsi="宋体" w:eastAsia="宋体" w:cs="宋体"/>
          <w:color w:val="auto"/>
          <w:kern w:val="2"/>
          <w:sz w:val="21"/>
          <w:szCs w:val="21"/>
          <w:highlight w:val="none"/>
        </w:rPr>
        <w:t>，电子</w:t>
      </w:r>
      <w:r>
        <w:rPr>
          <w:rFonts w:hint="eastAsia" w:ascii="宋体" w:hAnsi="宋体" w:eastAsia="宋体" w:cs="宋体"/>
          <w:color w:val="auto"/>
          <w:kern w:val="2"/>
          <w:sz w:val="21"/>
          <w:szCs w:val="21"/>
          <w:highlight w:val="none"/>
          <w:lang w:val="en-US" w:eastAsia="zh-CN"/>
        </w:rPr>
        <w:t>响应</w:t>
      </w:r>
      <w:r>
        <w:rPr>
          <w:rFonts w:hint="eastAsia" w:ascii="宋体" w:hAnsi="宋体" w:eastAsia="宋体" w:cs="宋体"/>
          <w:color w:val="auto"/>
          <w:kern w:val="2"/>
          <w:sz w:val="21"/>
          <w:szCs w:val="21"/>
          <w:highlight w:val="none"/>
        </w:rPr>
        <w:t>文件自动失效。</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（3）采购过程中出现以下情形，导致电子交易平台无法正常运行，或者无法保证电子交易的公平、公正和安全时，采购人（或代理机构）可中止电子交易活动：</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 xml:space="preserve">电子交易平台发生故障而无法登录访问的； </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 xml:space="preserve">病毒发作导致不能进行正常操作的； </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jc w:val="left"/>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出现前款规定情形，不影响采购公平、公正性的，采购人（或代理机构）可以待上述情形消除后继续组织电子交易活动，也可以决定某些环节以</w:t>
      </w:r>
      <w:r>
        <w:rPr>
          <w:rFonts w:hint="eastAsia" w:hAnsi="宋体" w:eastAsia="宋体" w:cs="宋体"/>
          <w:color w:val="auto"/>
          <w:kern w:val="2"/>
          <w:sz w:val="21"/>
          <w:szCs w:val="21"/>
          <w:highlight w:val="none"/>
          <w:lang w:val="en-US" w:eastAsia="zh-CN"/>
        </w:rPr>
        <w:t>U盘</w:t>
      </w:r>
      <w:r>
        <w:rPr>
          <w:rFonts w:hint="eastAsia" w:ascii="宋体" w:hAnsi="宋体" w:eastAsia="宋体" w:cs="宋体"/>
          <w:color w:val="auto"/>
          <w:kern w:val="2"/>
          <w:sz w:val="21"/>
          <w:szCs w:val="21"/>
          <w:highlight w:val="none"/>
        </w:rPr>
        <w:t>形式进行。</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五、评审</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（一）组建磋商小组</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磋商小组根据国家相关规定和有关的法规组成。</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（二）评审的方式</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本项目采用不公开方式评审，评审的依据为磋商文件和响应文件。</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（三）</w:t>
      </w:r>
      <w:r>
        <w:rPr>
          <w:rFonts w:hint="eastAsia" w:ascii="宋体" w:hAnsi="宋体" w:eastAsia="宋体" w:cs="宋体"/>
          <w:b/>
          <w:bCs/>
          <w:color w:val="auto"/>
          <w:highlight w:val="none"/>
        </w:rPr>
        <w:t>评审程序</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（1）采购人代表或代理机构工作人员对供应商的资格进行审查。</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（2）磋商小组审查通过资格审查的供应商提供的响应文件的实质性内容是否符合磋商文件的实质性要求。磋商小组将根据供应商的响应文件进行审查、核对</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如有疑问</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将对供应商进行询问</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供应商要向磋商小组澄清有关问题</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并最终以书面形式进行答复。</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供应商代表未到场或者拒绝澄清或者澄清的内容改变了响应文件的实质性内容的，磋商小组有权对该响应文件作出不利于供应商的评判。</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（3）各供应商的技术商务得分为所有磋商小组成员的有效评分的算术平均数，由指定专人进行计算复核。</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（4）代理机构工作人员协助磋商小组根据本项目的评分标准计算各供应商的报价得分。</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（5）磋商小组完成评审后</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评审成员对各部分得分汇总，计算出本项目最终得分，对明显畸高、畸低的评分（其总评分偏离平均分30%以上的），磋商小组组长提醒相关评审人员进行复核或书面说明理由。磋商小组按评审原则推荐成交候选人同时起草评审报告。</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（四）澄清问题的形式</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对响应文件中含义不明确、同类问题表述不一致或者有明显文字和计算错误的内容，磋商小组可要求供应商作出必要的澄清、说明或者更正。供应商的澄清、说明或者更正应当由法定代表人或授权代表签字或盖章确认，并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（五）错误修正</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磋商文件如果出现计算或表达上的错误，修正错误的原则如下：</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1、磋商文件中</w:t>
      </w:r>
      <w:r>
        <w:rPr>
          <w:rFonts w:hint="eastAsia" w:ascii="宋体" w:hAnsi="宋体" w:eastAsia="宋体" w:cs="宋体"/>
          <w:color w:val="auto"/>
          <w:sz w:val="21"/>
          <w:highlight w:val="none"/>
          <w:lang w:eastAsia="zh-CN"/>
        </w:rPr>
        <w:t>报价一览表</w:t>
      </w:r>
      <w:r>
        <w:rPr>
          <w:rFonts w:hint="eastAsia" w:ascii="宋体" w:hAnsi="宋体" w:eastAsia="宋体" w:cs="宋体"/>
          <w:color w:val="auto"/>
          <w:sz w:val="21"/>
          <w:highlight w:val="none"/>
        </w:rPr>
        <w:t>（报价表）内容与磋商文件中相应内容不一致的，以</w:t>
      </w:r>
      <w:r>
        <w:rPr>
          <w:rFonts w:hint="eastAsia" w:ascii="宋体" w:hAnsi="宋体" w:eastAsia="宋体" w:cs="宋体"/>
          <w:color w:val="auto"/>
          <w:sz w:val="21"/>
          <w:highlight w:val="none"/>
          <w:lang w:eastAsia="zh-CN"/>
        </w:rPr>
        <w:t>报价一览表</w:t>
      </w:r>
      <w:r>
        <w:rPr>
          <w:rFonts w:hint="eastAsia" w:ascii="宋体" w:hAnsi="宋体" w:eastAsia="宋体" w:cs="宋体"/>
          <w:color w:val="auto"/>
          <w:sz w:val="21"/>
          <w:highlight w:val="none"/>
        </w:rPr>
        <w:t>（报价表）为准；</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3、单价金额小数点或者百分比有明显错位的，以</w:t>
      </w:r>
      <w:r>
        <w:rPr>
          <w:rFonts w:hint="eastAsia" w:ascii="宋体" w:hAnsi="宋体" w:eastAsia="宋体" w:cs="宋体"/>
          <w:color w:val="auto"/>
          <w:sz w:val="21"/>
          <w:highlight w:val="none"/>
          <w:lang w:eastAsia="zh-CN"/>
        </w:rPr>
        <w:t>报价一览表</w:t>
      </w:r>
      <w:r>
        <w:rPr>
          <w:rFonts w:hint="eastAsia" w:ascii="宋体" w:hAnsi="宋体" w:eastAsia="宋体" w:cs="宋体"/>
          <w:color w:val="auto"/>
          <w:sz w:val="21"/>
          <w:highlight w:val="none"/>
        </w:rPr>
        <w:t>的总价为准，并修改单价；</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4、总价金额与按单价汇总金额不一致的，以单价金额计算结果为准。</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同时出现两种以上不一致的，按照前款规定的顺序修正。修正后的报价按照磋商文件的规定经供应商确认后产生约束力，供应商不确认的，其投标无效。</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电子交易平台客户端里开标一览表录入的投标报价</w:t>
      </w:r>
      <w:r>
        <w:rPr>
          <w:rFonts w:hint="eastAsia" w:ascii="宋体" w:hAnsi="宋体" w:eastAsia="宋体" w:cs="宋体"/>
          <w:b/>
          <w:color w:val="auto"/>
          <w:highlight w:val="none"/>
          <w:lang w:val="en-US" w:eastAsia="zh-CN"/>
        </w:rPr>
        <w:t>或</w:t>
      </w:r>
      <w:r>
        <w:rPr>
          <w:rFonts w:hint="eastAsia" w:ascii="宋体" w:hAnsi="宋体" w:eastAsia="宋体" w:cs="宋体"/>
          <w:b/>
          <w:color w:val="auto"/>
          <w:highlight w:val="none"/>
        </w:rPr>
        <w:t>优惠率与扫描上传的报价文件不一致的，以扫描上传的报价文件为准。</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（六）评审原则和评审办法</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2.评审办法。本项目评审办法是</w:t>
      </w:r>
      <w:r>
        <w:rPr>
          <w:rFonts w:hint="eastAsia" w:ascii="宋体" w:hAnsi="宋体" w:eastAsia="宋体" w:cs="宋体"/>
          <w:b/>
          <w:color w:val="auto"/>
          <w:highlight w:val="none"/>
          <w:u w:val="single"/>
        </w:rPr>
        <w:t xml:space="preserve"> 综合评分法</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，具体评审内容及评分标准等详见《第五章：评审标准》。</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（七）评审专家有下列情形之一的，受到邀请应主动提出回避，采购当事人也可以要求该评审专家回避：</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1、本人、配偶或直系亲属3年内曾在参加该采购项目的供应商中任职（包括一般工作）或担任顾问，或与参加该采购项目的供应商发生过法律纠纷；</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2、任职单位与采购人或参加该采购项目供应商存在行政隶属关系；</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3、曾经参加过该采购项目的进口产品或磋商文件、采购需求、采购方式的论证和咨询服务工作；</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4、是参加该采购项目供应商的上级主管部门、控股或参股单位的工作人员，或与该供应商存在其他经济利益关系；</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5、评审委员会成员之间具有配偶、近亲属关系；</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hAnsi="宋体" w:eastAsia="宋体" w:cs="宋体"/>
          <w:color w:val="auto"/>
          <w:sz w:val="21"/>
          <w:highlight w:val="none"/>
          <w:lang w:val="en-US" w:eastAsia="zh-CN"/>
        </w:rPr>
        <w:t>6</w:t>
      </w:r>
      <w:r>
        <w:rPr>
          <w:rFonts w:hint="eastAsia" w:ascii="宋体" w:hAnsi="宋体" w:eastAsia="宋体" w:cs="宋体"/>
          <w:color w:val="auto"/>
          <w:sz w:val="21"/>
          <w:highlight w:val="none"/>
        </w:rPr>
        <w:t>、法律、法规、规章规定应当回避以及其他可能影响公正评审的。</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（八）磋商小组判断响应文件的有效性、合格性和响应情况，仅依据供应商所提交一切文件的真实表述，不受与本项目无直接关联的外部信息、传言而影响自身的专业判断。</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（九）磋商小组成员依法独立评审，并对评审意见承担个人责任。磋商小组成员对需要共同认定的事项存在争议的，按照少数服从多数的原则做出结论。持不同意见的</w:t>
      </w:r>
      <w:r>
        <w:rPr>
          <w:rFonts w:hint="eastAsia" w:ascii="宋体" w:hAnsi="宋体" w:cs="宋体"/>
          <w:b/>
          <w:color w:val="auto"/>
          <w:highlight w:val="none"/>
          <w:lang w:eastAsia="zh-CN"/>
        </w:rPr>
        <w:t>磋商小组</w:t>
      </w:r>
      <w:r>
        <w:rPr>
          <w:rFonts w:hint="eastAsia" w:ascii="宋体" w:hAnsi="宋体" w:eastAsia="宋体" w:cs="宋体"/>
          <w:b/>
          <w:color w:val="auto"/>
          <w:highlight w:val="none"/>
        </w:rPr>
        <w:t>应当在评审报告上签署不同意见并说明理由，否则视为同意。</w:t>
      </w:r>
    </w:p>
    <w:p>
      <w:pPr>
        <w:pStyle w:val="10"/>
        <w:keepNext w:val="0"/>
        <w:keepLines w:val="0"/>
        <w:pageBreakBefore w:val="0"/>
        <w:widowControl w:val="0"/>
        <w:tabs>
          <w:tab w:val="left" w:pos="630"/>
        </w:tabs>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（十）评标过程的监控</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1.本项目评标过程实行全程录音、录像监控，供应商在评标过程中所进行的试图影响评标结果的不公正活动，可能导致其投标被拒绝。</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2.成交通知书发出之前，所有涉及磋商小组名单以及对响应文件的澄清、评价、比较等情况，磋商小组成员、采购人和采购代理机构的有关人员均不得向供应商或其他无关人员透露。</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bCs/>
          <w:color w:val="auto"/>
          <w:highlight w:val="none"/>
        </w:rPr>
      </w:pPr>
      <w:r>
        <w:rPr>
          <w:rFonts w:hint="eastAsia" w:ascii="宋体" w:hAnsi="宋体" w:eastAsia="宋体" w:cs="宋体"/>
          <w:b/>
          <w:color w:val="auto"/>
          <w:highlight w:val="none"/>
        </w:rPr>
        <w:t>六、确定</w:t>
      </w:r>
      <w:r>
        <w:rPr>
          <w:rFonts w:hint="eastAsia" w:ascii="宋体" w:hAnsi="宋体" w:cs="宋体"/>
          <w:b/>
          <w:color w:val="auto"/>
          <w:highlight w:val="none"/>
          <w:lang w:eastAsia="zh-CN"/>
        </w:rPr>
        <w:t>成交人</w:t>
      </w:r>
      <w:r>
        <w:rPr>
          <w:rFonts w:hint="eastAsia" w:ascii="宋体" w:hAnsi="宋体" w:eastAsia="宋体" w:cs="宋体"/>
          <w:b/>
          <w:color w:val="auto"/>
          <w:highlight w:val="none"/>
        </w:rPr>
        <w:t>：</w:t>
      </w:r>
      <w:r>
        <w:rPr>
          <w:rFonts w:hint="eastAsia" w:ascii="宋体" w:hAnsi="宋体" w:eastAsia="宋体" w:cs="宋体"/>
          <w:b/>
          <w:bCs/>
          <w:color w:val="auto"/>
          <w:highlight w:val="none"/>
        </w:rPr>
        <w:t>本项目由采购人确定</w:t>
      </w:r>
      <w:r>
        <w:rPr>
          <w:rFonts w:hint="eastAsia" w:ascii="宋体" w:hAnsi="宋体" w:cs="宋体"/>
          <w:b/>
          <w:bCs/>
          <w:color w:val="auto"/>
          <w:highlight w:val="none"/>
          <w:lang w:eastAsia="zh-CN"/>
        </w:rPr>
        <w:t>成交人</w:t>
      </w:r>
      <w:r>
        <w:rPr>
          <w:rFonts w:hint="eastAsia" w:ascii="宋体" w:hAnsi="宋体" w:eastAsia="宋体" w:cs="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1.采购代理机构应当在评审结束后2个工作日内将评审报告送采购人确认。</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2.采购人应当在收到评审报告后5个工作日内，从评审报告提出的成交候选供应商中，按照排序由高到低的原则确定</w:t>
      </w:r>
      <w:r>
        <w:rPr>
          <w:rFonts w:hint="eastAsia" w:hAnsi="宋体" w:eastAsia="宋体" w:cs="宋体"/>
          <w:color w:val="auto"/>
          <w:sz w:val="21"/>
          <w:highlight w:val="none"/>
          <w:lang w:val="en-US" w:eastAsia="zh-CN"/>
        </w:rPr>
        <w:t>1名</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，也可以书面授权磋商小组直接确定</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。采购人逾期未确定</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且不提出异议的，视为确定评审报告提出的排序</w:t>
      </w:r>
      <w:r>
        <w:rPr>
          <w:rFonts w:hint="eastAsia" w:hAnsi="宋体" w:eastAsia="宋体" w:cs="宋体"/>
          <w:color w:val="auto"/>
          <w:sz w:val="21"/>
          <w:highlight w:val="none"/>
          <w:lang w:val="en-US" w:eastAsia="zh-CN"/>
        </w:rPr>
        <w:t>第一</w:t>
      </w:r>
      <w:r>
        <w:rPr>
          <w:rFonts w:hint="eastAsia" w:ascii="宋体" w:hAnsi="宋体" w:eastAsia="宋体" w:cs="宋体"/>
          <w:color w:val="auto"/>
          <w:sz w:val="21"/>
          <w:highlight w:val="none"/>
        </w:rPr>
        <w:t>的供应商为</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3.采购人或者采购代理机构应当在</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确定后2个工作日内，在省级以上财政部门指定的政府采购信息发布媒体上公告成交结果，同时向</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发出成交通知书。</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4.若</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放弃成交，或因不可抗力提出不能履行合同，或不按磋商文件规定提交履约保证金</w:t>
      </w:r>
      <w:r>
        <w:rPr>
          <w:rFonts w:hint="eastAsia" w:hAnsi="宋体" w:eastAsia="宋体" w:cs="宋体"/>
          <w:color w:val="auto"/>
          <w:sz w:val="21"/>
          <w:highlight w:val="none"/>
          <w:lang w:eastAsia="zh-CN"/>
        </w:rPr>
        <w:t>（</w:t>
      </w:r>
      <w:r>
        <w:rPr>
          <w:rFonts w:hint="eastAsia" w:hAnsi="宋体" w:eastAsia="宋体" w:cs="宋体"/>
          <w:color w:val="auto"/>
          <w:sz w:val="21"/>
          <w:highlight w:val="none"/>
          <w:lang w:val="en-US" w:eastAsia="zh-CN"/>
        </w:rPr>
        <w:t>如有</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，或其它原因被依法撤销成交资格，则采购人重新组织招标。</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r>
        <w:rPr>
          <w:rFonts w:hint="eastAsia" w:ascii="宋体" w:hAnsi="宋体" w:eastAsia="宋体" w:cs="宋体"/>
          <w:b/>
          <w:color w:val="auto"/>
          <w:highlight w:val="none"/>
        </w:rPr>
        <w:t>七、合同授予</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1.采购人与</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应当在《成交通知书》发出之日起</w:t>
      </w:r>
      <w:r>
        <w:rPr>
          <w:rFonts w:hint="eastAsia" w:ascii="宋体" w:hAnsi="宋体" w:eastAsia="宋体" w:cs="宋体"/>
          <w:b/>
          <w:color w:val="auto"/>
          <w:sz w:val="21"/>
          <w:highlight w:val="none"/>
          <w:u w:val="single"/>
        </w:rPr>
        <w:t>30</w:t>
      </w:r>
      <w:r>
        <w:rPr>
          <w:rFonts w:hint="eastAsia" w:ascii="宋体" w:hAnsi="宋体" w:eastAsia="宋体" w:cs="宋体"/>
          <w:color w:val="auto"/>
          <w:sz w:val="21"/>
          <w:highlight w:val="none"/>
        </w:rPr>
        <w:t>日内签订合同。同时，采购代理机构对合同内容进行审查，如发现与采购结果和响应承诺内容不一致的，应予以纠正。</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拖延、拒签合同的</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将</w:t>
      </w:r>
      <w:r>
        <w:rPr>
          <w:rFonts w:hint="eastAsia" w:ascii="宋体" w:hAnsi="宋体" w:eastAsia="宋体" w:cs="宋体"/>
          <w:color w:val="auto"/>
          <w:sz w:val="21"/>
          <w:highlight w:val="none"/>
          <w:lang w:eastAsia="zh-CN"/>
        </w:rPr>
        <w:t>被</w:t>
      </w:r>
      <w:r>
        <w:rPr>
          <w:rFonts w:hint="eastAsia" w:ascii="宋体" w:hAnsi="宋体" w:eastAsia="宋体" w:cs="宋体"/>
          <w:color w:val="auto"/>
          <w:sz w:val="21"/>
          <w:highlight w:val="none"/>
        </w:rPr>
        <w:t>取消成交资格。</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3.</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拒绝与采购人签订合同的，采购人可以按照评审报告推荐的成交候选供应商名单排序，确定下一候选人为</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或重新组织招标。拒绝签订政府采购合同的</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不得参加该项目重新开展的采购活动。</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color w:val="auto"/>
          <w:highlight w:val="none"/>
        </w:rPr>
      </w:pPr>
      <w:r>
        <w:rPr>
          <w:rFonts w:hint="eastAsia" w:ascii="宋体" w:hAnsi="宋体" w:eastAsia="宋体" w:cs="宋体"/>
          <w:color w:val="auto"/>
          <w:sz w:val="21"/>
          <w:highlight w:val="none"/>
          <w:lang w:val="en-US" w:eastAsia="zh-CN"/>
        </w:rPr>
        <w:t>4.成交人</w:t>
      </w:r>
      <w:r>
        <w:rPr>
          <w:rFonts w:hint="eastAsia" w:ascii="宋体" w:hAnsi="宋体" w:eastAsia="宋体" w:cs="宋体"/>
          <w:color w:val="auto"/>
          <w:sz w:val="21"/>
          <w:highlight w:val="none"/>
        </w:rPr>
        <w:t>如不遵守</w:t>
      </w:r>
      <w:r>
        <w:rPr>
          <w:rFonts w:hint="eastAsia" w:ascii="宋体" w:hAnsi="宋体" w:eastAsia="宋体" w:cs="宋体"/>
          <w:color w:val="auto"/>
          <w:sz w:val="21"/>
          <w:highlight w:val="none"/>
          <w:lang w:val="en-US" w:eastAsia="zh-CN"/>
        </w:rPr>
        <w:t>磋商文件</w:t>
      </w:r>
      <w:r>
        <w:rPr>
          <w:rFonts w:hint="eastAsia" w:ascii="宋体" w:hAnsi="宋体" w:eastAsia="宋体" w:cs="宋体"/>
          <w:color w:val="auto"/>
          <w:sz w:val="21"/>
          <w:highlight w:val="none"/>
        </w:rPr>
        <w:t>或</w:t>
      </w:r>
      <w:r>
        <w:rPr>
          <w:rFonts w:hint="eastAsia" w:ascii="宋体" w:hAnsi="宋体" w:eastAsia="宋体" w:cs="宋体"/>
          <w:color w:val="auto"/>
          <w:sz w:val="21"/>
          <w:highlight w:val="none"/>
          <w:lang w:eastAsia="zh-CN"/>
        </w:rPr>
        <w:t>响应文件</w:t>
      </w:r>
      <w:r>
        <w:rPr>
          <w:rFonts w:hint="eastAsia" w:ascii="宋体" w:hAnsi="宋体" w:eastAsia="宋体" w:cs="宋体"/>
          <w:color w:val="auto"/>
          <w:sz w:val="21"/>
          <w:highlight w:val="none"/>
        </w:rPr>
        <w:t>各项条款的邀约与要约，或在接到</w:t>
      </w:r>
      <w:r>
        <w:rPr>
          <w:rFonts w:hint="eastAsia" w:ascii="宋体" w:hAnsi="宋体" w:eastAsia="宋体" w:cs="宋体"/>
          <w:color w:val="auto"/>
          <w:sz w:val="21"/>
          <w:highlight w:val="none"/>
          <w:lang w:val="en-US" w:eastAsia="zh-CN"/>
        </w:rPr>
        <w:t>成交</w:t>
      </w:r>
      <w:r>
        <w:rPr>
          <w:rFonts w:hint="eastAsia" w:ascii="宋体" w:hAnsi="宋体" w:eastAsia="宋体" w:cs="宋体"/>
          <w:color w:val="auto"/>
          <w:sz w:val="21"/>
          <w:highlight w:val="none"/>
        </w:rPr>
        <w:t>通知书后借故拖延，拒签合同的，采购人将按《浙江省政府采购供应商注册及诚信管理暂行办法》的规定上报诚信状况。给采购人造成的损失的还应当予以赔偿。</w:t>
      </w:r>
    </w:p>
    <w:p>
      <w:pPr>
        <w:pStyle w:val="10"/>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outlineLvl w:val="9"/>
        <w:rPr>
          <w:rFonts w:hint="eastAsia" w:ascii="宋体" w:hAnsi="宋体" w:eastAsia="宋体" w:cs="宋体"/>
          <w:b/>
          <w:color w:val="auto"/>
          <w:highlight w:val="none"/>
        </w:rPr>
      </w:pPr>
      <w:bookmarkStart w:id="75" w:name="_Toc8588"/>
      <w:r>
        <w:rPr>
          <w:rFonts w:hint="eastAsia" w:ascii="宋体" w:hAnsi="宋体" w:eastAsia="宋体" w:cs="宋体"/>
          <w:b/>
          <w:color w:val="auto"/>
          <w:highlight w:val="none"/>
        </w:rPr>
        <w:t>八、履约验收</w:t>
      </w:r>
      <w:bookmarkEnd w:id="75"/>
    </w:p>
    <w:p>
      <w:pPr>
        <w:keepNext w:val="0"/>
        <w:keepLines w:val="0"/>
        <w:pageBreakBefore w:val="0"/>
        <w:widowControl w:val="0"/>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采购人负责对</w:t>
      </w:r>
      <w:r>
        <w:rPr>
          <w:rFonts w:hint="eastAsia" w:hAnsi="宋体" w:eastAsia="宋体" w:cs="宋体"/>
          <w:color w:val="auto"/>
          <w:sz w:val="21"/>
          <w:highlight w:val="none"/>
          <w:lang w:eastAsia="zh-CN"/>
        </w:rPr>
        <w:t>成交人</w:t>
      </w:r>
      <w:r>
        <w:rPr>
          <w:rFonts w:hint="eastAsia" w:ascii="宋体" w:hAnsi="宋体" w:eastAsia="宋体" w:cs="宋体"/>
          <w:color w:val="auto"/>
          <w:sz w:val="21"/>
          <w:highlight w:val="none"/>
        </w:rPr>
        <w:t>的履约行为进行验收。政府向社会公众提供的公共服务项目，验收时应当邀请服务对象参与并出具意见，验收结果应当向社会公告。</w:t>
      </w:r>
    </w:p>
    <w:p>
      <w:pPr>
        <w:pStyle w:val="10"/>
        <w:snapToGrid w:val="0"/>
        <w:spacing w:before="120" w:after="120" w:line="360" w:lineRule="auto"/>
        <w:ind w:firstLine="211" w:firstLineChars="100"/>
        <w:outlineLvl w:val="1"/>
        <w:rPr>
          <w:rFonts w:hAnsi="宋体" w:cs="宋体"/>
          <w:b/>
          <w:color w:val="auto"/>
          <w:sz w:val="21"/>
          <w:szCs w:val="21"/>
        </w:rPr>
      </w:pPr>
      <w:bookmarkStart w:id="76" w:name="_Toc2054"/>
      <w:bookmarkStart w:id="77" w:name="_Toc22301"/>
      <w:r>
        <w:rPr>
          <w:rFonts w:hint="eastAsia" w:hAnsi="宋体" w:cs="宋体"/>
          <w:b/>
          <w:color w:val="auto"/>
          <w:sz w:val="21"/>
          <w:szCs w:val="21"/>
        </w:rPr>
        <w:t>九、特别说明</w:t>
      </w:r>
      <w:bookmarkEnd w:id="76"/>
    </w:p>
    <w:p>
      <w:pPr>
        <w:pStyle w:val="10"/>
        <w:snapToGrid w:val="0"/>
        <w:spacing w:beforeLines="0" w:afterLines="0"/>
        <w:ind w:firstLine="420" w:firstLineChars="200"/>
        <w:jc w:val="left"/>
        <w:outlineLvl w:val="0"/>
        <w:rPr>
          <w:sz w:val="21"/>
          <w:szCs w:val="21"/>
        </w:rPr>
      </w:pPr>
      <w:r>
        <w:rPr>
          <w:rFonts w:hint="eastAsia"/>
          <w:sz w:val="21"/>
          <w:szCs w:val="21"/>
        </w:rPr>
        <w:t>1、参加政府采购活动的中小企业（含中型、小型、微型企业，其他地方同）应当同时符合以下条件：</w:t>
      </w:r>
    </w:p>
    <w:p>
      <w:pPr>
        <w:pStyle w:val="10"/>
        <w:snapToGrid w:val="0"/>
        <w:spacing w:beforeLines="0" w:afterLines="0"/>
        <w:ind w:firstLine="420" w:firstLineChars="200"/>
        <w:jc w:val="left"/>
        <w:outlineLvl w:val="0"/>
        <w:rPr>
          <w:sz w:val="21"/>
          <w:szCs w:val="21"/>
        </w:rPr>
      </w:pPr>
      <w:r>
        <w:rPr>
          <w:rFonts w:hint="eastAsia"/>
          <w:sz w:val="21"/>
          <w:szCs w:val="21"/>
        </w:rPr>
        <w:t>2、符合中小企业划分标准（具体见工信部联企业[2011]300号）；</w:t>
      </w:r>
    </w:p>
    <w:p>
      <w:pPr>
        <w:pStyle w:val="10"/>
        <w:snapToGrid w:val="0"/>
        <w:spacing w:beforeLines="0" w:afterLines="0"/>
        <w:ind w:firstLine="420" w:firstLineChars="200"/>
        <w:jc w:val="left"/>
        <w:outlineLvl w:val="0"/>
        <w:rPr>
          <w:sz w:val="21"/>
          <w:szCs w:val="21"/>
          <w:highlight w:val="none"/>
        </w:rPr>
      </w:pPr>
      <w:r>
        <w:rPr>
          <w:rFonts w:hint="eastAsia"/>
          <w:sz w:val="21"/>
          <w:szCs w:val="21"/>
          <w:highlight w:val="none"/>
        </w:rPr>
        <w:t>3、提供本企业制造的货物、承担的工程或者服务，或者提供其他中小企业制造的货物。本项所称货物不包括使用大型企业注册商标的货物。</w:t>
      </w:r>
    </w:p>
    <w:p>
      <w:pPr>
        <w:pStyle w:val="10"/>
        <w:snapToGrid w:val="0"/>
        <w:spacing w:beforeLines="0" w:afterLines="0"/>
        <w:ind w:firstLine="420" w:firstLineChars="200"/>
        <w:jc w:val="left"/>
        <w:outlineLvl w:val="0"/>
        <w:rPr>
          <w:sz w:val="21"/>
          <w:szCs w:val="21"/>
          <w:highlight w:val="none"/>
        </w:rPr>
      </w:pPr>
      <w:r>
        <w:rPr>
          <w:rFonts w:hint="eastAsia"/>
          <w:sz w:val="21"/>
          <w:szCs w:val="21"/>
          <w:highlight w:val="none"/>
        </w:rPr>
        <w:t>4、小型、微型企业提供中型企业制造的货物的，视同为中型企业。</w:t>
      </w:r>
    </w:p>
    <w:p>
      <w:pPr>
        <w:pStyle w:val="10"/>
        <w:snapToGrid w:val="0"/>
        <w:spacing w:beforeLines="0" w:afterLines="0"/>
        <w:ind w:firstLine="420" w:firstLineChars="200"/>
        <w:jc w:val="left"/>
        <w:outlineLvl w:val="0"/>
        <w:rPr>
          <w:sz w:val="21"/>
          <w:szCs w:val="21"/>
        </w:rPr>
      </w:pPr>
      <w:r>
        <w:rPr>
          <w:rFonts w:hint="eastAsia"/>
          <w:sz w:val="21"/>
          <w:szCs w:val="21"/>
          <w:lang w:val="en-US" w:eastAsia="zh-CN"/>
        </w:rPr>
        <w:t>5</w:t>
      </w:r>
      <w:r>
        <w:rPr>
          <w:rFonts w:hint="eastAsia"/>
          <w:sz w:val="21"/>
          <w:szCs w:val="21"/>
        </w:rPr>
        <w:t>、对于非专门面向中小企业的项目，对小型和微型企业产品的价格应给予</w:t>
      </w:r>
      <w:r>
        <w:rPr>
          <w:rFonts w:hint="eastAsia"/>
          <w:sz w:val="21"/>
          <w:szCs w:val="21"/>
          <w:lang w:val="en-US" w:eastAsia="zh-CN"/>
        </w:rPr>
        <w:t>2</w:t>
      </w:r>
      <w:r>
        <w:rPr>
          <w:rFonts w:hint="eastAsia"/>
          <w:sz w:val="21"/>
          <w:szCs w:val="21"/>
        </w:rPr>
        <w:t>0%的扣除，用扣除后的价格参与评审。具体扣除比例见第四部分评标办法及标准（如有）。</w:t>
      </w:r>
    </w:p>
    <w:p>
      <w:pPr>
        <w:pStyle w:val="10"/>
        <w:snapToGrid w:val="0"/>
        <w:spacing w:beforeLines="0" w:afterLines="0"/>
        <w:ind w:firstLine="420" w:firstLineChars="200"/>
        <w:outlineLvl w:val="0"/>
        <w:rPr>
          <w:sz w:val="21"/>
          <w:szCs w:val="21"/>
        </w:rPr>
      </w:pPr>
      <w:r>
        <w:rPr>
          <w:rFonts w:hint="eastAsia"/>
          <w:sz w:val="21"/>
          <w:szCs w:val="21"/>
          <w:lang w:val="en-US" w:eastAsia="zh-CN"/>
        </w:rPr>
        <w:t>6</w:t>
      </w:r>
      <w:r>
        <w:rPr>
          <w:rFonts w:hint="eastAsia"/>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w:t>
      </w:r>
      <w:r>
        <w:rPr>
          <w:rFonts w:hint="eastAsia"/>
          <w:sz w:val="21"/>
          <w:szCs w:val="21"/>
          <w:lang w:val="en-US" w:eastAsia="zh-CN"/>
        </w:rPr>
        <w:t>4</w:t>
      </w:r>
      <w:r>
        <w:rPr>
          <w:rFonts w:hint="eastAsia"/>
          <w:sz w:val="21"/>
          <w:szCs w:val="21"/>
        </w:rPr>
        <w:t>%-</w:t>
      </w:r>
      <w:r>
        <w:rPr>
          <w:rFonts w:hint="eastAsia"/>
          <w:sz w:val="21"/>
          <w:szCs w:val="21"/>
          <w:lang w:val="en-US" w:eastAsia="zh-CN"/>
        </w:rPr>
        <w:t>6</w:t>
      </w:r>
      <w:r>
        <w:rPr>
          <w:rFonts w:hint="eastAsia"/>
          <w:sz w:val="21"/>
          <w:szCs w:val="21"/>
        </w:rPr>
        <w:t>%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pStyle w:val="10"/>
        <w:snapToGrid w:val="0"/>
        <w:spacing w:beforeLines="0" w:afterLines="0"/>
        <w:ind w:firstLine="420" w:firstLineChars="200"/>
        <w:outlineLvl w:val="0"/>
        <w:rPr>
          <w:sz w:val="21"/>
          <w:szCs w:val="21"/>
        </w:rPr>
      </w:pPr>
      <w:r>
        <w:rPr>
          <w:rFonts w:hint="eastAsia"/>
          <w:sz w:val="21"/>
          <w:szCs w:val="21"/>
          <w:lang w:val="en-US" w:eastAsia="zh-CN"/>
        </w:rPr>
        <w:t>7</w:t>
      </w:r>
      <w:r>
        <w:rPr>
          <w:rFonts w:hint="eastAsia"/>
          <w:sz w:val="21"/>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pStyle w:val="10"/>
        <w:snapToGrid w:val="0"/>
        <w:spacing w:beforeLines="0" w:afterLines="0"/>
        <w:ind w:firstLine="420" w:firstLineChars="200"/>
        <w:outlineLvl w:val="0"/>
        <w:rPr>
          <w:sz w:val="21"/>
          <w:szCs w:val="21"/>
        </w:rPr>
      </w:pPr>
      <w:r>
        <w:rPr>
          <w:rFonts w:hint="eastAsia"/>
          <w:sz w:val="21"/>
          <w:szCs w:val="21"/>
          <w:lang w:val="en-US" w:eastAsia="zh-CN"/>
        </w:rPr>
        <w:t>8</w:t>
      </w:r>
      <w:r>
        <w:rPr>
          <w:rFonts w:hint="eastAsia"/>
          <w:sz w:val="21"/>
          <w:szCs w:val="21"/>
        </w:rPr>
        <w:t>、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10"/>
        <w:snapToGrid w:val="0"/>
        <w:spacing w:beforeLines="0" w:afterLines="0"/>
        <w:ind w:firstLine="420" w:firstLineChars="200"/>
        <w:outlineLvl w:val="0"/>
        <w:rPr>
          <w:sz w:val="21"/>
          <w:szCs w:val="21"/>
        </w:rPr>
      </w:pPr>
      <w:r>
        <w:rPr>
          <w:rFonts w:hint="eastAsia"/>
          <w:sz w:val="21"/>
          <w:szCs w:val="21"/>
          <w:lang w:val="en-US" w:eastAsia="zh-CN"/>
        </w:rPr>
        <w:t>9</w:t>
      </w:r>
      <w:r>
        <w:rPr>
          <w:rFonts w:hint="eastAsia"/>
          <w:sz w:val="21"/>
          <w:szCs w:val="21"/>
        </w:rPr>
        <w:t>、</w:t>
      </w:r>
      <w:r>
        <w:rPr>
          <w:rFonts w:hint="eastAsia"/>
          <w:sz w:val="21"/>
          <w:szCs w:val="21"/>
          <w:lang w:val="zh-CN"/>
        </w:rPr>
        <w:t>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snapToGrid w:val="0"/>
        <w:spacing w:line="360" w:lineRule="auto"/>
        <w:jc w:val="center"/>
        <w:rPr>
          <w:rFonts w:hint="eastAsia" w:ascii="宋体" w:hAnsi="宋体"/>
          <w:color w:val="auto"/>
          <w:sz w:val="30"/>
          <w:szCs w:val="30"/>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val="0"/>
          <w:bCs/>
          <w:color w:val="auto"/>
          <w:kern w:val="2"/>
          <w:sz w:val="21"/>
          <w:szCs w:val="21"/>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baseline"/>
        <w:outlineLvl w:val="0"/>
        <w:rPr>
          <w:rFonts w:hint="eastAsia" w:ascii="宋体" w:hAnsi="宋体" w:eastAsia="宋体" w:cs="宋体"/>
          <w:b/>
          <w:color w:val="auto"/>
          <w:kern w:val="2"/>
          <w:sz w:val="32"/>
          <w:szCs w:val="3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第三章 合同条款及格式</w:t>
      </w:r>
      <w:bookmarkEnd w:id="66"/>
      <w:bookmarkEnd w:id="67"/>
      <w:bookmarkEnd w:id="68"/>
      <w:bookmarkEnd w:id="69"/>
      <w:bookmarkEnd w:id="70"/>
      <w:bookmarkEnd w:id="77"/>
      <w:bookmarkStart w:id="78" w:name="_Toc120614244"/>
      <w:bookmarkStart w:id="79" w:name="_Toc20823346"/>
      <w:bookmarkStart w:id="80" w:name="_Toc16938590"/>
      <w:bookmarkStart w:id="81" w:name="_Toc462564139"/>
      <w:bookmarkStart w:id="82" w:name="_Toc479757211"/>
    </w:p>
    <w:p>
      <w:pPr>
        <w:pStyle w:val="25"/>
        <w:keepNext w:val="0"/>
        <w:keepLines w:val="0"/>
        <w:pageBreakBefore w:val="0"/>
        <w:widowControl w:val="0"/>
        <w:kinsoku/>
        <w:wordWrap/>
        <w:overflowPunct/>
        <w:topLinePunct w:val="0"/>
        <w:autoSpaceDE/>
        <w:autoSpaceDN/>
        <w:bidi w:val="0"/>
        <w:adjustRightInd w:val="0"/>
        <w:snapToGrid/>
        <w:ind w:left="0" w:leftChars="0" w:firstLine="0" w:firstLineChars="0"/>
        <w:jc w:val="center"/>
        <w:textAlignment w:val="baseline"/>
        <w:outlineLvl w:val="0"/>
        <w:rPr>
          <w:rFonts w:hint="eastAsia" w:ascii="宋体" w:hAnsi="宋体" w:eastAsia="宋体" w:cs="宋体"/>
          <w:b/>
          <w:bCs/>
          <w:color w:val="auto"/>
          <w:sz w:val="30"/>
          <w:szCs w:val="32"/>
          <w:highlight w:val="none"/>
        </w:rPr>
      </w:pPr>
      <w:r>
        <w:rPr>
          <w:rFonts w:hint="eastAsia" w:ascii="宋体" w:hAnsi="宋体" w:eastAsia="宋体" w:cs="宋体"/>
          <w:b/>
          <w:color w:val="auto"/>
          <w:sz w:val="30"/>
          <w:szCs w:val="32"/>
          <w:highlight w:val="none"/>
        </w:rPr>
        <w:t>采购合同（供参考）</w:t>
      </w:r>
    </w:p>
    <w:p>
      <w:pPr>
        <w:pStyle w:val="26"/>
        <w:pageBreakBefore w:val="0"/>
        <w:widowControl/>
        <w:kinsoku/>
        <w:wordWrap/>
        <w:overflowPunct/>
        <w:topLinePunct w:val="0"/>
        <w:autoSpaceDE/>
        <w:autoSpaceDN/>
        <w:bidi w:val="0"/>
        <w:spacing w:before="0" w:beforeLines="0" w:after="0" w:afterLines="0" w:line="360" w:lineRule="auto"/>
        <w:contextualSpacing/>
        <w:jc w:val="center"/>
        <w:outlineLvl w:val="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（本合同条款为参考格式，具体由甲乙双方协商签订，与前款冲突之处以前款约定为准）</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                                     项目编号：</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bookmarkStart w:id="83" w:name="_Toc19729"/>
      <w:r>
        <w:rPr>
          <w:rFonts w:hint="eastAsia" w:ascii="宋体" w:hAnsi="宋体" w:eastAsia="宋体" w:cs="宋体"/>
          <w:color w:val="auto"/>
          <w:sz w:val="21"/>
          <w:szCs w:val="21"/>
          <w:highlight w:val="none"/>
          <w:lang w:val="en-US" w:eastAsia="zh-CN" w:bidi="ar-SA"/>
        </w:rPr>
        <w:t xml:space="preserve"> 项目名称：</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甲方（需方）：                                     </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乙方（供方）：                                     </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供、需双方根据                             项目（招标编号:           ）招标结果和招标文件的要求，并经双方协调一致，订立本采购合同。</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一、合同文件：</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1.合同条款。</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2.中标通知书。</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3.招标文件。</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4.更正公告。</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5.中标单位投标文件。</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6.其他。</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二、合同金额</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合同金额为</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大写</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_________________元（¥            元）人民币。</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附《采购项目清单内容》   </w:t>
      </w:r>
    </w:p>
    <w:tbl>
      <w:tblPr>
        <w:tblStyle w:val="18"/>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836"/>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序号</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采购项目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中标内容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中标单价（元）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数量</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15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c>
          <w:tcPr>
            <w:tcW w:w="15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p>
        </w:tc>
      </w:tr>
    </w:tbl>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三、质量要求及乙方对质量负责条件和期限：</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1.乙方提供的货物必须是现货、全新，符合招标要求的规格型号和技术指标。乙方对货物提供   年的免费保修期（货物厂家另有超过此质保期的按原规定执行），保修期内非因甲方的人为原因而出现质量问题的，由乙方负责包修、包换或者包退，并承担调换或退货的实际费用。</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2.乙方在维保期内接到用户单位的电话后，在  小时内响应，  小时以内到现场，  小时以内解决问题，不能修复的，必须采取无偿提供备品、备件或备机等措施，以保证用户单位的正常使用。</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四、工期时间__________________________</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交货地点：                                                               </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五、货款支付</w:t>
      </w:r>
    </w:p>
    <w:p>
      <w:pPr>
        <w:snapToGrid w:val="0"/>
        <w:spacing w:line="360" w:lineRule="auto"/>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1.付款方式：</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六、履约保证金</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履约保证金：为保证采购项目合同的顺利执行，乙方在本合同签订之前，其中标价的___%作为履约保证金（         形式）交付采购人。待项目验收合格后   日，由采购人将履约保证金无息退还乙方。</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七、违约责任</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1.甲方无正当理由拒收货物的，甲方向乙方偿付拒收货款总值的百分之五违约金。</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2.乙方逾期交付货物的，乙方应按逾期交付货款总额每日万分之六向甲方支付违约金，由甲方从待付货款中扣除。逾期超过约定日期 10个工作日不能交货的，甲方可解除本合同，履约保证金不予退还，如造成甲方损失超过履约保证金的，超出部分由乙方继续承担赔偿责任。</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乙方所交的货物品种、型号、规格、技术参数或质量等其中一项或几项不符合合同规定及投标文件承诺标准，甲方有权拒收该货物，乙方愿意更换货物但逾期交货的按乙方逾期交货处理。乙方拒绝更换货物的，甲方可单方面解除合同并没收履约保证金。</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4.因甲方原因逾期支付合同款，自逾期之日起，向乙方每日偿付合同总价万分之二的滞纳金。</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5.如发现乙方违反招投标文件和合同的有关规定，甲方有权根据约定追究乙方违约责任，要求乙方按合同总价20%支付违约金，并有权解除合同，若损失大于违约金的，还需另行赔偿甲方损失。</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八、其它</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本项目在施工过程中，作业人员若发生安全事故或施工过程中导致物品损坏等事故的，由乙方承担全部责任，与甲方无关。</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九、争议的解决</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因本合同引起的或与本合同有关的任何争议，合同双方应首先通过协商解决，达成书面协议，如协商不成，可向甲方所在地有管辖权的人民法院提起诉讼。</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十、合同生效及其它</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1.中标方持中标通知书作为与甲方签订合同的凭证。</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2.本合同经需、供双方法定代表人或其授权委托人签名并加盖单位公章后生效。</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3.合同执行中涉及采购资金和采购内容修改或补充的，签书面补充协议报监督管理部门备案，方可作为主合同不可分割的一部分。</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    4.本合同未尽事宜，遵照《中华人民共和国民法典》有关条文执行。</w:t>
      </w:r>
    </w:p>
    <w:p>
      <w:pPr>
        <w:widowControl/>
        <w:spacing w:line="360" w:lineRule="auto"/>
        <w:ind w:firstLine="420" w:firstLineChars="200"/>
        <w:jc w:val="both"/>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 xml:space="preserve">    5.本合同正本一式四份，具有同等法律效力，甲乙双方各执两份；</w:t>
      </w:r>
    </w:p>
    <w:p>
      <w:pPr>
        <w:widowControl/>
        <w:spacing w:line="400" w:lineRule="exact"/>
        <w:ind w:firstLine="420" w:firstLineChars="20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甲方（加盖公章）：                       乙方（加盖公章）：</w:t>
      </w:r>
    </w:p>
    <w:p>
      <w:pPr>
        <w:widowControl/>
        <w:spacing w:line="400" w:lineRule="exact"/>
        <w:ind w:firstLine="420" w:firstLineChars="20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地址：                                   地址：</w:t>
      </w:r>
    </w:p>
    <w:p>
      <w:pPr>
        <w:pStyle w:val="10"/>
        <w:snapToGrid w:val="0"/>
        <w:spacing w:beforeLines="0" w:afterLines="0"/>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法定（授权）代表人：                     法定（授权）代表人：</w:t>
      </w:r>
    </w:p>
    <w:p>
      <w:pPr>
        <w:pStyle w:val="10"/>
        <w:snapToGrid w:val="0"/>
        <w:spacing w:beforeLines="0" w:afterLines="0"/>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联系方式：                               联系方式：</w:t>
      </w:r>
    </w:p>
    <w:p>
      <w:pPr>
        <w:widowControl/>
        <w:spacing w:line="400" w:lineRule="exact"/>
        <w:ind w:firstLine="420" w:firstLineChars="20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签字日期：       年    月    日          签字日期：       年    月    日</w:t>
      </w:r>
    </w:p>
    <w:p>
      <w:pPr>
        <w:widowControl/>
        <w:spacing w:line="400" w:lineRule="exact"/>
        <w:ind w:firstLine="560" w:firstLineChars="200"/>
        <w:jc w:val="left"/>
        <w:rPr>
          <w:rFonts w:ascii="宋体" w:hAnsi="宋体" w:eastAsia="宋体"/>
          <w:szCs w:val="21"/>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auto"/>
          <w:kern w:val="2"/>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auto"/>
          <w:kern w:val="2"/>
          <w:sz w:val="32"/>
          <w:szCs w:val="32"/>
          <w:highlight w:val="none"/>
        </w:rPr>
      </w:pPr>
      <w:r>
        <w:rPr>
          <w:rFonts w:hint="eastAsia" w:ascii="宋体" w:hAnsi="宋体" w:eastAsia="宋体" w:cs="宋体"/>
          <w:b/>
          <w:color w:val="auto"/>
          <w:kern w:val="2"/>
          <w:sz w:val="32"/>
          <w:szCs w:val="32"/>
          <w:highlight w:val="none"/>
        </w:rPr>
        <w:t>第四章 项目需求</w:t>
      </w:r>
      <w:bookmarkEnd w:id="78"/>
      <w:bookmarkEnd w:id="79"/>
      <w:bookmarkEnd w:id="80"/>
      <w:bookmarkEnd w:id="83"/>
      <w:bookmarkStart w:id="84" w:name="_Toc348790040"/>
      <w:bookmarkStart w:id="85" w:name="_Toc303512745"/>
      <w:bookmarkStart w:id="86" w:name="_Toc26554093"/>
      <w:bookmarkStart w:id="87" w:name="_Toc49090575"/>
    </w:p>
    <w:p>
      <w:pPr>
        <w:keepNext w:val="0"/>
        <w:keepLines w:val="0"/>
        <w:pageBreakBefore w:val="0"/>
        <w:widowControl w:val="0"/>
        <w:kinsoku/>
        <w:wordWrap/>
        <w:overflowPunct/>
        <w:topLinePunct w:val="0"/>
        <w:autoSpaceDE/>
        <w:autoSpaceDN/>
        <w:bidi w:val="0"/>
        <w:adjustRightInd/>
        <w:snapToGrid/>
        <w:jc w:val="center"/>
        <w:outlineLvl w:val="9"/>
        <w:rPr>
          <w:rFonts w:hint="eastAsia" w:ascii="宋体" w:hAnsi="宋体" w:eastAsia="宋体" w:cs="宋体"/>
          <w:b/>
          <w:bCs/>
          <w:color w:val="auto"/>
          <w:szCs w:val="28"/>
          <w:highlight w:val="none"/>
        </w:rPr>
      </w:pPr>
      <w:r>
        <w:rPr>
          <w:rFonts w:hint="eastAsia" w:ascii="宋体" w:hAnsi="宋体" w:eastAsia="宋体" w:cs="宋体"/>
          <w:b/>
          <w:bCs/>
          <w:color w:val="auto"/>
          <w:szCs w:val="28"/>
          <w:highlight w:val="none"/>
        </w:rPr>
        <w:t>前附表</w:t>
      </w:r>
    </w:p>
    <w:bookmarkEnd w:id="84"/>
    <w:bookmarkEnd w:id="85"/>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415"/>
        <w:gridCol w:w="5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b/>
                <w:color w:val="auto"/>
                <w:sz w:val="21"/>
                <w:highlight w:val="none"/>
              </w:rPr>
            </w:pPr>
            <w:bookmarkStart w:id="88" w:name="_Toc120614281"/>
            <w:r>
              <w:rPr>
                <w:rFonts w:hint="eastAsia" w:ascii="宋体" w:hAnsi="宋体" w:eastAsia="宋体" w:cs="宋体"/>
                <w:b/>
                <w:color w:val="auto"/>
                <w:sz w:val="21"/>
                <w:highlight w:val="none"/>
              </w:rPr>
              <w:t>序号</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项目</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采购内容</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详见第一章 采购邀请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2</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单位及数量</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leftChars="0"/>
              <w:textAlignment w:val="baseline"/>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详见第一章 采购邀请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3</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rPr>
              <w:t>交付或者实施的时间和地点</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leftChars="0"/>
              <w:textAlignment w:val="baseline"/>
              <w:outlineLvl w:val="9"/>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4</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需实现的功能或者目标</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5</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执行的国家相关标准、行业标准、地方标准或者其它标准、规范</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执行的国家相关标准、行业标准、地方标准或者其它标准、规范</w:t>
            </w:r>
            <w:r>
              <w:rPr>
                <w:rFonts w:hint="eastAsia" w:ascii="宋体" w:hAnsi="宋体" w:eastAsia="宋体" w:cs="宋体"/>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6</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技术规格要求</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7</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物理特性要求</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8</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质量、安全要求</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9</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服务标准、期限、效率</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10</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验收标准</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hAnsi="宋体" w:eastAsia="宋体" w:cs="宋体"/>
                <w:color w:val="auto"/>
                <w:sz w:val="21"/>
                <w:szCs w:val="21"/>
                <w:highlight w:val="none"/>
                <w:lang w:val="en-US" w:eastAsia="zh-CN"/>
              </w:rPr>
              <w:t>按照竞争性磋商文件和成交人提供的响应文件及成交人和采购人签订的政府采购合同为标准进行验收。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11</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现场踏勘</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jc w:val="center"/>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12</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演示时间及地点</w:t>
            </w:r>
          </w:p>
        </w:tc>
        <w:tc>
          <w:tcPr>
            <w:tcW w:w="5728" w:type="dxa"/>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auto"/>
              <w:ind w:left="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无。</w:t>
            </w:r>
          </w:p>
        </w:tc>
      </w:tr>
    </w:tbl>
    <w:p>
      <w:pPr>
        <w:pageBreakBefore w:val="0"/>
        <w:kinsoku/>
        <w:wordWrap/>
        <w:overflowPunct/>
        <w:topLinePunct w:val="0"/>
        <w:autoSpaceDE/>
        <w:autoSpaceDN/>
        <w:bidi w:val="0"/>
        <w:adjustRightInd/>
        <w:spacing w:line="240" w:lineRule="auto"/>
        <w:textAlignment w:val="auto"/>
        <w:outlineLvl w:val="9"/>
        <w:rPr>
          <w:rFonts w:hint="eastAsia" w:hAnsi="宋体" w:eastAsia="宋体" w:cs="宋体"/>
          <w:b/>
          <w:color w:val="auto"/>
          <w:kern w:val="2"/>
          <w:sz w:val="21"/>
          <w:highlight w:val="none"/>
          <w:lang w:val="en-US" w:eastAsia="zh-CN"/>
        </w:rPr>
        <w:sectPr>
          <w:pgSz w:w="11906" w:h="16838"/>
          <w:pgMar w:top="1474" w:right="1474" w:bottom="1247" w:left="1474" w:header="851" w:footer="850" w:gutter="0"/>
          <w:pgBorders>
            <w:top w:val="none" w:sz="0" w:space="0"/>
            <w:left w:val="none" w:sz="0" w:space="0"/>
            <w:bottom w:val="none" w:sz="0" w:space="0"/>
            <w:right w:val="none" w:sz="0" w:space="0"/>
          </w:pgBorders>
          <w:pgNumType w:fmt="decimal"/>
          <w:cols w:space="720" w:num="1"/>
          <w:docGrid w:linePitch="312" w:charSpace="0"/>
        </w:sectPr>
      </w:pPr>
    </w:p>
    <w:p>
      <w:pPr>
        <w:pStyle w:val="4"/>
        <w:numPr>
          <w:ilvl w:val="0"/>
          <w:numId w:val="4"/>
        </w:numPr>
        <w:jc w:val="center"/>
        <w:rPr>
          <w:rFonts w:hint="eastAsia" w:ascii="宋体" w:hAnsi="宋体" w:eastAsia="宋体" w:cs="宋体"/>
          <w:b/>
          <w:bCs/>
          <w:color w:val="auto"/>
          <w:sz w:val="32"/>
          <w:szCs w:val="32"/>
          <w:highlight w:val="none"/>
          <w:lang w:val="en-US" w:eastAsia="zh-CN" w:bidi="ar-SA"/>
        </w:rPr>
      </w:pPr>
      <w:r>
        <w:rPr>
          <w:rFonts w:hint="eastAsia" w:ascii="宋体" w:hAnsi="宋体" w:eastAsia="宋体" w:cs="宋体"/>
          <w:b/>
          <w:bCs/>
          <w:color w:val="auto"/>
          <w:sz w:val="32"/>
          <w:szCs w:val="32"/>
          <w:highlight w:val="none"/>
          <w:lang w:val="en-US" w:eastAsia="zh-CN" w:bidi="ar-SA"/>
        </w:rPr>
        <w:t>招标货物一览表</w:t>
      </w:r>
    </w:p>
    <w:p>
      <w:pPr>
        <w:pStyle w:val="28"/>
        <w:numPr>
          <w:ilvl w:val="0"/>
          <w:numId w:val="5"/>
        </w:numPr>
        <w:ind w:firstLineChars="0"/>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设备清单</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474"/>
        <w:gridCol w:w="863"/>
        <w:gridCol w:w="833"/>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序号</w:t>
            </w:r>
          </w:p>
        </w:tc>
        <w:tc>
          <w:tcPr>
            <w:tcW w:w="1347"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设备名称</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单位</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数量</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红外高清摄像机</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台</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78</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2</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抓拍摄像机</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台</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6</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3</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枪机支架</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套</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84</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4</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综合设备箱</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个</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54</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5</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防雷器</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个</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54</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6</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电源</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个</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84</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7</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配件</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批</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84</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8</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硬盘录像机</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台</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2</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9</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硬盘</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块</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34</w:t>
            </w:r>
          </w:p>
        </w:tc>
        <w:tc>
          <w:tcPr>
            <w:tcW w:w="2458" w:type="pct"/>
            <w:shd w:val="clear" w:color="auto" w:fill="auto"/>
            <w:noWrap/>
            <w:vAlign w:val="center"/>
          </w:tcPr>
          <w:p>
            <w:pPr>
              <w:widowControl/>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8000G/7200RPM/256M/SATA3.0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10</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分析一体机</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台</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11</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视频控制终端</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套</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w:t>
            </w:r>
          </w:p>
        </w:tc>
        <w:tc>
          <w:tcPr>
            <w:tcW w:w="245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12</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机柜</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套</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w:t>
            </w:r>
          </w:p>
        </w:tc>
        <w:tc>
          <w:tcPr>
            <w:tcW w:w="2458" w:type="pct"/>
            <w:shd w:val="clear" w:color="auto" w:fill="auto"/>
            <w:noWrap/>
          </w:tcPr>
          <w:p>
            <w:pPr>
              <w:spacing w:line="240" w:lineRule="auto"/>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42U、1米深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13</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防火墙</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套</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w:t>
            </w:r>
          </w:p>
        </w:tc>
        <w:tc>
          <w:tcPr>
            <w:tcW w:w="2458" w:type="pct"/>
            <w:shd w:val="clear" w:color="auto" w:fill="auto"/>
            <w:noWrap/>
          </w:tcPr>
          <w:p>
            <w:pPr>
              <w:spacing w:line="240" w:lineRule="auto"/>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14</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汇聚交换机</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台</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w:t>
            </w:r>
          </w:p>
        </w:tc>
        <w:tc>
          <w:tcPr>
            <w:tcW w:w="2458" w:type="pct"/>
            <w:shd w:val="clear" w:color="auto" w:fill="auto"/>
            <w:noWrap/>
          </w:tcPr>
          <w:p>
            <w:pPr>
              <w:spacing w:line="240" w:lineRule="auto"/>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15</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VPN接入费</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路</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54</w:t>
            </w:r>
          </w:p>
        </w:tc>
        <w:tc>
          <w:tcPr>
            <w:tcW w:w="2458" w:type="pct"/>
            <w:shd w:val="clear" w:color="auto" w:fill="auto"/>
            <w:noWrap/>
            <w:vAlign w:val="center"/>
          </w:tcPr>
          <w:p>
            <w:pPr>
              <w:spacing w:line="240" w:lineRule="auto"/>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20M,VPN，五年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16</w:t>
            </w:r>
          </w:p>
        </w:tc>
        <w:tc>
          <w:tcPr>
            <w:tcW w:w="1347" w:type="pct"/>
            <w:shd w:val="clear" w:color="auto" w:fill="auto"/>
            <w:noWrap/>
            <w:vAlign w:val="center"/>
          </w:tcPr>
          <w:p>
            <w:pPr>
              <w:widowControl/>
              <w:spacing w:line="240" w:lineRule="auto"/>
              <w:jc w:val="left"/>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电力接入</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路</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54</w:t>
            </w:r>
          </w:p>
        </w:tc>
        <w:tc>
          <w:tcPr>
            <w:tcW w:w="2458" w:type="pct"/>
            <w:shd w:val="clear" w:color="auto" w:fill="auto"/>
            <w:noWrap/>
            <w:vAlign w:val="center"/>
          </w:tcPr>
          <w:p>
            <w:pPr>
              <w:spacing w:line="240" w:lineRule="auto"/>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电力开表到接入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17</w:t>
            </w:r>
          </w:p>
        </w:tc>
        <w:tc>
          <w:tcPr>
            <w:tcW w:w="1347" w:type="pct"/>
            <w:shd w:val="clear" w:color="auto" w:fill="auto"/>
            <w:noWrap/>
            <w:vAlign w:val="center"/>
          </w:tcPr>
          <w:p>
            <w:pPr>
              <w:widowControl/>
              <w:spacing w:line="240" w:lineRule="auto"/>
              <w:jc w:val="left"/>
              <w:textAlignment w:val="center"/>
              <w:rPr>
                <w:rFonts w:hint="default"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安装</w:t>
            </w:r>
            <w:r>
              <w:rPr>
                <w:rFonts w:hint="eastAsia" w:hAnsi="宋体" w:eastAsia="宋体" w:cs="宋体"/>
                <w:b w:val="0"/>
                <w:bCs w:val="0"/>
                <w:color w:val="auto"/>
                <w:sz w:val="21"/>
                <w:szCs w:val="21"/>
                <w:highlight w:val="none"/>
                <w:lang w:val="en-US" w:eastAsia="zh-CN" w:bidi="ar-SA"/>
              </w:rPr>
              <w:t>服务</w:t>
            </w:r>
          </w:p>
        </w:tc>
        <w:tc>
          <w:tcPr>
            <w:tcW w:w="471"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路</w:t>
            </w:r>
          </w:p>
        </w:tc>
        <w:tc>
          <w:tcPr>
            <w:tcW w:w="454" w:type="pct"/>
            <w:shd w:val="clear" w:color="auto" w:fill="auto"/>
            <w:noWrap/>
            <w:vAlign w:val="center"/>
          </w:tcPr>
          <w:p>
            <w:pPr>
              <w:widowControl/>
              <w:spacing w:line="240" w:lineRule="auto"/>
              <w:jc w:val="center"/>
              <w:textAlignment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84</w:t>
            </w:r>
          </w:p>
        </w:tc>
        <w:tc>
          <w:tcPr>
            <w:tcW w:w="2458" w:type="pct"/>
            <w:shd w:val="clear" w:color="auto" w:fill="auto"/>
            <w:noWrap/>
            <w:vAlign w:val="center"/>
          </w:tcPr>
          <w:p>
            <w:pPr>
              <w:spacing w:line="240" w:lineRule="auto"/>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bidi="ar-SA"/>
              </w:rPr>
              <w:t>五年维护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8" w:type="pct"/>
            <w:shd w:val="clear" w:color="auto" w:fill="auto"/>
            <w:noWrap/>
            <w:vAlign w:val="center"/>
          </w:tcPr>
          <w:p>
            <w:pPr>
              <w:widowControl/>
              <w:spacing w:line="240" w:lineRule="auto"/>
              <w:jc w:val="center"/>
              <w:textAlignment w:val="center"/>
              <w:rPr>
                <w:rFonts w:hint="default" w:ascii="宋体" w:hAnsi="宋体" w:eastAsia="宋体" w:cs="宋体"/>
                <w:b w:val="0"/>
                <w:bCs w:val="0"/>
                <w:color w:val="auto"/>
                <w:sz w:val="21"/>
                <w:szCs w:val="21"/>
                <w:highlight w:val="none"/>
                <w:lang w:val="en-US" w:eastAsia="zh-CN" w:bidi="ar-SA"/>
              </w:rPr>
            </w:pPr>
            <w:r>
              <w:rPr>
                <w:rFonts w:hint="eastAsia" w:hAnsi="宋体" w:eastAsia="宋体" w:cs="宋体"/>
                <w:b w:val="0"/>
                <w:bCs w:val="0"/>
                <w:color w:val="auto"/>
                <w:sz w:val="21"/>
                <w:szCs w:val="21"/>
                <w:highlight w:val="none"/>
                <w:lang w:val="en-US" w:eastAsia="zh-CN" w:bidi="ar-SA"/>
              </w:rPr>
              <w:t>18</w:t>
            </w:r>
          </w:p>
        </w:tc>
        <w:tc>
          <w:tcPr>
            <w:tcW w:w="1347" w:type="pct"/>
            <w:shd w:val="clear" w:color="auto" w:fill="auto"/>
            <w:noWrap/>
            <w:vAlign w:val="center"/>
          </w:tcPr>
          <w:p>
            <w:pPr>
              <w:widowControl/>
              <w:spacing w:line="240" w:lineRule="auto"/>
              <w:jc w:val="left"/>
              <w:textAlignment w:val="center"/>
              <w:rPr>
                <w:rFonts w:hint="default" w:ascii="宋体" w:hAnsi="宋体" w:eastAsia="宋体" w:cs="宋体"/>
                <w:b w:val="0"/>
                <w:bCs w:val="0"/>
                <w:color w:val="auto"/>
                <w:sz w:val="21"/>
                <w:szCs w:val="21"/>
                <w:highlight w:val="none"/>
                <w:lang w:val="en-US" w:eastAsia="zh-CN" w:bidi="ar-SA"/>
              </w:rPr>
            </w:pPr>
            <w:r>
              <w:rPr>
                <w:rFonts w:hint="eastAsia" w:hAnsi="宋体" w:eastAsia="宋体" w:cs="宋体"/>
                <w:b w:val="0"/>
                <w:bCs w:val="0"/>
                <w:color w:val="auto"/>
                <w:sz w:val="21"/>
                <w:szCs w:val="21"/>
                <w:highlight w:val="none"/>
                <w:lang w:val="en-US" w:eastAsia="zh-CN" w:bidi="ar-SA"/>
              </w:rPr>
              <w:t>集成服务</w:t>
            </w:r>
          </w:p>
        </w:tc>
        <w:tc>
          <w:tcPr>
            <w:tcW w:w="471" w:type="pct"/>
            <w:shd w:val="clear" w:color="auto" w:fill="auto"/>
            <w:noWrap/>
            <w:vAlign w:val="center"/>
          </w:tcPr>
          <w:p>
            <w:pPr>
              <w:widowControl/>
              <w:spacing w:line="240" w:lineRule="auto"/>
              <w:jc w:val="center"/>
              <w:textAlignment w:val="center"/>
              <w:rPr>
                <w:rFonts w:hint="default" w:ascii="宋体" w:hAnsi="宋体" w:eastAsia="宋体" w:cs="宋体"/>
                <w:b w:val="0"/>
                <w:bCs w:val="0"/>
                <w:color w:val="auto"/>
                <w:sz w:val="21"/>
                <w:szCs w:val="21"/>
                <w:highlight w:val="none"/>
                <w:lang w:val="en-US" w:eastAsia="zh-CN" w:bidi="ar-SA"/>
              </w:rPr>
            </w:pPr>
            <w:r>
              <w:rPr>
                <w:rFonts w:hint="eastAsia" w:hAnsi="宋体" w:eastAsia="宋体" w:cs="宋体"/>
                <w:b w:val="0"/>
                <w:bCs w:val="0"/>
                <w:color w:val="auto"/>
                <w:sz w:val="21"/>
                <w:szCs w:val="21"/>
                <w:highlight w:val="none"/>
                <w:lang w:val="en-US" w:eastAsia="zh-CN" w:bidi="ar-SA"/>
              </w:rPr>
              <w:t>项</w:t>
            </w:r>
          </w:p>
        </w:tc>
        <w:tc>
          <w:tcPr>
            <w:tcW w:w="454" w:type="pct"/>
            <w:shd w:val="clear" w:color="auto" w:fill="auto"/>
            <w:noWrap/>
            <w:vAlign w:val="center"/>
          </w:tcPr>
          <w:p>
            <w:pPr>
              <w:widowControl/>
              <w:spacing w:line="240" w:lineRule="auto"/>
              <w:jc w:val="center"/>
              <w:textAlignment w:val="center"/>
              <w:rPr>
                <w:rFonts w:hint="default" w:ascii="宋体" w:hAnsi="宋体" w:eastAsia="宋体" w:cs="宋体"/>
                <w:b w:val="0"/>
                <w:bCs w:val="0"/>
                <w:color w:val="auto"/>
                <w:sz w:val="21"/>
                <w:szCs w:val="21"/>
                <w:highlight w:val="none"/>
                <w:lang w:val="en-US" w:eastAsia="zh-CN" w:bidi="ar-SA"/>
              </w:rPr>
            </w:pPr>
            <w:r>
              <w:rPr>
                <w:rFonts w:hint="eastAsia" w:hAnsi="宋体" w:eastAsia="宋体" w:cs="宋体"/>
                <w:b w:val="0"/>
                <w:bCs w:val="0"/>
                <w:color w:val="auto"/>
                <w:sz w:val="21"/>
                <w:szCs w:val="21"/>
                <w:highlight w:val="none"/>
                <w:lang w:val="en-US" w:eastAsia="zh-CN" w:bidi="ar-SA"/>
              </w:rPr>
              <w:t>1</w:t>
            </w:r>
          </w:p>
        </w:tc>
        <w:tc>
          <w:tcPr>
            <w:tcW w:w="2458" w:type="pct"/>
            <w:shd w:val="clear" w:color="auto" w:fill="auto"/>
            <w:noWrap/>
            <w:vAlign w:val="center"/>
          </w:tcPr>
          <w:p>
            <w:pPr>
              <w:spacing w:line="240" w:lineRule="auto"/>
              <w:jc w:val="center"/>
              <w:rPr>
                <w:rFonts w:hint="default" w:ascii="宋体" w:hAnsi="宋体" w:eastAsia="宋体" w:cs="宋体"/>
                <w:b w:val="0"/>
                <w:bCs w:val="0"/>
                <w:color w:val="auto"/>
                <w:sz w:val="21"/>
                <w:szCs w:val="21"/>
                <w:highlight w:val="none"/>
                <w:lang w:val="en-US" w:eastAsia="zh-CN" w:bidi="ar-SA"/>
              </w:rPr>
            </w:pPr>
            <w:r>
              <w:rPr>
                <w:rFonts w:hint="eastAsia" w:hAnsi="宋体" w:eastAsia="宋体" w:cs="宋体"/>
                <w:b w:val="0"/>
                <w:bCs w:val="0"/>
                <w:color w:val="auto"/>
                <w:sz w:val="21"/>
                <w:szCs w:val="21"/>
                <w:highlight w:val="none"/>
                <w:lang w:val="en-US" w:eastAsia="zh-CN" w:bidi="ar-SA"/>
              </w:rPr>
              <w:t>前端点位设备、后端设备调试</w:t>
            </w:r>
          </w:p>
        </w:tc>
      </w:tr>
    </w:tbl>
    <w:p>
      <w:pPr>
        <w:rPr>
          <w:rFonts w:hint="eastAsia" w:ascii="宋体" w:hAnsi="宋体" w:eastAsia="宋体" w:cs="宋体"/>
          <w:b w:val="0"/>
          <w:bCs w:val="0"/>
          <w:color w:val="auto"/>
          <w:sz w:val="21"/>
          <w:szCs w:val="21"/>
          <w:highlight w:val="none"/>
          <w:lang w:val="en-US" w:eastAsia="zh-CN" w:bidi="ar-SA"/>
        </w:rPr>
      </w:pPr>
    </w:p>
    <w:p>
      <w:pPr>
        <w:rPr>
          <w:rFonts w:hint="eastAsia" w:ascii="宋体" w:hAnsi="宋体" w:eastAsia="宋体" w:cs="宋体"/>
          <w:b/>
          <w:bCs/>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说明:配件包含室外单模光纤，2*2.5平方室外阻燃电力电缆，UTP5+RVV2*0.75混合线缆及其他辅材，所有材料要求符合国标要求，报价由投标人根据现场勘察后自行测算报价</w:t>
      </w:r>
      <w:r>
        <w:rPr>
          <w:rFonts w:hint="eastAsia" w:hAnsi="宋体" w:eastAsia="宋体" w:cs="宋体"/>
          <w:b/>
          <w:bCs/>
          <w:color w:val="auto"/>
          <w:sz w:val="21"/>
          <w:szCs w:val="21"/>
          <w:highlight w:val="none"/>
          <w:lang w:val="en-US" w:eastAsia="zh-CN" w:bidi="ar-SA"/>
        </w:rPr>
        <w:t>。</w:t>
      </w:r>
    </w:p>
    <w:p>
      <w:pPr>
        <w:pStyle w:val="2"/>
        <w:rPr>
          <w:rFonts w:hint="eastAsia" w:ascii="宋体" w:hAnsi="宋体" w:eastAsia="宋体" w:cs="宋体"/>
          <w:b/>
          <w:bCs/>
          <w:color w:val="auto"/>
          <w:sz w:val="21"/>
          <w:szCs w:val="21"/>
          <w:highlight w:val="none"/>
          <w:lang w:val="en-US" w:eastAsia="zh-CN" w:bidi="ar-SA"/>
        </w:rPr>
      </w:pPr>
    </w:p>
    <w:p>
      <w:pPr>
        <w:rPr>
          <w:rFonts w:hint="eastAsia" w:ascii="宋体" w:hAnsi="宋体" w:eastAsia="宋体" w:cs="宋体"/>
          <w:b/>
          <w:bCs/>
          <w:color w:val="auto"/>
          <w:sz w:val="21"/>
          <w:szCs w:val="21"/>
          <w:highlight w:val="none"/>
          <w:lang w:val="en-US" w:eastAsia="zh-CN" w:bidi="ar-SA"/>
        </w:rPr>
      </w:pPr>
    </w:p>
    <w:p>
      <w:pPr>
        <w:pStyle w:val="2"/>
        <w:rPr>
          <w:rFonts w:hint="eastAsia" w:ascii="宋体" w:hAnsi="宋体" w:eastAsia="宋体" w:cs="宋体"/>
          <w:b/>
          <w:bCs/>
          <w:color w:val="auto"/>
          <w:sz w:val="21"/>
          <w:szCs w:val="21"/>
          <w:highlight w:val="none"/>
          <w:lang w:val="en-US" w:eastAsia="zh-CN" w:bidi="ar-SA"/>
        </w:rPr>
      </w:pPr>
    </w:p>
    <w:p>
      <w:pPr>
        <w:rPr>
          <w:rFonts w:hint="eastAsia" w:ascii="宋体" w:hAnsi="宋体" w:eastAsia="宋体" w:cs="宋体"/>
          <w:b/>
          <w:bCs/>
          <w:color w:val="auto"/>
          <w:sz w:val="21"/>
          <w:szCs w:val="21"/>
          <w:highlight w:val="none"/>
          <w:lang w:val="en-US" w:eastAsia="zh-CN" w:bidi="ar-SA"/>
        </w:rPr>
      </w:pPr>
    </w:p>
    <w:p>
      <w:pPr>
        <w:pStyle w:val="2"/>
        <w:rPr>
          <w:rFonts w:hint="eastAsia" w:ascii="宋体" w:hAnsi="宋体" w:eastAsia="宋体" w:cs="宋体"/>
          <w:b/>
          <w:bCs/>
          <w:color w:val="auto"/>
          <w:sz w:val="21"/>
          <w:szCs w:val="21"/>
          <w:highlight w:val="none"/>
          <w:lang w:val="en-US" w:eastAsia="zh-CN" w:bidi="ar-SA"/>
        </w:rPr>
      </w:pPr>
    </w:p>
    <w:p>
      <w:pPr>
        <w:rPr>
          <w:rFonts w:hint="eastAsia" w:ascii="宋体" w:hAnsi="宋体" w:eastAsia="宋体" w:cs="宋体"/>
          <w:b/>
          <w:bCs/>
          <w:color w:val="auto"/>
          <w:sz w:val="21"/>
          <w:szCs w:val="21"/>
          <w:highlight w:val="none"/>
          <w:lang w:val="en-US" w:eastAsia="zh-CN" w:bidi="ar-SA"/>
        </w:rPr>
      </w:pPr>
    </w:p>
    <w:p>
      <w:pPr>
        <w:pStyle w:val="2"/>
        <w:rPr>
          <w:rFonts w:hint="eastAsia" w:ascii="宋体" w:hAnsi="宋体" w:eastAsia="宋体" w:cs="宋体"/>
          <w:b/>
          <w:bCs/>
          <w:color w:val="auto"/>
          <w:sz w:val="21"/>
          <w:szCs w:val="21"/>
          <w:highlight w:val="none"/>
          <w:lang w:val="en-US" w:eastAsia="zh-CN" w:bidi="ar-SA"/>
        </w:rPr>
      </w:pPr>
    </w:p>
    <w:p>
      <w:pPr>
        <w:rPr>
          <w:rFonts w:hint="eastAsia" w:ascii="宋体" w:hAnsi="宋体" w:eastAsia="宋体" w:cs="宋体"/>
          <w:b/>
          <w:bCs/>
          <w:color w:val="auto"/>
          <w:sz w:val="21"/>
          <w:szCs w:val="21"/>
          <w:highlight w:val="none"/>
          <w:lang w:val="en-US" w:eastAsia="zh-CN" w:bidi="ar-SA"/>
        </w:rPr>
      </w:pPr>
    </w:p>
    <w:p>
      <w:pPr>
        <w:pStyle w:val="2"/>
        <w:rPr>
          <w:rFonts w:hint="eastAsia"/>
          <w:lang w:val="en-US" w:eastAsia="zh-CN"/>
        </w:rPr>
      </w:pPr>
    </w:p>
    <w:p>
      <w:pPr>
        <w:pStyle w:val="4"/>
        <w:numPr>
          <w:ilvl w:val="0"/>
          <w:numId w:val="4"/>
        </w:numPr>
        <w:jc w:val="center"/>
        <w:rPr>
          <w:rFonts w:hint="eastAsia" w:ascii="宋体" w:hAnsi="宋体" w:eastAsia="宋体" w:cs="宋体"/>
          <w:b/>
          <w:bCs/>
          <w:color w:val="auto"/>
          <w:sz w:val="32"/>
          <w:szCs w:val="32"/>
          <w:highlight w:val="none"/>
          <w:lang w:val="en-US" w:eastAsia="zh-CN" w:bidi="ar-SA"/>
        </w:rPr>
      </w:pPr>
      <w:bookmarkStart w:id="89" w:name="_Toc31968"/>
      <w:r>
        <w:rPr>
          <w:rFonts w:hint="eastAsia" w:ascii="宋体" w:hAnsi="宋体" w:eastAsia="宋体" w:cs="宋体"/>
          <w:b/>
          <w:bCs/>
          <w:color w:val="auto"/>
          <w:sz w:val="32"/>
          <w:szCs w:val="32"/>
          <w:highlight w:val="none"/>
          <w:lang w:val="en-US" w:eastAsia="zh-CN" w:bidi="ar-SA"/>
        </w:rPr>
        <w:t>项目要求及技术参数</w:t>
      </w:r>
    </w:p>
    <w:p>
      <w:pPr>
        <w:pStyle w:val="10"/>
        <w:numPr>
          <w:ilvl w:val="0"/>
          <w:numId w:val="6"/>
        </w:numPr>
        <w:spacing w:before="120" w:beforeLines="0" w:after="120" w:afterLines="0" w:line="360" w:lineRule="auto"/>
        <w:ind w:left="284" w:hanging="284"/>
        <w:jc w:val="left"/>
        <w:rPr>
          <w:rFonts w:hAnsi="宋体" w:cs="宋体"/>
          <w:b/>
        </w:rPr>
      </w:pPr>
      <w:r>
        <w:rPr>
          <w:rFonts w:hint="eastAsia" w:hAnsi="宋体" w:cs="宋体"/>
          <w:b/>
        </w:rPr>
        <w:t>项目总体要求</w:t>
      </w:r>
    </w:p>
    <w:p>
      <w:pPr>
        <w:ind w:firstLine="420"/>
        <w:rPr>
          <w:rFonts w:hint="eastAsia" w:ascii="Times New Roman" w:hAnsi="宋体" w:eastAsia="宋体" w:cs="Times New Roman"/>
          <w:sz w:val="21"/>
          <w:szCs w:val="21"/>
          <w:lang w:val="en-US" w:eastAsia="zh-CN" w:bidi="ar-SA"/>
        </w:rPr>
      </w:pPr>
      <w:r>
        <w:rPr>
          <w:rFonts w:hint="eastAsia" w:ascii="宋体" w:hAnsi="宋体"/>
          <w:sz w:val="21"/>
          <w:szCs w:val="21"/>
        </w:rPr>
        <w:t>★</w:t>
      </w:r>
      <w:r>
        <w:rPr>
          <w:rFonts w:hint="eastAsia" w:ascii="Times New Roman" w:hAnsi="宋体" w:eastAsia="宋体" w:cs="Times New Roman"/>
          <w:sz w:val="21"/>
          <w:szCs w:val="21"/>
          <w:lang w:val="en-US" w:eastAsia="zh-CN" w:bidi="ar-SA"/>
        </w:rPr>
        <w:t>中标单位必须承担针对本项目施工的保险（施工人员工伤意险、工程第三者责任险）；文明施工、安全施工，确保本项目有序实施；投标报价中须包含各项保险费用；</w:t>
      </w:r>
    </w:p>
    <w:p>
      <w:pPr>
        <w:widowControl/>
        <w:ind w:firstLine="42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★投标单位在投标文件中必须提供针对本项目红外高清摄像机、全结构化摄像机、硬盘录像机、结构化分析一体机的公安部合格检测报告；</w:t>
      </w:r>
    </w:p>
    <w:p>
      <w:pPr>
        <w:widowControl/>
        <w:ind w:firstLine="42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★投标单须提供项目整体五年质保，投标报价中包含项目整体五年维保费用并提供原厂五年质保函；</w:t>
      </w:r>
    </w:p>
    <w:p>
      <w:pPr>
        <w:widowControl/>
        <w:ind w:firstLine="42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★所有监控自行组网，每个前端点位的光纤汇总接入到宁海县力洋镇***；</w:t>
      </w:r>
    </w:p>
    <w:p>
      <w:pPr>
        <w:widowControl/>
        <w:ind w:firstLine="42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★不得影响公安视频专网运行质量，不得破坏专网结构；具备良好的扩展性能，可以适应后期项目不断扩展的需要；</w:t>
      </w:r>
    </w:p>
    <w:p>
      <w:pPr>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 xml:space="preserve"> </w:t>
      </w:r>
      <w:r>
        <w:rPr>
          <w:rFonts w:hint="eastAsia" w:ascii="Times New Roman" w:hAnsi="宋体" w:eastAsia="宋体" w:cs="Times New Roman"/>
          <w:sz w:val="21"/>
          <w:szCs w:val="21"/>
          <w:lang w:val="en-US" w:eastAsia="zh-CN" w:bidi="ar-SA"/>
        </w:rPr>
        <w:tab/>
      </w:r>
      <w:r>
        <w:rPr>
          <w:rFonts w:hint="eastAsia" w:ascii="Times New Roman" w:hAnsi="宋体" w:eastAsia="宋体" w:cs="Times New Roman"/>
          <w:sz w:val="21"/>
          <w:szCs w:val="21"/>
          <w:lang w:val="en-US" w:eastAsia="zh-CN" w:bidi="ar-SA"/>
        </w:rPr>
        <w:t xml:space="preserve">★投标单位投标前须熟悉公安视频监控系统建设有关标准规范，并对宁海县公安局视频中心专网平台的网络构架、数据存储方式、系统平台搭建的实际情况进行实地勘查，投标时必须提供详细的实施方案，确保新建监控点位接入到***视频应用平台、宁海县公安局视频中心国标平台；本次报价包含所需的软件与硬件费用。投标报价中须包含平台联网费用；  </w:t>
      </w:r>
    </w:p>
    <w:p>
      <w:pPr>
        <w:pStyle w:val="10"/>
        <w:spacing w:before="0" w:beforeLines="0" w:after="0" w:afterLines="0" w:line="360" w:lineRule="auto"/>
        <w:ind w:firstLine="420" w:firstLineChars="20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★质保期内，中标供应商负责对提供的货物在约定时间内实行免费维修，软件免费升级、培训等；</w:t>
      </w:r>
    </w:p>
    <w:p>
      <w:pPr>
        <w:widowControl/>
        <w:ind w:firstLine="42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★根据监控点的具体情况，严格按照国家相关标准及技术规范，对取电、防雷接地等辅助工程进行充分调研和系统设计，确保工程安全、可靠、设备正常工作；</w:t>
      </w:r>
    </w:p>
    <w:p>
      <w:pPr>
        <w:ind w:firstLine="315" w:firstLineChars="150"/>
        <w:rPr>
          <w:rFonts w:hAnsi="宋体" w:cs="宋体"/>
          <w:b/>
        </w:rPr>
      </w:pPr>
      <w:r>
        <w:rPr>
          <w:rFonts w:hint="eastAsia" w:ascii="Times New Roman" w:hAnsi="宋体" w:eastAsia="宋体" w:cs="Times New Roman"/>
          <w:sz w:val="21"/>
          <w:szCs w:val="21"/>
          <w:lang w:val="en-US" w:eastAsia="zh-CN" w:bidi="ar-SA"/>
        </w:rPr>
        <w:t>★电费由镇政府自行承担，中标单位负责协助办理电表开户手续；</w:t>
      </w:r>
      <w:r>
        <w:rPr>
          <w:rFonts w:hint="eastAsia" w:hAnsi="宋体" w:cs="宋体"/>
          <w:b/>
        </w:rPr>
        <w:br w:type="page"/>
      </w:r>
    </w:p>
    <w:p>
      <w:pPr>
        <w:pStyle w:val="10"/>
        <w:numPr>
          <w:ilvl w:val="0"/>
          <w:numId w:val="6"/>
        </w:numPr>
        <w:spacing w:before="120" w:beforeLines="0" w:after="120" w:afterLines="0" w:line="360" w:lineRule="auto"/>
        <w:ind w:left="284" w:hanging="284"/>
        <w:jc w:val="left"/>
        <w:rPr>
          <w:rFonts w:hAnsi="宋体" w:cs="宋体"/>
          <w:b/>
        </w:rPr>
      </w:pPr>
      <w:r>
        <w:rPr>
          <w:rFonts w:hint="eastAsia" w:hAnsi="宋体" w:cs="宋体"/>
          <w:b/>
        </w:rPr>
        <w:t>设备功能及技术指标</w:t>
      </w:r>
    </w:p>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1、红外高清摄像机</w:t>
      </w:r>
    </w:p>
    <w:tbl>
      <w:tblPr>
        <w:tblStyle w:val="18"/>
        <w:tblW w:w="5000" w:type="pct"/>
        <w:tblInd w:w="0" w:type="dxa"/>
        <w:tblLayout w:type="autofit"/>
        <w:tblCellMar>
          <w:top w:w="0" w:type="dxa"/>
          <w:left w:w="108" w:type="dxa"/>
          <w:bottom w:w="0" w:type="dxa"/>
          <w:right w:w="108" w:type="dxa"/>
        </w:tblCellMar>
      </w:tblPr>
      <w:tblGrid>
        <w:gridCol w:w="1056"/>
        <w:gridCol w:w="8118"/>
      </w:tblGrid>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序号</w:t>
            </w:r>
          </w:p>
        </w:tc>
        <w:tc>
          <w:tcPr>
            <w:tcW w:w="4617"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技术要求及指标</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30" w:firstLineChars="150"/>
              <w:rPr>
                <w:rFonts w:hint="eastAsia" w:ascii="Times New Roman" w:hAnsi="宋体" w:eastAsia="宋体" w:cs="Times New Roman"/>
                <w:sz w:val="21"/>
                <w:szCs w:val="21"/>
                <w:lang w:val="en-US" w:eastAsia="zh-CN" w:bidi="ar-SA"/>
              </w:rPr>
            </w:pPr>
            <w:r>
              <w:rPr>
                <w:rFonts w:hint="eastAsia" w:ascii="宋体" w:hAnsi="宋体" w:cs="宋体"/>
                <w:color w:val="000000"/>
                <w:kern w:val="0"/>
                <w:sz w:val="22"/>
                <w:highlight w:val="none"/>
                <w:lang w:bidi="ar"/>
              </w:rPr>
              <w:t>▲</w:t>
            </w:r>
            <w:r>
              <w:rPr>
                <w:rFonts w:hint="eastAsia" w:ascii="Times New Roman" w:hAnsi="宋体" w:eastAsia="宋体" w:cs="Times New Roman"/>
                <w:sz w:val="21"/>
                <w:szCs w:val="21"/>
                <w:highlight w:val="none"/>
                <w:lang w:val="en-US" w:eastAsia="zh-CN" w:bidi="ar-SA"/>
              </w:rPr>
              <w:t>400万 1/3" CM</w:t>
            </w:r>
            <w:r>
              <w:rPr>
                <w:rFonts w:hint="eastAsia" w:ascii="Times New Roman" w:hAnsi="宋体" w:eastAsia="宋体" w:cs="Times New Roman"/>
                <w:sz w:val="21"/>
                <w:szCs w:val="21"/>
                <w:lang w:val="en-US" w:eastAsia="zh-CN" w:bidi="ar-SA"/>
              </w:rPr>
              <w:t>OS 变焦筒型网络摄像机</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最低照度: 彩色：0.005 Lux @（F1.2，AGC ON），0 Lux with Light</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3</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宽动态: 120 dB</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4</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焦距&amp;视场角: 2.7~12 mm，水平视场角：96.7°~29.7°，垂直视场角：51.7°~16.7°，对角视场角：114.3°~34°</w:t>
            </w:r>
          </w:p>
        </w:tc>
      </w:tr>
      <w:tr>
        <w:tblPrEx>
          <w:tblCellMar>
            <w:top w:w="0" w:type="dxa"/>
            <w:left w:w="108" w:type="dxa"/>
            <w:bottom w:w="0" w:type="dxa"/>
            <w:right w:w="108" w:type="dxa"/>
          </w:tblCellMar>
        </w:tblPrEx>
        <w:trPr>
          <w:trHeight w:val="90"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5</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补光灯类型: 默认白光，可切换红外补光</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6</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补光距离: 红外光最远可达50 m，白光最远可达30 m</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7</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最大图像尺寸: 2560 × 1440</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8</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视频压缩标准: 主码流：H.265/H.264</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9</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Smart侦测：场景变更侦测，虚焦侦测，区域入侵侦测，越界侦测，进入区域侦测，离开区域侦测，物品遗留侦测，物品拿取侦测，徘徊侦测，停车侦测，人员聚集侦测，快速移动侦测，音频异常侦测，音频抖升侦测，音频抖降侦测</w:t>
            </w:r>
          </w:p>
        </w:tc>
      </w:tr>
      <w:tr>
        <w:tblPrEx>
          <w:tblCellMar>
            <w:top w:w="0" w:type="dxa"/>
            <w:left w:w="108" w:type="dxa"/>
            <w:bottom w:w="0" w:type="dxa"/>
            <w:right w:w="108" w:type="dxa"/>
          </w:tblCellMar>
        </w:tblPrEx>
        <w:trPr>
          <w:trHeight w:val="570"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10</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网络存储: 支持MicroSD(即TF卡)/MicroSDHC/MicroSDXC卡（最大256 GB）</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11</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网络: 1个RJ45 10 M/100 M自适应以太网口</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12</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启动和工作温湿度: -30 ℃~60 ℃，湿度小于95%（无凝结）</w:t>
            </w:r>
          </w:p>
        </w:tc>
      </w:tr>
      <w:tr>
        <w:tblPrEx>
          <w:tblCellMar>
            <w:top w:w="0" w:type="dxa"/>
            <w:left w:w="108" w:type="dxa"/>
            <w:bottom w:w="0" w:type="dxa"/>
            <w:right w:w="108" w:type="dxa"/>
          </w:tblCellMar>
        </w:tblPrEx>
        <w:trPr>
          <w:trHeight w:val="570"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13</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电流及功耗: DC：12 V，0.9 A，最大功耗：10.8 W</w:t>
            </w:r>
          </w:p>
        </w:tc>
      </w:tr>
      <w:tr>
        <w:tblPrEx>
          <w:tblCellMar>
            <w:top w:w="0" w:type="dxa"/>
            <w:left w:w="108" w:type="dxa"/>
            <w:bottom w:w="0" w:type="dxa"/>
            <w:right w:w="108" w:type="dxa"/>
          </w:tblCellMar>
        </w:tblPrEx>
        <w:trPr>
          <w:trHeight w:val="570"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14</w:t>
            </w:r>
          </w:p>
        </w:tc>
        <w:tc>
          <w:tcPr>
            <w:tcW w:w="786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防护: IP67</w:t>
            </w:r>
          </w:p>
        </w:tc>
      </w:tr>
    </w:tbl>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2、抓拍摄像机</w:t>
      </w:r>
    </w:p>
    <w:tbl>
      <w:tblPr>
        <w:tblStyle w:val="18"/>
        <w:tblW w:w="5000" w:type="pct"/>
        <w:tblInd w:w="0" w:type="dxa"/>
        <w:tblLayout w:type="fixed"/>
        <w:tblCellMar>
          <w:top w:w="0" w:type="dxa"/>
          <w:left w:w="108" w:type="dxa"/>
          <w:bottom w:w="0" w:type="dxa"/>
          <w:right w:w="108" w:type="dxa"/>
        </w:tblCellMar>
      </w:tblPr>
      <w:tblGrid>
        <w:gridCol w:w="1073"/>
        <w:gridCol w:w="8101"/>
      </w:tblGrid>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序号</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技术要求及指标</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30" w:firstLineChars="150"/>
              <w:rPr>
                <w:rFonts w:hint="eastAsia" w:ascii="Times New Roman" w:hAnsi="宋体" w:eastAsia="宋体" w:cs="Times New Roman"/>
                <w:sz w:val="21"/>
                <w:szCs w:val="21"/>
                <w:lang w:val="en-US" w:eastAsia="zh-CN" w:bidi="ar-SA"/>
              </w:rPr>
            </w:pPr>
            <w:r>
              <w:rPr>
                <w:rFonts w:hint="eastAsia" w:ascii="宋体" w:hAnsi="宋体" w:cs="宋体"/>
                <w:color w:val="000000"/>
                <w:kern w:val="0"/>
                <w:sz w:val="22"/>
                <w:highlight w:val="none"/>
                <w:lang w:bidi="ar"/>
              </w:rPr>
              <w:t>▲</w:t>
            </w:r>
            <w:r>
              <w:rPr>
                <w:rFonts w:hint="eastAsia" w:ascii="Times New Roman" w:hAnsi="宋体" w:eastAsia="宋体" w:cs="Times New Roman"/>
                <w:sz w:val="21"/>
                <w:szCs w:val="21"/>
                <w:highlight w:val="none"/>
                <w:lang w:val="en-US" w:eastAsia="zh-CN" w:bidi="ar-SA"/>
              </w:rPr>
              <w:t>400万 1/1</w:t>
            </w:r>
            <w:r>
              <w:rPr>
                <w:rFonts w:hint="eastAsia" w:ascii="Times New Roman" w:hAnsi="宋体" w:eastAsia="宋体" w:cs="Times New Roman"/>
                <w:sz w:val="21"/>
                <w:szCs w:val="21"/>
                <w:lang w:val="en-US" w:eastAsia="zh-CN" w:bidi="ar-SA"/>
              </w:rPr>
              <w:t>.8" CMOS AI多摄网络摄像机</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上通道基于视网膜成像原理，采用双sensor架构和双光融合技术，提供卓越的图像视觉体验。下通道基于全彩镜头、ISP算法等，在极低亮度下，上下通道呈现如在白昼中的彩色</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3</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支持智能资源模式切换：全结构化（默认）、人脸抓拍、人脸比对、道路监控、Smart事件：</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4</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传感器类型: 通道1：1/1.8" Progressive Scan CMOS；通道2：1/2.7" Progressive Scan CMOS</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5</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最大图像尺寸: 通道1：2688 × 1520；通道2：1920 × 1080</w:t>
            </w:r>
          </w:p>
        </w:tc>
      </w:tr>
      <w:tr>
        <w:tblPrEx>
          <w:tblCellMar>
            <w:top w:w="0" w:type="dxa"/>
            <w:left w:w="108" w:type="dxa"/>
            <w:bottom w:w="0" w:type="dxa"/>
            <w:right w:w="108" w:type="dxa"/>
          </w:tblCellMar>
        </w:tblPrEx>
        <w:trPr>
          <w:trHeight w:val="9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6</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 xml:space="preserve">最低照度: </w:t>
            </w:r>
          </w:p>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 xml:space="preserve">通道1：彩色：0.0005 Lux @（F1.2，AGC ON），0 Lux with Light；黑白：0.0001 Lux @（F1.2，AGC ON），0 Lux with IR </w:t>
            </w:r>
          </w:p>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通道2：彩色：0.0005 Lux @（F1.0，AGC ON），0 Lux with Light；黑白：0.0001 Lux @（F1.0，AGC ON），0 Lux with IR</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7</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宽动态: 120 dB</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8</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 xml:space="preserve">焦距&amp;视场角: </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9</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通道1：5~20 mm：水平视场角：59°~24°，垂直视场角：33.4°~13.3°，对角视场角：67.5°~27.5°，通道2：4 mm：水平视场角：83.6°，垂直视场角：44.6°，对角视场角：99.1°</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10</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补光灯类型: 混合补光（支持白光模式和混光模式），750 nm + 暖白光，补光距离: 通道1：普通监控：80 m，人脸抓拍/识别：12 m；通道2：普通监控：30 m</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11</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防补光过曝: 支持防补光过曝开启和关闭，开启下支持自动和手动，手动支持根据距离等级控制补光灯亮度</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12</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支持对镜头前盖玻璃加热，去除玻璃上的冰状和水状附着物。</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13</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视频压缩标准: H.265/H.264/MJPEG</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14</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网络存储: 支持Micro SD(即TF卡)/Micro SDHC/Micro SDXC卡（最大256 GB）</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15</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网络: 1个RJ45 10 M/100 M/1000 M自适应以太网口</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16</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启动和工作温湿度: -30 ℃~60 ℃，湿度小于95%（无凝结）</w:t>
            </w:r>
          </w:p>
        </w:tc>
      </w:tr>
      <w:tr>
        <w:tblPrEx>
          <w:tblCellMar>
            <w:top w:w="0" w:type="dxa"/>
            <w:left w:w="108" w:type="dxa"/>
            <w:bottom w:w="0" w:type="dxa"/>
            <w:right w:w="108" w:type="dxa"/>
          </w:tblCellMar>
        </w:tblPrEx>
        <w:trPr>
          <w:trHeight w:val="270" w:hRule="atLeast"/>
        </w:trPr>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17</w:t>
            </w:r>
          </w:p>
        </w:tc>
        <w:tc>
          <w:tcPr>
            <w:tcW w:w="4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电流及功耗: DC：12 V，1.69 A，最大功耗：20.2 W；PoE：802.3at，42.5 V~57 V，0.44 A~0.59 A，最大功耗：24.8 W</w:t>
            </w:r>
          </w:p>
        </w:tc>
      </w:tr>
    </w:tbl>
    <w:p>
      <w:pPr>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3、综合设备箱</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98" w:type="pct"/>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序号</w:t>
            </w:r>
          </w:p>
        </w:tc>
        <w:tc>
          <w:tcPr>
            <w:tcW w:w="4401" w:type="pct"/>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98" w:type="pct"/>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w:t>
            </w:r>
          </w:p>
        </w:tc>
        <w:tc>
          <w:tcPr>
            <w:tcW w:w="440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设备机箱设计采用抱杆机箱的方案，箱体采用镀锌板材料，防雨防尘，全封闭式设计；使用抱箍方式安装在立杆上，安装配件及紧固件进行防锈处理。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98" w:type="pct"/>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w:t>
            </w:r>
          </w:p>
        </w:tc>
        <w:tc>
          <w:tcPr>
            <w:tcW w:w="440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箱内，设备安装区域设置为：防雷器安装区（包含漏电保护、电源防雷、信号防雷器安装）、线缆安装区（包含光缆固定、光纤熔接、光纤收发器安装、理线环等）、供配电安装区（包含开关电源、多功能插座等）及其它配套设施安装区（包含温控、风扇、接地铜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98" w:type="pct"/>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w:t>
            </w:r>
          </w:p>
        </w:tc>
        <w:tc>
          <w:tcPr>
            <w:tcW w:w="440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箱内，前端设备按照箱内安装区域位置合理安装、固定可靠，安装配件及紧固件进行防锈处理；所有线缆整齐编扎、明确标识，固定捆扎在安装板后面；电源线和信号线、控制线分开，走向顺直，无扭绞。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98" w:type="pct"/>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w:t>
            </w:r>
          </w:p>
        </w:tc>
        <w:tc>
          <w:tcPr>
            <w:tcW w:w="4401" w:type="pc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机箱门印刷指定标志。</w:t>
            </w:r>
          </w:p>
        </w:tc>
      </w:tr>
    </w:tbl>
    <w:p>
      <w:pPr>
        <w:rPr>
          <w:rFonts w:hint="eastAsia" w:asciiTheme="minorEastAsia" w:hAnsiTheme="minorEastAsia" w:eastAsiaTheme="minorEastAsia" w:cstheme="minorEastAsia"/>
          <w:sz w:val="21"/>
          <w:szCs w:val="21"/>
          <w:lang w:val="en-US" w:eastAsia="zh-CN" w:bidi="ar-SA"/>
        </w:rPr>
      </w:pPr>
    </w:p>
    <w:p>
      <w:pPr>
        <w:ind w:firstLine="420" w:firstLineChars="20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4、防雷器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w:t>
            </w:r>
          </w:p>
        </w:tc>
        <w:tc>
          <w:tcPr>
            <w:tcW w:w="4384" w:type="pct"/>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最大持续工作电压UC:8VDC；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w:t>
            </w:r>
          </w:p>
        </w:tc>
        <w:tc>
          <w:tcPr>
            <w:tcW w:w="4384" w:type="pct"/>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电压保护水平Up(线对线):45V；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w:t>
            </w:r>
          </w:p>
        </w:tc>
        <w:tc>
          <w:tcPr>
            <w:tcW w:w="4384" w:type="pct"/>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电压保护水平Up(线对地):500V；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w:t>
            </w:r>
          </w:p>
        </w:tc>
        <w:tc>
          <w:tcPr>
            <w:tcW w:w="4384" w:type="pct"/>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传输速率(bit/s):100M, 插入损耗≤0.5db；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w:t>
            </w:r>
          </w:p>
        </w:tc>
        <w:tc>
          <w:tcPr>
            <w:tcW w:w="4384" w:type="pct"/>
            <w:vAlign w:val="center"/>
          </w:tcPr>
          <w:p>
            <w:pP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标称放电电流In(8/20μs):2.5kA；</w:t>
            </w:r>
          </w:p>
        </w:tc>
      </w:tr>
    </w:tbl>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5、硬盘录像机</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7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bottom"/>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序号</w:t>
            </w:r>
          </w:p>
        </w:tc>
        <w:tc>
          <w:tcPr>
            <w:tcW w:w="7976" w:type="dxa"/>
            <w:shd w:val="clear" w:color="auto" w:fill="auto"/>
            <w:noWrap/>
            <w:vAlign w:val="bottom"/>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2U标准机架式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2个HDMI，2个VGA，HDMI+VGA组内同源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3</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2个千兆网口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4</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2个USB2.0接口、1个USB3.0接口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5</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1个eSATA接口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6</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报警IO：16进4路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7</w:t>
            </w:r>
          </w:p>
        </w:tc>
        <w:tc>
          <w:tcPr>
            <w:tcW w:w="7976" w:type="dxa"/>
            <w:shd w:val="clear" w:color="auto" w:fill="auto"/>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输入带宽：320M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8</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64路H.264、H.265混合接入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9</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最大支持8×1080P解码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98"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10</w:t>
            </w:r>
          </w:p>
        </w:tc>
        <w:tc>
          <w:tcPr>
            <w:tcW w:w="7976" w:type="dxa"/>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支持H.265、H.264解码</w:t>
            </w:r>
          </w:p>
        </w:tc>
      </w:tr>
    </w:tbl>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6、分析一体机</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序号</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名单库比对报警 24路图片流或8路视频流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32个人脸名单库，总库容10万张（平均50KB/张）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3</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人脸抓拍库1000万，路人档案10万份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4</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支持陌生人报警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5</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支持人员频次统计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6</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支持人脸签到和考勤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7</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支持人脸1V1比对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8</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支持以脸搜脸、按姓名检索、按属性检索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9</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2U标准机架式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10</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2个HDMI，2个VGA，HDMI+VGA组内同源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11</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2个千兆网口、2个USB2.0接口、1个USB3.0接口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12</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支持RAID0、1、5、10，支持全局热备盘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13</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输入带宽：320M 输出带宽：256M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14</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开启RAID功能带宽降低：输入带宽：200M 输出带宽：200M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15</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最大支持16×1080P解码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16</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支持Smart265/H.265/Smart264/H.264编码前端自适应接入 、解码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6" w:type="pct"/>
            <w:shd w:val="clear" w:color="auto" w:fill="auto"/>
            <w:noWrap/>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17</w:t>
            </w:r>
          </w:p>
        </w:tc>
        <w:tc>
          <w:tcPr>
            <w:tcW w:w="4423" w:type="pct"/>
            <w:shd w:val="clear" w:color="auto" w:fill="auto"/>
            <w:noWrap/>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具有存储安全保障功能，当存储压力过高或硬盘出现性能不足时，可优先录像业务存储。</w:t>
            </w:r>
          </w:p>
        </w:tc>
      </w:tr>
    </w:tbl>
    <w:p>
      <w:pPr>
        <w:numPr>
          <w:ilvl w:val="0"/>
          <w:numId w:val="7"/>
        </w:num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防火墙</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序号</w:t>
            </w:r>
          </w:p>
        </w:tc>
        <w:tc>
          <w:tcPr>
            <w:tcW w:w="7295" w:type="dxa"/>
            <w:tcBorders>
              <w:tl2br w:val="nil"/>
              <w:tr2bl w:val="nil"/>
            </w:tcBorders>
            <w:shd w:val="clear" w:color="auto" w:fill="auto"/>
            <w:vAlign w:val="center"/>
          </w:tcPr>
          <w:p>
            <w:pPr>
              <w:ind w:firstLine="315" w:firstLineChars="150"/>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w:t>
            </w:r>
          </w:p>
        </w:tc>
        <w:tc>
          <w:tcPr>
            <w:tcW w:w="7295" w:type="dxa"/>
            <w:tcBorders>
              <w:tl2br w:val="nil"/>
              <w:tr2bl w:val="nil"/>
            </w:tcBorders>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标准1U机架结构,配置8个千兆电口，2个千兆光口，2个万兆光口,冗余电源,1个扩展槽位,防火墙吞吐5G，并发连接200万，每秒新建连接2.2万；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w:t>
            </w:r>
          </w:p>
        </w:tc>
        <w:tc>
          <w:tcPr>
            <w:tcW w:w="7295" w:type="dxa"/>
            <w:tcBorders>
              <w:tl2br w:val="nil"/>
              <w:tr2bl w:val="nil"/>
            </w:tcBorders>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▲信息安全设备、系统软件的开发、生产符合TL9000-HSV 标准，并提供相关证明并原厂盖章；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w:t>
            </w:r>
          </w:p>
        </w:tc>
        <w:tc>
          <w:tcPr>
            <w:tcW w:w="7295" w:type="dxa"/>
            <w:tcBorders>
              <w:tl2br w:val="nil"/>
              <w:tr2bl w:val="nil"/>
            </w:tcBorders>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支持静态路由、ISP路由及动态路由协议，支持802.1q、QinQ模式；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w:t>
            </w:r>
          </w:p>
        </w:tc>
        <w:tc>
          <w:tcPr>
            <w:tcW w:w="7295" w:type="dxa"/>
            <w:tcBorders>
              <w:tl2br w:val="nil"/>
              <w:tr2bl w:val="nil"/>
            </w:tcBorders>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▲支持手工链路聚合及LACP链路聚合，提供不少于11种的负载分担算法，灵活实现对聚合组内业务流量的负载分担，提供功能截图并原厂盖章；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w:t>
            </w:r>
          </w:p>
        </w:tc>
        <w:tc>
          <w:tcPr>
            <w:tcW w:w="7295" w:type="dxa"/>
            <w:tcBorders>
              <w:tl2br w:val="nil"/>
              <w:tr2bl w:val="nil"/>
            </w:tcBorders>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产品支持IPv6环境接入、支持IPv6&amp;IPv4双栈运行，支持RFC246X、RFC4861、RFC4862等IPv6一致性测试要求，提供IPv6金牌测试认证证书；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24" w:type="dxa"/>
            <w:tcBorders>
              <w:tl2br w:val="nil"/>
              <w:tr2bl w:val="nil"/>
            </w:tcBorders>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w:t>
            </w:r>
          </w:p>
        </w:tc>
        <w:tc>
          <w:tcPr>
            <w:tcW w:w="7295" w:type="dxa"/>
            <w:tcBorders>
              <w:tl2br w:val="nil"/>
              <w:tr2bl w:val="nil"/>
            </w:tcBorders>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支持独立审计策略，支持审计白名单，提供功能截图并原厂盖章；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24" w:type="dxa"/>
            <w:tcBorders>
              <w:tl2br w:val="nil"/>
              <w:tr2bl w:val="nil"/>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7</w:t>
            </w:r>
          </w:p>
        </w:tc>
        <w:tc>
          <w:tcPr>
            <w:tcW w:w="7295" w:type="dxa"/>
            <w:tcBorders>
              <w:tl2br w:val="nil"/>
              <w:tr2bl w:val="nil"/>
            </w:tcBorders>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▲投标产品近三年向CNVD(国家信息安全漏洞共享平台)贡献的漏洞数量排名不低于前三名。（提供CNVD官网截图证明并原厂盖章）；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24" w:type="dxa"/>
            <w:tcBorders>
              <w:tl2br w:val="nil"/>
              <w:tr2bl w:val="nil"/>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8</w:t>
            </w:r>
          </w:p>
        </w:tc>
        <w:tc>
          <w:tcPr>
            <w:tcW w:w="7295" w:type="dxa"/>
            <w:tcBorders>
              <w:tl2br w:val="nil"/>
              <w:tr2bl w:val="nil"/>
            </w:tcBorders>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产品具有公安部《计算机信息系统安全专用产品销售许可证-增强级》（防火墙产品非UTM）；提供功能截图并原厂盖章；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24" w:type="dxa"/>
            <w:tcBorders>
              <w:tl2br w:val="nil"/>
              <w:tr2bl w:val="nil"/>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9</w:t>
            </w:r>
          </w:p>
        </w:tc>
        <w:tc>
          <w:tcPr>
            <w:tcW w:w="7295" w:type="dxa"/>
            <w:tcBorders>
              <w:tl2br w:val="nil"/>
              <w:tr2bl w:val="nil"/>
            </w:tcBorders>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▲所投产品具备通信网络安全服务能力二级（风险评估）证书；提供功能截图并原厂盖章；</w:t>
            </w:r>
          </w:p>
        </w:tc>
      </w:tr>
    </w:tbl>
    <w:p>
      <w:pPr>
        <w:numPr>
          <w:ilvl w:val="0"/>
          <w:numId w:val="7"/>
        </w:num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汇聚交换机</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7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序号</w:t>
            </w:r>
          </w:p>
        </w:tc>
        <w:tc>
          <w:tcPr>
            <w:tcW w:w="4339" w:type="pct"/>
            <w:shd w:val="clear" w:color="auto" w:fill="auto"/>
            <w:vAlign w:val="center"/>
          </w:tcPr>
          <w:p>
            <w:pPr>
              <w:ind w:firstLine="315" w:firstLineChars="150"/>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交换容量≥5.98Tbps，包转发率≥222Mpps;固化100/1000M以太网SFP光端口≥28，复用千兆电口≥8个，固化10G/1G SFP+光接口≥4个；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配置模块化电源，支持电源1+1冗余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所投设备MAC地址≥32K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4</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支持RIP，OSPF，BGP，RIPng，OSPFv3，BGP4+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5</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▲为保证设备在受到外界机械碰撞时能够正常运行，要求所投交换机IK防护测试级别至少达到IK05，提供第三方权威机构与测试报告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6</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 xml:space="preserve">支持IGMP v1/v2/v3，IGMP v1/v2/v3 Snooping，支持PIM-DM，PIM-SM，PIM-SSM，PIM for IPv6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7</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支持特有的CPU保护策略，对发往CPU的数据流，进行流区分和优先级队列分级处理，并根据需要实施带宽限速，充分保护CPU不被非法流量占用、恶意攻击和资源消耗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8</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基础网络保护策略，限制用户向网络中发送ARP报文、ICMP请求报文、DHCP请求报文的数率，对超过限速阈值的报文进行丢弃处理，能够识别攻击行为，对有攻击行为的用户进行隔离，提供对外官网截图及链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60" w:type="pct"/>
            <w:shd w:val="clear" w:color="auto" w:fill="auto"/>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9</w:t>
            </w:r>
          </w:p>
        </w:tc>
        <w:tc>
          <w:tcPr>
            <w:tcW w:w="4339" w:type="pct"/>
            <w:shd w:val="clear" w:color="auto" w:fill="auto"/>
            <w:vAlign w:val="center"/>
          </w:tcPr>
          <w:p>
            <w:pPr>
              <w:jc w:val="left"/>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支持快速链路检测协议RLDP，可快速检测链路的通断和光纤链路的单向性，并支持端口下的环路检测功能，防止端口下因私接Hub等设备形成的环路而导致网络故障的现象。</w:t>
            </w:r>
          </w:p>
        </w:tc>
      </w:tr>
    </w:tbl>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打★号的为必须满足项，不能满足的作无效标处理。</w:t>
      </w:r>
    </w:p>
    <w:p>
      <w:pPr>
        <w:pStyle w:val="4"/>
        <w:numPr>
          <w:ilvl w:val="0"/>
          <w:numId w:val="4"/>
        </w:numPr>
        <w:spacing w:before="0" w:after="0" w:line="240" w:lineRule="auto"/>
        <w:ind w:left="0" w:firstLine="0"/>
        <w:jc w:val="center"/>
        <w:rPr>
          <w:rFonts w:hint="eastAsia" w:ascii="宋体" w:hAnsi="宋体" w:eastAsia="宋体" w:cs="宋体"/>
          <w:b/>
          <w:bCs/>
          <w:color w:val="auto"/>
          <w:sz w:val="32"/>
          <w:szCs w:val="32"/>
          <w:highlight w:val="none"/>
          <w:lang w:val="en-US" w:eastAsia="zh-CN" w:bidi="ar-SA"/>
        </w:rPr>
      </w:pPr>
      <w:r>
        <w:rPr>
          <w:rFonts w:hint="eastAsia" w:ascii="宋体" w:hAnsi="宋体" w:eastAsia="宋体" w:cs="宋体"/>
          <w:b/>
          <w:bCs/>
          <w:color w:val="auto"/>
          <w:sz w:val="32"/>
          <w:szCs w:val="32"/>
          <w:highlight w:val="none"/>
          <w:lang w:val="en-US" w:eastAsia="zh-CN" w:bidi="ar-SA"/>
        </w:rPr>
        <w:t>商务要求</w:t>
      </w:r>
    </w:p>
    <w:tbl>
      <w:tblPr>
        <w:tblStyle w:val="18"/>
        <w:tblW w:w="91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3"/>
        <w:gridCol w:w="7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873"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★质保期</w:t>
            </w:r>
          </w:p>
        </w:tc>
        <w:tc>
          <w:tcPr>
            <w:tcW w:w="73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整体项目五年维护保修。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4" w:hRule="atLeast"/>
        </w:trPr>
        <w:tc>
          <w:tcPr>
            <w:tcW w:w="1873"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★售后技术服务要求</w:t>
            </w:r>
          </w:p>
        </w:tc>
        <w:tc>
          <w:tcPr>
            <w:tcW w:w="73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1.对业主提出的维修服务请求，中标人应在接到业主通知1小时内作出响应，4小时内到达。</w:t>
            </w:r>
          </w:p>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2.质保期内中标人免费维修所有设备、线路及配件；</w:t>
            </w:r>
          </w:p>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3．线路改造不在保修范围。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873"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★交货时间及地点</w:t>
            </w:r>
          </w:p>
        </w:tc>
        <w:tc>
          <w:tcPr>
            <w:tcW w:w="73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bidi="ar-SA"/>
              </w:rPr>
              <w:t>项目工期要求：中标单位与采购单位签订合同生效后90天内安装调试并交付使用。</w:t>
            </w:r>
          </w:p>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highlight w:val="none"/>
                <w:lang w:val="en-US" w:eastAsia="zh-CN" w:bidi="ar-SA"/>
              </w:rPr>
              <w:t>验收方式：采购单位、县公安局专家组进行调试验收。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873"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★付款条件</w:t>
            </w:r>
          </w:p>
        </w:tc>
        <w:tc>
          <w:tcPr>
            <w:tcW w:w="73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bidi="ar-SA"/>
              </w:rPr>
              <w:t>货款支付方式：</w:t>
            </w:r>
          </w:p>
          <w:p>
            <w:pPr>
              <w:ind w:firstLine="315" w:firstLineChars="150"/>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bidi="ar-SA"/>
              </w:rPr>
              <w:t>第一次：中标单位与采购单位签订合同生效后15天内预付合同总价的40%；</w:t>
            </w:r>
          </w:p>
          <w:p>
            <w:pPr>
              <w:ind w:firstLine="315" w:firstLineChars="15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highlight w:val="none"/>
                <w:lang w:val="en-US" w:eastAsia="zh-CN" w:bidi="ar-SA"/>
              </w:rPr>
              <w:t>第二次：整个项目验收合格后支付合同价的60%。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873"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bidi="ar-SA"/>
              </w:rPr>
              <w:t>★履约保证金</w:t>
            </w:r>
          </w:p>
        </w:tc>
        <w:tc>
          <w:tcPr>
            <w:tcW w:w="73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bidi="ar-SA"/>
              </w:rPr>
              <w:t>履约保证金：中标供应商在收到中标通知书后10天内，并在签订合同协议书之前，以现金、支票、汇票或银行无条件履约保函形式向采购人提供合同总价1%的履约担保，履约保证金在履约合同完成且质保期结束后一周内无息退还（如中标人未能履行合同规定的任何义务，采购人有权从履约保证金中得到相应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873"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★监督审查、验证</w:t>
            </w:r>
          </w:p>
        </w:tc>
        <w:tc>
          <w:tcPr>
            <w:tcW w:w="7300"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同意采购方对响应文件内容的真实性和有效性进行任何形式的监督审查、验证。</w:t>
            </w:r>
          </w:p>
        </w:tc>
      </w:tr>
    </w:tbl>
    <w:p>
      <w:pPr>
        <w:ind w:firstLine="315" w:firstLineChars="150"/>
        <w:rPr>
          <w:rFonts w:hint="eastAsia"/>
        </w:rPr>
      </w:pPr>
      <w:r>
        <w:rPr>
          <w:rFonts w:hint="eastAsia" w:asciiTheme="minorEastAsia" w:hAnsiTheme="minorEastAsia" w:eastAsiaTheme="minorEastAsia" w:cstheme="minorEastAsia"/>
          <w:sz w:val="21"/>
          <w:szCs w:val="21"/>
          <w:lang w:val="en-US" w:eastAsia="zh-CN" w:bidi="ar-SA"/>
        </w:rPr>
        <w:t>打★号的为必须满足项，不能满足的作无效标处理。</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0"/>
        <w:rPr>
          <w:rFonts w:hint="eastAsia" w:ascii="宋体" w:hAnsi="宋体" w:eastAsia="宋体" w:cs="宋体"/>
          <w:b/>
          <w:color w:val="auto"/>
          <w:kern w:val="2"/>
          <w:sz w:val="32"/>
          <w:szCs w:val="32"/>
          <w:highlight w:val="none"/>
        </w:rPr>
      </w:pP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0"/>
        <w:rPr>
          <w:rFonts w:hint="eastAsia" w:ascii="宋体" w:hAnsi="宋体" w:eastAsia="宋体" w:cs="宋体"/>
          <w:b/>
          <w:color w:val="auto"/>
          <w:kern w:val="2"/>
          <w:sz w:val="32"/>
          <w:szCs w:val="32"/>
          <w:highlight w:val="none"/>
        </w:rPr>
      </w:pP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0"/>
        <w:rPr>
          <w:rFonts w:hint="eastAsia" w:ascii="宋体" w:hAnsi="宋体" w:eastAsia="宋体" w:cs="宋体"/>
          <w:b/>
          <w:color w:val="auto"/>
          <w:kern w:val="2"/>
          <w:sz w:val="32"/>
          <w:szCs w:val="32"/>
          <w:highlight w:val="none"/>
        </w:rPr>
      </w:pPr>
      <w:r>
        <w:rPr>
          <w:rFonts w:hint="eastAsia" w:ascii="宋体" w:hAnsi="宋体" w:eastAsia="宋体" w:cs="宋体"/>
          <w:b/>
          <w:color w:val="auto"/>
          <w:kern w:val="2"/>
          <w:sz w:val="32"/>
          <w:szCs w:val="32"/>
          <w:highlight w:val="none"/>
        </w:rPr>
        <w:t>第五章 评审标准</w:t>
      </w:r>
      <w:bookmarkEnd w:id="89"/>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outlineLvl w:val="0"/>
        <w:rPr>
          <w:rFonts w:hint="eastAsia" w:ascii="宋体" w:hAnsi="宋体" w:eastAsia="宋体" w:cs="宋体"/>
          <w:b/>
          <w:color w:val="auto"/>
          <w:kern w:val="2"/>
          <w:sz w:val="32"/>
          <w:szCs w:val="32"/>
          <w:highlight w:val="none"/>
        </w:rPr>
      </w:pPr>
    </w:p>
    <w:p>
      <w:pPr>
        <w:pStyle w:val="12"/>
        <w:keepNext w:val="0"/>
        <w:keepLines w:val="0"/>
        <w:pageBreakBefore w:val="0"/>
        <w:widowControl w:val="0"/>
        <w:kinsoku/>
        <w:wordWrap/>
        <w:overflowPunct/>
        <w:topLinePunct w:val="0"/>
        <w:autoSpaceDE/>
        <w:autoSpaceDN/>
        <w:bidi w:val="0"/>
        <w:adjustRightInd/>
        <w:snapToGrid/>
        <w:spacing w:after="0" w:line="288" w:lineRule="auto"/>
        <w:ind w:left="0" w:leftChars="0" w:firstLine="480" w:firstLineChars="200"/>
        <w:textAlignment w:val="baseline"/>
        <w:outlineLvl w:val="9"/>
        <w:rPr>
          <w:rFonts w:hint="eastAsia" w:ascii="宋体" w:hAnsi="宋体" w:eastAsia="宋体" w:cs="宋体"/>
          <w:color w:val="auto"/>
          <w:sz w:val="21"/>
          <w:highlight w:val="none"/>
        </w:rPr>
      </w:pPr>
      <w:bookmarkStart w:id="90" w:name="OLE_LINK1"/>
      <w:bookmarkStart w:id="91" w:name="OLE_LINK2"/>
      <w:r>
        <w:rPr>
          <w:rFonts w:hint="eastAsia" w:ascii="宋体" w:hAnsi="宋体" w:eastAsia="宋体" w:cs="宋体"/>
          <w:color w:val="auto"/>
          <w:szCs w:val="28"/>
          <w:highlight w:val="none"/>
        </w:rPr>
        <w:t xml:space="preserve"> </w:t>
      </w:r>
      <w:bookmarkEnd w:id="86"/>
      <w:bookmarkEnd w:id="87"/>
      <w:bookmarkEnd w:id="88"/>
      <w:bookmarkEnd w:id="90"/>
      <w:bookmarkEnd w:id="91"/>
      <w:r>
        <w:rPr>
          <w:rFonts w:hint="eastAsia" w:ascii="宋体" w:hAnsi="宋体" w:eastAsia="宋体" w:cs="宋体"/>
          <w:color w:val="auto"/>
          <w:sz w:val="21"/>
          <w:highlight w:val="none"/>
        </w:rPr>
        <w:t>本办法严格遵照《中华人民共和国政府采购法》、《中华人民共和国政府采购法实施条例》、《政府采购竞争性磋商采购方式管理暂行办法》，结合项目所在地政府有关政府采购规定和项目的实际情况制定。</w:t>
      </w:r>
    </w:p>
    <w:p>
      <w:pPr>
        <w:keepNext w:val="0"/>
        <w:keepLines w:val="0"/>
        <w:pageBreakBefore w:val="0"/>
        <w:widowControl w:val="0"/>
        <w:kinsoku/>
        <w:wordWrap/>
        <w:overflowPunct/>
        <w:topLinePunct w:val="0"/>
        <w:autoSpaceDE/>
        <w:autoSpaceDN/>
        <w:bidi w:val="0"/>
        <w:adjustRightInd/>
        <w:snapToGrid/>
        <w:spacing w:line="288" w:lineRule="auto"/>
        <w:textAlignment w:val="baseline"/>
        <w:outlineLvl w:val="9"/>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一. 总则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baseline"/>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本次磋商遵循公平、公正、科学、择优的原则依法进行，磋商活动及当事人接受依法实施的监督。本次磋商采用综合评分法。</w:t>
      </w:r>
    </w:p>
    <w:p>
      <w:pPr>
        <w:keepNext w:val="0"/>
        <w:keepLines w:val="0"/>
        <w:pageBreakBefore w:val="0"/>
        <w:widowControl w:val="0"/>
        <w:kinsoku/>
        <w:wordWrap/>
        <w:overflowPunct/>
        <w:topLinePunct w:val="0"/>
        <w:autoSpaceDE/>
        <w:autoSpaceDN/>
        <w:bidi w:val="0"/>
        <w:adjustRightInd/>
        <w:snapToGrid/>
        <w:spacing w:line="288" w:lineRule="auto"/>
        <w:textAlignment w:val="baseline"/>
        <w:outlineLvl w:val="9"/>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二. 磋商程序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288" w:lineRule="auto"/>
        <w:textAlignment w:val="baseline"/>
        <w:outlineLvl w:val="9"/>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 xml:space="preserve">    详见第二章供应商须知 四、磋商程序</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baseline"/>
        <w:outlineLvl w:val="9"/>
        <w:rPr>
          <w:rFonts w:hint="eastAsia" w:ascii="宋体" w:hAnsi="宋体" w:eastAsia="宋体" w:cs="宋体"/>
          <w:b/>
          <w:bCs/>
          <w:color w:val="auto"/>
          <w:sz w:val="21"/>
          <w:highlight w:val="none"/>
        </w:rPr>
      </w:pPr>
      <w:r>
        <w:rPr>
          <w:rFonts w:hint="eastAsia" w:hAnsi="宋体" w:eastAsia="宋体" w:cs="宋体"/>
          <w:b/>
          <w:bCs/>
          <w:color w:val="auto"/>
          <w:sz w:val="21"/>
          <w:highlight w:val="none"/>
          <w:lang w:val="en-US" w:eastAsia="zh-CN"/>
        </w:rPr>
        <w:t>三．</w:t>
      </w:r>
      <w:r>
        <w:rPr>
          <w:rFonts w:hint="eastAsia" w:ascii="宋体" w:hAnsi="宋体" w:eastAsia="宋体" w:cs="宋体"/>
          <w:b/>
          <w:bCs/>
          <w:color w:val="auto"/>
          <w:sz w:val="21"/>
          <w:highlight w:val="none"/>
        </w:rPr>
        <w:t>评审程序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288" w:lineRule="auto"/>
        <w:ind w:firstLine="420"/>
        <w:textAlignment w:val="baseline"/>
        <w:outlineLvl w:val="9"/>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详见第二章供应商须知 五、评审</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288" w:lineRule="auto"/>
        <w:ind w:firstLine="420"/>
        <w:textAlignment w:val="baseline"/>
        <w:outlineLvl w:val="9"/>
        <w:rPr>
          <w:rFonts w:hint="eastAsia" w:ascii="宋体" w:hAnsi="宋体" w:eastAsia="宋体" w:cs="宋体"/>
          <w:color w:val="auto"/>
          <w:kern w:val="2"/>
          <w:sz w:val="21"/>
          <w:highlight w:val="none"/>
        </w:rPr>
      </w:pPr>
    </w:p>
    <w:p>
      <w:pPr>
        <w:pageBreakBefore w:val="0"/>
        <w:numPr>
          <w:ilvl w:val="0"/>
          <w:numId w:val="8"/>
        </w:numPr>
        <w:kinsoku/>
        <w:wordWrap/>
        <w:overflowPunct/>
        <w:topLinePunct w:val="0"/>
        <w:autoSpaceDE/>
        <w:autoSpaceDN/>
        <w:bidi w:val="0"/>
        <w:spacing w:line="276" w:lineRule="auto"/>
        <w:outlineLvl w:val="9"/>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评分标准</w:t>
      </w:r>
    </w:p>
    <w:tbl>
      <w:tblPr>
        <w:tblStyle w:val="18"/>
        <w:tblpPr w:leftFromText="180" w:rightFromText="180" w:vertAnchor="text" w:horzAnchor="page" w:tblpX="895" w:tblpY="527"/>
        <w:tblOverlap w:val="never"/>
        <w:tblW w:w="10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116"/>
        <w:gridCol w:w="7304"/>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06" w:type="dxa"/>
            <w:gridSpan w:val="2"/>
            <w:vAlign w:val="center"/>
          </w:tcPr>
          <w:p>
            <w:pPr>
              <w:ind w:firstLine="315" w:firstLineChars="150"/>
              <w:jc w:val="cente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考核项目</w:t>
            </w:r>
          </w:p>
        </w:tc>
        <w:tc>
          <w:tcPr>
            <w:tcW w:w="7304" w:type="dxa"/>
            <w:vAlign w:val="center"/>
          </w:tcPr>
          <w:p>
            <w:pPr>
              <w:ind w:firstLine="315" w:firstLineChars="150"/>
              <w:jc w:val="cente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评分标准</w:t>
            </w:r>
          </w:p>
        </w:tc>
        <w:tc>
          <w:tcPr>
            <w:tcW w:w="743" w:type="dxa"/>
            <w:vAlign w:val="center"/>
          </w:tcPr>
          <w:p>
            <w:pPr>
              <w:jc w:val="cente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290" w:type="dxa"/>
            <w:vAlign w:val="center"/>
          </w:tcPr>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投标报价分</w:t>
            </w:r>
          </w:p>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（30分）</w:t>
            </w:r>
          </w:p>
        </w:tc>
        <w:tc>
          <w:tcPr>
            <w:tcW w:w="8420" w:type="dxa"/>
            <w:gridSpan w:val="2"/>
            <w:tcBorders>
              <w:bottom w:val="single" w:color="auto" w:sz="4" w:space="0"/>
            </w:tcBorders>
            <w:vAlign w:val="center"/>
          </w:tcPr>
          <w:tbl>
            <w:tblPr>
              <w:tblStyle w:val="18"/>
              <w:tblpPr w:leftFromText="180" w:rightFromText="180" w:vertAnchor="text" w:horzAnchor="page" w:tblpX="1335" w:tblpY="-2157"/>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trPr>
              <w:tc>
                <w:tcPr>
                  <w:tcW w:w="8441" w:type="dxa"/>
                  <w:tcBorders>
                    <w:top w:val="single" w:color="auto" w:sz="2" w:space="0"/>
                    <w:left w:val="single" w:color="auto" w:sz="2" w:space="0"/>
                    <w:right w:val="single" w:color="auto" w:sz="2" w:space="0"/>
                  </w:tcBorders>
                  <w:vAlign w:val="center"/>
                </w:tcPr>
                <w:p>
                  <w:pPr>
                    <w:ind w:left="210" w:leftChars="75" w:firstLine="0" w:firstLineChars="0"/>
                    <w:rPr>
                      <w:rFonts w:hint="eastAsia" w:hAnsi="宋体" w:eastAsia="宋体" w:cs="宋体"/>
                      <w:color w:val="auto"/>
                      <w:sz w:val="21"/>
                      <w:highlight w:val="none"/>
                    </w:rPr>
                  </w:pPr>
                  <w:r>
                    <w:rPr>
                      <w:rFonts w:hint="eastAsia" w:hAnsi="宋体" w:eastAsia="宋体" w:cs="宋体"/>
                      <w:color w:val="auto"/>
                      <w:sz w:val="21"/>
                      <w:highlight w:val="none"/>
                    </w:rPr>
                    <w:t>评标基准价=满足招标文件要求且参与评审的价格中最低的价格为评标基准价，评标基准价得分为满分</w:t>
                  </w:r>
                  <w:r>
                    <w:rPr>
                      <w:rFonts w:hint="eastAsia" w:hAnsi="宋体" w:eastAsia="宋体" w:cs="宋体"/>
                      <w:color w:val="auto"/>
                      <w:sz w:val="21"/>
                      <w:highlight w:val="none"/>
                      <w:lang w:val="en-US" w:eastAsia="zh-CN"/>
                    </w:rPr>
                    <w:t>30</w:t>
                  </w:r>
                  <w:r>
                    <w:rPr>
                      <w:rFonts w:hint="eastAsia" w:hAnsi="宋体" w:eastAsia="宋体" w:cs="宋体"/>
                      <w:color w:val="auto"/>
                      <w:sz w:val="21"/>
                      <w:highlight w:val="none"/>
                    </w:rPr>
                    <w:t>分。</w:t>
                  </w:r>
                </w:p>
                <w:p>
                  <w:pPr>
                    <w:ind w:left="210" w:leftChars="75" w:firstLine="0" w:firstLineChars="0"/>
                    <w:rPr>
                      <w:rFonts w:hint="eastAsia" w:hAnsi="宋体" w:eastAsia="宋体" w:cs="宋体"/>
                      <w:color w:val="auto"/>
                      <w:sz w:val="21"/>
                      <w:highlight w:val="none"/>
                    </w:rPr>
                  </w:pPr>
                  <w:r>
                    <w:rPr>
                      <w:rFonts w:hint="eastAsia" w:hAnsi="宋体" w:eastAsia="宋体" w:cs="宋体"/>
                      <w:color w:val="auto"/>
                      <w:sz w:val="21"/>
                      <w:highlight w:val="none"/>
                    </w:rPr>
                    <w:t>投标报价得分=（评标基准价/参与评审的价格）×</w:t>
                  </w:r>
                  <w:r>
                    <w:rPr>
                      <w:rFonts w:hint="eastAsia" w:hAnsi="宋体" w:eastAsia="宋体" w:cs="宋体"/>
                      <w:color w:val="auto"/>
                      <w:sz w:val="21"/>
                      <w:highlight w:val="none"/>
                      <w:lang w:val="en-US" w:eastAsia="zh-CN"/>
                    </w:rPr>
                    <w:t>3</w:t>
                  </w:r>
                  <w:r>
                    <w:rPr>
                      <w:rFonts w:hint="eastAsia" w:hAnsi="宋体" w:eastAsia="宋体" w:cs="宋体"/>
                      <w:color w:val="auto"/>
                      <w:sz w:val="21"/>
                      <w:highlight w:val="none"/>
                    </w:rPr>
                    <w:t>0%×100。</w:t>
                  </w:r>
                </w:p>
                <w:p>
                  <w:pPr>
                    <w:ind w:left="210" w:leftChars="75" w:firstLine="0" w:firstLineChars="0"/>
                    <w:rPr>
                      <w:rFonts w:hint="eastAsia" w:hAnsi="宋体" w:eastAsia="宋体" w:cs="宋体"/>
                      <w:color w:val="auto"/>
                      <w:sz w:val="21"/>
                      <w:highlight w:val="none"/>
                    </w:rPr>
                  </w:pPr>
                  <w:r>
                    <w:rPr>
                      <w:rFonts w:hint="eastAsia" w:hAnsi="宋体" w:eastAsia="宋体" w:cs="宋体"/>
                      <w:color w:val="auto"/>
                      <w:sz w:val="21"/>
                      <w:highlight w:val="none"/>
                    </w:rPr>
                    <w:t>投标报价得分以四舍五入保留小数点后两位。</w:t>
                  </w:r>
                </w:p>
                <w:p>
                  <w:pPr>
                    <w:ind w:left="210" w:leftChars="75" w:firstLine="0" w:firstLineChars="0"/>
                    <w:rPr>
                      <w:rFonts w:hAnsi="宋体" w:eastAsia="宋体" w:cs="宋体"/>
                      <w:color w:val="auto"/>
                      <w:sz w:val="21"/>
                      <w:highlight w:val="none"/>
                    </w:rPr>
                  </w:pPr>
                  <w:r>
                    <w:rPr>
                      <w:rFonts w:hint="eastAsia" w:hAnsi="宋体" w:eastAsia="宋体" w:cs="宋体"/>
                      <w:color w:val="auto"/>
                      <w:sz w:val="21"/>
                      <w:highlight w:val="none"/>
                    </w:rPr>
                    <w:t>注：1、本次采购为非专门面向中小企业，根据《政府采购促进中小企业发展暂行办法》（财库[2011]181号）的规定，对小型和微型企业产品的价格给予20%的扣除，用扣除后的价格作为投标价格参与评审。</w:t>
                  </w:r>
                </w:p>
                <w:p>
                  <w:pPr>
                    <w:ind w:left="210" w:leftChars="75" w:firstLine="0" w:firstLineChars="0"/>
                    <w:rPr>
                      <w:rFonts w:hAnsi="宋体" w:eastAsia="宋体" w:cs="宋体"/>
                      <w:color w:val="auto"/>
                      <w:kern w:val="2"/>
                      <w:sz w:val="21"/>
                      <w:highlight w:val="none"/>
                    </w:rPr>
                  </w:pPr>
                  <w:r>
                    <w:rPr>
                      <w:rFonts w:hint="eastAsia" w:hAnsi="宋体" w:eastAsia="宋体" w:cs="宋体"/>
                      <w:color w:val="auto"/>
                      <w:sz w:val="21"/>
                      <w:highlight w:val="none"/>
                    </w:rPr>
                    <w:t>2、根据《财政部司法部关于政法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tc>
            </w:tr>
          </w:tbl>
          <w:p>
            <w:pPr>
              <w:pStyle w:val="12"/>
              <w:keepNext w:val="0"/>
              <w:keepLines w:val="0"/>
              <w:pageBreakBefore w:val="0"/>
              <w:widowControl w:val="0"/>
              <w:kinsoku/>
              <w:wordWrap/>
              <w:overflowPunct/>
              <w:topLinePunct w:val="0"/>
              <w:autoSpaceDE/>
              <w:autoSpaceDN/>
              <w:bidi w:val="0"/>
              <w:adjustRightInd/>
              <w:snapToGrid/>
              <w:spacing w:after="0" w:line="288" w:lineRule="auto"/>
              <w:ind w:left="0" w:leftChars="0" w:firstLine="0" w:firstLineChars="0"/>
              <w:textAlignment w:val="baseline"/>
              <w:outlineLvl w:val="9"/>
              <w:rPr>
                <w:rFonts w:hint="eastAsia" w:ascii="Times New Roman" w:hAnsi="宋体" w:eastAsia="宋体" w:cs="Times New Roman"/>
                <w:sz w:val="21"/>
                <w:szCs w:val="21"/>
                <w:highlight w:val="none"/>
                <w:lang w:val="en-US" w:eastAsia="zh-CN" w:bidi="ar-SA"/>
              </w:rPr>
            </w:pP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90" w:type="dxa"/>
            <w:vMerge w:val="restart"/>
            <w:tcBorders>
              <w:right w:val="single" w:color="auto" w:sz="4" w:space="0"/>
            </w:tcBorders>
            <w:vAlign w:val="center"/>
          </w:tcPr>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技术、商务分</w:t>
            </w:r>
          </w:p>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（70分）</w:t>
            </w:r>
          </w:p>
          <w:p>
            <w:pPr>
              <w:ind w:firstLine="315" w:firstLineChars="150"/>
              <w:rPr>
                <w:rFonts w:hint="eastAsia" w:ascii="Times New Roman" w:hAnsi="宋体" w:eastAsia="宋体" w:cs="Times New Roman"/>
                <w:sz w:val="21"/>
                <w:szCs w:val="21"/>
                <w:highlight w:val="none"/>
                <w:lang w:val="en-US" w:eastAsia="zh-CN" w:bidi="ar-SA"/>
              </w:rPr>
            </w:pPr>
          </w:p>
        </w:tc>
        <w:tc>
          <w:tcPr>
            <w:tcW w:w="1116" w:type="dxa"/>
            <w:tcBorders>
              <w:top w:val="single" w:color="auto" w:sz="4" w:space="0"/>
              <w:left w:val="single" w:color="auto" w:sz="4" w:space="0"/>
              <w:bottom w:val="single" w:color="auto" w:sz="4" w:space="0"/>
            </w:tcBorders>
            <w:vAlign w:val="center"/>
          </w:tcPr>
          <w:p>
            <w:pPr>
              <w:jc w:val="left"/>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设备参数响应程度</w:t>
            </w:r>
          </w:p>
        </w:tc>
        <w:tc>
          <w:tcPr>
            <w:tcW w:w="7304" w:type="dxa"/>
            <w:tcBorders>
              <w:top w:val="single" w:color="auto" w:sz="4" w:space="0"/>
              <w:bottom w:val="single" w:color="auto" w:sz="4" w:space="0"/>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投标产品可靠、先进、技术资料完整，设备配置等应符合招标文件要求，若投标方对任何一项标有★的指标未响应或不满足，将按无效标处理；招标文件中标有▲的指标每负偏离一项扣1.5分，其他指标每负偏离一项，将被扣0.5分，扣完为止。</w:t>
            </w:r>
          </w:p>
        </w:tc>
        <w:tc>
          <w:tcPr>
            <w:tcW w:w="743" w:type="dxa"/>
            <w:tcBorders>
              <w:left w:val="single" w:color="auto" w:sz="4" w:space="0"/>
            </w:tcBorders>
            <w:vAlign w:val="center"/>
          </w:tcPr>
          <w:p>
            <w:pPr>
              <w:ind w:firstLine="210" w:firstLineChars="100"/>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tcBorders>
              <w:top w:val="single" w:color="auto" w:sz="4" w:space="0"/>
              <w:left w:val="single" w:color="auto" w:sz="4" w:space="0"/>
              <w:bottom w:val="single" w:color="auto" w:sz="4" w:space="0"/>
            </w:tcBorders>
            <w:vAlign w:val="center"/>
          </w:tcPr>
          <w:p>
            <w:pPr>
              <w:jc w:val="left"/>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公司资质</w:t>
            </w:r>
          </w:p>
        </w:tc>
        <w:tc>
          <w:tcPr>
            <w:tcW w:w="7304" w:type="dxa"/>
            <w:tcBorders>
              <w:top w:val="single" w:color="auto" w:sz="4" w:space="0"/>
              <w:bottom w:val="single" w:color="auto" w:sz="4" w:space="0"/>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具有省安全技术防范行业资信等级证书贰级得 1分，壹级得2分；具有ITSS信息技术服务运行维护能力成熟度（二级及以上）证书得 1 分；具有ISO27001信息安全管理体系认证证书得1分，具有ISO22301业务连续性管理体系认证证书得1分，具有信息安全服务资质（二级及以上）证书得1分。（需提供相关证明文件复印件加盖公章编入投标文件，否则不得分）。</w:t>
            </w:r>
          </w:p>
        </w:tc>
        <w:tc>
          <w:tcPr>
            <w:tcW w:w="743" w:type="dxa"/>
            <w:tcBorders>
              <w:lef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90" w:type="dxa"/>
            <w:vMerge w:val="continue"/>
            <w:tcBorders>
              <w:right w:val="single" w:color="auto" w:sz="4" w:space="0"/>
            </w:tcBorders>
            <w:vAlign w:val="center"/>
          </w:tcPr>
          <w:p>
            <w:pPr>
              <w:rPr>
                <w:rFonts w:hint="eastAsia" w:ascii="Times New Roman" w:hAnsi="宋体" w:eastAsia="宋体" w:cs="Times New Roman"/>
                <w:sz w:val="21"/>
                <w:szCs w:val="21"/>
                <w:highlight w:val="none"/>
                <w:lang w:val="en-US" w:eastAsia="zh-CN" w:bidi="ar-SA"/>
              </w:rPr>
            </w:pPr>
          </w:p>
        </w:tc>
        <w:tc>
          <w:tcPr>
            <w:tcW w:w="1116" w:type="dxa"/>
            <w:tcBorders>
              <w:top w:val="single" w:color="auto" w:sz="4" w:space="0"/>
            </w:tcBorders>
            <w:vAlign w:val="center"/>
          </w:tcPr>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授权书</w:t>
            </w:r>
          </w:p>
        </w:tc>
        <w:tc>
          <w:tcPr>
            <w:tcW w:w="7304" w:type="dxa"/>
            <w:tcBorders>
              <w:top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提供红外高清摄像机、抓拍摄像机、分析一体机、防火墙、汇聚交换机原厂针对此项目的授权书扫描件或复印件加盖公章编入投标文件的得5分，否则不得分。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restart"/>
            <w:vAlign w:val="center"/>
          </w:tcPr>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系统技术方案</w:t>
            </w:r>
          </w:p>
        </w:tc>
        <w:tc>
          <w:tcPr>
            <w:tcW w:w="7304" w:type="dxa"/>
            <w:vAlign w:val="center"/>
          </w:tcPr>
          <w:p>
            <w:pPr>
              <w:ind w:firstLine="315" w:firstLineChars="150"/>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1.对整个项目有整体把握，并对现状有充分调研和分析，要有详细的项目施工图、施工方案等进行综合打分。0-4分</w:t>
            </w:r>
          </w:p>
        </w:tc>
        <w:tc>
          <w:tcPr>
            <w:tcW w:w="743" w:type="dxa"/>
            <w:vAlign w:val="center"/>
          </w:tcPr>
          <w:p>
            <w:pPr>
              <w:ind w:firstLine="315" w:firstLineChars="150"/>
              <w:jc w:val="both"/>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vAlign w:val="center"/>
          </w:tcPr>
          <w:p>
            <w:pPr>
              <w:rPr>
                <w:rFonts w:hint="eastAsia" w:ascii="Times New Roman" w:hAnsi="宋体" w:eastAsia="宋体" w:cs="Times New Roman"/>
                <w:sz w:val="21"/>
                <w:szCs w:val="21"/>
                <w:highlight w:val="none"/>
                <w:lang w:val="en-US" w:eastAsia="zh-CN" w:bidi="ar-SA"/>
              </w:rPr>
            </w:pP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2.技术方案规划全面、先进、合理，融合对未来应用的思考，针对系统实际需求、对系统做合理规划，配置实际可行等内容进行综合打分。0-4分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restart"/>
            <w:vAlign w:val="center"/>
          </w:tcPr>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工程实施方案</w:t>
            </w: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1.对用户实际需求熟悉，项目实施有详尽的合理规划和组织方案，有合理的测试计划进行综合打分。0-3分。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vAlign w:val="center"/>
          </w:tcPr>
          <w:p>
            <w:pPr>
              <w:rPr>
                <w:rFonts w:hint="eastAsia" w:ascii="Times New Roman" w:hAnsi="宋体" w:eastAsia="宋体" w:cs="Times New Roman"/>
                <w:sz w:val="21"/>
                <w:szCs w:val="21"/>
                <w:highlight w:val="none"/>
                <w:lang w:val="en-US" w:eastAsia="zh-CN" w:bidi="ar-SA"/>
              </w:rPr>
            </w:pP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2.竣工验收方案全面、合理、可操作等内容</w:t>
            </w:r>
            <w:r>
              <w:rPr>
                <w:rFonts w:hint="eastAsia" w:asciiTheme="minorEastAsia" w:hAnsiTheme="minorEastAsia" w:eastAsiaTheme="minorEastAsia" w:cstheme="minorEastAsia"/>
                <w:bCs/>
                <w:color w:val="auto"/>
                <w:sz w:val="21"/>
                <w:szCs w:val="21"/>
                <w:highlight w:val="none"/>
              </w:rPr>
              <w:t>进行综合</w:t>
            </w:r>
            <w:r>
              <w:rPr>
                <w:rFonts w:hint="eastAsia" w:ascii="Times New Roman" w:hAnsi="宋体" w:eastAsia="宋体" w:cs="Times New Roman"/>
                <w:sz w:val="21"/>
                <w:szCs w:val="21"/>
                <w:highlight w:val="none"/>
                <w:lang w:val="en-US" w:eastAsia="zh-CN" w:bidi="ar-SA"/>
              </w:rPr>
              <w:t>打分。0-3分。</w:t>
            </w:r>
          </w:p>
        </w:tc>
        <w:tc>
          <w:tcPr>
            <w:tcW w:w="743" w:type="dxa"/>
            <w:vAlign w:val="center"/>
          </w:tcPr>
          <w:p>
            <w:pPr>
              <w:ind w:firstLine="315" w:firstLineChars="150"/>
              <w:jc w:val="both"/>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Align w:val="center"/>
          </w:tcPr>
          <w:p>
            <w:pPr>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培训计划</w:t>
            </w: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根据投标方培训方案完整性、培训计划合理性等方面进行综合打分。0-3分。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restart"/>
            <w:vAlign w:val="center"/>
          </w:tcPr>
          <w:p>
            <w:pPr>
              <w:jc w:val="center"/>
              <w:rPr>
                <w:rFonts w:hint="eastAsia"/>
                <w:lang w:val="en-US" w:eastAsia="zh-CN"/>
              </w:rPr>
            </w:pPr>
            <w:r>
              <w:rPr>
                <w:rFonts w:hint="eastAsia" w:hAnsi="宋体" w:eastAsia="宋体" w:cs="宋体"/>
                <w:color w:val="auto"/>
                <w:sz w:val="21"/>
                <w:lang w:val="en-US" w:eastAsia="zh-CN"/>
              </w:rPr>
              <w:t>售后服务</w:t>
            </w:r>
          </w:p>
        </w:tc>
        <w:tc>
          <w:tcPr>
            <w:tcW w:w="7304" w:type="dxa"/>
            <w:vAlign w:val="center"/>
          </w:tcPr>
          <w:p>
            <w:pPr>
              <w:ind w:firstLine="315" w:firstLineChars="150"/>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1.投标人具备信息系统集成及服务资质（二级及以上）证书的得2分。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2.根据投标人对服务承诺的保障措施，提供免费上门维护，对故障响应，解决问题所采取的措施等情况进行综合打分。0-3分。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3.具备专项登高车在3辆及以上且运维车辆2辆及以上得2分，数量达不到不得分（车辆均需提供有效行驶证复印件加盖投标人公章，如车辆租赁的需提供租赁协议）。</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4.人员资质：拟投入本项目人员数量、人员经验、资质等情况进行综合打分，由评委酌情打分。0-5分</w:t>
            </w:r>
          </w:p>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注：提供投标人为拟派人员缴纳开标前近三个月的社保证明材料复印件，相关证明均应加盖投标人公章，未提供的不得分。</w:t>
            </w:r>
          </w:p>
        </w:tc>
        <w:tc>
          <w:tcPr>
            <w:tcW w:w="743" w:type="dxa"/>
            <w:vAlign w:val="center"/>
          </w:tcPr>
          <w:p>
            <w:pPr>
              <w:ind w:firstLine="315" w:firstLineChars="150"/>
              <w:jc w:val="both"/>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7304" w:type="dxa"/>
            <w:vAlign w:val="center"/>
          </w:tcPr>
          <w:p>
            <w:pPr>
              <w:ind w:firstLine="315" w:firstLineChars="150"/>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5.</w:t>
            </w:r>
            <w:r>
              <w:rPr>
                <w:rFonts w:hint="eastAsia" w:ascii="宋体" w:hAnsi="宋体" w:eastAsia="宋体" w:cs="宋体"/>
                <w:color w:val="auto"/>
                <w:kern w:val="0"/>
                <w:sz w:val="21"/>
                <w:szCs w:val="21"/>
              </w:rPr>
              <w:t>由评委专家根据投标人在浙江省范围内售后服务机构的实力，包括数量、分布情况</w:t>
            </w:r>
            <w:r>
              <w:rPr>
                <w:rFonts w:hint="eastAsia" w:hAnsi="宋体" w:eastAsia="宋体" w:cs="宋体"/>
                <w:color w:val="auto"/>
                <w:kern w:val="0"/>
                <w:sz w:val="21"/>
                <w:szCs w:val="21"/>
                <w:lang w:eastAsia="zh-CN"/>
              </w:rPr>
              <w:t>、</w:t>
            </w:r>
            <w:r>
              <w:rPr>
                <w:rFonts w:hint="eastAsia" w:ascii="宋体" w:hAnsi="宋体" w:eastAsia="宋体" w:cs="宋体"/>
                <w:color w:val="auto"/>
                <w:kern w:val="0"/>
                <w:sz w:val="21"/>
                <w:szCs w:val="21"/>
              </w:rPr>
              <w:t>免费保修期外服务方案、其它服务承诺等</w:t>
            </w:r>
            <w:r>
              <w:rPr>
                <w:rFonts w:hint="eastAsia" w:hAnsi="宋体" w:eastAsia="宋体" w:cs="宋体"/>
                <w:color w:val="auto"/>
                <w:kern w:val="0"/>
                <w:sz w:val="21"/>
                <w:szCs w:val="21"/>
                <w:lang w:val="en-US" w:eastAsia="zh-CN"/>
              </w:rPr>
              <w:t>进行综合打分。</w:t>
            </w:r>
          </w:p>
        </w:tc>
        <w:tc>
          <w:tcPr>
            <w:tcW w:w="743" w:type="dxa"/>
            <w:vAlign w:val="center"/>
          </w:tcPr>
          <w:p>
            <w:pPr>
              <w:ind w:firstLine="315" w:firstLineChars="150"/>
              <w:jc w:val="both"/>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Align w:val="center"/>
          </w:tcPr>
          <w:p>
            <w:pPr>
              <w:jc w:val="center"/>
              <w:rPr>
                <w:rFonts w:hint="eastAsia"/>
                <w:lang w:val="en-US" w:eastAsia="zh-CN"/>
              </w:rPr>
            </w:pPr>
            <w:r>
              <w:rPr>
                <w:rFonts w:hint="eastAsia" w:hAnsi="宋体" w:eastAsia="宋体" w:cs="宋体"/>
                <w:color w:val="auto"/>
                <w:sz w:val="21"/>
                <w:lang w:val="en-US" w:eastAsia="zh-CN"/>
              </w:rPr>
              <w:t>售后服务方案</w:t>
            </w: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由评委根据投标人的售后服务承诺和维保方案进行综合打分。（包括但不限于视频监控调度中心、运维平台软件、维保方案详细完善，能够很好地满足售后服务要求等方面）。0-5分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Align w:val="center"/>
          </w:tcPr>
          <w:p>
            <w:pPr>
              <w:jc w:val="center"/>
              <w:rPr>
                <w:rFonts w:hint="eastAsia"/>
                <w:lang w:val="en-US" w:eastAsia="zh-CN"/>
              </w:rPr>
            </w:pPr>
            <w:r>
              <w:rPr>
                <w:rFonts w:hint="eastAsia" w:hAnsi="宋体" w:eastAsia="宋体" w:cs="宋体"/>
                <w:color w:val="auto"/>
                <w:sz w:val="21"/>
                <w:lang w:val="en-US" w:eastAsia="zh-CN"/>
              </w:rPr>
              <w:t>备品备件</w:t>
            </w:r>
          </w:p>
        </w:tc>
        <w:tc>
          <w:tcPr>
            <w:tcW w:w="7304" w:type="dxa"/>
            <w:vAlign w:val="center"/>
          </w:tcPr>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备品备件齐全，能够满足售后服务要求的，由评委进行综合打分。0-3分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Align w:val="center"/>
          </w:tcPr>
          <w:p>
            <w:pPr>
              <w:jc w:val="center"/>
              <w:rPr>
                <w:rFonts w:hint="eastAsia"/>
                <w:lang w:val="en-US" w:eastAsia="zh-CN"/>
              </w:rPr>
            </w:pPr>
            <w:r>
              <w:rPr>
                <w:rFonts w:hint="eastAsia" w:hAnsi="宋体" w:eastAsia="宋体" w:cs="宋体"/>
                <w:color w:val="auto"/>
                <w:sz w:val="21"/>
                <w:lang w:val="en-US" w:eastAsia="zh-CN"/>
              </w:rPr>
              <w:t>业绩</w:t>
            </w:r>
          </w:p>
        </w:tc>
        <w:tc>
          <w:tcPr>
            <w:tcW w:w="7304" w:type="dxa"/>
            <w:vAlign w:val="center"/>
          </w:tcPr>
          <w:p>
            <w:pPr>
              <w:ind w:firstLine="315" w:firstLineChars="150"/>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投标人提供2020年1月1日以来与本次项目相关的视频监控类业绩的合同，每提供一份合同得1分，最多得2分。</w:t>
            </w:r>
          </w:p>
          <w:p>
            <w:pPr>
              <w:ind w:firstLine="315" w:firstLineChars="150"/>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（以提供的合同为准，要求合同必须提供与最终用户签订的合同首页、合同完整金额所在页、签字盖章页复印件作为证明，缺项不得分。）</w:t>
            </w:r>
          </w:p>
        </w:tc>
        <w:tc>
          <w:tcPr>
            <w:tcW w:w="743" w:type="dxa"/>
            <w:vAlign w:val="center"/>
          </w:tcPr>
          <w:p>
            <w:pPr>
              <w:ind w:firstLine="315" w:firstLineChars="150"/>
              <w:jc w:val="both"/>
              <w:rPr>
                <w:rFonts w:hint="eastAsia"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90" w:type="dxa"/>
            <w:vMerge w:val="continue"/>
            <w:tcBorders>
              <w:right w:val="single" w:color="auto" w:sz="4" w:space="0"/>
            </w:tcBorders>
            <w:vAlign w:val="center"/>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restart"/>
            <w:vAlign w:val="center"/>
          </w:tcPr>
          <w:p>
            <w:pPr>
              <w:jc w:val="center"/>
              <w:rPr>
                <w:rFonts w:hint="eastAsia" w:ascii="宋体" w:hAnsi="宋体" w:eastAsia="宋体" w:cs="宋体"/>
                <w:color w:val="auto"/>
                <w:sz w:val="21"/>
                <w:szCs w:val="21"/>
                <w:lang w:val="en-US" w:eastAsia="zh-CN" w:bidi="ar-SA"/>
              </w:rPr>
            </w:pPr>
            <w:r>
              <w:rPr>
                <w:rFonts w:hint="eastAsia" w:hAnsi="宋体" w:eastAsia="宋体" w:cs="宋体"/>
                <w:color w:val="auto"/>
                <w:sz w:val="21"/>
              </w:rPr>
              <w:t>节能环保</w:t>
            </w:r>
          </w:p>
        </w:tc>
        <w:tc>
          <w:tcPr>
            <w:tcW w:w="7304" w:type="dxa"/>
            <w:vAlign w:val="center"/>
          </w:tcPr>
          <w:p>
            <w:pPr>
              <w:spacing w:line="420" w:lineRule="exact"/>
              <w:ind w:firstLine="420" w:firstLineChars="200"/>
              <w:rPr>
                <w:rFonts w:hint="eastAsia" w:ascii="宋体" w:hAnsi="宋体" w:eastAsia="宋体" w:cs="宋体"/>
                <w:color w:val="auto"/>
                <w:sz w:val="21"/>
                <w:szCs w:val="21"/>
                <w:lang w:val="en-US" w:eastAsia="zh-CN" w:bidi="ar-SA"/>
              </w:rPr>
            </w:pPr>
            <w:r>
              <w:rPr>
                <w:rFonts w:hint="eastAsia" w:hAnsi="宋体" w:eastAsia="宋体" w:cs="宋体"/>
                <w:color w:val="auto"/>
                <w:sz w:val="21"/>
                <w:lang w:val="en-US" w:eastAsia="zh-CN"/>
              </w:rPr>
              <w:t>1.</w:t>
            </w:r>
            <w:r>
              <w:rPr>
                <w:rFonts w:hint="eastAsia" w:hAnsi="宋体" w:eastAsia="宋体" w:cs="宋体"/>
                <w:color w:val="auto"/>
                <w:sz w:val="21"/>
              </w:rPr>
              <w:t>节能产品：投标产品列入财政部、发展改革委等部门发布的“节能品目清单”，且获得指定认证机构出具的节能产品认证证书的，每项产品得0.5分，</w:t>
            </w:r>
            <w:r>
              <w:rPr>
                <w:rFonts w:hint="eastAsia" w:hAnsi="宋体" w:eastAsia="宋体" w:cs="宋体"/>
                <w:color w:val="auto"/>
                <w:sz w:val="21"/>
                <w:lang w:val="en-US" w:eastAsia="zh-CN"/>
              </w:rPr>
              <w:t>0-</w:t>
            </w:r>
            <w:r>
              <w:rPr>
                <w:rFonts w:hint="eastAsia" w:hAnsi="宋体" w:eastAsia="宋体" w:cs="宋体"/>
                <w:color w:val="auto"/>
                <w:sz w:val="21"/>
              </w:rPr>
              <w:t>1分。（须提供国家确定的认证机构出具的、处于有效期之内的节能产品认证证书复印件，否则不得分。）</w:t>
            </w:r>
          </w:p>
        </w:tc>
        <w:tc>
          <w:tcPr>
            <w:tcW w:w="743" w:type="dxa"/>
            <w:vAlign w:val="center"/>
          </w:tcPr>
          <w:p>
            <w:pPr>
              <w:ind w:firstLine="315" w:firstLineChars="150"/>
              <w:jc w:val="both"/>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90" w:type="dxa"/>
            <w:vMerge w:val="continue"/>
            <w:tcBorders>
              <w:right w:val="single" w:color="auto" w:sz="4" w:space="0"/>
            </w:tcBorders>
          </w:tcPr>
          <w:p>
            <w:pPr>
              <w:ind w:firstLine="315" w:firstLineChars="150"/>
              <w:rPr>
                <w:rFonts w:hint="eastAsia" w:ascii="Times New Roman" w:hAnsi="宋体" w:eastAsia="宋体" w:cs="Times New Roman"/>
                <w:sz w:val="21"/>
                <w:szCs w:val="21"/>
                <w:highlight w:val="none"/>
                <w:lang w:val="en-US" w:eastAsia="zh-CN" w:bidi="ar-SA"/>
              </w:rPr>
            </w:pPr>
          </w:p>
        </w:tc>
        <w:tc>
          <w:tcPr>
            <w:tcW w:w="1116" w:type="dxa"/>
            <w:vMerge w:val="continue"/>
          </w:tcPr>
          <w:p>
            <w:pPr>
              <w:jc w:val="center"/>
              <w:rPr>
                <w:rFonts w:hint="eastAsia" w:ascii="宋体" w:hAnsi="宋体" w:eastAsia="宋体" w:cs="宋体"/>
                <w:color w:val="auto"/>
                <w:sz w:val="21"/>
                <w:szCs w:val="21"/>
                <w:lang w:val="en-US" w:eastAsia="zh-CN" w:bidi="ar-SA"/>
              </w:rPr>
            </w:pPr>
          </w:p>
        </w:tc>
        <w:tc>
          <w:tcPr>
            <w:tcW w:w="7304" w:type="dxa"/>
            <w:vAlign w:val="center"/>
          </w:tcPr>
          <w:p>
            <w:pPr>
              <w:spacing w:line="420" w:lineRule="exact"/>
              <w:ind w:firstLine="420" w:firstLineChars="200"/>
              <w:rPr>
                <w:rFonts w:hint="eastAsia" w:ascii="宋体" w:hAnsi="宋体" w:eastAsia="宋体" w:cs="宋体"/>
                <w:color w:val="auto"/>
                <w:sz w:val="21"/>
                <w:szCs w:val="21"/>
                <w:lang w:val="en-US" w:eastAsia="zh-CN" w:bidi="ar-SA"/>
              </w:rPr>
            </w:pPr>
            <w:r>
              <w:rPr>
                <w:rFonts w:hint="eastAsia" w:hAnsi="宋体" w:eastAsia="宋体" w:cs="宋体"/>
                <w:color w:val="auto"/>
                <w:sz w:val="21"/>
                <w:lang w:val="en-US" w:eastAsia="zh-CN"/>
              </w:rPr>
              <w:t>2.</w:t>
            </w:r>
            <w:r>
              <w:rPr>
                <w:rFonts w:hint="eastAsia" w:hAnsi="宋体" w:eastAsia="宋体" w:cs="宋体"/>
                <w:color w:val="auto"/>
                <w:sz w:val="21"/>
              </w:rPr>
              <w:t>环境标志产品：投标产品列入财政部、生态环境部等部门发布的“环境标志产品品目清单”，且获得指定认证机构出具的环境标志产品认证证书的，每项产品得0.5分，</w:t>
            </w:r>
            <w:r>
              <w:rPr>
                <w:rFonts w:hint="eastAsia" w:hAnsi="宋体" w:eastAsia="宋体" w:cs="宋体"/>
                <w:color w:val="auto"/>
                <w:sz w:val="21"/>
                <w:lang w:val="en-US" w:eastAsia="zh-CN"/>
              </w:rPr>
              <w:t>0-</w:t>
            </w:r>
            <w:r>
              <w:rPr>
                <w:rFonts w:hint="eastAsia" w:hAnsi="宋体" w:eastAsia="宋体" w:cs="宋体"/>
                <w:color w:val="auto"/>
                <w:sz w:val="21"/>
              </w:rPr>
              <w:t>1分。（须提供国家确定的认证机构出具的、处于有效期之内的环境标志产品认证证书复印件，否则不得分。）</w:t>
            </w:r>
          </w:p>
        </w:tc>
        <w:tc>
          <w:tcPr>
            <w:tcW w:w="743" w:type="dxa"/>
            <w:vAlign w:val="center"/>
          </w:tcPr>
          <w:p>
            <w:pPr>
              <w:ind w:firstLine="315" w:firstLineChars="150"/>
              <w:jc w:val="both"/>
              <w:rPr>
                <w:rFonts w:hint="default" w:ascii="Times New Roman" w:hAnsi="宋体" w:eastAsia="宋体" w:cs="Times New Roman"/>
                <w:sz w:val="21"/>
                <w:szCs w:val="21"/>
                <w:highlight w:val="none"/>
                <w:lang w:val="en-US" w:eastAsia="zh-CN" w:bidi="ar-SA"/>
              </w:rPr>
            </w:pPr>
            <w:r>
              <w:rPr>
                <w:rFonts w:hint="eastAsia" w:ascii="Times New Roman" w:hAnsi="宋体" w:eastAsia="宋体" w:cs="Times New Roman"/>
                <w:sz w:val="21"/>
                <w:szCs w:val="21"/>
                <w:highlight w:val="none"/>
                <w:lang w:val="en-US" w:eastAsia="zh-CN" w:bidi="ar-SA"/>
              </w:rPr>
              <w:t>1</w:t>
            </w:r>
          </w:p>
        </w:tc>
      </w:tr>
    </w:tbl>
    <w:p>
      <w:pPr>
        <w:pStyle w:val="2"/>
        <w:numPr>
          <w:ilvl w:val="0"/>
          <w:numId w:val="0"/>
        </w:numPr>
        <w:rPr>
          <w:rFonts w:hint="eastAsia"/>
        </w:rPr>
      </w:pPr>
    </w:p>
    <w:p>
      <w:pPr>
        <w:ind w:firstLine="315" w:firstLineChars="150"/>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t>注：1、小数点后保留一位数。2、各评标委员会成员自行按以上参考分值评分。3、重大事件由评标委员会集体讨论，应当按照少数服从多数的原则作出结论。</w:t>
      </w:r>
    </w:p>
    <w:p>
      <w:pPr>
        <w:keepNext w:val="0"/>
        <w:keepLines w:val="0"/>
        <w:pageBreakBefore w:val="0"/>
        <w:widowControl w:val="0"/>
        <w:kinsoku/>
        <w:wordWrap/>
        <w:overflowPunct/>
        <w:topLinePunct w:val="0"/>
        <w:autoSpaceDE/>
        <w:autoSpaceDN/>
        <w:bidi w:val="0"/>
        <w:adjustRightInd w:val="0"/>
        <w:snapToGrid w:val="0"/>
        <w:spacing w:line="240" w:lineRule="auto"/>
        <w:ind w:left="0" w:hanging="105" w:hangingChars="50"/>
        <w:jc w:val="both"/>
        <w:textAlignment w:val="baseline"/>
        <w:outlineLvl w:val="9"/>
        <w:rPr>
          <w:rFonts w:hint="eastAsia" w:ascii="宋体" w:hAnsi="宋体" w:eastAsia="宋体" w:cs="宋体"/>
          <w:color w:val="auto"/>
          <w:kern w:val="2"/>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hanging="105" w:hangingChars="50"/>
        <w:jc w:val="center"/>
        <w:textAlignment w:val="baseline"/>
        <w:outlineLvl w:val="0"/>
        <w:rPr>
          <w:rFonts w:hint="eastAsia" w:ascii="宋体" w:hAnsi="宋体" w:eastAsia="宋体" w:cs="宋体"/>
          <w:b/>
          <w:color w:val="auto"/>
          <w:highlight w:val="none"/>
        </w:rPr>
      </w:pPr>
      <w:r>
        <w:rPr>
          <w:rFonts w:hint="eastAsia" w:ascii="宋体" w:hAnsi="宋体" w:eastAsia="宋体" w:cs="宋体"/>
          <w:color w:val="auto"/>
          <w:kern w:val="2"/>
          <w:sz w:val="21"/>
          <w:szCs w:val="21"/>
          <w:highlight w:val="none"/>
        </w:rPr>
        <w:br w:type="page"/>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81"/>
      <w:bookmarkEnd w:id="82"/>
      <w:bookmarkStart w:id="92" w:name="_Toc1823"/>
      <w:bookmarkStart w:id="93" w:name="_Toc12702"/>
      <w:r>
        <w:rPr>
          <w:rFonts w:hint="eastAsia" w:ascii="宋体" w:hAnsi="宋体" w:eastAsia="宋体" w:cs="宋体"/>
          <w:b/>
          <w:color w:val="auto"/>
          <w:kern w:val="2"/>
          <w:sz w:val="32"/>
          <w:szCs w:val="32"/>
          <w:highlight w:val="none"/>
          <w:lang w:val="en-US" w:eastAsia="zh-CN" w:bidi="ar-SA"/>
        </w:rPr>
        <w:t>第六章 响应文件格式</w:t>
      </w:r>
      <w:bookmarkEnd w:id="92"/>
      <w:bookmarkEnd w:id="93"/>
    </w:p>
    <w:p>
      <w:pPr>
        <w:pageBreakBefore w:val="0"/>
        <w:kinsoku/>
        <w:wordWrap/>
        <w:overflowPunct/>
        <w:topLinePunct w:val="0"/>
        <w:autoSpaceDE/>
        <w:autoSpaceDN/>
        <w:bidi w:val="0"/>
        <w:snapToGrid w:val="0"/>
        <w:jc w:val="center"/>
        <w:outlineLvl w:val="9"/>
        <w:rPr>
          <w:rFonts w:hint="eastAsia" w:ascii="宋体" w:hAnsi="宋体" w:eastAsia="宋体" w:cs="宋体"/>
          <w:b/>
          <w:color w:val="auto"/>
          <w:sz w:val="21"/>
          <w:highlight w:val="none"/>
        </w:rPr>
      </w:pPr>
      <w:bookmarkStart w:id="94" w:name="_Toc294085997"/>
      <w:bookmarkStart w:id="95" w:name="_Toc294193701"/>
      <w:bookmarkStart w:id="96" w:name="_Toc294085258"/>
    </w:p>
    <w:p>
      <w:pPr>
        <w:pageBreakBefore w:val="0"/>
        <w:kinsoku/>
        <w:wordWrap/>
        <w:overflowPunct/>
        <w:topLinePunct w:val="0"/>
        <w:autoSpaceDE/>
        <w:autoSpaceDN/>
        <w:bidi w:val="0"/>
        <w:snapToGrid w:val="0"/>
        <w:jc w:val="center"/>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一、</w:t>
      </w:r>
      <w:r>
        <w:rPr>
          <w:rFonts w:hint="eastAsia" w:ascii="宋体" w:hAnsi="宋体" w:eastAsia="宋体" w:cs="宋体"/>
          <w:b/>
          <w:color w:val="auto"/>
          <w:sz w:val="21"/>
          <w:highlight w:val="none"/>
          <w:lang w:eastAsia="zh-CN"/>
        </w:rPr>
        <w:t>资格</w:t>
      </w:r>
      <w:r>
        <w:rPr>
          <w:rFonts w:hint="eastAsia" w:hAnsi="宋体" w:eastAsia="宋体" w:cs="宋体"/>
          <w:b/>
          <w:color w:val="auto"/>
          <w:sz w:val="21"/>
          <w:highlight w:val="none"/>
          <w:lang w:eastAsia="zh-CN"/>
        </w:rPr>
        <w:t>、</w:t>
      </w:r>
      <w:r>
        <w:rPr>
          <w:rFonts w:hint="eastAsia" w:hAnsi="宋体" w:eastAsia="宋体" w:cs="宋体"/>
          <w:b/>
          <w:color w:val="auto"/>
          <w:sz w:val="21"/>
          <w:highlight w:val="none"/>
          <w:lang w:val="en-US" w:eastAsia="zh-CN"/>
        </w:rPr>
        <w:t>商务技术文件</w:t>
      </w:r>
      <w:r>
        <w:rPr>
          <w:rFonts w:hint="eastAsia" w:ascii="宋体" w:hAnsi="宋体" w:eastAsia="宋体" w:cs="宋体"/>
          <w:b/>
          <w:color w:val="auto"/>
          <w:sz w:val="21"/>
          <w:highlight w:val="none"/>
        </w:rPr>
        <w:t>格式</w:t>
      </w:r>
    </w:p>
    <w:p>
      <w:pPr>
        <w:pageBreakBefore w:val="0"/>
        <w:kinsoku/>
        <w:wordWrap/>
        <w:overflowPunct/>
        <w:topLinePunct w:val="0"/>
        <w:autoSpaceDE/>
        <w:autoSpaceDN/>
        <w:bidi w:val="0"/>
        <w:outlineLvl w:val="9"/>
        <w:rPr>
          <w:rFonts w:hint="eastAsia" w:ascii="宋体" w:hAnsi="宋体" w:eastAsia="宋体" w:cs="宋体"/>
          <w:color w:val="auto"/>
          <w:sz w:val="21"/>
          <w:highlight w:val="none"/>
        </w:rPr>
      </w:pPr>
    </w:p>
    <w:p>
      <w:pPr>
        <w:snapToGrid w:val="0"/>
        <w:spacing w:line="360" w:lineRule="auto"/>
        <w:jc w:val="left"/>
        <w:rPr>
          <w:rFonts w:hint="eastAsia" w:ascii="宋体" w:hAnsi="宋体" w:eastAsia="宋体" w:cs="宋体"/>
          <w:bCs/>
          <w:color w:val="auto"/>
          <w:sz w:val="21"/>
          <w:szCs w:val="21"/>
          <w:highlight w:val="none"/>
          <w:lang w:bidi="ar"/>
        </w:rPr>
      </w:pPr>
      <w:r>
        <w:rPr>
          <w:rFonts w:hint="eastAsia" w:ascii="宋体" w:hAnsi="宋体" w:eastAsia="宋体" w:cs="宋体"/>
          <w:color w:val="auto"/>
          <w:sz w:val="21"/>
          <w:szCs w:val="21"/>
          <w:highlight w:val="none"/>
          <w:lang w:val="en-US" w:eastAsia="zh-CN"/>
        </w:rPr>
        <w:t>1、资格、商务技术文件</w:t>
      </w:r>
      <w:r>
        <w:rPr>
          <w:rFonts w:hint="eastAsia" w:ascii="宋体" w:hAnsi="宋体" w:eastAsia="宋体" w:cs="宋体"/>
          <w:color w:val="auto"/>
          <w:sz w:val="21"/>
          <w:szCs w:val="21"/>
          <w:highlight w:val="none"/>
        </w:rPr>
        <w:t>文件封面格式：</w:t>
      </w:r>
    </w:p>
    <w:p>
      <w:pPr>
        <w:snapToGrid w:val="0"/>
        <w:spacing w:line="360" w:lineRule="auto"/>
        <w:ind w:firstLine="207" w:firstLineChars="9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bidi="ar"/>
        </w:rPr>
        <w:t>封面格式：</w:t>
      </w:r>
    </w:p>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lang w:bidi="ar"/>
        </w:rPr>
        <w:t xml:space="preserve">                                            正本</w:t>
      </w:r>
    </w:p>
    <w:p>
      <w:pPr>
        <w:snapToGrid w:val="0"/>
        <w:spacing w:line="360"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资格、</w:t>
      </w:r>
      <w:r>
        <w:rPr>
          <w:rFonts w:hint="eastAsia" w:ascii="宋体" w:hAnsi="宋体" w:eastAsia="宋体" w:cs="宋体"/>
          <w:bCs/>
          <w:color w:val="auto"/>
          <w:sz w:val="21"/>
          <w:szCs w:val="21"/>
          <w:highlight w:val="none"/>
          <w:lang w:val="en-US" w:eastAsia="zh-CN"/>
        </w:rPr>
        <w:t>商务技术文件</w:t>
      </w:r>
    </w:p>
    <w:p>
      <w:pPr>
        <w:snapToGrid w:val="0"/>
        <w:spacing w:line="360" w:lineRule="auto"/>
        <w:ind w:firstLine="6054" w:firstLineChars="2883"/>
        <w:rPr>
          <w:rFonts w:hint="eastAsia" w:ascii="宋体" w:hAnsi="宋体" w:eastAsia="宋体" w:cs="宋体"/>
          <w:bCs/>
          <w:color w:val="auto"/>
          <w:sz w:val="21"/>
          <w:szCs w:val="21"/>
          <w:highlight w:val="none"/>
        </w:rPr>
      </w:pPr>
    </w:p>
    <w:p>
      <w:pPr>
        <w:snapToGrid w:val="0"/>
        <w:spacing w:line="360" w:lineRule="auto"/>
        <w:ind w:firstLine="945" w:firstLineChars="4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
        </w:rPr>
        <w:t>项目名称：</w:t>
      </w:r>
    </w:p>
    <w:p>
      <w:pPr>
        <w:snapToGrid w:val="0"/>
        <w:spacing w:line="360" w:lineRule="auto"/>
        <w:ind w:firstLine="945" w:firstLineChars="45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项目编号：</w:t>
      </w:r>
    </w:p>
    <w:p>
      <w:pPr>
        <w:snapToGrid w:val="0"/>
        <w:spacing w:line="360" w:lineRule="auto"/>
        <w:ind w:firstLine="945" w:firstLineChars="45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eastAsia="zh-CN" w:bidi="ar"/>
        </w:rPr>
        <w:t>标项</w:t>
      </w:r>
      <w:r>
        <w:rPr>
          <w:rFonts w:hint="eastAsia" w:ascii="宋体" w:hAnsi="宋体" w:eastAsia="宋体" w:cs="宋体"/>
          <w:bCs/>
          <w:color w:val="auto"/>
          <w:sz w:val="21"/>
          <w:szCs w:val="21"/>
          <w:highlight w:val="none"/>
          <w:lang w:bidi="ar"/>
        </w:rPr>
        <w:t>号：</w:t>
      </w:r>
    </w:p>
    <w:p>
      <w:pPr>
        <w:snapToGrid w:val="0"/>
        <w:spacing w:line="360" w:lineRule="auto"/>
        <w:ind w:firstLine="945" w:firstLineChars="4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
        </w:rPr>
        <w:t>供应商名称（加盖公章）：</w:t>
      </w:r>
    </w:p>
    <w:p>
      <w:pPr>
        <w:snapToGrid w:val="0"/>
        <w:spacing w:line="360" w:lineRule="auto"/>
        <w:ind w:firstLine="945" w:firstLineChars="4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
        </w:rPr>
        <w:t>供应商地址：</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bidi="ar"/>
        </w:rPr>
        <w:t xml:space="preserve">                                      </w:t>
      </w:r>
      <w:bookmarkStart w:id="97" w:name="_Toc9414"/>
      <w:r>
        <w:rPr>
          <w:rFonts w:hint="eastAsia" w:ascii="宋体" w:hAnsi="宋体" w:eastAsia="宋体" w:cs="宋体"/>
          <w:bCs/>
          <w:color w:val="auto"/>
          <w:sz w:val="21"/>
          <w:szCs w:val="21"/>
          <w:highlight w:val="none"/>
          <w:lang w:bidi="ar"/>
        </w:rPr>
        <w:t>年  月  日</w:t>
      </w:r>
      <w:bookmarkEnd w:id="97"/>
    </w:p>
    <w:p>
      <w:pPr>
        <w:snapToGrid w:val="0"/>
        <w:spacing w:line="360" w:lineRule="auto"/>
        <w:rPr>
          <w:rFonts w:hint="eastAsia" w:ascii="宋体" w:hAnsi="宋体" w:eastAsia="宋体" w:cs="宋体"/>
          <w:color w:val="auto"/>
          <w:sz w:val="20"/>
          <w:szCs w:val="20"/>
          <w:highlight w:val="none"/>
        </w:rPr>
      </w:pPr>
    </w:p>
    <w:p>
      <w:pPr>
        <w:pStyle w:val="10"/>
        <w:snapToGrid w:val="0"/>
        <w:spacing w:before="0" w:beforeLines="0" w:after="0" w:afterLines="0" w:line="24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jc w:val="left"/>
        <w:textAlignment w:val="baseline"/>
        <w:outlineLvl w:val="9"/>
        <w:rPr>
          <w:rFonts w:hint="eastAsia" w:ascii="宋体" w:hAnsi="宋体" w:eastAsia="宋体" w:cs="宋体"/>
          <w:b/>
          <w:color w:val="auto"/>
          <w:sz w:val="21"/>
          <w:highlight w:val="none"/>
        </w:rPr>
      </w:pPr>
      <w:r>
        <w:rPr>
          <w:rFonts w:hint="eastAsia" w:ascii="宋体" w:hAnsi="宋体" w:eastAsia="宋体" w:cs="宋体"/>
          <w:b/>
          <w:color w:val="auto"/>
          <w:sz w:val="21"/>
          <w:highlight w:val="none"/>
        </w:rPr>
        <w:br w:type="page"/>
      </w:r>
      <w:r>
        <w:rPr>
          <w:rFonts w:hint="eastAsia" w:hAnsi="宋体" w:eastAsia="宋体" w:cs="宋体"/>
          <w:b/>
          <w:color w:val="auto"/>
          <w:sz w:val="21"/>
          <w:highlight w:val="none"/>
          <w:lang w:val="en-US" w:eastAsia="zh-CN"/>
        </w:rPr>
        <w:t>1</w:t>
      </w:r>
      <w:r>
        <w:rPr>
          <w:rFonts w:hint="eastAsia" w:ascii="宋体" w:hAnsi="宋体" w:eastAsia="宋体" w:cs="宋体"/>
          <w:b/>
          <w:color w:val="auto"/>
          <w:sz w:val="21"/>
          <w:highlight w:val="none"/>
        </w:rPr>
        <w:t>）</w:t>
      </w:r>
      <w:r>
        <w:rPr>
          <w:rFonts w:hint="eastAsia" w:ascii="宋体" w:hAnsi="宋体" w:eastAsia="宋体" w:cs="宋体"/>
          <w:b/>
          <w:color w:val="auto"/>
          <w:sz w:val="21"/>
          <w:highlight w:val="none"/>
          <w:lang w:eastAsia="zh-CN"/>
        </w:rPr>
        <w:t>资格文件</w:t>
      </w:r>
      <w:r>
        <w:rPr>
          <w:rFonts w:hint="eastAsia" w:ascii="宋体" w:hAnsi="宋体" w:eastAsia="宋体" w:cs="宋体"/>
          <w:b/>
          <w:color w:val="auto"/>
          <w:sz w:val="21"/>
          <w:highlight w:val="none"/>
        </w:rPr>
        <w:t>内容包括：</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textAlignment w:val="baseline"/>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（1）供应商资格声明函（</w:t>
      </w:r>
      <w:r>
        <w:rPr>
          <w:rFonts w:hint="eastAsia" w:hAnsi="宋体" w:eastAsia="宋体" w:cs="宋体"/>
          <w:color w:val="auto"/>
          <w:sz w:val="21"/>
          <w:highlight w:val="none"/>
          <w:lang w:val="en-US" w:eastAsia="zh-CN"/>
        </w:rPr>
        <w:t>格式详见第六章</w:t>
      </w:r>
      <w:r>
        <w:rPr>
          <w:rFonts w:hint="eastAsia" w:ascii="宋体" w:hAnsi="宋体" w:eastAsia="宋体" w:cs="宋体"/>
          <w:bCs/>
          <w:color w:val="auto"/>
          <w:sz w:val="21"/>
          <w:highlight w:val="none"/>
          <w:lang w:val="en-US" w:eastAsia="zh-CN"/>
        </w:rPr>
        <w:t xml:space="preserve"> 响应文</w:t>
      </w:r>
      <w:r>
        <w:rPr>
          <w:rFonts w:hint="eastAsia" w:hAnsi="宋体" w:eastAsia="宋体" w:cs="宋体"/>
          <w:color w:val="auto"/>
          <w:sz w:val="21"/>
          <w:highlight w:val="none"/>
          <w:lang w:val="en-US" w:eastAsia="zh-CN"/>
        </w:rPr>
        <w:t>件格式</w:t>
      </w:r>
      <w:r>
        <w:rPr>
          <w:rFonts w:hint="eastAsia" w:ascii="宋体" w:hAnsi="宋体" w:eastAsia="宋体" w:cs="宋体"/>
          <w:bCs/>
          <w:color w:val="auto"/>
          <w:sz w:val="21"/>
          <w:highlight w:val="none"/>
        </w:rPr>
        <w:t>）；</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textAlignment w:val="baseline"/>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2）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textAlignment w:val="baseline"/>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（3）供应商特定资格条件的证明文件：详见“第一章  采购邀请 二、申请人的资格要求：3.本项目的特定资格要求”；</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textAlignment w:val="baseline"/>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cs="宋体"/>
          <w:bCs/>
          <w:color w:val="auto"/>
          <w:sz w:val="21"/>
          <w:highlight w:val="none"/>
          <w:lang w:val="en-US" w:eastAsia="zh-CN"/>
        </w:rPr>
        <w:t>4</w:t>
      </w: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lang w:eastAsia="zh-CN"/>
        </w:rPr>
        <w:t>磋商文件</w:t>
      </w:r>
      <w:r>
        <w:rPr>
          <w:rFonts w:hint="eastAsia" w:ascii="宋体" w:hAnsi="宋体" w:eastAsia="宋体" w:cs="宋体"/>
          <w:bCs/>
          <w:color w:val="auto"/>
          <w:sz w:val="21"/>
          <w:highlight w:val="none"/>
        </w:rPr>
        <w:t>要求的其他资格条件证明材料（如有）；</w:t>
      </w:r>
    </w:p>
    <w:p>
      <w:pPr>
        <w:pStyle w:val="5"/>
        <w:pageBreakBefore w:val="0"/>
        <w:numPr>
          <w:ilvl w:val="0"/>
          <w:numId w:val="0"/>
        </w:numPr>
        <w:tabs>
          <w:tab w:val="left" w:pos="720"/>
        </w:tabs>
        <w:kinsoku/>
        <w:wordWrap/>
        <w:overflowPunct/>
        <w:topLinePunct w:val="0"/>
        <w:autoSpaceDE/>
        <w:autoSpaceDN/>
        <w:bidi w:val="0"/>
        <w:snapToGrid w:val="0"/>
        <w:spacing w:before="120" w:beforeLines="50"/>
        <w:ind w:left="549" w:leftChars="196"/>
        <w:outlineLvl w:val="9"/>
        <w:rPr>
          <w:rFonts w:hint="eastAsia" w:ascii="宋体" w:hAnsi="宋体" w:eastAsia="宋体" w:cs="宋体"/>
          <w:bCs/>
          <w:color w:val="auto"/>
          <w:sz w:val="21"/>
          <w:highlight w:val="none"/>
        </w:rPr>
      </w:pPr>
    </w:p>
    <w:p>
      <w:pPr>
        <w:pStyle w:val="5"/>
        <w:pageBreakBefore w:val="0"/>
        <w:numPr>
          <w:ilvl w:val="0"/>
          <w:numId w:val="0"/>
        </w:numPr>
        <w:tabs>
          <w:tab w:val="left" w:pos="720"/>
        </w:tabs>
        <w:kinsoku/>
        <w:wordWrap/>
        <w:overflowPunct/>
        <w:topLinePunct w:val="0"/>
        <w:autoSpaceDE/>
        <w:autoSpaceDN/>
        <w:bidi w:val="0"/>
        <w:snapToGrid w:val="0"/>
        <w:spacing w:before="120" w:beforeLines="50"/>
        <w:ind w:left="549" w:leftChars="196"/>
        <w:outlineLvl w:val="9"/>
        <w:rPr>
          <w:rFonts w:hint="eastAsia" w:ascii="宋体" w:hAnsi="宋体" w:eastAsia="宋体" w:cs="宋体"/>
          <w:bCs/>
          <w:color w:val="auto"/>
          <w:sz w:val="21"/>
          <w:highlight w:val="none"/>
        </w:rPr>
      </w:pPr>
    </w:p>
    <w:p>
      <w:pPr>
        <w:pageBreakBefore w:val="0"/>
        <w:kinsoku/>
        <w:wordWrap/>
        <w:overflowPunct/>
        <w:topLinePunct w:val="0"/>
        <w:autoSpaceDE/>
        <w:autoSpaceDN/>
        <w:bidi w:val="0"/>
        <w:snapToGrid w:val="0"/>
        <w:jc w:val="left"/>
        <w:outlineLvl w:val="9"/>
        <w:rPr>
          <w:rFonts w:hint="eastAsia" w:ascii="宋体" w:hAnsi="宋体" w:eastAsia="宋体" w:cs="宋体"/>
          <w:b/>
          <w:color w:val="auto"/>
          <w:sz w:val="21"/>
          <w:highlight w:val="none"/>
        </w:rPr>
        <w:sectPr>
          <w:pgSz w:w="11906" w:h="16838"/>
          <w:pgMar w:top="1474" w:right="1474" w:bottom="1247" w:left="1474" w:header="851" w:footer="850" w:gutter="0"/>
          <w:pgBorders>
            <w:top w:val="none" w:sz="0" w:space="0"/>
            <w:left w:val="none" w:sz="0" w:space="0"/>
            <w:bottom w:val="none" w:sz="0" w:space="0"/>
            <w:right w:val="none" w:sz="0" w:space="0"/>
          </w:pgBorders>
          <w:pgNumType w:fmt="decimal"/>
          <w:cols w:space="720" w:num="1"/>
          <w:docGrid w:linePitch="312" w:charSpace="0"/>
        </w:sectPr>
      </w:pPr>
    </w:p>
    <w:bookmarkEnd w:id="94"/>
    <w:bookmarkEnd w:id="95"/>
    <w:bookmarkEnd w:id="96"/>
    <w:p>
      <w:pPr>
        <w:pStyle w:val="23"/>
        <w:pageBreakBefore w:val="0"/>
        <w:kinsoku/>
        <w:wordWrap/>
        <w:overflowPunct/>
        <w:topLinePunct w:val="0"/>
        <w:autoSpaceDE/>
        <w:autoSpaceDN/>
        <w:bidi w:val="0"/>
        <w:ind w:left="0" w:leftChars="0" w:firstLine="0" w:firstLineChars="0"/>
        <w:outlineLvl w:val="9"/>
        <w:rPr>
          <w:rFonts w:hint="eastAsia" w:ascii="宋体" w:hAnsi="宋体" w:eastAsia="宋体" w:cs="宋体"/>
          <w:b/>
          <w:color w:val="auto"/>
          <w:sz w:val="21"/>
          <w:highlight w:val="none"/>
          <w:lang w:eastAsia="zh-CN"/>
        </w:rPr>
      </w:pPr>
      <w:r>
        <w:rPr>
          <w:rFonts w:hint="eastAsia" w:hAnsi="宋体" w:cs="宋体"/>
          <w:b/>
          <w:color w:val="auto"/>
          <w:sz w:val="21"/>
          <w:highlight w:val="none"/>
          <w:lang w:eastAsia="zh-CN"/>
        </w:rPr>
        <w:t>（</w:t>
      </w:r>
      <w:r>
        <w:rPr>
          <w:rFonts w:hint="eastAsia" w:hAnsi="宋体" w:cs="宋体"/>
          <w:b/>
          <w:color w:val="auto"/>
          <w:sz w:val="21"/>
          <w:highlight w:val="none"/>
          <w:lang w:val="en-US" w:eastAsia="zh-CN"/>
        </w:rPr>
        <w:t>1）</w:t>
      </w:r>
      <w:r>
        <w:rPr>
          <w:rFonts w:hint="eastAsia" w:ascii="宋体" w:hAnsi="宋体" w:eastAsia="宋体" w:cs="宋体"/>
          <w:b/>
          <w:color w:val="auto"/>
          <w:sz w:val="21"/>
          <w:highlight w:val="none"/>
          <w:lang w:eastAsia="zh-CN"/>
        </w:rPr>
        <w:t>供应商资格声明函</w:t>
      </w:r>
    </w:p>
    <w:p>
      <w:pPr>
        <w:pStyle w:val="23"/>
        <w:pageBreakBefore w:val="0"/>
        <w:kinsoku/>
        <w:wordWrap/>
        <w:overflowPunct/>
        <w:topLinePunct w:val="0"/>
        <w:autoSpaceDE/>
        <w:autoSpaceDN/>
        <w:bidi w:val="0"/>
        <w:jc w:val="center"/>
        <w:outlineLvl w:val="9"/>
        <w:rPr>
          <w:rFonts w:hint="eastAsia" w:ascii="宋体" w:hAnsi="宋体" w:eastAsia="宋体" w:cs="宋体"/>
          <w:b/>
          <w:bCs w:val="0"/>
          <w:color w:val="auto"/>
          <w:sz w:val="21"/>
          <w:highlight w:val="none"/>
          <w:lang w:eastAsia="zh-CN"/>
        </w:rPr>
      </w:pPr>
      <w:r>
        <w:rPr>
          <w:rFonts w:hint="eastAsia" w:ascii="宋体" w:hAnsi="宋体" w:eastAsia="宋体" w:cs="宋体"/>
          <w:b/>
          <w:bCs w:val="0"/>
          <w:color w:val="auto"/>
          <w:sz w:val="21"/>
          <w:highlight w:val="none"/>
          <w:lang w:eastAsia="zh-CN"/>
        </w:rPr>
        <w:t>供应商资格声明函</w:t>
      </w:r>
    </w:p>
    <w:p>
      <w:pPr>
        <w:keepNext w:val="0"/>
        <w:keepLines w:val="0"/>
        <w:pageBreakBefore w:val="0"/>
        <w:widowControl w:val="0"/>
        <w:kinsoku/>
        <w:wordWrap/>
        <w:overflowPunct/>
        <w:topLinePunct w:val="0"/>
        <w:autoSpaceDE/>
        <w:autoSpaceDN/>
        <w:bidi w:val="0"/>
        <w:spacing w:line="336" w:lineRule="auto"/>
        <w:outlineLvl w:val="9"/>
        <w:rPr>
          <w:rFonts w:hint="eastAsia" w:ascii="宋体" w:hAnsi="宋体" w:eastAsia="宋体" w:cs="宋体"/>
          <w:b/>
          <w:color w:val="auto"/>
          <w:kern w:val="2"/>
          <w:sz w:val="21"/>
          <w:szCs w:val="24"/>
          <w:highlight w:val="none"/>
        </w:rPr>
      </w:pPr>
      <w:r>
        <w:rPr>
          <w:rFonts w:hint="eastAsia" w:hAnsi="宋体" w:eastAsia="宋体" w:cs="宋体"/>
          <w:b/>
          <w:color w:val="auto"/>
          <w:kern w:val="2"/>
          <w:sz w:val="21"/>
          <w:szCs w:val="24"/>
          <w:highlight w:val="none"/>
          <w:lang w:eastAsia="zh-CN"/>
        </w:rPr>
        <w:t>浙江同欣工程管理有限公司</w:t>
      </w:r>
      <w:r>
        <w:rPr>
          <w:rFonts w:hint="eastAsia" w:ascii="宋体" w:hAnsi="宋体" w:eastAsia="宋体" w:cs="宋体"/>
          <w:b/>
          <w:color w:val="auto"/>
          <w:kern w:val="2"/>
          <w:sz w:val="21"/>
          <w:szCs w:val="24"/>
          <w:highlight w:val="none"/>
        </w:rPr>
        <w:t>：</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关于贵司</w:t>
      </w:r>
      <w:r>
        <w:rPr>
          <w:rFonts w:hint="eastAsia" w:ascii="宋体" w:hAnsi="宋体" w:eastAsia="宋体" w:cs="宋体"/>
          <w:color w:val="auto"/>
          <w:kern w:val="2"/>
          <w:sz w:val="21"/>
          <w:szCs w:val="24"/>
          <w:highlight w:val="none"/>
          <w:u w:val="single"/>
        </w:rPr>
        <w:t xml:space="preserve">      </w:t>
      </w:r>
      <w:r>
        <w:rPr>
          <w:rFonts w:hint="eastAsia" w:ascii="宋体" w:hAnsi="宋体" w:eastAsia="宋体" w:cs="宋体"/>
          <w:color w:val="auto"/>
          <w:kern w:val="2"/>
          <w:sz w:val="21"/>
          <w:szCs w:val="24"/>
          <w:highlight w:val="none"/>
        </w:rPr>
        <w:t>年</w:t>
      </w:r>
      <w:r>
        <w:rPr>
          <w:rFonts w:hint="eastAsia" w:ascii="宋体" w:hAnsi="宋体" w:eastAsia="宋体" w:cs="宋体"/>
          <w:color w:val="auto"/>
          <w:kern w:val="2"/>
          <w:sz w:val="21"/>
          <w:szCs w:val="24"/>
          <w:highlight w:val="none"/>
          <w:u w:val="single"/>
        </w:rPr>
        <w:t>　　</w:t>
      </w:r>
      <w:r>
        <w:rPr>
          <w:rFonts w:hint="eastAsia" w:ascii="宋体" w:hAnsi="宋体" w:eastAsia="宋体" w:cs="宋体"/>
          <w:color w:val="auto"/>
          <w:kern w:val="2"/>
          <w:sz w:val="21"/>
          <w:szCs w:val="24"/>
          <w:highlight w:val="none"/>
        </w:rPr>
        <w:t>月</w:t>
      </w:r>
      <w:r>
        <w:rPr>
          <w:rFonts w:hint="eastAsia" w:ascii="宋体" w:hAnsi="宋体" w:eastAsia="宋体" w:cs="宋体"/>
          <w:color w:val="auto"/>
          <w:kern w:val="2"/>
          <w:sz w:val="21"/>
          <w:szCs w:val="24"/>
          <w:highlight w:val="none"/>
          <w:u w:val="single"/>
        </w:rPr>
        <w:t>　　</w:t>
      </w:r>
      <w:r>
        <w:rPr>
          <w:rFonts w:hint="eastAsia" w:ascii="宋体" w:hAnsi="宋体" w:eastAsia="宋体" w:cs="宋体"/>
          <w:color w:val="auto"/>
          <w:kern w:val="2"/>
          <w:sz w:val="21"/>
          <w:szCs w:val="24"/>
          <w:highlight w:val="none"/>
        </w:rPr>
        <w:t>日发布</w:t>
      </w:r>
      <w:r>
        <w:rPr>
          <w:rFonts w:hint="eastAsia" w:ascii="宋体" w:hAnsi="宋体" w:eastAsia="宋体" w:cs="宋体"/>
          <w:color w:val="auto"/>
          <w:kern w:val="2"/>
          <w:sz w:val="21"/>
          <w:szCs w:val="24"/>
          <w:highlight w:val="none"/>
          <w:u w:val="single"/>
        </w:rPr>
        <w:t xml:space="preserve">  XXXXXXXXXXXXXXXXXXXXX  </w:t>
      </w:r>
      <w:r>
        <w:rPr>
          <w:rFonts w:hint="eastAsia" w:ascii="宋体" w:hAnsi="宋体" w:eastAsia="宋体" w:cs="宋体"/>
          <w:color w:val="auto"/>
          <w:kern w:val="2"/>
          <w:sz w:val="21"/>
          <w:szCs w:val="24"/>
          <w:highlight w:val="none"/>
        </w:rPr>
        <w:t>项目（项目编号：　　　）的</w:t>
      </w:r>
      <w:r>
        <w:rPr>
          <w:rFonts w:hint="eastAsia" w:ascii="宋体" w:hAnsi="宋体" w:eastAsia="宋体" w:cs="宋体"/>
          <w:color w:val="auto"/>
          <w:kern w:val="2"/>
          <w:sz w:val="21"/>
          <w:szCs w:val="24"/>
          <w:highlight w:val="none"/>
          <w:lang w:val="en-US" w:eastAsia="zh-CN"/>
        </w:rPr>
        <w:t>邀请</w:t>
      </w:r>
      <w:r>
        <w:rPr>
          <w:rFonts w:hint="eastAsia" w:ascii="宋体" w:hAnsi="宋体" w:eastAsia="宋体" w:cs="宋体"/>
          <w:color w:val="auto"/>
          <w:kern w:val="2"/>
          <w:sz w:val="21"/>
          <w:szCs w:val="24"/>
          <w:highlight w:val="none"/>
        </w:rPr>
        <w:t>公告，本公司（企业）愿意参加投标，并声明：</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lang w:eastAsia="zh-CN"/>
        </w:rPr>
      </w:pPr>
      <w:r>
        <w:rPr>
          <w:rFonts w:hint="eastAsia" w:hAnsi="宋体" w:eastAsia="宋体" w:cs="宋体"/>
          <w:color w:val="auto"/>
          <w:kern w:val="2"/>
          <w:sz w:val="21"/>
          <w:szCs w:val="24"/>
          <w:highlight w:val="none"/>
          <w:lang w:val="en-US" w:eastAsia="zh-CN"/>
        </w:rPr>
        <w:t>1、</w:t>
      </w:r>
      <w:r>
        <w:rPr>
          <w:rFonts w:hint="eastAsia" w:ascii="宋体" w:hAnsi="宋体" w:eastAsia="宋体" w:cs="宋体"/>
          <w:color w:val="auto"/>
          <w:kern w:val="2"/>
          <w:sz w:val="21"/>
          <w:szCs w:val="24"/>
          <w:highlight w:val="none"/>
        </w:rPr>
        <w:t>本公司（企业）具备《中华人民共和国政府采购法》第二十二条资格条件，并已清楚</w:t>
      </w:r>
      <w:r>
        <w:rPr>
          <w:rFonts w:hint="eastAsia" w:hAnsi="宋体" w:eastAsia="宋体" w:cs="宋体"/>
          <w:color w:val="auto"/>
          <w:kern w:val="2"/>
          <w:sz w:val="21"/>
          <w:szCs w:val="24"/>
          <w:highlight w:val="none"/>
          <w:lang w:val="en-US" w:eastAsia="zh-CN"/>
        </w:rPr>
        <w:t>磋商文件</w:t>
      </w:r>
      <w:r>
        <w:rPr>
          <w:rFonts w:hint="eastAsia" w:ascii="宋体" w:hAnsi="宋体" w:eastAsia="宋体" w:cs="宋体"/>
          <w:color w:val="auto"/>
          <w:kern w:val="2"/>
          <w:sz w:val="21"/>
          <w:szCs w:val="24"/>
          <w:highlight w:val="none"/>
        </w:rPr>
        <w:t>的要求及有关文件规定。</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1.1、具有独立承担民事责任的能力；</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1.2、具有良好的商业信誉和健全的财务会计制度；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1.3、具有履行合同所必需的设备和专业技术能力；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1.4、有依法缴纳税收和社会保障资金的良好记录；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1.6、法律、行政法规规定的其他条件。</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2、</w:t>
      </w:r>
      <w:r>
        <w:rPr>
          <w:rFonts w:hint="eastAsia" w:ascii="宋体" w:hAnsi="宋体" w:eastAsia="宋体" w:cs="宋体"/>
          <w:color w:val="auto"/>
          <w:kern w:val="2"/>
          <w:sz w:val="21"/>
          <w:szCs w:val="24"/>
          <w:highlight w:val="none"/>
        </w:rPr>
        <w:t>本公司（企业）的法定代表人或单位负责人与所参投的本采购项目的其他供应商的法定代表人或单位负责人不为同一人且与其他供应商之间不存在直接控股、管理关系。</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3、</w:t>
      </w:r>
      <w:r>
        <w:rPr>
          <w:rFonts w:hint="eastAsia" w:ascii="宋体" w:hAnsi="宋体" w:eastAsia="宋体" w:cs="宋体"/>
          <w:color w:val="auto"/>
          <w:kern w:val="2"/>
          <w:sz w:val="21"/>
          <w:szCs w:val="24"/>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4、</w:t>
      </w:r>
      <w:r>
        <w:rPr>
          <w:rFonts w:hint="eastAsia" w:ascii="宋体" w:hAnsi="宋体" w:eastAsia="宋体" w:cs="宋体"/>
          <w:color w:val="auto"/>
          <w:kern w:val="2"/>
          <w:sz w:val="21"/>
          <w:szCs w:val="24"/>
          <w:highlight w:val="none"/>
        </w:rPr>
        <w:t>本公司（企业）具有履行合同所必需的设备和专业技术能力，且本公司（企业）参加政府采购活动前3年内在经营活动中没有重大违法记录。否则，由此所造成的损失、不良后果及法律责任，一律由我公司（企业）承担。</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hAnsi="宋体" w:eastAsia="宋体" w:cs="宋体"/>
          <w:color w:val="auto"/>
          <w:kern w:val="2"/>
          <w:sz w:val="21"/>
          <w:szCs w:val="24"/>
          <w:highlight w:val="none"/>
          <w:lang w:val="en-US" w:eastAsia="zh-CN"/>
        </w:rPr>
        <w:t>5、</w:t>
      </w:r>
      <w:r>
        <w:rPr>
          <w:rFonts w:hint="eastAsia" w:ascii="宋体" w:hAnsi="宋体" w:eastAsia="宋体" w:cs="宋体"/>
          <w:color w:val="auto"/>
          <w:kern w:val="2"/>
          <w:sz w:val="21"/>
          <w:szCs w:val="24"/>
          <w:highlight w:val="none"/>
        </w:rPr>
        <w:t>本公司（企业）未被列入“信用中国”网站</w:t>
      </w:r>
      <w:r>
        <w:rPr>
          <w:rFonts w:hint="eastAsia" w:hAnsi="宋体" w:eastAsia="宋体" w:cs="宋体"/>
          <w:color w:val="auto"/>
          <w:kern w:val="2"/>
          <w:sz w:val="21"/>
          <w:szCs w:val="24"/>
          <w:highlight w:val="none"/>
          <w:lang w:eastAsia="zh-CN"/>
        </w:rPr>
        <w:t>（</w:t>
      </w:r>
      <w:r>
        <w:rPr>
          <w:rFonts w:hint="eastAsia" w:ascii="宋体" w:hAnsi="宋体" w:eastAsia="宋体" w:cs="宋体"/>
          <w:color w:val="auto"/>
          <w:kern w:val="2"/>
          <w:sz w:val="21"/>
          <w:szCs w:val="24"/>
          <w:highlight w:val="none"/>
        </w:rPr>
        <w:t>www.creditchina.gov.cn)“失信被执行人或重大税收违法案件当事人名单或政府采购严重违法失信行为”记录名单；不处于中国政府采购网</w:t>
      </w:r>
      <w:r>
        <w:rPr>
          <w:rFonts w:hint="eastAsia" w:hAnsi="宋体" w:eastAsia="宋体" w:cs="宋体"/>
          <w:color w:val="auto"/>
          <w:kern w:val="2"/>
          <w:sz w:val="21"/>
          <w:szCs w:val="24"/>
          <w:highlight w:val="none"/>
          <w:lang w:eastAsia="zh-CN"/>
        </w:rPr>
        <w:t>（</w:t>
      </w:r>
      <w:r>
        <w:rPr>
          <w:rFonts w:hint="eastAsia" w:ascii="宋体" w:hAnsi="宋体" w:eastAsia="宋体" w:cs="宋体"/>
          <w:color w:val="auto"/>
          <w:kern w:val="2"/>
          <w:sz w:val="21"/>
          <w:szCs w:val="24"/>
          <w:highlight w:val="none"/>
        </w:rPr>
        <w:t>www.ccgp.gov.cn)“政府采购严重违法失信行为信息记录”中的禁止参加政府采购活动期间，未在中国裁判文书网有行贿犯罪相关记录。否则，由此所造成的损失、不良后果及法律责任，一律由我公司（企业）承担。</w:t>
      </w:r>
    </w:p>
    <w:p>
      <w:pPr>
        <w:keepNext w:val="0"/>
        <w:keepLines w:val="0"/>
        <w:pageBreakBefore w:val="0"/>
        <w:widowControl w:val="0"/>
        <w:kinsoku/>
        <w:wordWrap/>
        <w:overflowPunct/>
        <w:topLinePunct w:val="0"/>
        <w:autoSpaceDE/>
        <w:autoSpaceDN/>
        <w:bidi w:val="0"/>
        <w:adjustRightInd/>
        <w:snapToGrid w:val="0"/>
        <w:spacing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本次采购活动中，如有违法、违规、弄虚作假行为，所造成的损失、不良后果及法律责任，一律由我公司（企业）承担。</w:t>
      </w:r>
    </w:p>
    <w:p>
      <w:pPr>
        <w:keepNext w:val="0"/>
        <w:keepLines w:val="0"/>
        <w:pageBreakBefore w:val="0"/>
        <w:widowControl w:val="0"/>
        <w:kinsoku/>
        <w:wordWrap/>
        <w:overflowPunct/>
        <w:topLinePunct w:val="0"/>
        <w:autoSpaceDE/>
        <w:autoSpaceDN/>
        <w:bidi w:val="0"/>
        <w:adjustRightInd/>
        <w:snapToGrid w:val="0"/>
        <w:spacing w:before="120" w:beforeLines="50"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特此声明！</w:t>
      </w:r>
    </w:p>
    <w:p>
      <w:pPr>
        <w:keepNext w:val="0"/>
        <w:keepLines w:val="0"/>
        <w:pageBreakBefore w:val="0"/>
        <w:widowControl w:val="0"/>
        <w:kinsoku/>
        <w:wordWrap/>
        <w:overflowPunct/>
        <w:topLinePunct w:val="0"/>
        <w:autoSpaceDE/>
        <w:autoSpaceDN/>
        <w:bidi w:val="0"/>
        <w:adjustRightInd/>
        <w:snapToGrid w:val="0"/>
        <w:spacing w:before="120" w:beforeLines="50" w:line="336" w:lineRule="auto"/>
        <w:ind w:firstLine="424" w:firstLineChars="202"/>
        <w:textAlignment w:val="auto"/>
        <w:outlineLvl w:val="9"/>
        <w:rPr>
          <w:rFonts w:hint="eastAsia" w:ascii="宋体" w:hAnsi="宋体" w:eastAsia="宋体" w:cs="宋体"/>
          <w:color w:val="auto"/>
          <w:kern w:val="2"/>
          <w:sz w:val="21"/>
          <w:szCs w:val="24"/>
          <w:highlight w:val="none"/>
        </w:rPr>
      </w:pPr>
    </w:p>
    <w:p>
      <w:pPr>
        <w:keepNext w:val="0"/>
        <w:keepLines w:val="0"/>
        <w:pageBreakBefore w:val="0"/>
        <w:widowControl w:val="0"/>
        <w:kinsoku/>
        <w:wordWrap/>
        <w:overflowPunct/>
        <w:topLinePunct w:val="0"/>
        <w:autoSpaceDE/>
        <w:autoSpaceDN/>
        <w:bidi w:val="0"/>
        <w:adjustRightInd/>
        <w:snapToGrid w:val="0"/>
        <w:spacing w:before="120" w:beforeLines="50"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法定代表人或授权代表（签名或印章）：</w:t>
      </w:r>
    </w:p>
    <w:p>
      <w:pPr>
        <w:keepNext w:val="0"/>
        <w:keepLines w:val="0"/>
        <w:pageBreakBefore w:val="0"/>
        <w:widowControl w:val="0"/>
        <w:kinsoku/>
        <w:wordWrap/>
        <w:overflowPunct/>
        <w:topLinePunct w:val="0"/>
        <w:autoSpaceDE/>
        <w:autoSpaceDN/>
        <w:bidi w:val="0"/>
        <w:adjustRightInd/>
        <w:snapToGrid w:val="0"/>
        <w:spacing w:before="120" w:beforeLines="50" w:line="336" w:lineRule="auto"/>
        <w:ind w:firstLine="424" w:firstLineChars="202"/>
        <w:textAlignment w:val="auto"/>
        <w:outlineLvl w:val="9"/>
        <w:rPr>
          <w:rFonts w:hint="eastAsia" w:ascii="宋体" w:hAnsi="宋体" w:eastAsia="宋体" w:cs="宋体"/>
          <w:color w:val="auto"/>
          <w:kern w:val="2"/>
          <w:sz w:val="21"/>
          <w:szCs w:val="24"/>
          <w:highlight w:val="none"/>
        </w:rPr>
      </w:pPr>
      <w:r>
        <w:rPr>
          <w:rFonts w:hint="eastAsia" w:ascii="宋体" w:hAnsi="宋体" w:eastAsia="宋体" w:cs="宋体"/>
          <w:color w:val="auto"/>
          <w:kern w:val="2"/>
          <w:sz w:val="21"/>
          <w:szCs w:val="24"/>
          <w:highlight w:val="none"/>
        </w:rPr>
        <w:t>供应商</w:t>
      </w:r>
      <w:r>
        <w:rPr>
          <w:rFonts w:hint="eastAsia" w:ascii="宋体" w:hAnsi="宋体" w:eastAsia="宋体" w:cs="宋体"/>
          <w:color w:val="auto"/>
          <w:kern w:val="2"/>
          <w:sz w:val="21"/>
          <w:szCs w:val="24"/>
          <w:highlight w:val="none"/>
          <w:lang w:val="en-US" w:eastAsia="zh-CN"/>
        </w:rPr>
        <w:t>名称（</w:t>
      </w:r>
      <w:r>
        <w:rPr>
          <w:rFonts w:hint="eastAsia" w:ascii="宋体" w:hAnsi="宋体" w:eastAsia="宋体" w:cs="宋体"/>
          <w:color w:val="auto"/>
          <w:kern w:val="2"/>
          <w:sz w:val="21"/>
          <w:szCs w:val="24"/>
          <w:highlight w:val="none"/>
        </w:rPr>
        <w:t>公章</w:t>
      </w:r>
      <w:r>
        <w:rPr>
          <w:rFonts w:hint="eastAsia" w:ascii="宋体" w:hAnsi="宋体" w:eastAsia="宋体" w:cs="宋体"/>
          <w:color w:val="auto"/>
          <w:kern w:val="2"/>
          <w:sz w:val="21"/>
          <w:szCs w:val="24"/>
          <w:highlight w:val="none"/>
          <w:lang w:eastAsia="zh-CN"/>
        </w:rPr>
        <w:t>）</w:t>
      </w:r>
      <w:r>
        <w:rPr>
          <w:rFonts w:hint="eastAsia" w:ascii="宋体" w:hAnsi="宋体" w:eastAsia="宋体" w:cs="宋体"/>
          <w:color w:val="auto"/>
          <w:kern w:val="2"/>
          <w:sz w:val="21"/>
          <w:szCs w:val="24"/>
          <w:highlight w:val="none"/>
        </w:rPr>
        <w:t>：</w:t>
      </w:r>
    </w:p>
    <w:p>
      <w:pPr>
        <w:keepNext w:val="0"/>
        <w:keepLines w:val="0"/>
        <w:pageBreakBefore w:val="0"/>
        <w:widowControl w:val="0"/>
        <w:kinsoku/>
        <w:wordWrap/>
        <w:overflowPunct/>
        <w:topLinePunct w:val="0"/>
        <w:autoSpaceDE/>
        <w:autoSpaceDN/>
        <w:bidi w:val="0"/>
        <w:adjustRightInd/>
        <w:snapToGrid w:val="0"/>
        <w:spacing w:before="120" w:beforeLines="50" w:line="336" w:lineRule="auto"/>
        <w:ind w:firstLine="424" w:firstLineChars="202"/>
        <w:textAlignment w:val="auto"/>
        <w:outlineLvl w:val="9"/>
        <w:rPr>
          <w:rFonts w:hint="eastAsia" w:ascii="宋体" w:hAnsi="宋体" w:eastAsia="宋体" w:cs="宋体"/>
          <w:b/>
          <w:color w:val="auto"/>
          <w:highlight w:val="none"/>
        </w:rPr>
      </w:pPr>
      <w:r>
        <w:rPr>
          <w:rFonts w:hint="eastAsia" w:ascii="宋体" w:hAnsi="宋体" w:eastAsia="宋体" w:cs="宋体"/>
          <w:color w:val="auto"/>
          <w:kern w:val="2"/>
          <w:sz w:val="21"/>
          <w:szCs w:val="24"/>
          <w:highlight w:val="none"/>
        </w:rPr>
        <w:t>年    月    日</w:t>
      </w:r>
    </w:p>
    <w:p>
      <w:pPr>
        <w:pStyle w:val="10"/>
        <w:pageBreakBefore w:val="0"/>
        <w:kinsoku/>
        <w:wordWrap/>
        <w:overflowPunct/>
        <w:topLinePunct w:val="0"/>
        <w:autoSpaceDE/>
        <w:autoSpaceDN/>
        <w:bidi w:val="0"/>
        <w:snapToGrid w:val="0"/>
        <w:outlineLvl w:val="9"/>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br w:type="page"/>
      </w:r>
      <w:r>
        <w:rPr>
          <w:rFonts w:hint="eastAsia" w:ascii="宋体" w:hAnsi="宋体" w:cs="宋体"/>
          <w:color w:val="auto"/>
          <w:highlight w:val="none"/>
          <w:lang w:val="en-US" w:eastAsia="zh-CN"/>
        </w:rPr>
        <w:t>（2）</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pageBreakBefore w:val="0"/>
        <w:kinsoku/>
        <w:wordWrap/>
        <w:overflowPunct/>
        <w:topLinePunct w:val="0"/>
        <w:autoSpaceDE/>
        <w:autoSpaceDN/>
        <w:bidi w:val="0"/>
        <w:spacing w:line="480" w:lineRule="exact"/>
        <w:jc w:val="both"/>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highlight w:val="none"/>
        </w:rPr>
        <w:br w:type="page"/>
      </w:r>
      <w:r>
        <w:rPr>
          <w:rFonts w:hint="eastAsia"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供应商的特定条件的证明文件：</w:t>
      </w:r>
      <w:r>
        <w:rPr>
          <w:rFonts w:hint="eastAsia" w:ascii="宋体" w:hAnsi="宋体" w:eastAsia="宋体" w:cs="宋体"/>
          <w:b w:val="0"/>
          <w:bCs w:val="0"/>
          <w:color w:val="auto"/>
          <w:sz w:val="21"/>
          <w:szCs w:val="21"/>
          <w:highlight w:val="none"/>
          <w:lang w:eastAsia="zh-CN"/>
        </w:rPr>
        <w:t xml:space="preserve">详见“第一章  </w:t>
      </w:r>
      <w:r>
        <w:rPr>
          <w:rFonts w:hint="eastAsia" w:hAnsi="宋体" w:eastAsia="宋体" w:cs="宋体"/>
          <w:b w:val="0"/>
          <w:bCs w:val="0"/>
          <w:color w:val="auto"/>
          <w:sz w:val="21"/>
          <w:szCs w:val="21"/>
          <w:highlight w:val="none"/>
          <w:lang w:val="en-US" w:eastAsia="zh-CN"/>
        </w:rPr>
        <w:t>采购邀请</w:t>
      </w:r>
      <w:r>
        <w:rPr>
          <w:rFonts w:hint="eastAsia" w:ascii="宋体" w:hAnsi="宋体" w:eastAsia="宋体" w:cs="宋体"/>
          <w:b w:val="0"/>
          <w:bCs w:val="0"/>
          <w:color w:val="auto"/>
          <w:sz w:val="21"/>
          <w:szCs w:val="21"/>
          <w:highlight w:val="none"/>
          <w:lang w:eastAsia="zh-CN"/>
        </w:rPr>
        <w:t xml:space="preserve"> 二、申请人的资格要求：3.本项目的特定资格要求”</w:t>
      </w:r>
      <w:r>
        <w:rPr>
          <w:rFonts w:hint="eastAsia" w:ascii="宋体" w:hAnsi="宋体" w:eastAsia="宋体" w:cs="宋体"/>
          <w:b w:val="0"/>
          <w:bCs w:val="0"/>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baseline"/>
        <w:outlineLvl w:val="9"/>
        <w:rPr>
          <w:rFonts w:hint="eastAsia" w:ascii="宋体" w:hAnsi="宋体" w:eastAsia="宋体" w:cs="宋体"/>
          <w:color w:val="auto"/>
          <w:sz w:val="21"/>
          <w:szCs w:val="21"/>
          <w:highlight w:val="none"/>
        </w:rPr>
      </w:pPr>
    </w:p>
    <w:p>
      <w:pPr>
        <w:pStyle w:val="5"/>
        <w:pageBreakBefore w:val="0"/>
        <w:numPr>
          <w:ilvl w:val="0"/>
          <w:numId w:val="0"/>
        </w:numPr>
        <w:tabs>
          <w:tab w:val="left" w:pos="720"/>
        </w:tabs>
        <w:kinsoku/>
        <w:wordWrap/>
        <w:overflowPunct/>
        <w:topLinePunct w:val="0"/>
        <w:autoSpaceDE/>
        <w:autoSpaceDN/>
        <w:bidi w:val="0"/>
        <w:snapToGrid w:val="0"/>
        <w:spacing w:before="120" w:beforeLines="50"/>
        <w:outlineLvl w:val="9"/>
        <w:rPr>
          <w:rFonts w:hint="eastAsia" w:ascii="宋体" w:hAnsi="宋体" w:cs="宋体"/>
          <w:color w:val="auto"/>
          <w:sz w:val="21"/>
          <w:highlight w:val="none"/>
          <w:lang w:eastAsia="zh-CN"/>
        </w:rPr>
      </w:pPr>
    </w:p>
    <w:p>
      <w:pPr>
        <w:pStyle w:val="5"/>
        <w:pageBreakBefore w:val="0"/>
        <w:numPr>
          <w:ilvl w:val="0"/>
          <w:numId w:val="0"/>
        </w:numPr>
        <w:tabs>
          <w:tab w:val="left" w:pos="720"/>
        </w:tabs>
        <w:kinsoku/>
        <w:wordWrap/>
        <w:overflowPunct/>
        <w:topLinePunct w:val="0"/>
        <w:autoSpaceDE/>
        <w:autoSpaceDN/>
        <w:bidi w:val="0"/>
        <w:snapToGrid w:val="0"/>
        <w:spacing w:before="120" w:beforeLines="50"/>
        <w:outlineLvl w:val="9"/>
        <w:rPr>
          <w:rFonts w:hint="eastAsia" w:ascii="宋体" w:hAnsi="宋体" w:eastAsia="宋体" w:cs="宋体"/>
          <w:color w:val="auto"/>
          <w:sz w:val="21"/>
          <w:highlight w:val="none"/>
        </w:rPr>
      </w:pPr>
      <w:r>
        <w:rPr>
          <w:rFonts w:hint="eastAsia" w:ascii="宋体" w:hAnsi="宋体" w:cs="宋体"/>
          <w:color w:val="auto"/>
          <w:sz w:val="21"/>
          <w:highlight w:val="none"/>
          <w:lang w:eastAsia="zh-CN"/>
        </w:rPr>
        <w:t>（</w:t>
      </w:r>
      <w:r>
        <w:rPr>
          <w:rFonts w:hint="eastAsia" w:ascii="宋体" w:hAnsi="宋体" w:cs="宋体"/>
          <w:color w:val="auto"/>
          <w:sz w:val="21"/>
          <w:highlight w:val="none"/>
          <w:lang w:val="en-US" w:eastAsia="zh-CN"/>
        </w:rPr>
        <w:t>4</w:t>
      </w:r>
      <w:r>
        <w:rPr>
          <w:rFonts w:hint="eastAsia" w:ascii="宋体" w:hAnsi="宋体" w:eastAsia="宋体" w:cs="宋体"/>
          <w:color w:val="auto"/>
          <w:sz w:val="21"/>
          <w:highlight w:val="none"/>
          <w:lang w:val="en-US" w:eastAsia="zh-CN"/>
        </w:rPr>
        <w:t>）</w:t>
      </w:r>
      <w:r>
        <w:rPr>
          <w:rFonts w:hint="eastAsia" w:ascii="宋体" w:hAnsi="宋体" w:eastAsia="宋体" w:cs="宋体"/>
          <w:color w:val="auto"/>
          <w:sz w:val="21"/>
          <w:highlight w:val="none"/>
          <w:lang w:eastAsia="zh-CN"/>
        </w:rPr>
        <w:t>磋商文件</w:t>
      </w:r>
      <w:r>
        <w:rPr>
          <w:rFonts w:hint="eastAsia" w:ascii="宋体" w:hAnsi="宋体" w:eastAsia="宋体" w:cs="宋体"/>
          <w:color w:val="auto"/>
          <w:sz w:val="21"/>
          <w:highlight w:val="none"/>
        </w:rPr>
        <w:t>要求的其他资格条件证明材料（如有）；</w:t>
      </w:r>
    </w:p>
    <w:p>
      <w:pPr>
        <w:pStyle w:val="5"/>
        <w:pageBreakBefore w:val="0"/>
        <w:numPr>
          <w:ilvl w:val="0"/>
          <w:numId w:val="0"/>
        </w:numPr>
        <w:tabs>
          <w:tab w:val="left" w:pos="720"/>
        </w:tabs>
        <w:kinsoku/>
        <w:wordWrap/>
        <w:overflowPunct/>
        <w:topLinePunct w:val="0"/>
        <w:autoSpaceDE/>
        <w:autoSpaceDN/>
        <w:bidi w:val="0"/>
        <w:snapToGrid w:val="0"/>
        <w:spacing w:before="120" w:beforeLines="50"/>
        <w:outlineLvl w:val="9"/>
        <w:rPr>
          <w:rFonts w:hint="eastAsia" w:ascii="宋体" w:hAnsi="宋体" w:cs="宋体"/>
          <w:color w:val="auto"/>
          <w:sz w:val="21"/>
          <w:highlight w:val="none"/>
          <w:lang w:val="en-US" w:eastAsia="zh-CN"/>
        </w:rPr>
      </w:pPr>
    </w:p>
    <w:p>
      <w:pPr>
        <w:pStyle w:val="5"/>
        <w:pageBreakBefore w:val="0"/>
        <w:numPr>
          <w:ilvl w:val="0"/>
          <w:numId w:val="0"/>
        </w:numPr>
        <w:tabs>
          <w:tab w:val="left" w:pos="720"/>
        </w:tabs>
        <w:kinsoku/>
        <w:wordWrap/>
        <w:overflowPunct/>
        <w:topLinePunct w:val="0"/>
        <w:autoSpaceDE/>
        <w:autoSpaceDN/>
        <w:bidi w:val="0"/>
        <w:snapToGrid w:val="0"/>
        <w:spacing w:before="120" w:beforeLines="50"/>
        <w:outlineLvl w:val="9"/>
        <w:rPr>
          <w:rFonts w:hint="eastAsia" w:ascii="宋体" w:hAnsi="宋体" w:eastAsia="宋体" w:cs="宋体"/>
          <w:b/>
          <w:bCs/>
          <w:color w:val="auto"/>
          <w:sz w:val="21"/>
          <w:highlight w:val="none"/>
        </w:rPr>
      </w:pPr>
      <w:r>
        <w:rPr>
          <w:rFonts w:hint="eastAsia" w:ascii="宋体" w:hAnsi="宋体" w:cs="宋体"/>
          <w:b/>
          <w:bCs/>
          <w:color w:val="auto"/>
          <w:sz w:val="21"/>
          <w:highlight w:val="none"/>
          <w:lang w:val="en-US" w:eastAsia="zh-CN"/>
        </w:rPr>
        <w:br w:type="page"/>
      </w:r>
      <w:r>
        <w:rPr>
          <w:rFonts w:hint="eastAsia" w:ascii="宋体" w:hAnsi="宋体" w:cs="宋体"/>
          <w:b/>
          <w:bCs/>
          <w:color w:val="auto"/>
          <w:sz w:val="21"/>
          <w:highlight w:val="none"/>
          <w:lang w:val="en-US" w:eastAsia="zh-CN"/>
        </w:rPr>
        <w:t>2）</w:t>
      </w:r>
      <w:r>
        <w:rPr>
          <w:rFonts w:hint="eastAsia" w:ascii="宋体" w:hAnsi="宋体" w:eastAsia="宋体" w:cs="宋体"/>
          <w:b/>
          <w:bCs/>
          <w:color w:val="auto"/>
          <w:sz w:val="21"/>
          <w:highlight w:val="none"/>
        </w:rPr>
        <w:t>商务技术文件内容包括：</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（1）符合性自查表（格式详见第六章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（2）投标函（格式详见第六章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（3）法定代表人身份证明及授权委托书（格式详见第六章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（4）技术（服务）条款响应（偏离）表（格式详见第六章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（5）商务条款响应（偏离）表（格式详见第六章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（6）技术部分：针对本项目第四章项目需求和第五章评审标准中的条款拟定完整方案，格式自拟；</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（7）业绩一览表（格式详见第六章 响应文件格式）；</w:t>
      </w:r>
    </w:p>
    <w:p>
      <w:pPr>
        <w:pStyle w:val="5"/>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48" w:lineRule="auto"/>
        <w:ind w:left="0" w:leftChars="0" w:firstLine="420" w:firstLineChars="200"/>
        <w:outlineLvl w:val="9"/>
        <w:rPr>
          <w:rFonts w:hint="eastAsia" w:ascii="宋体" w:hAnsi="宋体" w:eastAsia="宋体" w:cs="宋体"/>
          <w:bCs/>
          <w:color w:val="auto"/>
          <w:sz w:val="21"/>
          <w:highlight w:val="none"/>
        </w:rPr>
      </w:pPr>
      <w:r>
        <w:rPr>
          <w:rFonts w:hint="eastAsia" w:ascii="宋体" w:hAnsi="宋体" w:eastAsia="宋体" w:cs="宋体"/>
          <w:bCs/>
          <w:color w:val="auto"/>
          <w:sz w:val="21"/>
          <w:highlight w:val="none"/>
        </w:rPr>
        <w:t>（8）供应商认为有需要提供的其它有关证明资料。</w:t>
      </w:r>
    </w:p>
    <w:p>
      <w:pPr>
        <w:pageBreakBefore w:val="0"/>
        <w:numPr>
          <w:ilvl w:val="0"/>
          <w:numId w:val="0"/>
        </w:numPr>
        <w:kinsoku/>
        <w:wordWrap/>
        <w:overflowPunct/>
        <w:topLinePunct w:val="0"/>
        <w:autoSpaceDE/>
        <w:autoSpaceDN/>
        <w:bidi w:val="0"/>
        <w:snapToGrid w:val="0"/>
        <w:outlineLvl w:val="9"/>
        <w:rPr>
          <w:rFonts w:hint="eastAsia" w:ascii="宋体" w:hAnsi="宋体" w:cs="宋体"/>
          <w:b/>
          <w:color w:val="auto"/>
          <w:szCs w:val="21"/>
          <w:highlight w:val="none"/>
          <w:lang w:bidi="ar"/>
        </w:rPr>
      </w:pPr>
      <w:r>
        <w:rPr>
          <w:rFonts w:hint="eastAsia" w:ascii="宋体" w:hAnsi="宋体" w:eastAsia="宋体" w:cs="宋体"/>
          <w:color w:val="auto"/>
          <w:sz w:val="21"/>
          <w:highlight w:val="none"/>
        </w:rPr>
        <w:br w:type="page"/>
      </w:r>
      <w:r>
        <w:rPr>
          <w:rFonts w:hint="eastAsia" w:ascii="宋体" w:hAnsi="宋体" w:eastAsia="宋体" w:cs="宋体"/>
          <w:b/>
          <w:color w:val="auto"/>
          <w:kern w:val="2"/>
          <w:sz w:val="21"/>
          <w:szCs w:val="21"/>
          <w:highlight w:val="none"/>
          <w:lang w:eastAsia="zh-CN" w:bidi="ar"/>
        </w:rPr>
        <w:t>（</w:t>
      </w:r>
      <w:r>
        <w:rPr>
          <w:rFonts w:hint="eastAsia" w:ascii="宋体" w:hAnsi="宋体" w:eastAsia="宋体" w:cs="宋体"/>
          <w:b/>
          <w:color w:val="auto"/>
          <w:kern w:val="2"/>
          <w:sz w:val="21"/>
          <w:szCs w:val="21"/>
          <w:highlight w:val="none"/>
          <w:lang w:val="en-US" w:eastAsia="zh-CN" w:bidi="ar"/>
        </w:rPr>
        <w:t>1）</w:t>
      </w:r>
      <w:r>
        <w:rPr>
          <w:rFonts w:hint="eastAsia" w:ascii="宋体" w:hAnsi="宋体" w:eastAsia="宋体" w:cs="宋体"/>
          <w:b/>
          <w:color w:val="auto"/>
          <w:kern w:val="2"/>
          <w:sz w:val="21"/>
          <w:szCs w:val="21"/>
          <w:highlight w:val="none"/>
          <w:lang w:bidi="ar"/>
        </w:rPr>
        <w:t>符合性自查表</w:t>
      </w:r>
    </w:p>
    <w:p>
      <w:pPr>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符合性自查表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282"/>
        <w:gridCol w:w="3960"/>
        <w:gridCol w:w="141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评审内容</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lang w:val="en-US" w:eastAsia="zh-CN"/>
              </w:rPr>
              <w:t>磋商</w:t>
            </w:r>
            <w:r>
              <w:rPr>
                <w:rFonts w:hint="eastAsia" w:ascii="宋体" w:hAnsi="宋体" w:eastAsia="宋体" w:cs="宋体"/>
                <w:color w:val="auto"/>
                <w:kern w:val="2"/>
                <w:sz w:val="20"/>
                <w:szCs w:val="20"/>
                <w:highlight w:val="none"/>
              </w:rPr>
              <w:t>文件要求</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自查结论</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符合性审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查（商务技术文件）</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（一）投标函已提交并符合</w:t>
            </w:r>
            <w:r>
              <w:rPr>
                <w:rFonts w:hint="eastAsia" w:ascii="宋体" w:hAnsi="宋体" w:eastAsia="宋体" w:cs="宋体"/>
                <w:color w:val="auto"/>
                <w:kern w:val="2"/>
                <w:sz w:val="20"/>
                <w:szCs w:val="20"/>
                <w:highlight w:val="none"/>
                <w:lang w:val="en-US" w:eastAsia="zh-CN"/>
              </w:rPr>
              <w:t>磋商</w:t>
            </w:r>
            <w:r>
              <w:rPr>
                <w:rFonts w:hint="eastAsia" w:ascii="宋体" w:hAnsi="宋体" w:eastAsia="宋体" w:cs="宋体"/>
                <w:color w:val="auto"/>
                <w:kern w:val="2"/>
                <w:sz w:val="20"/>
                <w:szCs w:val="20"/>
                <w:highlight w:val="none"/>
              </w:rPr>
              <w:t>文件要求；</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（二）按照</w:t>
            </w:r>
            <w:r>
              <w:rPr>
                <w:rFonts w:hint="eastAsia" w:ascii="宋体" w:hAnsi="宋体" w:eastAsia="宋体" w:cs="宋体"/>
                <w:color w:val="auto"/>
                <w:kern w:val="2"/>
                <w:sz w:val="20"/>
                <w:szCs w:val="20"/>
                <w:highlight w:val="none"/>
                <w:lang w:val="en-US" w:eastAsia="zh-CN"/>
              </w:rPr>
              <w:t>磋商</w:t>
            </w:r>
            <w:r>
              <w:rPr>
                <w:rFonts w:hint="eastAsia" w:ascii="宋体" w:hAnsi="宋体" w:eastAsia="宋体" w:cs="宋体"/>
                <w:color w:val="auto"/>
                <w:kern w:val="2"/>
                <w:sz w:val="20"/>
                <w:szCs w:val="20"/>
                <w:highlight w:val="none"/>
              </w:rPr>
              <w:t>文件规定要求签署或盖章；</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（三）</w:t>
            </w:r>
            <w:r>
              <w:rPr>
                <w:rFonts w:hint="eastAsia" w:ascii="宋体" w:hAnsi="宋体" w:eastAsia="宋体" w:cs="宋体"/>
                <w:color w:val="auto"/>
                <w:kern w:val="2"/>
                <w:sz w:val="20"/>
                <w:szCs w:val="20"/>
                <w:highlight w:val="none"/>
                <w:lang w:eastAsia="zh-CN"/>
              </w:rPr>
              <w:t>响应文件</w:t>
            </w:r>
            <w:r>
              <w:rPr>
                <w:rFonts w:hint="eastAsia" w:ascii="宋体" w:hAnsi="宋体" w:eastAsia="宋体" w:cs="宋体"/>
                <w:color w:val="auto"/>
                <w:kern w:val="2"/>
                <w:sz w:val="20"/>
                <w:szCs w:val="20"/>
                <w:highlight w:val="none"/>
              </w:rPr>
              <w:t>有法定代表人签署本人姓名（或印盖本人姓名章），或签署人提供有效的法定代表人授权委托书且授权委托书填写项目齐全的；</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（四）</w:t>
            </w:r>
            <w:r>
              <w:rPr>
                <w:rFonts w:hint="eastAsia" w:ascii="宋体" w:hAnsi="宋体" w:eastAsia="宋体" w:cs="宋体"/>
                <w:color w:val="auto"/>
                <w:kern w:val="2"/>
                <w:sz w:val="20"/>
                <w:szCs w:val="20"/>
                <w:highlight w:val="none"/>
                <w:lang w:eastAsia="zh-CN"/>
              </w:rPr>
              <w:t>响应文件</w:t>
            </w:r>
            <w:r>
              <w:rPr>
                <w:rFonts w:hint="eastAsia" w:ascii="宋体" w:hAnsi="宋体" w:eastAsia="宋体" w:cs="宋体"/>
                <w:color w:val="auto"/>
                <w:kern w:val="2"/>
                <w:sz w:val="20"/>
                <w:szCs w:val="20"/>
                <w:highlight w:val="none"/>
              </w:rPr>
              <w:t>项目齐全；</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（五）</w:t>
            </w:r>
            <w:r>
              <w:rPr>
                <w:rFonts w:hint="eastAsia" w:ascii="宋体" w:hAnsi="宋体" w:eastAsia="宋体" w:cs="宋体"/>
                <w:color w:val="auto"/>
                <w:kern w:val="2"/>
                <w:sz w:val="20"/>
                <w:szCs w:val="20"/>
                <w:highlight w:val="none"/>
                <w:lang w:eastAsia="zh-CN"/>
              </w:rPr>
              <w:t>响应文件</w:t>
            </w:r>
            <w:r>
              <w:rPr>
                <w:rFonts w:hint="eastAsia" w:ascii="宋体" w:hAnsi="宋体" w:eastAsia="宋体" w:cs="宋体"/>
                <w:color w:val="auto"/>
                <w:kern w:val="2"/>
                <w:sz w:val="20"/>
                <w:szCs w:val="20"/>
                <w:highlight w:val="none"/>
              </w:rPr>
              <w:t>标明的响应或偏离与事实相符且无虚假投标的；</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（六）</w:t>
            </w:r>
            <w:r>
              <w:rPr>
                <w:rFonts w:hint="eastAsia" w:ascii="宋体" w:hAnsi="宋体" w:eastAsia="宋体" w:cs="宋体"/>
                <w:color w:val="auto"/>
                <w:kern w:val="2"/>
                <w:sz w:val="20"/>
                <w:szCs w:val="20"/>
                <w:highlight w:val="none"/>
                <w:lang w:eastAsia="zh-CN"/>
              </w:rPr>
              <w:t>响应文件</w:t>
            </w:r>
            <w:r>
              <w:rPr>
                <w:rFonts w:hint="eastAsia" w:ascii="宋体" w:hAnsi="宋体" w:eastAsia="宋体" w:cs="宋体"/>
                <w:color w:val="auto"/>
                <w:kern w:val="2"/>
                <w:sz w:val="20"/>
                <w:szCs w:val="20"/>
                <w:highlight w:val="none"/>
              </w:rPr>
              <w:t>的实质性内容使用中文表述且意思表述明确，前后无矛盾且使用计量单位符合</w:t>
            </w:r>
            <w:r>
              <w:rPr>
                <w:rFonts w:hint="eastAsia" w:ascii="宋体" w:hAnsi="宋体" w:eastAsia="宋体" w:cs="宋体"/>
                <w:color w:val="auto"/>
                <w:kern w:val="2"/>
                <w:sz w:val="20"/>
                <w:szCs w:val="20"/>
                <w:highlight w:val="none"/>
                <w:lang w:val="en-US" w:eastAsia="zh-CN"/>
              </w:rPr>
              <w:t>磋商</w:t>
            </w:r>
            <w:r>
              <w:rPr>
                <w:rFonts w:hint="eastAsia" w:ascii="宋体" w:hAnsi="宋体" w:eastAsia="宋体" w:cs="宋体"/>
                <w:color w:val="auto"/>
                <w:kern w:val="2"/>
                <w:sz w:val="20"/>
                <w:szCs w:val="20"/>
                <w:highlight w:val="none"/>
              </w:rPr>
              <w:t>文件要求的；</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w:t>
            </w:r>
            <w:r>
              <w:rPr>
                <w:rFonts w:hint="eastAsia" w:ascii="宋体" w:hAnsi="宋体" w:eastAsia="宋体" w:cs="宋体"/>
                <w:color w:val="auto"/>
                <w:kern w:val="2"/>
                <w:sz w:val="20"/>
                <w:szCs w:val="20"/>
                <w:highlight w:val="none"/>
                <w:lang w:val="en-US" w:eastAsia="zh-CN"/>
              </w:rPr>
              <w:t>七</w:t>
            </w:r>
            <w:r>
              <w:rPr>
                <w:rFonts w:hint="eastAsia" w:ascii="宋体" w:hAnsi="宋体" w:eastAsia="宋体" w:cs="宋体"/>
                <w:color w:val="auto"/>
                <w:kern w:val="2"/>
                <w:sz w:val="20"/>
                <w:szCs w:val="20"/>
                <w:highlight w:val="none"/>
              </w:rPr>
              <w:t>）带“★”的条款满足磋商文件要求、</w:t>
            </w:r>
            <w:r>
              <w:rPr>
                <w:rFonts w:hint="eastAsia" w:ascii="宋体" w:hAnsi="宋体" w:eastAsia="宋体" w:cs="宋体"/>
                <w:color w:val="auto"/>
                <w:kern w:val="2"/>
                <w:sz w:val="20"/>
                <w:szCs w:val="20"/>
                <w:highlight w:val="none"/>
                <w:lang w:val="en-US" w:eastAsia="zh-CN"/>
              </w:rPr>
              <w:t>已</w:t>
            </w:r>
            <w:r>
              <w:rPr>
                <w:rFonts w:hint="eastAsia" w:ascii="宋体" w:hAnsi="宋体" w:eastAsia="宋体" w:cs="宋体"/>
                <w:color w:val="auto"/>
                <w:kern w:val="2"/>
                <w:sz w:val="20"/>
                <w:szCs w:val="20"/>
                <w:highlight w:val="none"/>
              </w:rPr>
              <w:t>实质性响应磋商文件要求</w:t>
            </w:r>
            <w:r>
              <w:rPr>
                <w:rFonts w:hint="eastAsia" w:ascii="宋体" w:hAnsi="宋体" w:eastAsia="宋体" w:cs="宋体"/>
                <w:color w:val="auto"/>
                <w:kern w:val="2"/>
                <w:sz w:val="20"/>
                <w:szCs w:val="20"/>
                <w:highlight w:val="none"/>
                <w:lang w:val="en-US" w:eastAsia="zh-CN"/>
              </w:rPr>
              <w:t>且</w:t>
            </w:r>
            <w:r>
              <w:rPr>
                <w:rFonts w:hint="eastAsia" w:ascii="宋体" w:hAnsi="宋体" w:eastAsia="宋体" w:cs="宋体"/>
                <w:color w:val="auto"/>
                <w:kern w:val="2"/>
                <w:sz w:val="20"/>
                <w:szCs w:val="20"/>
                <w:highlight w:val="none"/>
              </w:rPr>
              <w:t>响应文件</w:t>
            </w:r>
            <w:r>
              <w:rPr>
                <w:rFonts w:hint="eastAsia" w:ascii="宋体" w:hAnsi="宋体" w:eastAsia="宋体" w:cs="宋体"/>
                <w:color w:val="auto"/>
                <w:kern w:val="2"/>
                <w:sz w:val="20"/>
                <w:szCs w:val="20"/>
                <w:highlight w:val="none"/>
                <w:lang w:val="en-US" w:eastAsia="zh-CN"/>
              </w:rPr>
              <w:t>无</w:t>
            </w:r>
            <w:r>
              <w:rPr>
                <w:rFonts w:hint="eastAsia" w:ascii="宋体" w:hAnsi="宋体" w:eastAsia="宋体" w:cs="宋体"/>
                <w:color w:val="auto"/>
                <w:kern w:val="2"/>
                <w:sz w:val="20"/>
                <w:szCs w:val="20"/>
                <w:highlight w:val="none"/>
              </w:rPr>
              <w:t>采购人不能接受的附加条件的；</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w:t>
            </w:r>
            <w:r>
              <w:rPr>
                <w:rFonts w:hint="eastAsia" w:ascii="宋体" w:hAnsi="宋体" w:eastAsia="宋体" w:cs="宋体"/>
                <w:color w:val="auto"/>
                <w:kern w:val="2"/>
                <w:sz w:val="20"/>
                <w:szCs w:val="20"/>
                <w:highlight w:val="none"/>
                <w:lang w:val="en-US" w:eastAsia="zh-CN"/>
              </w:rPr>
              <w:t>八</w:t>
            </w:r>
            <w:r>
              <w:rPr>
                <w:rFonts w:hint="eastAsia" w:ascii="宋体" w:hAnsi="宋体" w:eastAsia="宋体" w:cs="宋体"/>
                <w:color w:val="auto"/>
                <w:kern w:val="2"/>
                <w:sz w:val="20"/>
                <w:szCs w:val="20"/>
                <w:highlight w:val="none"/>
              </w:rPr>
              <w:t>）投标技术方案明确，不存在一个或一个以上备选（替代）投标方案的；</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w:t>
            </w:r>
            <w:r>
              <w:rPr>
                <w:rFonts w:hint="eastAsia" w:ascii="宋体" w:hAnsi="宋体" w:eastAsia="宋体" w:cs="宋体"/>
                <w:color w:val="auto"/>
                <w:kern w:val="2"/>
                <w:sz w:val="20"/>
                <w:szCs w:val="20"/>
                <w:highlight w:val="none"/>
                <w:lang w:val="en-US" w:eastAsia="zh-CN"/>
              </w:rPr>
              <w:t>九</w:t>
            </w:r>
            <w:r>
              <w:rPr>
                <w:rFonts w:hint="eastAsia" w:ascii="宋体" w:hAnsi="宋体" w:eastAsia="宋体" w:cs="宋体"/>
                <w:color w:val="auto"/>
                <w:kern w:val="2"/>
                <w:sz w:val="20"/>
                <w:szCs w:val="20"/>
                <w:highlight w:val="none"/>
              </w:rPr>
              <w:t>）不存在法律、法规和</w:t>
            </w:r>
            <w:r>
              <w:rPr>
                <w:rFonts w:hint="eastAsia" w:ascii="宋体" w:hAnsi="宋体" w:eastAsia="宋体" w:cs="宋体"/>
                <w:color w:val="auto"/>
                <w:kern w:val="2"/>
                <w:sz w:val="20"/>
                <w:szCs w:val="20"/>
                <w:highlight w:val="none"/>
                <w:lang w:val="en-US" w:eastAsia="zh-CN"/>
              </w:rPr>
              <w:t>磋商</w:t>
            </w:r>
            <w:r>
              <w:rPr>
                <w:rFonts w:hint="eastAsia" w:ascii="宋体" w:hAnsi="宋体" w:eastAsia="宋体" w:cs="宋体"/>
                <w:color w:val="auto"/>
                <w:kern w:val="2"/>
                <w:sz w:val="20"/>
                <w:szCs w:val="20"/>
                <w:highlight w:val="none"/>
              </w:rPr>
              <w:t>文件规定的其他无效情形；</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（十）不存在</w:t>
            </w:r>
            <w:r>
              <w:rPr>
                <w:rFonts w:hint="eastAsia" w:ascii="宋体" w:hAnsi="宋体" w:eastAsia="宋体" w:cs="宋体"/>
                <w:color w:val="auto"/>
                <w:kern w:val="2"/>
                <w:sz w:val="20"/>
                <w:szCs w:val="20"/>
                <w:highlight w:val="none"/>
                <w:lang w:eastAsia="zh-CN"/>
              </w:rPr>
              <w:t>响应文件</w:t>
            </w:r>
            <w:r>
              <w:rPr>
                <w:rFonts w:hint="eastAsia" w:ascii="宋体" w:hAnsi="宋体" w:eastAsia="宋体" w:cs="宋体"/>
                <w:color w:val="auto"/>
                <w:kern w:val="2"/>
                <w:sz w:val="20"/>
                <w:szCs w:val="20"/>
                <w:highlight w:val="none"/>
              </w:rPr>
              <w:t>的有效期不满足</w:t>
            </w:r>
            <w:r>
              <w:rPr>
                <w:rFonts w:hint="eastAsia" w:ascii="宋体" w:hAnsi="宋体" w:eastAsia="宋体" w:cs="宋体"/>
                <w:color w:val="auto"/>
                <w:kern w:val="2"/>
                <w:sz w:val="20"/>
                <w:szCs w:val="20"/>
                <w:highlight w:val="none"/>
                <w:lang w:val="en-US" w:eastAsia="zh-CN"/>
              </w:rPr>
              <w:t>磋商</w:t>
            </w:r>
            <w:r>
              <w:rPr>
                <w:rFonts w:hint="eastAsia" w:ascii="宋体" w:hAnsi="宋体" w:eastAsia="宋体" w:cs="宋体"/>
                <w:color w:val="auto"/>
                <w:kern w:val="2"/>
                <w:sz w:val="20"/>
                <w:szCs w:val="20"/>
                <w:highlight w:val="none"/>
              </w:rPr>
              <w:t>文件要求情形；</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 xml:space="preserve">□通过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□不通过</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第（ ）页</w:t>
            </w:r>
          </w:p>
        </w:tc>
      </w:tr>
    </w:tbl>
    <w:p>
      <w:pPr>
        <w:pageBreakBefore w:val="0"/>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备注：符合性自查表将作为投标供应商有效性审查的重要内容之一，投标供应商必须严格按照其内容及序列要求在</w:t>
      </w:r>
      <w:r>
        <w:rPr>
          <w:rFonts w:hint="eastAsia" w:hAnsi="宋体" w:eastAsia="宋体" w:cs="宋体"/>
          <w:b/>
          <w:color w:val="auto"/>
          <w:kern w:val="2"/>
          <w:sz w:val="21"/>
          <w:szCs w:val="21"/>
          <w:highlight w:val="none"/>
          <w:lang w:eastAsia="zh-CN"/>
        </w:rPr>
        <w:t>响应文件</w:t>
      </w:r>
      <w:r>
        <w:rPr>
          <w:rFonts w:hint="eastAsia" w:ascii="宋体" w:hAnsi="宋体" w:eastAsia="宋体" w:cs="宋体"/>
          <w:b/>
          <w:color w:val="auto"/>
          <w:kern w:val="2"/>
          <w:sz w:val="21"/>
          <w:szCs w:val="21"/>
          <w:highlight w:val="none"/>
        </w:rPr>
        <w:t xml:space="preserve">中对应如实提供，对证明文件的任何缺漏和不符合项将会直接导致投标无效！ </w:t>
      </w:r>
    </w:p>
    <w:p>
      <w:pPr>
        <w:pageBreakBefore w:val="0"/>
        <w:kinsoku/>
        <w:wordWrap/>
        <w:overflowPunct/>
        <w:topLinePunct w:val="0"/>
        <w:autoSpaceDE/>
        <w:autoSpaceDN/>
        <w:bidi w:val="0"/>
        <w:snapToGrid w:val="0"/>
        <w:outlineLvl w:val="9"/>
        <w:rPr>
          <w:rFonts w:hint="eastAsia" w:ascii="宋体" w:hAnsi="宋体" w:eastAsia="宋体" w:cs="宋体"/>
          <w:color w:val="auto"/>
          <w:szCs w:val="21"/>
          <w:highlight w:val="none"/>
        </w:rPr>
      </w:pPr>
      <w:r>
        <w:rPr>
          <w:rFonts w:hint="eastAsia" w:ascii="宋体" w:hAnsi="宋体" w:cs="宋体"/>
          <w:b/>
          <w:color w:val="auto"/>
          <w:szCs w:val="21"/>
          <w:highlight w:val="none"/>
        </w:rPr>
        <w:br w:type="page"/>
      </w:r>
      <w:r>
        <w:rPr>
          <w:rFonts w:hint="eastAsia" w:ascii="宋体" w:hAnsi="宋体" w:eastAsia="宋体" w:cs="宋体"/>
          <w:b/>
          <w:bCs/>
          <w:color w:val="auto"/>
          <w:kern w:val="2"/>
          <w:sz w:val="21"/>
          <w:szCs w:val="21"/>
          <w:highlight w:val="none"/>
          <w:lang w:eastAsia="zh-CN"/>
        </w:rPr>
        <w:t>（</w:t>
      </w:r>
      <w:r>
        <w:rPr>
          <w:rFonts w:hint="eastAsia" w:ascii="宋体" w:hAnsi="宋体" w:eastAsia="宋体" w:cs="宋体"/>
          <w:b/>
          <w:bCs/>
          <w:color w:val="auto"/>
          <w:kern w:val="2"/>
          <w:sz w:val="21"/>
          <w:szCs w:val="21"/>
          <w:highlight w:val="none"/>
          <w:lang w:val="en-US" w:eastAsia="zh-CN"/>
        </w:rPr>
        <w:t>2</w:t>
      </w:r>
      <w:r>
        <w:rPr>
          <w:rFonts w:hint="eastAsia" w:ascii="宋体" w:hAnsi="宋体" w:eastAsia="宋体" w:cs="宋体"/>
          <w:b/>
          <w:bCs/>
          <w:color w:val="auto"/>
          <w:kern w:val="2"/>
          <w:sz w:val="21"/>
          <w:szCs w:val="21"/>
          <w:highlight w:val="none"/>
          <w:lang w:eastAsia="zh-CN"/>
        </w:rPr>
        <w:t>）</w:t>
      </w:r>
      <w:r>
        <w:rPr>
          <w:rFonts w:hint="eastAsia" w:ascii="宋体" w:hAnsi="宋体" w:eastAsia="宋体" w:cs="宋体"/>
          <w:b/>
          <w:bCs/>
          <w:color w:val="auto"/>
          <w:kern w:val="2"/>
          <w:sz w:val="21"/>
          <w:szCs w:val="21"/>
          <w:highlight w:val="none"/>
        </w:rPr>
        <w:t>投标函</w:t>
      </w:r>
    </w:p>
    <w:p>
      <w:pPr>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color w:val="auto"/>
          <w:kern w:val="2"/>
          <w:sz w:val="32"/>
          <w:szCs w:val="32"/>
          <w:highlight w:val="none"/>
        </w:rPr>
      </w:pPr>
      <w:r>
        <w:rPr>
          <w:rFonts w:hint="eastAsia" w:ascii="宋体" w:hAnsi="宋体" w:eastAsia="宋体" w:cs="宋体"/>
          <w:b/>
          <w:color w:val="auto"/>
          <w:kern w:val="2"/>
          <w:sz w:val="32"/>
          <w:szCs w:val="32"/>
          <w:highlight w:val="none"/>
        </w:rPr>
        <w:t>投 标 函</w:t>
      </w:r>
    </w:p>
    <w:p>
      <w:pPr>
        <w:pageBreakBefore w:val="0"/>
        <w:kinsoku/>
        <w:wordWrap/>
        <w:overflowPunct/>
        <w:topLinePunct w:val="0"/>
        <w:autoSpaceDE/>
        <w:autoSpaceDN/>
        <w:bidi w:val="0"/>
        <w:snapToGrid w:val="0"/>
        <w:spacing w:before="120" w:beforeLines="50" w:after="50"/>
        <w:jc w:val="center"/>
        <w:outlineLvl w:val="9"/>
        <w:rPr>
          <w:rFonts w:hint="eastAsia" w:ascii="宋体" w:hAnsi="宋体" w:eastAsia="宋体" w:cs="宋体"/>
          <w:b/>
          <w:color w:val="auto"/>
          <w:szCs w:val="21"/>
          <w:highlight w:val="none"/>
        </w:rPr>
      </w:pP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（采购单位名称）：</w:t>
      </w:r>
    </w:p>
    <w:p>
      <w:pPr>
        <w:pageBreakBefore w:val="0"/>
        <w:kinsoku/>
        <w:wordWrap/>
        <w:overflowPunct/>
        <w:topLinePunct w:val="0"/>
        <w:autoSpaceDE/>
        <w:autoSpaceDN/>
        <w:bidi w:val="0"/>
        <w:snapToGrid w:val="0"/>
        <w:spacing w:line="360" w:lineRule="auto"/>
        <w:ind w:firstLine="48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项目的采购公告/投标邀请书（项目编号：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hAnsi="宋体" w:eastAsia="宋体" w:cs="宋体"/>
          <w:color w:val="auto"/>
          <w:sz w:val="21"/>
          <w:szCs w:val="21"/>
          <w:highlight w:val="none"/>
          <w:lang w:eastAsia="zh-CN"/>
        </w:rPr>
        <w:t>标项</w:t>
      </w:r>
      <w:r>
        <w:rPr>
          <w:rFonts w:hint="eastAsia" w:ascii="宋体" w:hAnsi="宋体" w:eastAsia="宋体" w:cs="宋体"/>
          <w:color w:val="auto"/>
          <w:sz w:val="21"/>
          <w:szCs w:val="21"/>
          <w:highlight w:val="none"/>
        </w:rPr>
        <w:t>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（全名）经正式授权并代表供应商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（供应商名称）提交</w:t>
      </w:r>
      <w:r>
        <w:rPr>
          <w:rFonts w:hint="eastAsia" w:hAnsi="宋体" w:eastAsia="宋体" w:cs="宋体"/>
          <w:color w:val="auto"/>
          <w:sz w:val="21"/>
          <w:szCs w:val="21"/>
          <w:highlight w:val="none"/>
          <w:lang w:val="en-US" w:eastAsia="zh-CN"/>
        </w:rPr>
        <w:t>响应文件</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1.供应商已详细审查全部“</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文件”，包括修改文件（如有的话）以及全部参考资料和有关附件，已经了解我方对于</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文件、采购过程、采购结果有依法进行询问、质疑、投诉的权利及相关渠道和要求。</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2.供应商在投标之前已经与贵方进行了充分的沟通，完全理解并接受</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文件的各项规定和要求，对</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文件的合理性、合法性不再有异议。</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3.本投标有效期自开标日起</w:t>
      </w:r>
      <w:r>
        <w:rPr>
          <w:rFonts w:hint="eastAsia"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0</w:t>
      </w:r>
      <w:r>
        <w:rPr>
          <w:rFonts w:hint="eastAsia" w:hAnsi="宋体" w:eastAsia="宋体" w:cs="宋体"/>
          <w:color w:val="auto"/>
          <w:sz w:val="21"/>
          <w:szCs w:val="21"/>
          <w:highlight w:val="none"/>
          <w:lang w:val="en-US" w:eastAsia="zh-CN"/>
        </w:rPr>
        <w:t>天</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4.如中标，本</w:t>
      </w:r>
      <w:r>
        <w:rPr>
          <w:rFonts w:hint="eastAsia"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至本项目合同履行完毕止均保持有效，本供应商将按“</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文件”及政府采购法律、法规的规定履行合同责任和义务。</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5.供应商同意按照贵方要求提供与投标有关的一切数据或资料。</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zh-CN"/>
        </w:rPr>
        <w:t>我们郑重声明：本</w:t>
      </w:r>
      <w:r>
        <w:rPr>
          <w:rFonts w:hint="eastAsia" w:hAnsi="宋体" w:eastAsia="宋体" w:cs="宋体"/>
          <w:color w:val="auto"/>
          <w:sz w:val="21"/>
          <w:szCs w:val="21"/>
          <w:highlight w:val="none"/>
          <w:lang w:val="zh-CN"/>
        </w:rPr>
        <w:t>响应文件</w:t>
      </w:r>
      <w:r>
        <w:rPr>
          <w:rFonts w:hint="eastAsia" w:ascii="宋体" w:hAnsi="宋体" w:eastAsia="宋体" w:cs="宋体"/>
          <w:color w:val="auto"/>
          <w:sz w:val="21"/>
          <w:szCs w:val="21"/>
          <w:highlight w:val="none"/>
          <w:lang w:val="zh-CN"/>
        </w:rPr>
        <w:t>提供的情况和文件完全是真实的。</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按照</w:t>
      </w: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zh-CN"/>
        </w:rPr>
        <w:t>文件的规定，在中标后向</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lang w:val="zh-CN"/>
        </w:rPr>
        <w:t>一次性支付招标代理</w:t>
      </w:r>
      <w:r>
        <w:rPr>
          <w:rFonts w:hint="eastAsia"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lang w:val="zh-CN"/>
        </w:rPr>
        <w:t>费。</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与本投标有关的一切正式往来信函请寄：</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邮编：__________   电话：______________</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传真：______________供应商代表姓名 ___________  职务：_____________</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公章</w:t>
      </w: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:___________________</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hAnsi="宋体" w:eastAsia="宋体" w:cs="宋体"/>
          <w:color w:val="auto"/>
          <w:sz w:val="21"/>
          <w:szCs w:val="21"/>
          <w:highlight w:val="none"/>
          <w:lang w:eastAsia="zh-CN"/>
        </w:rPr>
        <w:t>银行账号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ageBreakBefore w:val="0"/>
        <w:numPr>
          <w:ilvl w:val="0"/>
          <w:numId w:val="0"/>
        </w:numPr>
        <w:kinsoku/>
        <w:wordWrap/>
        <w:overflowPunct/>
        <w:topLinePunct w:val="0"/>
        <w:autoSpaceDE/>
        <w:autoSpaceDN/>
        <w:bidi w:val="0"/>
        <w:spacing w:line="360" w:lineRule="auto"/>
        <w:ind w:leftChars="0"/>
        <w:jc w:val="both"/>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法定代表人或授权代表（签名或印章）:___________      日期</w:t>
      </w: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_____年___月___日</w:t>
      </w:r>
    </w:p>
    <w:p>
      <w:pPr>
        <w:pageBreakBefore w:val="0"/>
        <w:numPr>
          <w:ilvl w:val="0"/>
          <w:numId w:val="0"/>
        </w:numPr>
        <w:kinsoku/>
        <w:wordWrap/>
        <w:overflowPunct/>
        <w:topLinePunct w:val="0"/>
        <w:autoSpaceDE/>
        <w:autoSpaceDN/>
        <w:bidi w:val="0"/>
        <w:spacing w:line="360" w:lineRule="auto"/>
        <w:ind w:leftChars="0"/>
        <w:jc w:val="both"/>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Cs w:val="21"/>
          <w:highlight w:val="none"/>
        </w:rPr>
        <w:br w:type="page"/>
      </w:r>
      <w:r>
        <w:rPr>
          <w:rFonts w:hint="eastAsia" w:ascii="宋体" w:hAnsi="宋体" w:eastAsia="宋体" w:cs="宋体"/>
          <w:b/>
          <w:bCs/>
          <w:color w:val="auto"/>
          <w:sz w:val="21"/>
          <w:szCs w:val="21"/>
          <w:highlight w:val="none"/>
          <w:lang w:val="en-US" w:eastAsia="zh-CN"/>
        </w:rPr>
        <w:t>（3）法定代表人身份证明及授权委托书</w:t>
      </w:r>
    </w:p>
    <w:p>
      <w:pPr>
        <w:pStyle w:val="9"/>
        <w:pageBreakBefore w:val="0"/>
        <w:kinsoku/>
        <w:wordWrap/>
        <w:overflowPunct/>
        <w:topLinePunct w:val="0"/>
        <w:autoSpaceDE/>
        <w:autoSpaceDN/>
        <w:bidi w:val="0"/>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pacing w:line="360" w:lineRule="auto"/>
        <w:jc w:val="center"/>
        <w:outlineLvl w:val="9"/>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法定代表人资格证明</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lang w:eastAsia="zh-CN"/>
        </w:rPr>
      </w:pP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单位性质：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经营期限：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性别：</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年龄：</w:t>
      </w:r>
      <w:r>
        <w:rPr>
          <w:rFonts w:hint="eastAsia" w:ascii="宋体" w:hAnsi="宋体" w:eastAsia="宋体" w:cs="宋体"/>
          <w:color w:val="auto"/>
          <w:sz w:val="21"/>
          <w:szCs w:val="21"/>
          <w:highlight w:val="none"/>
          <w:u w:val="single"/>
        </w:rPr>
        <w:t xml:space="preserve">    周岁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spacing w:line="48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名称）的法定代表人。</w:t>
      </w:r>
    </w:p>
    <w:p>
      <w:pPr>
        <w:pageBreakBefore w:val="0"/>
        <w:kinsoku/>
        <w:wordWrap/>
        <w:overflowPunct/>
        <w:topLinePunct w:val="0"/>
        <w:autoSpaceDE/>
        <w:autoSpaceDN/>
        <w:bidi w:val="0"/>
        <w:spacing w:line="360" w:lineRule="auto"/>
        <w:ind w:firstLine="420" w:firstLineChars="200"/>
        <w:outlineLvl w:val="9"/>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特此证明。</w:t>
      </w:r>
    </w:p>
    <w:p>
      <w:pPr>
        <w:pageBreakBefore w:val="0"/>
        <w:kinsoku/>
        <w:wordWrap/>
        <w:overflowPunct/>
        <w:topLinePunct w:val="0"/>
        <w:autoSpaceDE/>
        <w:autoSpaceDN/>
        <w:bidi w:val="0"/>
        <w:spacing w:line="360" w:lineRule="auto"/>
        <w:outlineLvl w:val="9"/>
        <w:rPr>
          <w:rFonts w:hint="eastAsia" w:ascii="宋体" w:hAnsi="宋体" w:eastAsia="宋体" w:cs="宋体"/>
          <w:bCs/>
          <w:color w:val="auto"/>
          <w:sz w:val="21"/>
          <w:szCs w:val="21"/>
          <w:highlight w:val="none"/>
        </w:rPr>
      </w:pPr>
    </w:p>
    <w:p>
      <w:pPr>
        <w:pageBreakBefore w:val="0"/>
        <w:kinsoku/>
        <w:wordWrap/>
        <w:overflowPunct/>
        <w:topLinePunct w:val="0"/>
        <w:autoSpaceDE/>
        <w:autoSpaceDN/>
        <w:bidi w:val="0"/>
        <w:spacing w:line="360" w:lineRule="auto"/>
        <w:outlineLvl w:val="9"/>
        <w:rPr>
          <w:rFonts w:hint="eastAsia" w:ascii="宋体" w:hAnsi="宋体" w:eastAsia="宋体" w:cs="宋体"/>
          <w:bCs/>
          <w:color w:val="auto"/>
          <w:sz w:val="21"/>
          <w:szCs w:val="21"/>
          <w:highlight w:val="none"/>
        </w:rPr>
      </w:pPr>
    </w:p>
    <w:p>
      <w:pPr>
        <w:pageBreakBefore w:val="0"/>
        <w:kinsoku/>
        <w:wordWrap/>
        <w:overflowPunct/>
        <w:topLinePunct w:val="0"/>
        <w:autoSpaceDE/>
        <w:autoSpaceDN/>
        <w:bidi w:val="0"/>
        <w:spacing w:line="360" w:lineRule="auto"/>
        <w:outlineLvl w:val="9"/>
        <w:rPr>
          <w:rFonts w:hint="eastAsia" w:ascii="宋体" w:hAnsi="宋体" w:eastAsia="宋体" w:cs="宋体"/>
          <w:bCs/>
          <w:color w:val="auto"/>
          <w:sz w:val="21"/>
          <w:szCs w:val="21"/>
          <w:highlight w:val="none"/>
        </w:rPr>
      </w:pPr>
    </w:p>
    <w:p>
      <w:pPr>
        <w:pageBreakBefore w:val="0"/>
        <w:kinsoku/>
        <w:wordWrap/>
        <w:overflowPunct/>
        <w:topLinePunct w:val="0"/>
        <w:autoSpaceDE/>
        <w:autoSpaceDN/>
        <w:bidi w:val="0"/>
        <w:spacing w:line="360" w:lineRule="auto"/>
        <w:outlineLvl w:val="9"/>
        <w:rPr>
          <w:rFonts w:hint="eastAsia" w:ascii="宋体" w:hAnsi="宋体" w:eastAsia="宋体" w:cs="宋体"/>
          <w:bCs/>
          <w:color w:val="auto"/>
          <w:sz w:val="21"/>
          <w:szCs w:val="21"/>
          <w:highlight w:val="none"/>
        </w:rPr>
      </w:pPr>
    </w:p>
    <w:p>
      <w:pPr>
        <w:pageBreakBefore w:val="0"/>
        <w:kinsoku/>
        <w:wordWrap/>
        <w:overflowPunct/>
        <w:topLinePunct w:val="0"/>
        <w:autoSpaceDE/>
        <w:autoSpaceDN/>
        <w:bidi w:val="0"/>
        <w:spacing w:line="360" w:lineRule="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lang w:val="en-US" w:eastAsia="zh-CN"/>
        </w:rPr>
        <w:t>名称</w:t>
      </w:r>
      <w:r>
        <w:rPr>
          <w:rFonts w:hint="eastAsia" w:ascii="宋体" w:hAnsi="宋体" w:eastAsia="宋体" w:cs="宋体"/>
          <w:bCs/>
          <w:color w:val="auto"/>
          <w:sz w:val="21"/>
          <w:szCs w:val="21"/>
          <w:highlight w:val="none"/>
        </w:rPr>
        <w:t>（公章）：</w:t>
      </w:r>
    </w:p>
    <w:p>
      <w:pPr>
        <w:pageBreakBefore w:val="0"/>
        <w:kinsoku/>
        <w:wordWrap/>
        <w:overflowPunct/>
        <w:topLinePunct w:val="0"/>
        <w:autoSpaceDE/>
        <w:autoSpaceDN/>
        <w:bidi w:val="0"/>
        <w:spacing w:line="360" w:lineRule="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法定代表人（签名</w:t>
      </w:r>
      <w:r>
        <w:rPr>
          <w:rFonts w:hint="eastAsia" w:hAnsi="宋体" w:eastAsia="宋体" w:cs="宋体"/>
          <w:bCs/>
          <w:color w:val="auto"/>
          <w:sz w:val="21"/>
          <w:szCs w:val="21"/>
          <w:highlight w:val="none"/>
          <w:lang w:val="en-US" w:eastAsia="zh-CN"/>
        </w:rPr>
        <w:t>或印章</w:t>
      </w:r>
      <w:r>
        <w:rPr>
          <w:rFonts w:hint="eastAsia" w:ascii="宋体" w:hAnsi="宋体" w:eastAsia="宋体" w:cs="宋体"/>
          <w:bCs/>
          <w:color w:val="auto"/>
          <w:sz w:val="21"/>
          <w:szCs w:val="21"/>
          <w:highlight w:val="none"/>
        </w:rPr>
        <w:t xml:space="preserve">）：                       </w:t>
      </w:r>
    </w:p>
    <w:p>
      <w:pPr>
        <w:pStyle w:val="10"/>
        <w:pageBreakBefore w:val="0"/>
        <w:kinsoku/>
        <w:wordWrap/>
        <w:overflowPunct/>
        <w:topLinePunct w:val="0"/>
        <w:autoSpaceDE/>
        <w:autoSpaceDN/>
        <w:bidi w:val="0"/>
        <w:snapToGrid w:val="0"/>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日期：202</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年  月  日</w:t>
      </w:r>
    </w:p>
    <w:p>
      <w:pPr>
        <w:pStyle w:val="10"/>
        <w:pageBreakBefore w:val="0"/>
        <w:kinsoku/>
        <w:wordWrap/>
        <w:overflowPunct/>
        <w:topLinePunct w:val="0"/>
        <w:autoSpaceDE/>
        <w:autoSpaceDN/>
        <w:bidi w:val="0"/>
        <w:snapToGrid w:val="0"/>
        <w:ind w:left="403"/>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jc w:val="both"/>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附法定代表人身份证复印件（正反面）：</w:t>
      </w:r>
    </w:p>
    <w:p>
      <w:pPr>
        <w:pageBreakBefore w:val="0"/>
        <w:kinsoku/>
        <w:wordWrap/>
        <w:overflowPunct/>
        <w:topLinePunct w:val="0"/>
        <w:autoSpaceDE/>
        <w:autoSpaceDN/>
        <w:bidi w:val="0"/>
        <w:jc w:val="center"/>
        <w:outlineLvl w:val="9"/>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b/>
          <w:color w:val="auto"/>
          <w:sz w:val="21"/>
          <w:szCs w:val="21"/>
          <w:highlight w:val="none"/>
        </w:rPr>
        <w:t>法定代表人授权委托书</w:t>
      </w:r>
    </w:p>
    <w:p>
      <w:pPr>
        <w:pageBreakBefore w:val="0"/>
        <w:kinsoku/>
        <w:wordWrap/>
        <w:overflowPunct/>
        <w:topLinePunct w:val="0"/>
        <w:autoSpaceDE/>
        <w:autoSpaceDN/>
        <w:bidi w:val="0"/>
        <w:jc w:val="center"/>
        <w:outlineLvl w:val="9"/>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（法定代表人来投标的，此表不用）</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bCs/>
          <w:color w:val="auto"/>
          <w:sz w:val="21"/>
          <w:szCs w:val="21"/>
          <w:highlight w:val="none"/>
        </w:rPr>
      </w:pP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（采购单位名称）</w:t>
      </w:r>
      <w:r>
        <w:rPr>
          <w:rFonts w:hint="eastAsia" w:ascii="宋体" w:hAnsi="宋体" w:eastAsia="宋体" w:cs="宋体"/>
          <w:b/>
          <w:bCs/>
          <w:color w:val="auto"/>
          <w:sz w:val="21"/>
          <w:szCs w:val="21"/>
          <w:highlight w:val="none"/>
        </w:rPr>
        <w:t xml:space="preserve"> </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名称）的法定代表人，现授权委托本单位在职职工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（姓名）以我方的名义参加</w:t>
      </w:r>
      <w:r>
        <w:rPr>
          <w:rFonts w:hint="eastAsia" w:ascii="宋体" w:hAnsi="宋体" w:eastAsia="宋体" w:cs="宋体"/>
          <w:color w:val="auto"/>
          <w:sz w:val="21"/>
          <w:szCs w:val="21"/>
          <w:highlight w:val="none"/>
          <w:u w:val="single"/>
        </w:rPr>
        <w:t xml:space="preserve">                       政府采购 </w:t>
      </w:r>
      <w:r>
        <w:rPr>
          <w:rFonts w:hint="eastAsia" w:ascii="宋体" w:hAnsi="宋体" w:eastAsia="宋体" w:cs="宋体"/>
          <w:color w:val="auto"/>
          <w:sz w:val="21"/>
          <w:szCs w:val="21"/>
          <w:highlight w:val="none"/>
        </w:rPr>
        <w:t>项目的投标活动，并代表我方全权办理针对上述项目的投标、开标、评标、签约等具体事务和签署相关文件。</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我方对</w:t>
      </w:r>
      <w:r>
        <w:rPr>
          <w:rFonts w:hint="eastAsia" w:ascii="宋体" w:hAnsi="宋体" w:eastAsia="宋体" w:cs="宋体"/>
          <w:color w:val="auto"/>
          <w:sz w:val="21"/>
          <w:szCs w:val="21"/>
          <w:highlight w:val="none"/>
          <w:lang w:eastAsia="zh-CN"/>
        </w:rPr>
        <w:t>授权代表</w:t>
      </w:r>
      <w:r>
        <w:rPr>
          <w:rFonts w:hint="eastAsia" w:ascii="宋体" w:hAnsi="宋体" w:eastAsia="宋体" w:cs="宋体"/>
          <w:color w:val="auto"/>
          <w:sz w:val="21"/>
          <w:szCs w:val="21"/>
          <w:highlight w:val="none"/>
        </w:rPr>
        <w:t>的签名事项负全部责任。</w:t>
      </w:r>
    </w:p>
    <w:p>
      <w:pPr>
        <w:pageBreakBefore w:val="0"/>
        <w:kinsoku/>
        <w:wordWrap/>
        <w:overflowPunct/>
        <w:topLinePunct w:val="0"/>
        <w:autoSpaceDE/>
        <w:autoSpaceDN/>
        <w:bidi w:val="0"/>
        <w:snapToGrid w:val="0"/>
        <w:spacing w:line="360" w:lineRule="auto"/>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在撤销授权的书面通知以前，本授权书一直有效。</w:t>
      </w:r>
      <w:r>
        <w:rPr>
          <w:rFonts w:hint="eastAsia" w:ascii="宋体" w:hAnsi="宋体" w:eastAsia="宋体" w:cs="宋体"/>
          <w:color w:val="auto"/>
          <w:sz w:val="21"/>
          <w:szCs w:val="21"/>
          <w:highlight w:val="none"/>
          <w:lang w:eastAsia="zh-CN"/>
        </w:rPr>
        <w:t>授权代表</w:t>
      </w:r>
      <w:r>
        <w:rPr>
          <w:rFonts w:hint="eastAsia" w:ascii="宋体" w:hAnsi="宋体" w:eastAsia="宋体" w:cs="宋体"/>
          <w:color w:val="auto"/>
          <w:sz w:val="21"/>
          <w:szCs w:val="21"/>
          <w:highlight w:val="none"/>
        </w:rPr>
        <w:t>人在授权书有效期内签署的所有文件不因授权的撤销而失效。</w:t>
      </w:r>
    </w:p>
    <w:p>
      <w:pPr>
        <w:pageBreakBefore w:val="0"/>
        <w:kinsoku/>
        <w:wordWrap/>
        <w:overflowPunct/>
        <w:topLinePunct w:val="0"/>
        <w:autoSpaceDE/>
        <w:autoSpaceDN/>
        <w:bidi w:val="0"/>
        <w:snapToGrid w:val="0"/>
        <w:spacing w:line="360" w:lineRule="auto"/>
        <w:ind w:firstLine="48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授权代表</w:t>
      </w:r>
      <w:r>
        <w:rPr>
          <w:rFonts w:hint="eastAsia" w:ascii="宋体" w:hAnsi="宋体" w:eastAsia="宋体" w:cs="宋体"/>
          <w:color w:val="auto"/>
          <w:sz w:val="21"/>
          <w:szCs w:val="21"/>
          <w:highlight w:val="none"/>
        </w:rPr>
        <w:t>无转委托权，特此委托。</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授权代表（签名或</w:t>
      </w:r>
      <w:r>
        <w:rPr>
          <w:rFonts w:hint="eastAsia" w:ascii="宋体" w:hAnsi="宋体" w:eastAsia="宋体" w:cs="宋体"/>
          <w:color w:val="auto"/>
          <w:sz w:val="21"/>
          <w:szCs w:val="21"/>
          <w:highlight w:val="none"/>
          <w:lang w:val="en-US" w:eastAsia="zh-CN"/>
        </w:rPr>
        <w:t>印章</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法定代表人（签名或</w:t>
      </w:r>
      <w:r>
        <w:rPr>
          <w:rFonts w:hint="eastAsia" w:ascii="宋体" w:hAnsi="宋体" w:eastAsia="宋体" w:cs="宋体"/>
          <w:color w:val="auto"/>
          <w:sz w:val="21"/>
          <w:szCs w:val="21"/>
          <w:highlight w:val="none"/>
          <w:lang w:val="en-US" w:eastAsia="zh-CN"/>
        </w:rPr>
        <w:t>印章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pageBreakBefore w:val="0"/>
        <w:kinsoku/>
        <w:wordWrap/>
        <w:overflowPunct/>
        <w:topLinePunct w:val="0"/>
        <w:autoSpaceDE/>
        <w:autoSpaceDN/>
        <w:bidi w:val="0"/>
        <w:snapToGrid w:val="0"/>
        <w:spacing w:line="360" w:lineRule="auto"/>
        <w:ind w:firstLine="840" w:firstLineChars="400"/>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rPr>
        <w:t xml:space="preserve">职务：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none"/>
        </w:rPr>
        <w:t xml:space="preserve">           </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授权代表身份证号码：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line="360" w:lineRule="auto"/>
        <w:ind w:firstLine="4830" w:firstLineChars="23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snapToGrid w:val="0"/>
        <w:spacing w:line="360" w:lineRule="auto"/>
        <w:ind w:firstLine="4830" w:firstLineChars="2300"/>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line="360" w:lineRule="auto"/>
        <w:jc w:val="center"/>
        <w:outlineLvl w:val="9"/>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 xml:space="preserve">                                        年    月    日</w:t>
      </w:r>
    </w:p>
    <w:p>
      <w:pPr>
        <w:pageBreakBefore w:val="0"/>
        <w:kinsoku/>
        <w:wordWrap/>
        <w:overflowPunct/>
        <w:topLinePunct w:val="0"/>
        <w:autoSpaceDE/>
        <w:autoSpaceDN/>
        <w:bidi w:val="0"/>
        <w:spacing w:line="360" w:lineRule="auto"/>
        <w:outlineLvl w:val="9"/>
        <w:rPr>
          <w:rFonts w:hint="eastAsia" w:ascii="宋体" w:hAnsi="宋体" w:eastAsia="宋体" w:cs="宋体"/>
          <w:b/>
          <w:color w:val="auto"/>
          <w:szCs w:val="21"/>
          <w:highlight w:val="none"/>
        </w:rPr>
      </w:pPr>
    </w:p>
    <w:p>
      <w:pPr>
        <w:pageBreakBefore w:val="0"/>
        <w:kinsoku/>
        <w:wordWrap/>
        <w:overflowPunct/>
        <w:topLinePunct w:val="0"/>
        <w:autoSpaceDE/>
        <w:autoSpaceDN/>
        <w:bidi w:val="0"/>
        <w:spacing w:line="360" w:lineRule="auto"/>
        <w:outlineLvl w:val="9"/>
        <w:rPr>
          <w:rFonts w:hint="eastAsia" w:ascii="宋体" w:hAnsi="宋体" w:eastAsia="宋体" w:cs="宋体"/>
          <w:b/>
          <w:color w:val="auto"/>
          <w:szCs w:val="21"/>
          <w:highlight w:val="none"/>
        </w:rPr>
      </w:pPr>
    </w:p>
    <w:p>
      <w:pPr>
        <w:pageBreakBefore w:val="0"/>
        <w:kinsoku/>
        <w:wordWrap/>
        <w:overflowPunct/>
        <w:topLinePunct w:val="0"/>
        <w:autoSpaceDE/>
        <w:autoSpaceDN/>
        <w:bidi w:val="0"/>
        <w:snapToGrid w:val="0"/>
        <w:spacing w:before="50" w:after="50" w:line="360" w:lineRule="atLeast"/>
        <w:outlineLvl w:val="9"/>
        <w:rPr>
          <w:rFonts w:hint="eastAsia" w:ascii="宋体" w:hAnsi="宋体" w:eastAsia="宋体" w:cs="宋体"/>
          <w:b/>
          <w:color w:val="auto"/>
          <w:kern w:val="2"/>
          <w:sz w:val="21"/>
          <w:szCs w:val="21"/>
          <w:highlight w:val="none"/>
        </w:rPr>
      </w:pPr>
      <w:r>
        <w:rPr>
          <w:rFonts w:hint="eastAsia" w:ascii="宋体" w:hAnsi="宋体" w:eastAsia="宋体" w:cs="宋体"/>
          <w:b/>
          <w:color w:val="auto"/>
          <w:sz w:val="21"/>
          <w:szCs w:val="21"/>
          <w:highlight w:val="none"/>
        </w:rPr>
        <w:t>附：法定代表人身份证复印件（正反面）、授权代表身份证复印件（正反面）及授权代表开标日前近三个月当地相关部门出具的社保证明。</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r>
        <w:rPr>
          <w:rFonts w:hint="eastAsia" w:ascii="宋体" w:hAnsi="宋体" w:cs="宋体"/>
          <w:b/>
          <w:color w:val="auto"/>
          <w:szCs w:val="21"/>
          <w:highlight w:val="none"/>
        </w:rPr>
        <w:br w:type="page"/>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技术（服务）条款响应（偏离）表；</w:t>
      </w:r>
    </w:p>
    <w:p>
      <w:pPr>
        <w:pageBreakBefore w:val="0"/>
        <w:kinsoku/>
        <w:wordWrap/>
        <w:overflowPunct/>
        <w:topLinePunct w:val="0"/>
        <w:autoSpaceDE/>
        <w:autoSpaceDN/>
        <w:bidi w:val="0"/>
        <w:snapToGrid w:val="0"/>
        <w:spacing w:before="50" w:after="120" w:afterLines="50"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技术（服务）条款响应（偏离）表</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项目编号：                   项目名称：                       </w:t>
      </w:r>
      <w:r>
        <w:rPr>
          <w:rFonts w:hint="eastAsia" w:ascii="宋体" w:hAnsi="宋体" w:eastAsia="宋体" w:cs="宋体"/>
          <w:color w:val="auto"/>
          <w:sz w:val="21"/>
          <w:szCs w:val="21"/>
          <w:highlight w:val="none"/>
          <w:lang w:eastAsia="zh-CN"/>
        </w:rPr>
        <w:t>标项</w:t>
      </w:r>
      <w:r>
        <w:rPr>
          <w:rFonts w:hint="eastAsia" w:ascii="宋体" w:hAnsi="宋体" w:eastAsia="宋体" w:cs="宋体"/>
          <w:color w:val="auto"/>
          <w:sz w:val="21"/>
          <w:szCs w:val="21"/>
          <w:highlight w:val="none"/>
        </w:rPr>
        <w:t>号：</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序号</w:t>
            </w:r>
          </w:p>
        </w:tc>
        <w:tc>
          <w:tcPr>
            <w:tcW w:w="4647"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文件的</w:t>
            </w:r>
            <w:r>
              <w:rPr>
                <w:rFonts w:hint="eastAsia" w:hAnsi="宋体" w:eastAsia="宋体" w:cs="宋体"/>
                <w:color w:val="auto"/>
                <w:sz w:val="21"/>
                <w:szCs w:val="21"/>
                <w:highlight w:val="none"/>
                <w:lang w:eastAsia="zh-CN"/>
              </w:rPr>
              <w:t>技术（服务）</w:t>
            </w:r>
            <w:r>
              <w:rPr>
                <w:rFonts w:hint="eastAsia" w:ascii="宋体" w:hAnsi="宋体" w:eastAsia="宋体" w:cs="宋体"/>
                <w:color w:val="auto"/>
                <w:sz w:val="21"/>
                <w:szCs w:val="21"/>
                <w:highlight w:val="none"/>
              </w:rPr>
              <w:t>条款</w:t>
            </w: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的</w:t>
            </w:r>
          </w:p>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响应情况</w:t>
            </w: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bl>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供应商名称（公章）：</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法定代表或授权代表（签名或</w:t>
      </w:r>
      <w:r>
        <w:rPr>
          <w:rFonts w:hint="eastAsia" w:ascii="宋体" w:hAnsi="宋体" w:eastAsia="宋体" w:cs="宋体"/>
          <w:color w:val="auto"/>
          <w:sz w:val="21"/>
          <w:szCs w:val="21"/>
          <w:highlight w:val="none"/>
          <w:lang w:val="en-US" w:eastAsia="zh-CN"/>
        </w:rPr>
        <w:t>印章</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  </w:t>
      </w:r>
    </w:p>
    <w:p>
      <w:pPr>
        <w:pageBreakBefore w:val="0"/>
        <w:kinsoku/>
        <w:wordWrap/>
        <w:overflowPunct/>
        <w:topLinePunct w:val="0"/>
        <w:autoSpaceDE/>
        <w:autoSpaceDN/>
        <w:bidi w:val="0"/>
        <w:snapToGrid w:val="0"/>
        <w:spacing w:before="50"/>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br w:type="page"/>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商务条款响应（偏离）表</w:t>
      </w:r>
      <w:r>
        <w:rPr>
          <w:rFonts w:hint="eastAsia" w:ascii="宋体" w:hAnsi="宋体" w:eastAsia="宋体" w:cs="宋体"/>
          <w:b/>
          <w:bCs/>
          <w:color w:val="auto"/>
          <w:sz w:val="21"/>
          <w:szCs w:val="21"/>
          <w:highlight w:val="none"/>
          <w:lang w:eastAsia="zh-CN"/>
        </w:rPr>
        <w:t>；</w:t>
      </w:r>
    </w:p>
    <w:p>
      <w:pPr>
        <w:pageBreakBefore w:val="0"/>
        <w:kinsoku/>
        <w:wordWrap/>
        <w:overflowPunct/>
        <w:topLinePunct w:val="0"/>
        <w:autoSpaceDE/>
        <w:autoSpaceDN/>
        <w:bidi w:val="0"/>
        <w:snapToGrid w:val="0"/>
        <w:spacing w:before="50" w:after="120" w:afterLines="50"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商务条款响应（偏离）表</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项目编号：                   项目名称：                       </w:t>
      </w:r>
      <w:r>
        <w:rPr>
          <w:rFonts w:hint="eastAsia" w:ascii="宋体" w:hAnsi="宋体" w:eastAsia="宋体" w:cs="宋体"/>
          <w:color w:val="auto"/>
          <w:sz w:val="21"/>
          <w:szCs w:val="21"/>
          <w:highlight w:val="none"/>
          <w:lang w:eastAsia="zh-CN"/>
        </w:rPr>
        <w:t>标项</w:t>
      </w:r>
      <w:r>
        <w:rPr>
          <w:rFonts w:hint="eastAsia" w:ascii="宋体" w:hAnsi="宋体" w:eastAsia="宋体" w:cs="宋体"/>
          <w:color w:val="auto"/>
          <w:sz w:val="21"/>
          <w:szCs w:val="21"/>
          <w:highlight w:val="none"/>
        </w:rPr>
        <w:t>号：</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序号</w:t>
            </w:r>
          </w:p>
        </w:tc>
        <w:tc>
          <w:tcPr>
            <w:tcW w:w="4647"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文件的商务条款</w:t>
            </w: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的</w:t>
            </w:r>
          </w:p>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响应情况</w:t>
            </w: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4647" w:type="dxa"/>
            <w:noWrap w:val="0"/>
            <w:vAlign w:val="center"/>
          </w:tcPr>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tc>
        <w:tc>
          <w:tcPr>
            <w:tcW w:w="157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c>
          <w:tcPr>
            <w:tcW w:w="1185" w:type="dxa"/>
            <w:noWrap w:val="0"/>
            <w:vAlign w:val="center"/>
          </w:tcPr>
          <w:p>
            <w:pPr>
              <w:pageBreakBefore w:val="0"/>
              <w:kinsoku/>
              <w:wordWrap/>
              <w:overflowPunct/>
              <w:topLinePunct w:val="0"/>
              <w:autoSpaceDE/>
              <w:autoSpaceDN/>
              <w:bidi w:val="0"/>
              <w:spacing w:line="360" w:lineRule="auto"/>
              <w:jc w:val="center"/>
              <w:outlineLvl w:val="9"/>
              <w:rPr>
                <w:rFonts w:hint="eastAsia" w:ascii="宋体" w:hAnsi="宋体" w:eastAsia="宋体" w:cs="宋体"/>
                <w:color w:val="auto"/>
                <w:sz w:val="21"/>
                <w:szCs w:val="21"/>
                <w:highlight w:val="none"/>
              </w:rPr>
            </w:pPr>
          </w:p>
        </w:tc>
      </w:tr>
    </w:tbl>
    <w:p>
      <w:pPr>
        <w:pageBreakBefore w:val="0"/>
        <w:kinsoku/>
        <w:wordWrap/>
        <w:overflowPunct/>
        <w:topLinePunct w:val="0"/>
        <w:autoSpaceDE/>
        <w:autoSpaceDN/>
        <w:bidi w:val="0"/>
        <w:snapToGrid w:val="0"/>
        <w:spacing w:before="50"/>
        <w:outlineLvl w:val="9"/>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注：供应商须按“第四章 项目需求 C.商务要求”逐项填写，并根据“第三章 合同条款及格式”内容自行补充。</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供应商名称（公章）：</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法定代表或授权代表（签名或</w:t>
      </w:r>
      <w:r>
        <w:rPr>
          <w:rFonts w:hint="eastAsia" w:ascii="宋体" w:hAnsi="宋体" w:eastAsia="宋体" w:cs="宋体"/>
          <w:color w:val="auto"/>
          <w:sz w:val="21"/>
          <w:szCs w:val="21"/>
          <w:highlight w:val="none"/>
          <w:lang w:val="en-US" w:eastAsia="zh-CN"/>
        </w:rPr>
        <w:t>印章</w:t>
      </w:r>
      <w:r>
        <w:rPr>
          <w:rFonts w:hint="eastAsia" w:ascii="宋体" w:hAnsi="宋体" w:eastAsia="宋体" w:cs="宋体"/>
          <w:color w:val="auto"/>
          <w:sz w:val="21"/>
          <w:szCs w:val="21"/>
          <w:highlight w:val="none"/>
        </w:rPr>
        <w:t>）：</w:t>
      </w:r>
    </w:p>
    <w:p>
      <w:pPr>
        <w:pageBreakBefore w:val="0"/>
        <w:kinsoku/>
        <w:wordWrap/>
        <w:overflowPunct/>
        <w:topLinePunct w:val="0"/>
        <w:autoSpaceDE/>
        <w:autoSpaceDN/>
        <w:bidi w:val="0"/>
        <w:snapToGrid w:val="0"/>
        <w:spacing w:before="50"/>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adjustRightInd/>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pageBreakBefore w:val="0"/>
        <w:numPr>
          <w:ilvl w:val="0"/>
          <w:numId w:val="0"/>
        </w:numPr>
        <w:kinsoku/>
        <w:wordWrap/>
        <w:overflowPunct/>
        <w:topLinePunct w:val="0"/>
        <w:autoSpaceDE/>
        <w:autoSpaceDN/>
        <w:bidi w:val="0"/>
        <w:spacing w:line="360" w:lineRule="auto"/>
        <w:outlineLvl w:val="9"/>
        <w:rPr>
          <w:rFonts w:hint="eastAsia" w:ascii="宋体" w:hAnsi="宋体" w:eastAsia="宋体" w:cs="宋体"/>
          <w:b/>
          <w:bCs/>
          <w:color w:val="auto"/>
          <w:sz w:val="21"/>
          <w:szCs w:val="21"/>
          <w:highlight w:val="none"/>
          <w:lang w:eastAsia="zh-CN"/>
        </w:rPr>
      </w:pPr>
    </w:p>
    <w:p>
      <w:pPr>
        <w:pageBreakBefore w:val="0"/>
        <w:kinsoku/>
        <w:wordWrap/>
        <w:overflowPunct/>
        <w:topLinePunct w:val="0"/>
        <w:autoSpaceDE/>
        <w:autoSpaceDN/>
        <w:bidi w:val="0"/>
        <w:adjustRightInd/>
        <w:jc w:val="left"/>
        <w:textAlignment w:val="auto"/>
        <w:outlineLvl w:val="9"/>
        <w:rPr>
          <w:rFonts w:hint="eastAsia" w:ascii="宋体" w:hAnsi="宋体" w:eastAsia="宋体" w:cs="宋体"/>
          <w:b/>
          <w:color w:val="auto"/>
          <w:sz w:val="21"/>
          <w:szCs w:val="21"/>
          <w:highlight w:val="none"/>
          <w:lang w:val="en-US" w:eastAsia="zh-CN" w:bidi="ar"/>
        </w:rPr>
      </w:pPr>
      <w:r>
        <w:rPr>
          <w:rFonts w:hint="eastAsia" w:ascii="宋体" w:hAnsi="宋体" w:eastAsia="宋体" w:cs="宋体"/>
          <w:b/>
          <w:color w:val="auto"/>
          <w:sz w:val="21"/>
          <w:szCs w:val="21"/>
          <w:highlight w:val="none"/>
          <w:lang w:bidi="ar"/>
        </w:rPr>
        <w:t>（</w:t>
      </w:r>
      <w:r>
        <w:rPr>
          <w:rFonts w:hint="eastAsia" w:hAnsi="宋体" w:eastAsia="宋体" w:cs="宋体"/>
          <w:b/>
          <w:color w:val="auto"/>
          <w:sz w:val="21"/>
          <w:szCs w:val="21"/>
          <w:highlight w:val="none"/>
          <w:lang w:val="en-US" w:eastAsia="zh-CN" w:bidi="ar"/>
        </w:rPr>
        <w:t>6</w:t>
      </w:r>
      <w:r>
        <w:rPr>
          <w:rFonts w:hint="eastAsia" w:ascii="宋体" w:hAnsi="宋体" w:eastAsia="宋体" w:cs="宋体"/>
          <w:b/>
          <w:color w:val="auto"/>
          <w:sz w:val="21"/>
          <w:szCs w:val="21"/>
          <w:highlight w:val="none"/>
          <w:lang w:val="en-US" w:eastAsia="zh-CN" w:bidi="ar"/>
        </w:rPr>
        <w:t>）技术部分：针对本项目第</w:t>
      </w:r>
      <w:r>
        <w:rPr>
          <w:rFonts w:hint="eastAsia" w:hAnsi="宋体" w:eastAsia="宋体" w:cs="宋体"/>
          <w:b/>
          <w:color w:val="auto"/>
          <w:sz w:val="21"/>
          <w:szCs w:val="21"/>
          <w:highlight w:val="none"/>
          <w:lang w:val="en-US" w:eastAsia="zh-CN" w:bidi="ar"/>
        </w:rPr>
        <w:t>四</w:t>
      </w:r>
      <w:r>
        <w:rPr>
          <w:rFonts w:hint="eastAsia" w:ascii="宋体" w:hAnsi="宋体" w:eastAsia="宋体" w:cs="宋体"/>
          <w:b/>
          <w:color w:val="auto"/>
          <w:sz w:val="21"/>
          <w:szCs w:val="21"/>
          <w:highlight w:val="none"/>
          <w:lang w:val="en-US" w:eastAsia="zh-CN" w:bidi="ar"/>
        </w:rPr>
        <w:t>章</w:t>
      </w:r>
      <w:r>
        <w:rPr>
          <w:rFonts w:hint="eastAsia" w:hAnsi="宋体" w:eastAsia="宋体" w:cs="宋体"/>
          <w:b/>
          <w:color w:val="auto"/>
          <w:sz w:val="21"/>
          <w:szCs w:val="21"/>
          <w:highlight w:val="none"/>
          <w:lang w:val="en-US" w:eastAsia="zh-CN" w:bidi="ar"/>
        </w:rPr>
        <w:t>项目</w:t>
      </w:r>
      <w:r>
        <w:rPr>
          <w:rFonts w:hint="eastAsia" w:ascii="宋体" w:hAnsi="宋体" w:eastAsia="宋体" w:cs="宋体"/>
          <w:b/>
          <w:color w:val="auto"/>
          <w:sz w:val="21"/>
          <w:szCs w:val="21"/>
          <w:highlight w:val="none"/>
          <w:lang w:val="en-US" w:eastAsia="zh-CN" w:bidi="ar"/>
        </w:rPr>
        <w:t>需求和第</w:t>
      </w:r>
      <w:r>
        <w:rPr>
          <w:rFonts w:hint="eastAsia" w:hAnsi="宋体" w:eastAsia="宋体" w:cs="宋体"/>
          <w:b/>
          <w:color w:val="auto"/>
          <w:sz w:val="21"/>
          <w:szCs w:val="21"/>
          <w:highlight w:val="none"/>
          <w:lang w:val="en-US" w:eastAsia="zh-CN" w:bidi="ar"/>
        </w:rPr>
        <w:t>五</w:t>
      </w:r>
      <w:r>
        <w:rPr>
          <w:rFonts w:hint="eastAsia" w:ascii="宋体" w:hAnsi="宋体" w:eastAsia="宋体" w:cs="宋体"/>
          <w:b/>
          <w:color w:val="auto"/>
          <w:sz w:val="21"/>
          <w:szCs w:val="21"/>
          <w:highlight w:val="none"/>
          <w:lang w:val="en-US" w:eastAsia="zh-CN" w:bidi="ar"/>
        </w:rPr>
        <w:t>章评审标准中的条款拟定完整方案，格式自拟；</w:t>
      </w:r>
    </w:p>
    <w:p>
      <w:pPr>
        <w:pageBreakBefore w:val="0"/>
        <w:kinsoku/>
        <w:wordWrap/>
        <w:overflowPunct/>
        <w:topLinePunct w:val="0"/>
        <w:autoSpaceDE/>
        <w:autoSpaceDN/>
        <w:bidi w:val="0"/>
        <w:adjustRightInd/>
        <w:jc w:val="left"/>
        <w:textAlignment w:val="auto"/>
        <w:outlineLvl w:val="9"/>
        <w:rPr>
          <w:rFonts w:hint="eastAsia" w:ascii="宋体" w:hAnsi="宋体" w:eastAsia="宋体" w:cs="宋体"/>
          <w:b/>
          <w:color w:val="auto"/>
          <w:sz w:val="21"/>
          <w:szCs w:val="21"/>
          <w:highlight w:val="none"/>
          <w:lang w:bidi="ar"/>
        </w:rPr>
      </w:pPr>
    </w:p>
    <w:p>
      <w:pPr>
        <w:pageBreakBefore w:val="0"/>
        <w:kinsoku/>
        <w:wordWrap/>
        <w:overflowPunct/>
        <w:topLinePunct w:val="0"/>
        <w:autoSpaceDE/>
        <w:autoSpaceDN/>
        <w:bidi w:val="0"/>
        <w:adjustRightInd/>
        <w:jc w:val="left"/>
        <w:textAlignment w:val="auto"/>
        <w:outlineLvl w:val="9"/>
        <w:rPr>
          <w:rFonts w:hint="eastAsia" w:ascii="宋体" w:hAnsi="宋体" w:eastAsia="宋体" w:cs="宋体"/>
          <w:b/>
          <w:bCs/>
          <w:color w:val="auto"/>
          <w:sz w:val="21"/>
          <w:szCs w:val="21"/>
          <w:highlight w:val="none"/>
          <w:lang w:val="en-US" w:eastAsia="zh-CN" w:bidi="ar"/>
        </w:rPr>
      </w:pPr>
      <w:r>
        <w:rPr>
          <w:rFonts w:hint="eastAsia" w:ascii="宋体" w:hAnsi="宋体" w:eastAsia="宋体" w:cs="宋体"/>
          <w:b/>
          <w:color w:val="auto"/>
          <w:sz w:val="21"/>
          <w:szCs w:val="21"/>
          <w:highlight w:val="none"/>
          <w:lang w:bidi="ar"/>
        </w:rPr>
        <w:t>（</w:t>
      </w:r>
      <w:r>
        <w:rPr>
          <w:rFonts w:hint="eastAsia" w:hAnsi="宋体" w:eastAsia="宋体" w:cs="宋体"/>
          <w:b/>
          <w:color w:val="auto"/>
          <w:sz w:val="21"/>
          <w:szCs w:val="21"/>
          <w:highlight w:val="none"/>
          <w:lang w:val="en-US" w:eastAsia="zh-CN" w:bidi="ar"/>
        </w:rPr>
        <w:t>7</w:t>
      </w:r>
      <w:r>
        <w:rPr>
          <w:rFonts w:hint="eastAsia" w:ascii="宋体" w:hAnsi="宋体" w:eastAsia="宋体" w:cs="宋体"/>
          <w:b/>
          <w:color w:val="auto"/>
          <w:sz w:val="21"/>
          <w:szCs w:val="21"/>
          <w:highlight w:val="none"/>
          <w:lang w:val="en-US" w:eastAsia="zh-CN" w:bidi="ar"/>
        </w:rPr>
        <w:t>）业绩一览表</w:t>
      </w:r>
    </w:p>
    <w:p>
      <w:pPr>
        <w:pStyle w:val="10"/>
        <w:pageBreakBefore w:val="0"/>
        <w:kinsoku/>
        <w:wordWrap/>
        <w:overflowPunct/>
        <w:topLinePunct w:val="0"/>
        <w:autoSpaceDE/>
        <w:autoSpaceDN/>
        <w:bidi w:val="0"/>
        <w:snapToGrid w:val="0"/>
        <w:ind w:left="420"/>
        <w:jc w:val="center"/>
        <w:outlineLvl w:val="9"/>
        <w:rPr>
          <w:rFonts w:hint="eastAsia"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业绩一览表</w:t>
      </w:r>
    </w:p>
    <w:p>
      <w:pPr>
        <w:pageBreakBefore w:val="0"/>
        <w:tabs>
          <w:tab w:val="left" w:pos="3165"/>
        </w:tabs>
        <w:kinsoku/>
        <w:wordWrap/>
        <w:overflowPunct/>
        <w:topLinePunct w:val="0"/>
        <w:autoSpaceDE/>
        <w:autoSpaceDN/>
        <w:bidi w:val="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项目名称：                        </w:t>
      </w:r>
      <w:r>
        <w:rPr>
          <w:rFonts w:hint="eastAsia" w:ascii="宋体" w:hAnsi="宋体" w:eastAsia="宋体" w:cs="宋体"/>
          <w:color w:val="auto"/>
          <w:sz w:val="21"/>
          <w:szCs w:val="21"/>
          <w:highlight w:val="none"/>
          <w:u w:val="single"/>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95"/>
        <w:gridCol w:w="1267"/>
        <w:gridCol w:w="1267"/>
        <w:gridCol w:w="174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noWrap w:val="0"/>
            <w:vAlign w:val="center"/>
          </w:tcPr>
          <w:p>
            <w:pPr>
              <w:pageBreakBefore w:val="0"/>
              <w:tabs>
                <w:tab w:val="left" w:pos="3165"/>
              </w:tabs>
              <w:kinsoku/>
              <w:wordWrap/>
              <w:overflowPunct/>
              <w:topLinePunct w:val="0"/>
              <w:autoSpaceDE/>
              <w:autoSpaceDN/>
              <w:bidi w:val="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895" w:type="dxa"/>
            <w:noWrap w:val="0"/>
            <w:vAlign w:val="center"/>
          </w:tcPr>
          <w:p>
            <w:pPr>
              <w:pageBreakBefore w:val="0"/>
              <w:tabs>
                <w:tab w:val="left" w:pos="3165"/>
              </w:tabs>
              <w:kinsoku/>
              <w:wordWrap/>
              <w:overflowPunct/>
              <w:topLinePunct w:val="0"/>
              <w:autoSpaceDE/>
              <w:autoSpaceDN/>
              <w:bidi w:val="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名称</w:t>
            </w:r>
          </w:p>
        </w:tc>
        <w:tc>
          <w:tcPr>
            <w:tcW w:w="1267" w:type="dxa"/>
            <w:noWrap w:val="0"/>
            <w:vAlign w:val="center"/>
          </w:tcPr>
          <w:p>
            <w:pPr>
              <w:pageBreakBefore w:val="0"/>
              <w:tabs>
                <w:tab w:val="left" w:pos="3165"/>
              </w:tabs>
              <w:kinsoku/>
              <w:wordWrap/>
              <w:overflowPunct/>
              <w:topLinePunct w:val="0"/>
              <w:autoSpaceDE/>
              <w:autoSpaceDN/>
              <w:bidi w:val="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业主单位</w:t>
            </w:r>
          </w:p>
        </w:tc>
        <w:tc>
          <w:tcPr>
            <w:tcW w:w="1267" w:type="dxa"/>
            <w:noWrap w:val="0"/>
            <w:vAlign w:val="center"/>
          </w:tcPr>
          <w:p>
            <w:pPr>
              <w:pageBreakBefore w:val="0"/>
              <w:tabs>
                <w:tab w:val="left" w:pos="3165"/>
              </w:tabs>
              <w:kinsoku/>
              <w:wordWrap/>
              <w:overflowPunct/>
              <w:topLinePunct w:val="0"/>
              <w:autoSpaceDE/>
              <w:autoSpaceDN/>
              <w:bidi w:val="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合同金额</w:t>
            </w:r>
          </w:p>
        </w:tc>
        <w:tc>
          <w:tcPr>
            <w:tcW w:w="1741" w:type="dxa"/>
            <w:noWrap w:val="0"/>
            <w:vAlign w:val="center"/>
          </w:tcPr>
          <w:p>
            <w:pPr>
              <w:pageBreakBefore w:val="0"/>
              <w:tabs>
                <w:tab w:val="left" w:pos="3165"/>
              </w:tabs>
              <w:kinsoku/>
              <w:wordWrap/>
              <w:overflowPunct/>
              <w:topLinePunct w:val="0"/>
              <w:autoSpaceDE/>
              <w:autoSpaceDN/>
              <w:bidi w:val="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合同签订日期</w:t>
            </w:r>
          </w:p>
        </w:tc>
        <w:tc>
          <w:tcPr>
            <w:tcW w:w="1986" w:type="dxa"/>
            <w:noWrap w:val="0"/>
            <w:vAlign w:val="center"/>
          </w:tcPr>
          <w:p>
            <w:pPr>
              <w:pageBreakBefore w:val="0"/>
              <w:tabs>
                <w:tab w:val="left" w:pos="3165"/>
              </w:tabs>
              <w:kinsoku/>
              <w:wordWrap/>
              <w:overflowPunct/>
              <w:topLinePunct w:val="0"/>
              <w:autoSpaceDE/>
              <w:autoSpaceDN/>
              <w:bidi w:val="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895"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267"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741"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c>
          <w:tcPr>
            <w:tcW w:w="1986" w:type="dxa"/>
            <w:noWrap w:val="0"/>
            <w:vAlign w:val="top"/>
          </w:tcPr>
          <w:p>
            <w:pPr>
              <w:pageBreakBefore w:val="0"/>
              <w:tabs>
                <w:tab w:val="left" w:pos="3165"/>
              </w:tabs>
              <w:kinsoku/>
              <w:wordWrap/>
              <w:overflowPunct/>
              <w:topLinePunct w:val="0"/>
              <w:autoSpaceDE/>
              <w:autoSpaceDN/>
              <w:bidi w:val="0"/>
              <w:ind w:firstLine="420"/>
              <w:outlineLvl w:val="9"/>
              <w:rPr>
                <w:rFonts w:hint="eastAsia" w:ascii="宋体" w:hAnsi="宋体" w:eastAsia="宋体" w:cs="宋体"/>
                <w:color w:val="auto"/>
                <w:sz w:val="21"/>
                <w:szCs w:val="21"/>
                <w:highlight w:val="none"/>
              </w:rPr>
            </w:pPr>
          </w:p>
        </w:tc>
      </w:tr>
    </w:tbl>
    <w:p>
      <w:pPr>
        <w:pStyle w:val="7"/>
        <w:pageBreakBefore w:val="0"/>
        <w:kinsoku/>
        <w:wordWrap/>
        <w:overflowPunct/>
        <w:topLinePunct w:val="0"/>
        <w:autoSpaceDE/>
        <w:autoSpaceDN/>
        <w:bidi w:val="0"/>
        <w:snapToGrid w:val="0"/>
        <w:spacing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响应文</w:t>
      </w:r>
      <w:r>
        <w:rPr>
          <w:rFonts w:hint="eastAsia" w:ascii="宋体" w:hAnsi="宋体" w:eastAsia="宋体" w:cs="宋体"/>
          <w:color w:val="auto"/>
          <w:sz w:val="21"/>
          <w:szCs w:val="21"/>
          <w:highlight w:val="none"/>
        </w:rPr>
        <w:t>件中须提供符合“第五章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评审标准</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四．评分标准”要求的证明材料复印件并加盖公章。</w:t>
      </w: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szCs w:val="21"/>
          <w:highlight w:val="none"/>
        </w:rPr>
      </w:pP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法定代表人或授权代表（签名或</w:t>
      </w:r>
      <w:r>
        <w:rPr>
          <w:rFonts w:hint="eastAsia" w:ascii="宋体" w:hAnsi="宋体" w:eastAsia="宋体" w:cs="宋体"/>
          <w:color w:val="auto"/>
          <w:sz w:val="21"/>
          <w:szCs w:val="21"/>
          <w:highlight w:val="none"/>
          <w:lang w:val="en-US" w:eastAsia="zh-CN"/>
        </w:rPr>
        <w:t>印章</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供应商名称（盖章）：                               </w:t>
      </w: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wordWrap/>
        <w:overflowPunct/>
        <w:topLinePunct w:val="0"/>
        <w:autoSpaceDE/>
        <w:autoSpaceDN/>
        <w:bidi w:val="0"/>
        <w:snapToGrid w:val="0"/>
        <w:spacing w:before="120" w:beforeLines="50" w:after="50"/>
        <w:outlineLvl w:val="9"/>
        <w:rPr>
          <w:rFonts w:hint="eastAsia" w:ascii="宋体" w:hAnsi="宋体" w:eastAsia="宋体" w:cs="宋体"/>
          <w:b/>
          <w:bCs/>
          <w:color w:val="auto"/>
          <w:sz w:val="21"/>
          <w:szCs w:val="21"/>
          <w:highlight w:val="none"/>
          <w:lang w:eastAsia="zh-CN"/>
        </w:rPr>
      </w:pPr>
    </w:p>
    <w:p>
      <w:pPr>
        <w:pageBreakBefore w:val="0"/>
        <w:kinsoku/>
        <w:wordWrap/>
        <w:overflowPunct/>
        <w:topLinePunct w:val="0"/>
        <w:autoSpaceDE/>
        <w:autoSpaceDN/>
        <w:bidi w:val="0"/>
        <w:snapToGrid w:val="0"/>
        <w:spacing w:before="120" w:beforeLines="50" w:after="50"/>
        <w:outlineLvl w:val="9"/>
        <w:rPr>
          <w:rFonts w:hint="eastAsia" w:ascii="宋体" w:hAnsi="宋体" w:eastAsia="宋体" w:cs="宋体"/>
          <w:b/>
          <w:bCs/>
          <w:color w:val="auto"/>
          <w:sz w:val="21"/>
          <w:szCs w:val="21"/>
          <w:highlight w:val="none"/>
          <w:lang w:eastAsia="zh-CN"/>
        </w:rPr>
      </w:pPr>
    </w:p>
    <w:p>
      <w:pPr>
        <w:pageBreakBefore w:val="0"/>
        <w:kinsoku/>
        <w:wordWrap/>
        <w:overflowPunct/>
        <w:topLinePunct w:val="0"/>
        <w:autoSpaceDE/>
        <w:autoSpaceDN/>
        <w:bidi w:val="0"/>
        <w:snapToGrid w:val="0"/>
        <w:spacing w:before="190" w:beforeLines="50" w:after="50"/>
        <w:outlineLvl w:val="9"/>
        <w:rPr>
          <w:rFonts w:hint="eastAsia" w:ascii="宋体" w:hAnsi="宋体" w:eastAsia="宋体" w:cs="宋体"/>
          <w:color w:val="auto"/>
          <w:highlight w:val="none"/>
        </w:rPr>
      </w:pPr>
      <w:r>
        <w:rPr>
          <w:rFonts w:hint="eastAsia" w:ascii="宋体" w:hAnsi="宋体" w:eastAsia="宋体" w:cs="宋体"/>
          <w:b/>
          <w:bCs/>
          <w:color w:val="auto"/>
          <w:sz w:val="21"/>
          <w:szCs w:val="21"/>
          <w:highlight w:val="none"/>
          <w:lang w:val="en-US" w:eastAsia="zh-CN"/>
        </w:rPr>
        <w:t>（</w:t>
      </w:r>
      <w:r>
        <w:rPr>
          <w:rFonts w:hint="eastAsia"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供应商认为有需要提供的其它有关证明资料。</w:t>
      </w: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color w:val="auto"/>
          <w:sz w:val="21"/>
          <w:highlight w:val="none"/>
        </w:rPr>
      </w:pPr>
      <w:r>
        <w:rPr>
          <w:rFonts w:hint="eastAsia" w:ascii="宋体" w:hAnsi="宋体" w:eastAsia="宋体" w:cs="宋体"/>
          <w:color w:val="auto"/>
          <w:highlight w:val="none"/>
        </w:rPr>
        <w:br w:type="page"/>
      </w:r>
    </w:p>
    <w:p>
      <w:pPr>
        <w:snapToGrid w:val="0"/>
        <w:spacing w:line="360" w:lineRule="auto"/>
        <w:jc w:val="center"/>
        <w:rPr>
          <w:rFonts w:hint="eastAsia" w:ascii="宋体" w:hAnsi="宋体" w:cs="宋体"/>
          <w:b/>
          <w:bCs/>
          <w:sz w:val="28"/>
          <w:szCs w:val="28"/>
        </w:rPr>
      </w:pPr>
      <w:r>
        <w:rPr>
          <w:rFonts w:hint="eastAsia" w:ascii="宋体" w:hAnsi="宋体" w:cs="宋体"/>
          <w:b/>
          <w:bCs/>
          <w:sz w:val="28"/>
          <w:szCs w:val="28"/>
        </w:rPr>
        <w:t>三、报价文件</w:t>
      </w:r>
    </w:p>
    <w:p>
      <w:pPr>
        <w:snapToGrid w:val="0"/>
        <w:spacing w:line="360" w:lineRule="auto"/>
        <w:jc w:val="left"/>
        <w:rPr>
          <w:rFonts w:hint="eastAsia" w:ascii="宋体" w:hAnsi="宋体" w:eastAsia="宋体" w:cs="宋体"/>
          <w:bCs/>
          <w:color w:val="auto"/>
          <w:sz w:val="21"/>
          <w:szCs w:val="21"/>
          <w:highlight w:val="none"/>
          <w:lang w:bidi="ar"/>
        </w:rPr>
      </w:pP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报价文件封面格式：</w:t>
      </w:r>
    </w:p>
    <w:p>
      <w:pPr>
        <w:snapToGrid w:val="0"/>
        <w:spacing w:line="360" w:lineRule="auto"/>
        <w:ind w:firstLine="207" w:firstLineChars="98"/>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bidi="ar"/>
        </w:rPr>
        <w:t>封面格式：</w:t>
      </w:r>
    </w:p>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lang w:bidi="ar"/>
        </w:rPr>
        <w:t xml:space="preserve">                                            正本</w:t>
      </w:r>
    </w:p>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报价文件</w:t>
      </w:r>
    </w:p>
    <w:p>
      <w:pPr>
        <w:snapToGrid w:val="0"/>
        <w:spacing w:line="360" w:lineRule="auto"/>
        <w:ind w:firstLine="6054" w:firstLineChars="2883"/>
        <w:rPr>
          <w:rFonts w:hint="eastAsia" w:ascii="宋体" w:hAnsi="宋体" w:eastAsia="宋体" w:cs="宋体"/>
          <w:bCs/>
          <w:color w:val="auto"/>
          <w:sz w:val="21"/>
          <w:szCs w:val="21"/>
          <w:highlight w:val="none"/>
        </w:rPr>
      </w:pPr>
    </w:p>
    <w:p>
      <w:pPr>
        <w:snapToGrid w:val="0"/>
        <w:spacing w:line="360" w:lineRule="auto"/>
        <w:ind w:firstLine="945" w:firstLineChars="4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
        </w:rPr>
        <w:t>项目名称：</w:t>
      </w:r>
    </w:p>
    <w:p>
      <w:pPr>
        <w:snapToGrid w:val="0"/>
        <w:spacing w:line="360" w:lineRule="auto"/>
        <w:ind w:firstLine="945" w:firstLineChars="45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项目编号：</w:t>
      </w:r>
    </w:p>
    <w:p>
      <w:pPr>
        <w:snapToGrid w:val="0"/>
        <w:spacing w:line="360" w:lineRule="auto"/>
        <w:ind w:firstLine="945" w:firstLineChars="45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eastAsia="zh-CN" w:bidi="ar"/>
        </w:rPr>
        <w:t>标项</w:t>
      </w:r>
      <w:r>
        <w:rPr>
          <w:rFonts w:hint="eastAsia" w:ascii="宋体" w:hAnsi="宋体" w:eastAsia="宋体" w:cs="宋体"/>
          <w:bCs/>
          <w:color w:val="auto"/>
          <w:sz w:val="21"/>
          <w:szCs w:val="21"/>
          <w:highlight w:val="none"/>
          <w:lang w:bidi="ar"/>
        </w:rPr>
        <w:t>号：</w:t>
      </w:r>
    </w:p>
    <w:p>
      <w:pPr>
        <w:snapToGrid w:val="0"/>
        <w:spacing w:line="360" w:lineRule="auto"/>
        <w:ind w:firstLine="945" w:firstLineChars="4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
        </w:rPr>
        <w:t>供应商名称（加盖公章）：</w:t>
      </w:r>
    </w:p>
    <w:p>
      <w:pPr>
        <w:snapToGrid w:val="0"/>
        <w:spacing w:line="360" w:lineRule="auto"/>
        <w:ind w:firstLine="945" w:firstLineChars="4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bidi="ar"/>
        </w:rPr>
        <w:t>供应商地址：</w:t>
      </w:r>
    </w:p>
    <w:p>
      <w:pPr>
        <w:snapToGrid w:val="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bidi="ar"/>
        </w:rPr>
        <w:t xml:space="preserve">                                      年  月  日</w:t>
      </w:r>
    </w:p>
    <w:p>
      <w:pPr>
        <w:snapToGrid w:val="0"/>
        <w:rPr>
          <w:rFonts w:hint="eastAsia" w:ascii="宋体" w:hAnsi="宋体" w:eastAsia="宋体" w:cs="宋体"/>
          <w:b/>
          <w:bCs/>
          <w:color w:val="auto"/>
          <w:szCs w:val="21"/>
          <w:highlight w:val="none"/>
        </w:rPr>
      </w:pP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bCs/>
          <w:color w:val="auto"/>
          <w:sz w:val="21"/>
          <w:highlight w:val="none"/>
        </w:rPr>
      </w:pPr>
      <w:r>
        <w:rPr>
          <w:rFonts w:hint="eastAsia" w:ascii="宋体" w:hAnsi="宋体" w:eastAsia="宋体" w:cs="宋体"/>
          <w:b/>
          <w:bCs/>
          <w:color w:val="auto"/>
          <w:szCs w:val="21"/>
          <w:highlight w:val="none"/>
        </w:rPr>
        <w:br w:type="page"/>
      </w:r>
      <w:r>
        <w:rPr>
          <w:rFonts w:hint="eastAsia" w:ascii="宋体" w:hAnsi="宋体" w:cs="宋体"/>
          <w:bCs/>
          <w:color w:val="auto"/>
          <w:sz w:val="21"/>
          <w:highlight w:val="none"/>
          <w:lang w:val="en-US" w:eastAsia="zh-CN"/>
        </w:rPr>
        <w:t>1</w:t>
      </w:r>
      <w:r>
        <w:rPr>
          <w:rFonts w:hint="eastAsia" w:ascii="宋体" w:hAnsi="宋体" w:cs="宋体"/>
          <w:bCs/>
          <w:color w:val="auto"/>
          <w:sz w:val="21"/>
          <w:highlight w:val="none"/>
          <w:lang w:eastAsia="zh-CN"/>
        </w:rPr>
        <w:t>、</w:t>
      </w:r>
      <w:r>
        <w:rPr>
          <w:rFonts w:hint="eastAsia" w:ascii="宋体" w:hAnsi="宋体" w:eastAsia="宋体" w:cs="宋体"/>
          <w:bCs/>
          <w:color w:val="auto"/>
          <w:sz w:val="21"/>
          <w:highlight w:val="none"/>
        </w:rPr>
        <w:t>报价文件内容包括：</w:t>
      </w: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ascii="宋体" w:hAnsi="宋体" w:cs="宋体"/>
          <w:bCs/>
          <w:color w:val="auto"/>
          <w:sz w:val="21"/>
          <w:highlight w:val="none"/>
          <w:lang w:val="en-US" w:eastAsia="zh-CN"/>
        </w:rPr>
        <w:t>1）</w:t>
      </w:r>
      <w:r>
        <w:rPr>
          <w:rFonts w:hint="eastAsia" w:ascii="宋体" w:hAnsi="宋体" w:eastAsia="宋体" w:cs="宋体"/>
          <w:bCs/>
          <w:color w:val="auto"/>
          <w:sz w:val="21"/>
          <w:highlight w:val="none"/>
        </w:rPr>
        <w:t>报价一览表；</w:t>
      </w: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bCs/>
          <w:color w:val="auto"/>
          <w:sz w:val="21"/>
          <w:highlight w:val="none"/>
          <w:lang w:val="en-US" w:eastAsia="zh-CN"/>
        </w:rPr>
      </w:pPr>
      <w:r>
        <w:rPr>
          <w:rFonts w:hint="eastAsia" w:ascii="宋体" w:hAnsi="宋体" w:cs="宋体"/>
          <w:bCs/>
          <w:color w:val="auto"/>
          <w:sz w:val="21"/>
          <w:highlight w:val="none"/>
          <w:lang w:eastAsia="zh-CN"/>
        </w:rPr>
        <w:t>（</w:t>
      </w:r>
      <w:r>
        <w:rPr>
          <w:rFonts w:hint="eastAsia" w:ascii="宋体" w:hAnsi="宋体" w:cs="宋体"/>
          <w:bCs/>
          <w:color w:val="auto"/>
          <w:sz w:val="21"/>
          <w:highlight w:val="none"/>
          <w:lang w:val="en-US" w:eastAsia="zh-CN"/>
        </w:rPr>
        <w:t>2</w:t>
      </w:r>
      <w:r>
        <w:rPr>
          <w:rFonts w:hint="eastAsia" w:ascii="宋体" w:hAnsi="宋体" w:eastAsia="宋体" w:cs="宋体"/>
          <w:bCs/>
          <w:color w:val="auto"/>
          <w:sz w:val="21"/>
          <w:highlight w:val="none"/>
          <w:lang w:val="en-US" w:eastAsia="zh-CN"/>
        </w:rPr>
        <w:t>）投标分项报价表；</w:t>
      </w: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bCs/>
          <w:color w:val="auto"/>
          <w:sz w:val="21"/>
          <w:highlight w:val="none"/>
          <w:lang w:val="en-US" w:eastAsia="zh-CN"/>
        </w:rPr>
      </w:pPr>
      <w:r>
        <w:rPr>
          <w:rFonts w:hint="eastAsia" w:hAnsi="宋体" w:eastAsia="宋体" w:cs="宋体"/>
          <w:bCs/>
          <w:color w:val="auto"/>
          <w:sz w:val="21"/>
          <w:highlight w:val="none"/>
          <w:lang w:val="en-US" w:eastAsia="zh-CN"/>
        </w:rPr>
        <w:t>（3）</w:t>
      </w:r>
      <w:r>
        <w:rPr>
          <w:rFonts w:hint="eastAsia" w:ascii="宋体" w:hAnsi="宋体" w:eastAsia="宋体" w:cs="宋体"/>
          <w:bCs/>
          <w:color w:val="auto"/>
          <w:sz w:val="21"/>
          <w:highlight w:val="none"/>
          <w:lang w:val="en-US" w:eastAsia="zh-CN"/>
        </w:rPr>
        <w:t>中小企业声明函（如有）（格式见附件）；</w:t>
      </w: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hAnsi="宋体" w:cs="宋体"/>
          <w:bCs/>
          <w:color w:val="auto"/>
          <w:sz w:val="21"/>
          <w:highlight w:val="none"/>
          <w:lang w:val="en-US" w:eastAsia="zh-CN"/>
        </w:rPr>
        <w:t>4</w:t>
      </w:r>
      <w:r>
        <w:rPr>
          <w:rFonts w:hint="eastAsia" w:ascii="宋体" w:hAnsi="宋体" w:cs="宋体"/>
          <w:bCs/>
          <w:color w:val="auto"/>
          <w:sz w:val="21"/>
          <w:highlight w:val="none"/>
          <w:lang w:val="en-US" w:eastAsia="zh-CN"/>
        </w:rPr>
        <w:t>）</w:t>
      </w:r>
      <w:r>
        <w:rPr>
          <w:rFonts w:hint="eastAsia" w:ascii="宋体" w:hAnsi="宋体" w:eastAsia="宋体" w:cs="宋体"/>
          <w:bCs/>
          <w:color w:val="auto"/>
          <w:sz w:val="21"/>
          <w:highlight w:val="none"/>
        </w:rPr>
        <w:t>残疾人福利性单位声明函；</w:t>
      </w:r>
    </w:p>
    <w:p>
      <w:pPr>
        <w:pStyle w:val="5"/>
        <w:pageBreakBefore w:val="0"/>
        <w:numPr>
          <w:ilvl w:val="0"/>
          <w:numId w:val="0"/>
        </w:numPr>
        <w:tabs>
          <w:tab w:val="left" w:pos="720"/>
        </w:tabs>
        <w:kinsoku/>
        <w:wordWrap/>
        <w:overflowPunct/>
        <w:topLinePunct w:val="0"/>
        <w:autoSpaceDE/>
        <w:autoSpaceDN/>
        <w:bidi w:val="0"/>
        <w:snapToGrid w:val="0"/>
        <w:spacing w:before="156" w:beforeLines="50"/>
        <w:outlineLvl w:val="9"/>
        <w:rPr>
          <w:rFonts w:hint="eastAsia" w:ascii="宋体" w:hAnsi="宋体" w:eastAsia="宋体" w:cs="宋体"/>
          <w:bCs/>
          <w:color w:val="auto"/>
          <w:sz w:val="21"/>
          <w:highlight w:val="none"/>
        </w:rPr>
      </w:pPr>
      <w:r>
        <w:rPr>
          <w:rFonts w:hint="eastAsia" w:ascii="宋体" w:hAnsi="宋体" w:cs="宋体"/>
          <w:bCs/>
          <w:color w:val="auto"/>
          <w:sz w:val="21"/>
          <w:highlight w:val="none"/>
          <w:lang w:eastAsia="zh-CN"/>
        </w:rPr>
        <w:t>（</w:t>
      </w:r>
      <w:r>
        <w:rPr>
          <w:rFonts w:hint="eastAsia" w:hAnsi="宋体" w:cs="宋体"/>
          <w:bCs/>
          <w:color w:val="auto"/>
          <w:sz w:val="21"/>
          <w:highlight w:val="none"/>
          <w:lang w:val="en-US" w:eastAsia="zh-CN"/>
        </w:rPr>
        <w:t>5</w:t>
      </w:r>
      <w:r>
        <w:rPr>
          <w:rFonts w:hint="eastAsia" w:ascii="宋体" w:hAnsi="宋体" w:cs="宋体"/>
          <w:bCs/>
          <w:color w:val="auto"/>
          <w:sz w:val="21"/>
          <w:highlight w:val="none"/>
          <w:lang w:val="en-US" w:eastAsia="zh-CN"/>
        </w:rPr>
        <w:t>）</w:t>
      </w:r>
      <w:r>
        <w:rPr>
          <w:rFonts w:hint="eastAsia" w:ascii="宋体" w:hAnsi="宋体" w:eastAsia="宋体" w:cs="宋体"/>
          <w:bCs/>
          <w:color w:val="auto"/>
          <w:sz w:val="21"/>
          <w:highlight w:val="none"/>
        </w:rPr>
        <w:t>供应商针对报价需要说明的其他文件和说明；</w:t>
      </w:r>
    </w:p>
    <w:p>
      <w:pPr>
        <w:pStyle w:val="10"/>
        <w:pageBreakBefore w:val="0"/>
        <w:kinsoku/>
        <w:wordWrap/>
        <w:overflowPunct/>
        <w:topLinePunct w:val="0"/>
        <w:autoSpaceDE/>
        <w:autoSpaceDN/>
        <w:bidi w:val="0"/>
        <w:snapToGrid w:val="0"/>
        <w:jc w:val="left"/>
        <w:outlineLvl w:val="9"/>
        <w:rPr>
          <w:rFonts w:hint="eastAsia" w:ascii="宋体" w:hAnsi="宋体" w:eastAsia="宋体" w:cs="宋体"/>
          <w:color w:val="auto"/>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b/>
          <w:color w:val="auto"/>
          <w:sz w:val="21"/>
          <w:highlight w:val="none"/>
        </w:rPr>
      </w:pPr>
    </w:p>
    <w:p>
      <w:pPr>
        <w:pageBreakBefore w:val="0"/>
        <w:kinsoku/>
        <w:wordWrap/>
        <w:overflowPunct/>
        <w:topLinePunct w:val="0"/>
        <w:autoSpaceDE/>
        <w:autoSpaceDN/>
        <w:bidi w:val="0"/>
        <w:outlineLvl w:val="9"/>
        <w:rPr>
          <w:rFonts w:hint="eastAsia" w:ascii="宋体" w:hAnsi="宋体" w:eastAsia="宋体" w:cs="宋体"/>
          <w:color w:val="auto"/>
          <w:sz w:val="21"/>
          <w:highlight w:val="none"/>
        </w:rPr>
      </w:pPr>
      <w:r>
        <w:rPr>
          <w:rFonts w:hint="eastAsia" w:ascii="宋体" w:hAnsi="宋体" w:eastAsia="宋体" w:cs="宋体"/>
          <w:b/>
          <w:color w:val="auto"/>
          <w:sz w:val="21"/>
          <w:highlight w:val="none"/>
        </w:rPr>
        <w:br w:type="page"/>
      </w:r>
      <w:r>
        <w:rPr>
          <w:rFonts w:hint="eastAsia" w:hAnsi="宋体" w:eastAsia="宋体" w:cs="宋体"/>
          <w:b/>
          <w:color w:val="auto"/>
          <w:sz w:val="21"/>
          <w:highlight w:val="none"/>
          <w:lang w:eastAsia="zh-CN"/>
        </w:rPr>
        <w:t>（</w:t>
      </w:r>
      <w:r>
        <w:rPr>
          <w:rFonts w:hint="eastAsia" w:hAnsi="宋体" w:eastAsia="宋体" w:cs="宋体"/>
          <w:b/>
          <w:color w:val="auto"/>
          <w:sz w:val="21"/>
          <w:highlight w:val="none"/>
          <w:lang w:val="en-US" w:eastAsia="zh-CN"/>
        </w:rPr>
        <w:t>1）报价一览表格式</w:t>
      </w:r>
    </w:p>
    <w:p>
      <w:pPr>
        <w:pStyle w:val="10"/>
        <w:pageBreakBefore w:val="0"/>
        <w:kinsoku/>
        <w:wordWrap/>
        <w:overflowPunct/>
        <w:topLinePunct w:val="0"/>
        <w:autoSpaceDE/>
        <w:autoSpaceDN/>
        <w:bidi w:val="0"/>
        <w:snapToGrid w:val="0"/>
        <w:ind w:left="420"/>
        <w:jc w:val="center"/>
        <w:outlineLvl w:val="9"/>
        <w:rPr>
          <w:rFonts w:hint="eastAsia" w:ascii="宋体" w:hAnsi="宋体" w:eastAsia="宋体" w:cs="宋体"/>
          <w:b/>
          <w:color w:val="auto"/>
          <w:highlight w:val="none"/>
        </w:rPr>
      </w:pPr>
      <w:r>
        <w:rPr>
          <w:rFonts w:hint="eastAsia" w:ascii="宋体" w:hAnsi="宋体" w:eastAsia="宋体" w:cs="宋体"/>
          <w:b/>
          <w:color w:val="auto"/>
          <w:highlight w:val="none"/>
        </w:rPr>
        <w:t>报价一览表</w:t>
      </w:r>
    </w:p>
    <w:p>
      <w:pPr>
        <w:pageBreakBefore w:val="0"/>
        <w:kinsoku/>
        <w:wordWrap/>
        <w:overflowPunct/>
        <w:topLinePunct w:val="0"/>
        <w:autoSpaceDE/>
        <w:autoSpaceDN/>
        <w:bidi w:val="0"/>
        <w:snapToGrid w:val="0"/>
        <w:spacing w:before="50" w:after="50"/>
        <w:outlineLvl w:val="9"/>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项目编号：</w:t>
      </w:r>
      <w:r>
        <w:rPr>
          <w:rFonts w:hint="eastAsia" w:hAnsi="宋体" w:eastAsia="宋体" w:cs="宋体"/>
          <w:color w:val="auto"/>
          <w:sz w:val="21"/>
          <w:highlight w:val="none"/>
          <w:lang w:val="en-US" w:eastAsia="zh-CN"/>
        </w:rPr>
        <w:t xml:space="preserve">                              </w:t>
      </w:r>
      <w:r>
        <w:rPr>
          <w:rFonts w:hint="eastAsia" w:ascii="宋体" w:hAnsi="宋体" w:eastAsia="宋体" w:cs="宋体"/>
          <w:color w:val="auto"/>
          <w:sz w:val="21"/>
          <w:highlight w:val="none"/>
        </w:rPr>
        <w:t xml:space="preserve">项目名称：                    </w:t>
      </w:r>
      <w:r>
        <w:rPr>
          <w:rFonts w:hint="eastAsia" w:ascii="宋体" w:hAnsi="宋体" w:eastAsia="宋体" w:cs="宋体"/>
          <w:color w:val="auto"/>
          <w:sz w:val="21"/>
          <w:highlight w:val="none"/>
          <w:u w:val="single"/>
        </w:rPr>
        <w:t xml:space="preserve">                        </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168"/>
        <w:gridCol w:w="1268"/>
        <w:gridCol w:w="1201"/>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41"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hAnsi="宋体" w:eastAsia="宋体" w:cs="宋体"/>
                <w:b/>
                <w:bCs/>
                <w:color w:val="auto"/>
                <w:sz w:val="21"/>
                <w:szCs w:val="21"/>
                <w:highlight w:val="none"/>
                <w:lang w:val="en-US" w:eastAsia="zh-CN"/>
              </w:rPr>
            </w:pPr>
            <w:r>
              <w:rPr>
                <w:rFonts w:hint="eastAsia" w:hAnsi="宋体" w:eastAsia="宋体" w:cs="宋体"/>
                <w:b/>
                <w:bCs/>
                <w:color w:val="auto"/>
                <w:sz w:val="21"/>
                <w:szCs w:val="21"/>
                <w:highlight w:val="none"/>
                <w:lang w:val="en-US" w:eastAsia="zh-CN"/>
              </w:rPr>
              <w:t>子包</w:t>
            </w:r>
          </w:p>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b/>
                <w:bCs/>
                <w:color w:val="auto"/>
                <w:sz w:val="21"/>
                <w:szCs w:val="21"/>
                <w:highlight w:val="none"/>
                <w:lang w:val="en-US"/>
              </w:rPr>
            </w:pPr>
            <w:r>
              <w:rPr>
                <w:rFonts w:hint="eastAsia" w:hAnsi="宋体" w:eastAsia="宋体" w:cs="宋体"/>
                <w:b/>
                <w:bCs/>
                <w:color w:val="auto"/>
                <w:sz w:val="21"/>
                <w:szCs w:val="21"/>
                <w:highlight w:val="none"/>
                <w:lang w:val="en-US" w:eastAsia="zh-CN"/>
              </w:rPr>
              <w:t>（标项）</w:t>
            </w:r>
          </w:p>
        </w:tc>
        <w:tc>
          <w:tcPr>
            <w:tcW w:w="1168"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采购内容</w:t>
            </w:r>
          </w:p>
        </w:tc>
        <w:tc>
          <w:tcPr>
            <w:tcW w:w="683"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646"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b/>
                <w:bCs/>
                <w:color w:val="auto"/>
                <w:sz w:val="21"/>
                <w:szCs w:val="21"/>
                <w:highlight w:val="none"/>
                <w:lang w:eastAsia="zh-CN"/>
              </w:rPr>
            </w:pPr>
            <w:r>
              <w:rPr>
                <w:rFonts w:hint="eastAsia" w:hAnsi="宋体" w:eastAsia="宋体" w:cs="宋体"/>
                <w:b/>
                <w:bCs/>
                <w:color w:val="auto"/>
                <w:sz w:val="21"/>
                <w:szCs w:val="21"/>
                <w:highlight w:val="none"/>
                <w:lang w:eastAsia="zh-CN"/>
              </w:rPr>
              <w:t>投标单价（元）</w:t>
            </w:r>
          </w:p>
        </w:tc>
        <w:tc>
          <w:tcPr>
            <w:tcW w:w="2060"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b/>
                <w:bCs/>
                <w:color w:val="auto"/>
                <w:kern w:val="2"/>
                <w:sz w:val="21"/>
                <w:szCs w:val="21"/>
                <w:highlight w:val="none"/>
                <w:lang w:val="en-US" w:eastAsia="zh-CN" w:bidi="ar-SA"/>
              </w:rPr>
            </w:pPr>
            <w:r>
              <w:rPr>
                <w:rFonts w:hint="eastAsia" w:hAnsi="宋体" w:eastAsia="宋体" w:cs="宋体"/>
                <w:b/>
                <w:bCs/>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441"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w:t>
            </w:r>
          </w:p>
        </w:tc>
        <w:tc>
          <w:tcPr>
            <w:tcW w:w="1168"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rPr>
            </w:pPr>
          </w:p>
        </w:tc>
        <w:tc>
          <w:tcPr>
            <w:tcW w:w="683"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rPr>
            </w:pPr>
          </w:p>
        </w:tc>
        <w:tc>
          <w:tcPr>
            <w:tcW w:w="646"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rPr>
            </w:pPr>
          </w:p>
        </w:tc>
        <w:tc>
          <w:tcPr>
            <w:tcW w:w="2060"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609" w:type="pct"/>
            <w:gridSpan w:val="2"/>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lang w:val="en-US"/>
              </w:rPr>
            </w:pPr>
            <w:r>
              <w:rPr>
                <w:rFonts w:hint="eastAsia" w:hAnsi="宋体" w:eastAsia="宋体" w:cs="宋体"/>
                <w:color w:val="auto"/>
                <w:sz w:val="21"/>
                <w:szCs w:val="21"/>
                <w:highlight w:val="none"/>
                <w:lang w:val="en-US" w:eastAsia="zh-CN"/>
              </w:rPr>
              <w:t>投标总价（元）</w:t>
            </w:r>
          </w:p>
        </w:tc>
        <w:tc>
          <w:tcPr>
            <w:tcW w:w="1330" w:type="pct"/>
            <w:gridSpan w:val="2"/>
            <w:noWrap w:val="0"/>
            <w:vAlign w:val="center"/>
          </w:tcPr>
          <w:p>
            <w:pPr>
              <w:pStyle w:val="21"/>
              <w:ind w:left="0" w:leftChars="0" w:firstLine="0" w:firstLineChars="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大写：</w:t>
            </w:r>
          </w:p>
          <w:p>
            <w:pPr>
              <w:rPr>
                <w:rFonts w:hint="eastAsia" w:ascii="宋体" w:hAnsi="宋体" w:eastAsia="宋体" w:cs="宋体"/>
                <w:color w:val="auto"/>
                <w:kern w:val="0"/>
                <w:sz w:val="21"/>
                <w:szCs w:val="21"/>
                <w:highlight w:val="none"/>
                <w:lang w:val="en-US" w:eastAsia="zh-CN" w:bidi="ar-SA"/>
              </w:rPr>
            </w:pPr>
          </w:p>
          <w:p>
            <w:pPr>
              <w:rPr>
                <w:rFonts w:hint="default"/>
                <w:color w:val="auto"/>
                <w:highlight w:val="none"/>
                <w:lang w:val="en-US" w:eastAsia="zh-CN"/>
              </w:rPr>
            </w:pPr>
            <w:r>
              <w:rPr>
                <w:rFonts w:hint="eastAsia" w:ascii="宋体" w:hAnsi="宋体" w:eastAsia="宋体" w:cs="宋体"/>
                <w:color w:val="auto"/>
                <w:kern w:val="0"/>
                <w:sz w:val="21"/>
                <w:szCs w:val="21"/>
                <w:highlight w:val="none"/>
                <w:lang w:val="en-US" w:eastAsia="zh-CN" w:bidi="ar-SA"/>
              </w:rPr>
              <w:t>小写：</w:t>
            </w:r>
          </w:p>
        </w:tc>
        <w:tc>
          <w:tcPr>
            <w:tcW w:w="2060" w:type="pct"/>
            <w:noWrap w:val="0"/>
            <w:vAlign w:val="center"/>
          </w:tcPr>
          <w:p>
            <w:pPr>
              <w:rPr>
                <w:rFonts w:hint="eastAsia" w:ascii="宋体" w:hAnsi="宋体" w:eastAsia="宋体" w:cs="宋体"/>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441"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投标声明</w:t>
            </w:r>
          </w:p>
        </w:tc>
        <w:tc>
          <w:tcPr>
            <w:tcW w:w="2498" w:type="pct"/>
            <w:gridSpan w:val="3"/>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rPr>
            </w:pPr>
          </w:p>
        </w:tc>
        <w:tc>
          <w:tcPr>
            <w:tcW w:w="2060" w:type="pct"/>
            <w:noWrap w:val="0"/>
            <w:vAlign w:val="center"/>
          </w:tcPr>
          <w:p>
            <w:pPr>
              <w:keepNext w:val="0"/>
              <w:keepLines w:val="0"/>
              <w:pageBreakBefore w:val="0"/>
              <w:kinsoku/>
              <w:overflowPunct/>
              <w:topLinePunct w:val="0"/>
              <w:bidi w:val="0"/>
              <w:adjustRightInd/>
              <w:snapToGrid/>
              <w:spacing w:line="360" w:lineRule="auto"/>
              <w:jc w:val="center"/>
              <w:outlineLvl w:val="9"/>
              <w:rPr>
                <w:rFonts w:hint="eastAsia" w:ascii="宋体" w:hAnsi="宋体" w:eastAsia="宋体" w:cs="宋体"/>
                <w:color w:val="auto"/>
                <w:sz w:val="21"/>
                <w:szCs w:val="21"/>
                <w:highlight w:val="none"/>
              </w:rPr>
            </w:pPr>
          </w:p>
        </w:tc>
      </w:tr>
    </w:tbl>
    <w:p>
      <w:pPr>
        <w:pageBreakBefore w:val="0"/>
        <w:kinsoku/>
        <w:wordWrap/>
        <w:overflowPunct/>
        <w:topLinePunct w:val="0"/>
        <w:autoSpaceDE/>
        <w:autoSpaceDN/>
        <w:bidi w:val="0"/>
        <w:snapToGrid w:val="0"/>
        <w:spacing w:before="50" w:after="50"/>
        <w:ind w:left="420"/>
        <w:jc w:val="left"/>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注</w:t>
      </w:r>
      <w:r>
        <w:rPr>
          <w:rFonts w:hint="eastAsia" w:hAnsi="宋体" w:eastAsia="宋体" w:cs="宋体"/>
          <w:color w:val="auto"/>
          <w:sz w:val="21"/>
          <w:highlight w:val="none"/>
          <w:lang w:eastAsia="zh-CN"/>
        </w:rPr>
        <w:t>：</w:t>
      </w:r>
      <w:r>
        <w:rPr>
          <w:rFonts w:hint="eastAsia" w:ascii="宋体" w:hAnsi="宋体" w:eastAsia="宋体" w:cs="宋体"/>
          <w:color w:val="auto"/>
          <w:sz w:val="21"/>
          <w:highlight w:val="none"/>
        </w:rPr>
        <w:t>报价一经涂改，应在涂改处加盖单位公章或者由法定代表人或授权代表（签名或印章），否则其投标作无效标处理。</w:t>
      </w: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highlight w:val="none"/>
        </w:rPr>
      </w:pP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highlight w:val="none"/>
        </w:rPr>
      </w:pP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法定代表人或授权代表（签名或印章</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rPr>
        <w:t xml:space="preserve">：                    </w:t>
      </w:r>
    </w:p>
    <w:p>
      <w:pPr>
        <w:pageBreakBefore w:val="0"/>
        <w:kinsoku/>
        <w:wordWrap/>
        <w:overflowPunct/>
        <w:topLinePunct w:val="0"/>
        <w:autoSpaceDE/>
        <w:autoSpaceDN/>
        <w:bidi w:val="0"/>
        <w:snapToGrid w:val="0"/>
        <w:spacing w:before="50" w:after="50"/>
        <w:ind w:left="420" w:right="-1089" w:rightChars="-389"/>
        <w:outlineLvl w:val="9"/>
        <w:rPr>
          <w:rFonts w:hint="eastAsia" w:ascii="宋体" w:hAnsi="宋体" w:eastAsia="宋体" w:cs="宋体"/>
          <w:color w:val="auto"/>
          <w:sz w:val="21"/>
          <w:highlight w:val="none"/>
        </w:rPr>
      </w:pPr>
      <w:r>
        <w:rPr>
          <w:rFonts w:hint="eastAsia" w:ascii="宋体" w:hAnsi="宋体" w:eastAsia="宋体" w:cs="宋体"/>
          <w:color w:val="auto"/>
          <w:sz w:val="21"/>
          <w:highlight w:val="none"/>
        </w:rPr>
        <w:t>供应商名称（盖章）：                               日期：    年   月   日</w:t>
      </w:r>
    </w:p>
    <w:p>
      <w:pPr>
        <w:pStyle w:val="10"/>
        <w:pageBreakBefore w:val="0"/>
        <w:kinsoku/>
        <w:wordWrap/>
        <w:overflowPunct/>
        <w:topLinePunct w:val="0"/>
        <w:autoSpaceDE/>
        <w:autoSpaceDN/>
        <w:bidi w:val="0"/>
        <w:snapToGrid w:val="0"/>
        <w:ind w:left="420"/>
        <w:outlineLvl w:val="9"/>
        <w:rPr>
          <w:rFonts w:hint="eastAsia" w:ascii="宋体" w:hAnsi="宋体" w:eastAsia="宋体" w:cs="宋体"/>
          <w:color w:val="auto"/>
          <w:highlight w:val="none"/>
        </w:rPr>
      </w:pPr>
    </w:p>
    <w:p>
      <w:pPr>
        <w:pStyle w:val="10"/>
        <w:pageBreakBefore w:val="0"/>
        <w:kinsoku/>
        <w:wordWrap/>
        <w:overflowPunct/>
        <w:topLinePunct w:val="0"/>
        <w:autoSpaceDE/>
        <w:autoSpaceDN/>
        <w:bidi w:val="0"/>
        <w:snapToGrid w:val="0"/>
        <w:ind w:left="420"/>
        <w:outlineLvl w:val="9"/>
        <w:rPr>
          <w:rFonts w:hint="eastAsia" w:ascii="宋体" w:hAnsi="宋体" w:eastAsia="宋体" w:cs="宋体"/>
          <w:color w:val="auto"/>
          <w:highlight w:val="none"/>
        </w:rPr>
      </w:pPr>
    </w:p>
    <w:p>
      <w:pPr>
        <w:pStyle w:val="10"/>
        <w:pageBreakBefore w:val="0"/>
        <w:kinsoku/>
        <w:wordWrap/>
        <w:overflowPunct/>
        <w:topLinePunct w:val="0"/>
        <w:autoSpaceDE/>
        <w:autoSpaceDN/>
        <w:bidi w:val="0"/>
        <w:snapToGrid w:val="0"/>
        <w:ind w:left="420"/>
        <w:outlineLvl w:val="9"/>
        <w:rPr>
          <w:rFonts w:hint="eastAsia" w:ascii="宋体" w:hAnsi="宋体" w:eastAsia="宋体" w:cs="宋体"/>
          <w:color w:val="auto"/>
          <w:highlight w:val="none"/>
        </w:rPr>
      </w:pPr>
    </w:p>
    <w:p>
      <w:pPr>
        <w:pStyle w:val="10"/>
        <w:pageBreakBefore w:val="0"/>
        <w:kinsoku/>
        <w:wordWrap/>
        <w:overflowPunct/>
        <w:topLinePunct w:val="0"/>
        <w:autoSpaceDE/>
        <w:autoSpaceDN/>
        <w:bidi w:val="0"/>
        <w:snapToGrid w:val="0"/>
        <w:ind w:left="420"/>
        <w:outlineLvl w:val="9"/>
        <w:rPr>
          <w:rFonts w:hint="eastAsia" w:ascii="宋体" w:hAnsi="宋体" w:eastAsia="宋体" w:cs="宋体"/>
          <w:color w:val="auto"/>
          <w:highlight w:val="none"/>
        </w:rPr>
      </w:pPr>
    </w:p>
    <w:p>
      <w:pPr>
        <w:pStyle w:val="10"/>
        <w:pageBreakBefore w:val="0"/>
        <w:kinsoku/>
        <w:wordWrap/>
        <w:overflowPunct/>
        <w:topLinePunct w:val="0"/>
        <w:autoSpaceDE/>
        <w:autoSpaceDN/>
        <w:bidi w:val="0"/>
        <w:snapToGrid w:val="0"/>
        <w:outlineLvl w:val="9"/>
        <w:rPr>
          <w:rFonts w:hint="eastAsia" w:ascii="宋体" w:hAnsi="宋体" w:cs="宋体"/>
          <w:color w:val="auto"/>
          <w:highlight w:val="none"/>
          <w:lang w:val="en-US" w:eastAsia="zh-CN"/>
        </w:rPr>
        <w:sectPr>
          <w:headerReference r:id="rId11" w:type="default"/>
          <w:footerReference r:id="rId12" w:type="default"/>
          <w:footnotePr>
            <w:numFmt w:val="decimalEnclosedCircleChinese"/>
          </w:footnotePr>
          <w:pgSz w:w="11906" w:h="16838"/>
          <w:pgMar w:top="1701" w:right="1134" w:bottom="1304" w:left="1134" w:header="964" w:footer="567" w:gutter="567"/>
          <w:pgBorders>
            <w:top w:val="none" w:sz="0" w:space="0"/>
            <w:left w:val="none" w:sz="0" w:space="0"/>
            <w:bottom w:val="none" w:sz="0" w:space="0"/>
            <w:right w:val="none" w:sz="0" w:space="0"/>
          </w:pgBorders>
          <w:pgNumType w:fmt="decimal"/>
          <w:cols w:space="720" w:num="1"/>
          <w:docGrid w:type="lines" w:linePitch="312" w:charSpace="0"/>
        </w:sectPr>
      </w:pP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（2）投标分项报价表</w:t>
      </w: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 xml:space="preserve">项目编号：                 项目名称：                        （价格单位：人民币元） </w:t>
      </w:r>
    </w:p>
    <w:tbl>
      <w:tblPr>
        <w:tblStyle w:val="18"/>
        <w:tblW w:w="0" w:type="auto"/>
        <w:jc w:val="center"/>
        <w:tblLayout w:type="fixed"/>
        <w:tblCellMar>
          <w:top w:w="0" w:type="dxa"/>
          <w:left w:w="108" w:type="dxa"/>
          <w:bottom w:w="0" w:type="dxa"/>
          <w:right w:w="108" w:type="dxa"/>
        </w:tblCellMar>
      </w:tblPr>
      <w:tblGrid>
        <w:gridCol w:w="1044"/>
        <w:gridCol w:w="3330"/>
        <w:gridCol w:w="1665"/>
        <w:gridCol w:w="1476"/>
        <w:gridCol w:w="1432"/>
      </w:tblGrid>
      <w:tr>
        <w:tblPrEx>
          <w:tblCellMar>
            <w:top w:w="0" w:type="dxa"/>
            <w:left w:w="108" w:type="dxa"/>
            <w:bottom w:w="0" w:type="dxa"/>
            <w:right w:w="108" w:type="dxa"/>
          </w:tblCellMar>
        </w:tblPrEx>
        <w:trPr>
          <w:trHeight w:val="673" w:hRule="atLeast"/>
          <w:jc w:val="center"/>
        </w:trPr>
        <w:tc>
          <w:tcPr>
            <w:tcW w:w="104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序号</w:t>
            </w:r>
          </w:p>
        </w:tc>
        <w:tc>
          <w:tcPr>
            <w:tcW w:w="3330" w:type="dxa"/>
            <w:tcBorders>
              <w:top w:val="single" w:color="auto" w:sz="4" w:space="0"/>
              <w:left w:val="nil"/>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项目内容</w:t>
            </w:r>
          </w:p>
        </w:tc>
        <w:tc>
          <w:tcPr>
            <w:tcW w:w="1665" w:type="dxa"/>
            <w:tcBorders>
              <w:top w:val="single" w:color="auto" w:sz="4" w:space="0"/>
              <w:left w:val="nil"/>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单位及数量</w:t>
            </w:r>
          </w:p>
        </w:tc>
        <w:tc>
          <w:tcPr>
            <w:tcW w:w="1476" w:type="dxa"/>
            <w:tcBorders>
              <w:top w:val="single" w:color="auto" w:sz="4" w:space="0"/>
              <w:left w:val="nil"/>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单价（元）</w:t>
            </w:r>
          </w:p>
        </w:tc>
        <w:tc>
          <w:tcPr>
            <w:tcW w:w="1432" w:type="dxa"/>
            <w:tcBorders>
              <w:top w:val="single" w:color="auto" w:sz="4" w:space="0"/>
              <w:left w:val="nil"/>
              <w:bottom w:val="single" w:color="auto" w:sz="4" w:space="0"/>
              <w:right w:val="single" w:color="auto" w:sz="4" w:space="0"/>
            </w:tcBorders>
            <w:noWrap w:val="0"/>
            <w:vAlign w:val="center"/>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r>
              <w:rPr>
                <w:rFonts w:hint="eastAsia" w:hAnsi="宋体" w:cs="宋体"/>
                <w:b/>
                <w:bCs/>
                <w:color w:val="auto"/>
                <w:spacing w:val="0"/>
                <w:kern w:val="2"/>
                <w:sz w:val="21"/>
                <w:szCs w:val="21"/>
                <w:highlight w:val="none"/>
                <w:lang w:val="en-US" w:eastAsia="zh-CN" w:bidi="ar-SA"/>
              </w:rPr>
              <w:t>金额（元）</w:t>
            </w: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trHeight w:val="369" w:hRule="atLeast"/>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trHeight w:val="351" w:hRule="atLeast"/>
          <w:jc w:val="center"/>
        </w:trPr>
        <w:tc>
          <w:tcPr>
            <w:tcW w:w="1044" w:type="dxa"/>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3330"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665"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76"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center"/>
              <w:textAlignment w:val="baseline"/>
              <w:outlineLvl w:val="9"/>
              <w:rPr>
                <w:rFonts w:hint="eastAsia" w:hAnsi="宋体" w:cs="宋体"/>
                <w:b w:val="0"/>
                <w:bCs w:val="0"/>
                <w:color w:val="auto"/>
                <w:spacing w:val="0"/>
                <w:kern w:val="2"/>
                <w:sz w:val="21"/>
                <w:szCs w:val="21"/>
                <w:highlight w:val="none"/>
                <w:lang w:val="en-US" w:eastAsia="zh-CN" w:bidi="ar-SA"/>
              </w:rPr>
            </w:pPr>
            <w:r>
              <w:rPr>
                <w:rFonts w:hint="eastAsia" w:hAnsi="宋体" w:cs="宋体"/>
                <w:b w:val="0"/>
                <w:bCs w:val="0"/>
                <w:color w:val="auto"/>
                <w:spacing w:val="0"/>
                <w:kern w:val="2"/>
                <w:sz w:val="21"/>
                <w:szCs w:val="21"/>
                <w:highlight w:val="none"/>
                <w:lang w:val="en-US" w:eastAsia="zh-CN" w:bidi="ar-SA"/>
              </w:rPr>
              <w:t>投标总价</w:t>
            </w:r>
          </w:p>
        </w:tc>
        <w:tc>
          <w:tcPr>
            <w:tcW w:w="1432" w:type="dxa"/>
            <w:tcBorders>
              <w:top w:val="single" w:color="auto" w:sz="4" w:space="0"/>
              <w:left w:val="nil"/>
              <w:bottom w:val="single" w:color="auto" w:sz="4" w:space="0"/>
              <w:right w:val="single" w:color="auto" w:sz="4" w:space="0"/>
            </w:tcBorders>
            <w:noWrap w:val="0"/>
            <w:vAlign w:val="top"/>
          </w:tcPr>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tc>
      </w:tr>
    </w:tbl>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val="0"/>
          <w:bCs w:val="0"/>
          <w:color w:val="auto"/>
          <w:spacing w:val="0"/>
          <w:kern w:val="2"/>
          <w:sz w:val="21"/>
          <w:szCs w:val="21"/>
          <w:highlight w:val="none"/>
          <w:lang w:val="en-US" w:eastAsia="zh-CN" w:bidi="ar-SA"/>
        </w:rPr>
      </w:pPr>
      <w:r>
        <w:rPr>
          <w:rFonts w:hint="eastAsia" w:hAnsi="宋体" w:cs="宋体"/>
          <w:b w:val="0"/>
          <w:bCs w:val="0"/>
          <w:color w:val="auto"/>
          <w:spacing w:val="0"/>
          <w:kern w:val="2"/>
          <w:sz w:val="21"/>
          <w:szCs w:val="21"/>
          <w:highlight w:val="none"/>
          <w:lang w:val="en-US" w:eastAsia="zh-CN" w:bidi="ar-SA"/>
        </w:rPr>
        <w:t xml:space="preserve">注：1、供应商可根据实际情况自行调整表格。            </w:t>
      </w: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val="0"/>
          <w:bCs w:val="0"/>
          <w:color w:val="auto"/>
          <w:spacing w:val="0"/>
          <w:kern w:val="2"/>
          <w:sz w:val="21"/>
          <w:szCs w:val="21"/>
          <w:highlight w:val="none"/>
          <w:lang w:val="en-US" w:eastAsia="zh-CN" w:bidi="ar-SA"/>
        </w:rPr>
      </w:pPr>
      <w:r>
        <w:rPr>
          <w:rFonts w:hint="eastAsia" w:hAnsi="宋体" w:cs="宋体"/>
          <w:b w:val="0"/>
          <w:bCs w:val="0"/>
          <w:color w:val="auto"/>
          <w:spacing w:val="0"/>
          <w:kern w:val="2"/>
          <w:sz w:val="21"/>
          <w:szCs w:val="21"/>
          <w:highlight w:val="none"/>
          <w:lang w:val="en-US" w:eastAsia="zh-CN" w:bidi="ar-SA"/>
        </w:rPr>
        <w:t xml:space="preserve">法定代表人或授权代表（签名或印章）：        </w:t>
      </w: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val="0"/>
          <w:bCs w:val="0"/>
          <w:color w:val="auto"/>
          <w:spacing w:val="0"/>
          <w:kern w:val="2"/>
          <w:sz w:val="21"/>
          <w:szCs w:val="21"/>
          <w:highlight w:val="none"/>
          <w:lang w:val="en-US" w:eastAsia="zh-CN" w:bidi="ar-SA"/>
        </w:rPr>
      </w:pPr>
      <w:r>
        <w:rPr>
          <w:rFonts w:hint="eastAsia" w:hAnsi="宋体" w:cs="宋体"/>
          <w:b w:val="0"/>
          <w:bCs w:val="0"/>
          <w:color w:val="auto"/>
          <w:spacing w:val="0"/>
          <w:kern w:val="2"/>
          <w:sz w:val="21"/>
          <w:szCs w:val="21"/>
          <w:highlight w:val="none"/>
          <w:lang w:val="en-US" w:eastAsia="zh-CN" w:bidi="ar-SA"/>
        </w:rPr>
        <w:t xml:space="preserve">供应商盖章：         </w:t>
      </w: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val="0"/>
          <w:bCs w:val="0"/>
          <w:color w:val="auto"/>
          <w:spacing w:val="0"/>
          <w:kern w:val="2"/>
          <w:sz w:val="21"/>
          <w:szCs w:val="21"/>
          <w:highlight w:val="none"/>
          <w:lang w:val="en-US" w:eastAsia="zh-CN" w:bidi="ar-SA"/>
        </w:rPr>
      </w:pPr>
      <w:r>
        <w:rPr>
          <w:rFonts w:hint="eastAsia" w:hAnsi="宋体" w:cs="宋体"/>
          <w:b w:val="0"/>
          <w:bCs w:val="0"/>
          <w:color w:val="auto"/>
          <w:spacing w:val="0"/>
          <w:kern w:val="2"/>
          <w:sz w:val="21"/>
          <w:szCs w:val="21"/>
          <w:highlight w:val="none"/>
          <w:lang w:val="en-US" w:eastAsia="zh-CN" w:bidi="ar-SA"/>
        </w:rPr>
        <w:t xml:space="preserve">日  期：  </w:t>
      </w: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p>
      <w:pPr>
        <w:rPr>
          <w:rFonts w:hint="eastAsia" w:hAnsi="宋体" w:cs="宋体"/>
          <w:b/>
          <w:bCs/>
          <w:color w:val="auto"/>
          <w:spacing w:val="0"/>
          <w:kern w:val="2"/>
          <w:sz w:val="21"/>
          <w:szCs w:val="21"/>
          <w:highlight w:val="none"/>
          <w:lang w:val="en-US" w:eastAsia="zh-CN" w:bidi="ar-SA"/>
        </w:rPr>
      </w:pPr>
    </w:p>
    <w:p>
      <w:pPr>
        <w:pStyle w:val="2"/>
        <w:rPr>
          <w:rFonts w:hint="eastAsia" w:hAnsi="宋体" w:cs="宋体"/>
          <w:b/>
          <w:bCs/>
          <w:color w:val="auto"/>
          <w:spacing w:val="0"/>
          <w:kern w:val="2"/>
          <w:sz w:val="21"/>
          <w:szCs w:val="21"/>
          <w:highlight w:val="none"/>
          <w:lang w:val="en-US" w:eastAsia="zh-CN" w:bidi="ar-SA"/>
        </w:rPr>
      </w:pPr>
    </w:p>
    <w:p>
      <w:pPr>
        <w:pStyle w:val="11"/>
        <w:rPr>
          <w:rFonts w:hint="eastAsia"/>
          <w:lang w:val="en-US" w:eastAsia="zh-CN"/>
        </w:rPr>
      </w:pPr>
    </w:p>
    <w:p>
      <w:pPr>
        <w:pStyle w:val="16"/>
        <w:keepNext w:val="0"/>
        <w:keepLines w:val="0"/>
        <w:pageBreakBefore w:val="0"/>
        <w:widowControl w:val="0"/>
        <w:kinsoku/>
        <w:wordWrap/>
        <w:overflowPunct/>
        <w:topLinePunct w:val="0"/>
        <w:autoSpaceDE/>
        <w:autoSpaceDN/>
        <w:bidi w:val="0"/>
        <w:adjustRightInd w:val="0"/>
        <w:snapToGrid/>
        <w:ind w:leftChars="0"/>
        <w:jc w:val="left"/>
        <w:textAlignment w:val="baseline"/>
        <w:outlineLvl w:val="9"/>
        <w:rPr>
          <w:rFonts w:hint="eastAsia" w:hAnsi="宋体" w:cs="宋体"/>
          <w:b/>
          <w:bCs/>
          <w:color w:val="auto"/>
          <w:spacing w:val="0"/>
          <w:kern w:val="2"/>
          <w:sz w:val="21"/>
          <w:szCs w:val="21"/>
          <w:highlight w:val="none"/>
          <w:lang w:val="en-US" w:eastAsia="zh-CN" w:bidi="ar-SA"/>
        </w:rPr>
      </w:pPr>
    </w:p>
    <w:p>
      <w:pPr>
        <w:numPr>
          <w:ilvl w:val="0"/>
          <w:numId w:val="9"/>
        </w:numPr>
        <w:rPr>
          <w:rFonts w:hint="eastAsia" w:ascii="Times New Roman" w:hAnsi="宋体" w:eastAsia="宋体" w:cs="宋体"/>
          <w:b/>
          <w:bCs/>
          <w:color w:val="auto"/>
          <w:spacing w:val="0"/>
          <w:kern w:val="2"/>
          <w:sz w:val="21"/>
          <w:szCs w:val="21"/>
          <w:highlight w:val="none"/>
          <w:lang w:val="en-US" w:eastAsia="zh-CN" w:bidi="ar-SA"/>
        </w:rPr>
      </w:pPr>
      <w:r>
        <w:rPr>
          <w:rFonts w:hint="eastAsia" w:ascii="Times New Roman" w:hAnsi="宋体" w:eastAsia="宋体" w:cs="宋体"/>
          <w:b/>
          <w:bCs/>
          <w:color w:val="auto"/>
          <w:spacing w:val="0"/>
          <w:kern w:val="2"/>
          <w:sz w:val="21"/>
          <w:szCs w:val="21"/>
          <w:highlight w:val="none"/>
          <w:lang w:val="en-US" w:eastAsia="zh-CN" w:bidi="ar-SA"/>
        </w:rPr>
        <w:t>中小企业声明函格式</w:t>
      </w:r>
    </w:p>
    <w:p>
      <w:pPr>
        <w:pageBreakBefore w:val="0"/>
        <w:kinsoku/>
        <w:wordWrap/>
        <w:overflowPunct/>
        <w:topLinePunct w:val="0"/>
        <w:autoSpaceDE/>
        <w:autoSpaceDN/>
        <w:bidi w:val="0"/>
        <w:spacing w:line="360" w:lineRule="auto"/>
        <w:ind w:firstLine="3570" w:firstLineChars="1700"/>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中小企业声明函</w:t>
      </w:r>
    </w:p>
    <w:p>
      <w:pPr>
        <w:pageBreakBefore w:val="0"/>
        <w:kinsoku/>
        <w:wordWrap/>
        <w:overflowPunct/>
        <w:topLinePunct w:val="0"/>
        <w:autoSpaceDE/>
        <w:autoSpaceDN/>
        <w:bidi w:val="0"/>
        <w:spacing w:line="360" w:lineRule="auto"/>
        <w:outlineLvl w:val="9"/>
        <w:rPr>
          <w:rFonts w:hint="eastAsia" w:ascii="宋体" w:hAnsi="宋体" w:eastAsia="宋体" w:cs="宋体"/>
          <w:color w:val="auto"/>
          <w:sz w:val="21"/>
          <w:szCs w:val="21"/>
          <w:highlight w:val="none"/>
        </w:rPr>
      </w:pPr>
    </w:p>
    <w:p>
      <w:pPr>
        <w:ind w:firstLine="420" w:firstLineChars="200"/>
        <w:rPr>
          <w:rFonts w:hint="eastAsia" w:hAnsi="宋体" w:eastAsia="宋体" w:cs="宋体"/>
          <w:sz w:val="21"/>
        </w:rPr>
      </w:pPr>
      <w:r>
        <w:rPr>
          <w:rFonts w:hint="eastAsia" w:hAnsi="宋体" w:eastAsia="宋体" w:cs="宋体"/>
          <w:sz w:val="21"/>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rPr>
          <w:rFonts w:hint="eastAsia" w:hAnsi="宋体" w:eastAsia="宋体" w:cs="宋体"/>
          <w:sz w:val="21"/>
        </w:rPr>
      </w:pPr>
      <w:r>
        <w:rPr>
          <w:rFonts w:hint="eastAsia" w:hAnsi="宋体" w:eastAsia="宋体" w:cs="宋体"/>
          <w:sz w:val="21"/>
        </w:rPr>
        <w:t>1. （标的名称） ，属于（</w:t>
      </w:r>
      <w:r>
        <w:rPr>
          <w:rFonts w:hint="eastAsia" w:hAnsi="宋体" w:eastAsia="宋体" w:cs="宋体"/>
          <w:sz w:val="21"/>
          <w:lang w:val="en-US" w:eastAsia="zh-CN"/>
        </w:rPr>
        <w:t>信息传输业</w:t>
      </w:r>
      <w:r>
        <w:rPr>
          <w:rFonts w:hint="eastAsia" w:hAnsi="宋体" w:eastAsia="宋体" w:cs="宋体"/>
          <w:sz w:val="21"/>
        </w:rPr>
        <w:t>）；承接企业为（企业名称），从业人员      人，营业收入为      万元，资产总额为    万元，属于（中型企业、小型企业、微型企业）；</w:t>
      </w:r>
    </w:p>
    <w:p>
      <w:pPr>
        <w:rPr>
          <w:rFonts w:hint="eastAsia" w:hAnsi="宋体" w:eastAsia="宋体" w:cs="宋体"/>
          <w:sz w:val="21"/>
        </w:rPr>
      </w:pPr>
      <w:r>
        <w:rPr>
          <w:rFonts w:hint="eastAsia" w:hAnsi="宋体" w:eastAsia="宋体" w:cs="宋体"/>
          <w:sz w:val="21"/>
        </w:rPr>
        <w:t>2. （标的名称） ，属于（</w:t>
      </w:r>
      <w:r>
        <w:rPr>
          <w:rFonts w:hint="eastAsia" w:hAnsi="宋体" w:eastAsia="宋体" w:cs="宋体"/>
          <w:sz w:val="21"/>
          <w:lang w:val="en-US" w:eastAsia="zh-CN"/>
        </w:rPr>
        <w:t>信息传输业</w:t>
      </w:r>
      <w:r>
        <w:rPr>
          <w:rFonts w:hint="eastAsia" w:hAnsi="宋体" w:eastAsia="宋体" w:cs="宋体"/>
          <w:sz w:val="21"/>
        </w:rPr>
        <w:t>）；承接企业为（企业名称），从业人员     人，营业收入为    万元，资产总额为    万元，属于（中型企业、小型企业、微型企业）；</w:t>
      </w:r>
    </w:p>
    <w:p>
      <w:pPr>
        <w:rPr>
          <w:rFonts w:hint="eastAsia" w:hAnsi="宋体" w:eastAsia="宋体" w:cs="宋体"/>
          <w:sz w:val="21"/>
        </w:rPr>
      </w:pPr>
      <w:r>
        <w:rPr>
          <w:rFonts w:hint="eastAsia" w:hAnsi="宋体" w:eastAsia="宋体" w:cs="宋体"/>
          <w:sz w:val="21"/>
        </w:rPr>
        <w:t>……</w:t>
      </w:r>
    </w:p>
    <w:p>
      <w:pPr>
        <w:ind w:firstLine="420" w:firstLineChars="200"/>
        <w:rPr>
          <w:rFonts w:hint="eastAsia" w:hAnsi="宋体" w:eastAsia="宋体" w:cs="宋体"/>
          <w:sz w:val="21"/>
        </w:rPr>
      </w:pPr>
      <w:r>
        <w:rPr>
          <w:rFonts w:hint="eastAsia" w:hAnsi="宋体" w:eastAsia="宋体" w:cs="宋体"/>
          <w:sz w:val="21"/>
        </w:rPr>
        <w:t>以上企业，不属于大企业的分支机构，不存在控股股东为大企业的情形，也不存在与大企业的负责人为同一人的情形。</w:t>
      </w:r>
    </w:p>
    <w:p>
      <w:pPr>
        <w:rPr>
          <w:rFonts w:hint="eastAsia" w:hAnsi="宋体" w:eastAsia="宋体" w:cs="宋体"/>
          <w:sz w:val="21"/>
        </w:rPr>
      </w:pPr>
      <w:r>
        <w:rPr>
          <w:rFonts w:hint="eastAsia" w:hAnsi="宋体" w:eastAsia="宋体" w:cs="宋体"/>
          <w:sz w:val="21"/>
        </w:rPr>
        <w:t>本企业对上述声明内容的真实性负责。如有虚假，将依法承担相应责任。</w:t>
      </w:r>
    </w:p>
    <w:p>
      <w:pPr>
        <w:rPr>
          <w:rFonts w:hint="eastAsia" w:hAnsi="宋体" w:eastAsia="宋体" w:cs="宋体"/>
          <w:sz w:val="21"/>
        </w:rPr>
      </w:pPr>
    </w:p>
    <w:p>
      <w:pPr>
        <w:rPr>
          <w:rFonts w:hint="eastAsia" w:hAnsi="宋体" w:eastAsia="宋体" w:cs="宋体"/>
          <w:sz w:val="21"/>
        </w:rPr>
      </w:pPr>
      <w:r>
        <w:rPr>
          <w:rFonts w:hint="eastAsia" w:hAnsi="宋体" w:eastAsia="宋体" w:cs="宋体"/>
          <w:sz w:val="21"/>
        </w:rPr>
        <w:t>企业名称（盖章）：</w:t>
      </w:r>
    </w:p>
    <w:p>
      <w:pPr>
        <w:rPr>
          <w:rFonts w:hint="eastAsia" w:hAnsi="宋体" w:eastAsia="宋体" w:cs="宋体"/>
          <w:sz w:val="21"/>
        </w:rPr>
      </w:pPr>
      <w:r>
        <w:rPr>
          <w:rFonts w:hint="eastAsia" w:hAnsi="宋体" w:eastAsia="宋体" w:cs="宋体"/>
          <w:sz w:val="21"/>
        </w:rPr>
        <w:t xml:space="preserve">日  期： </w:t>
      </w:r>
    </w:p>
    <w:p>
      <w:pPr>
        <w:rPr>
          <w:rFonts w:hint="eastAsia" w:hAnsi="宋体" w:eastAsia="宋体" w:cs="宋体"/>
          <w:sz w:val="21"/>
        </w:rPr>
      </w:pPr>
    </w:p>
    <w:p>
      <w:pPr>
        <w:rPr>
          <w:rFonts w:hint="eastAsia" w:hAnsi="宋体" w:eastAsia="宋体" w:cs="宋体"/>
          <w:sz w:val="21"/>
        </w:rPr>
      </w:pPr>
    </w:p>
    <w:p>
      <w:pPr>
        <w:rPr>
          <w:rFonts w:hint="eastAsia" w:hAnsi="宋体" w:eastAsia="宋体" w:cs="宋体"/>
          <w:sz w:val="21"/>
        </w:rPr>
      </w:pPr>
      <w:r>
        <w:rPr>
          <w:rFonts w:hint="eastAsia" w:hAnsi="宋体" w:eastAsia="宋体" w:cs="宋体"/>
          <w:sz w:val="21"/>
        </w:rPr>
        <w:t>说明：</w:t>
      </w:r>
    </w:p>
    <w:p>
      <w:pPr>
        <w:rPr>
          <w:rFonts w:hint="eastAsia" w:hAnsi="宋体" w:eastAsia="宋体" w:cs="宋体"/>
          <w:sz w:val="21"/>
        </w:rPr>
      </w:pPr>
      <w:r>
        <w:rPr>
          <w:rFonts w:hint="eastAsia" w:hAnsi="宋体" w:eastAsia="宋体" w:cs="宋体"/>
          <w:sz w:val="21"/>
        </w:rPr>
        <w:t>1、从业人员、营业收入、资产总额填报上一年度数据，无上一年度数据的新成立企业可不填报。</w:t>
      </w:r>
    </w:p>
    <w:p>
      <w:pPr>
        <w:rPr>
          <w:rFonts w:hint="eastAsia" w:hAnsi="宋体" w:eastAsia="宋体" w:cs="宋体"/>
          <w:sz w:val="21"/>
          <w:lang w:val="en-US" w:eastAsia="zh-CN"/>
        </w:rPr>
      </w:pPr>
      <w:r>
        <w:rPr>
          <w:rFonts w:hint="eastAsia" w:hAnsi="宋体" w:eastAsia="宋体" w:cs="宋体"/>
          <w:sz w:val="21"/>
        </w:rPr>
        <w:t>2、行业划分：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r>
        <w:rPr>
          <w:rFonts w:hint="eastAsia" w:hAnsi="宋体" w:eastAsia="宋体" w:cs="宋体"/>
          <w:sz w:val="21"/>
          <w:lang w:val="en-US" w:eastAsia="zh-CN"/>
        </w:rPr>
        <w:t>.</w:t>
      </w:r>
    </w:p>
    <w:p>
      <w:pPr>
        <w:pStyle w:val="2"/>
        <w:rPr>
          <w:rFonts w:hint="eastAsia"/>
          <w:lang w:val="en-US" w:eastAsia="zh-CN"/>
        </w:rPr>
        <w:sectPr>
          <w:footerReference r:id="rId13" w:type="default"/>
          <w:pgSz w:w="11906" w:h="16838"/>
          <w:pgMar w:top="1418" w:right="1287" w:bottom="1418" w:left="1622" w:header="851" w:footer="992" w:gutter="0"/>
          <w:cols w:space="720" w:num="1"/>
          <w:titlePg/>
          <w:docGrid w:type="linesAndChars" w:linePitch="312" w:charSpace="0"/>
        </w:sectPr>
      </w:pPr>
    </w:p>
    <w:p>
      <w:pPr>
        <w:pStyle w:val="10"/>
        <w:pageBreakBefore w:val="0"/>
        <w:kinsoku/>
        <w:wordWrap/>
        <w:overflowPunct/>
        <w:topLinePunct w:val="0"/>
        <w:autoSpaceDE/>
        <w:autoSpaceDN/>
        <w:bidi w:val="0"/>
        <w:snapToGrid w:val="0"/>
        <w:outlineLvl w:val="9"/>
        <w:rPr>
          <w:rFonts w:hint="eastAsia" w:ascii="宋体" w:hAnsi="宋体" w:eastAsia="宋体" w:cs="宋体"/>
          <w:b/>
          <w:color w:val="auto"/>
          <w:sz w:val="21"/>
          <w:highlight w:val="none"/>
        </w:rPr>
      </w:pPr>
      <w:r>
        <w:rPr>
          <w:rFonts w:hint="eastAsia" w:ascii="宋体" w:hAnsi="宋体" w:eastAsia="宋体" w:cs="宋体"/>
          <w:b/>
          <w:bCs/>
          <w:i w:val="0"/>
          <w:iCs w:val="0"/>
          <w:color w:val="auto"/>
          <w:sz w:val="21"/>
          <w:szCs w:val="21"/>
          <w:highlight w:val="none"/>
          <w:lang w:val="en-US" w:eastAsia="zh-CN" w:bidi="ar"/>
        </w:rPr>
        <w:t>（</w:t>
      </w:r>
      <w:r>
        <w:rPr>
          <w:rFonts w:hint="eastAsia" w:ascii="宋体" w:hAnsi="宋体" w:cs="宋体"/>
          <w:b/>
          <w:bCs/>
          <w:i w:val="0"/>
          <w:iCs w:val="0"/>
          <w:color w:val="auto"/>
          <w:sz w:val="21"/>
          <w:szCs w:val="21"/>
          <w:highlight w:val="none"/>
          <w:lang w:val="en-US" w:eastAsia="zh-CN" w:bidi="ar"/>
        </w:rPr>
        <w:t>4</w:t>
      </w:r>
      <w:r>
        <w:rPr>
          <w:rFonts w:hint="eastAsia" w:ascii="宋体" w:hAnsi="宋体" w:eastAsia="宋体" w:cs="宋体"/>
          <w:b/>
          <w:bCs/>
          <w:i w:val="0"/>
          <w:iCs w:val="0"/>
          <w:color w:val="auto"/>
          <w:sz w:val="21"/>
          <w:szCs w:val="21"/>
          <w:highlight w:val="none"/>
          <w:lang w:val="en-US" w:eastAsia="zh-CN" w:bidi="ar"/>
        </w:rPr>
        <w:t>）残疾人福利性单位声明函格式（如有）</w:t>
      </w:r>
      <w:bookmarkStart w:id="98" w:name="OLE_LINK14"/>
      <w:bookmarkStart w:id="99" w:name="OLE_LINK13"/>
    </w:p>
    <w:p>
      <w:pPr>
        <w:pageBreakBefore w:val="0"/>
        <w:kinsoku/>
        <w:wordWrap/>
        <w:overflowPunct/>
        <w:topLinePunct w:val="0"/>
        <w:autoSpaceDE/>
        <w:autoSpaceDN/>
        <w:bidi w:val="0"/>
        <w:snapToGrid w:val="0"/>
        <w:spacing w:before="50" w:after="50"/>
        <w:jc w:val="center"/>
        <w:outlineLvl w:val="9"/>
        <w:rPr>
          <w:rFonts w:hint="eastAsia" w:ascii="宋体" w:hAnsi="宋体" w:eastAsia="宋体" w:cs="宋体"/>
          <w:b/>
          <w:color w:val="auto"/>
          <w:spacing w:val="6"/>
          <w:sz w:val="21"/>
          <w:highlight w:val="none"/>
        </w:rPr>
      </w:pPr>
      <w:r>
        <w:rPr>
          <w:rFonts w:hint="eastAsia" w:ascii="宋体" w:hAnsi="宋体" w:eastAsia="宋体" w:cs="宋体"/>
          <w:b/>
          <w:color w:val="auto"/>
          <w:sz w:val="21"/>
          <w:highlight w:val="none"/>
        </w:rPr>
        <w:t>残疾人福利性单位声明函</w:t>
      </w:r>
      <w:bookmarkEnd w:id="98"/>
      <w:bookmarkEnd w:id="99"/>
    </w:p>
    <w:p>
      <w:pPr>
        <w:pageBreakBefore w:val="0"/>
        <w:kinsoku/>
        <w:wordWrap/>
        <w:overflowPunct/>
        <w:topLinePunct w:val="0"/>
        <w:autoSpaceDE/>
        <w:autoSpaceDN/>
        <w:bidi w:val="0"/>
        <w:spacing w:line="588" w:lineRule="exact"/>
        <w:ind w:firstLine="444" w:firstLineChars="200"/>
        <w:outlineLvl w:val="9"/>
        <w:rPr>
          <w:rFonts w:hint="eastAsia" w:ascii="宋体" w:hAnsi="宋体" w:eastAsia="宋体" w:cs="宋体"/>
          <w:color w:val="auto"/>
          <w:spacing w:val="6"/>
          <w:sz w:val="21"/>
          <w:highlight w:val="none"/>
        </w:rPr>
      </w:pPr>
      <w:r>
        <w:rPr>
          <w:rFonts w:hint="eastAsia" w:ascii="宋体" w:hAnsi="宋体" w:eastAsia="宋体" w:cs="宋体"/>
          <w:color w:val="auto"/>
          <w:spacing w:val="6"/>
          <w:sz w:val="21"/>
          <w:highlight w:val="none"/>
        </w:rPr>
        <w:t>本单位郑重声明，根据《财政部 民政部 中国残疾人联合会关于促进残疾人就业政府采购政策的通知》（财库</w:t>
      </w:r>
      <w:r>
        <w:rPr>
          <w:rFonts w:hint="eastAsia" w:ascii="宋体" w:hAnsi="宋体" w:eastAsia="宋体" w:cs="宋体"/>
          <w:color w:val="auto"/>
          <w:sz w:val="21"/>
          <w:highlight w:val="none"/>
        </w:rPr>
        <w:t>〔2017〕 141</w:t>
      </w:r>
      <w:r>
        <w:rPr>
          <w:rFonts w:hint="eastAsia" w:ascii="宋体" w:hAnsi="宋体" w:eastAsia="宋体" w:cs="宋体"/>
          <w:color w:val="auto"/>
          <w:spacing w:val="6"/>
          <w:sz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autoSpaceDE/>
        <w:autoSpaceDN/>
        <w:bidi w:val="0"/>
        <w:spacing w:line="588" w:lineRule="exact"/>
        <w:ind w:firstLine="444" w:firstLineChars="200"/>
        <w:outlineLvl w:val="9"/>
        <w:rPr>
          <w:rFonts w:hint="eastAsia" w:ascii="宋体" w:hAnsi="宋体" w:eastAsia="宋体" w:cs="宋体"/>
          <w:color w:val="auto"/>
          <w:spacing w:val="6"/>
          <w:sz w:val="21"/>
          <w:highlight w:val="none"/>
        </w:rPr>
      </w:pPr>
      <w:r>
        <w:rPr>
          <w:rFonts w:hint="eastAsia" w:ascii="宋体" w:hAnsi="宋体" w:eastAsia="宋体" w:cs="宋体"/>
          <w:color w:val="auto"/>
          <w:spacing w:val="6"/>
          <w:sz w:val="21"/>
          <w:highlight w:val="none"/>
        </w:rPr>
        <w:t>本单位对上述声明的真实性负责。如有虚假，将依法承担相应责任。</w:t>
      </w:r>
    </w:p>
    <w:p>
      <w:pPr>
        <w:pageBreakBefore w:val="0"/>
        <w:kinsoku/>
        <w:wordWrap/>
        <w:overflowPunct/>
        <w:topLinePunct w:val="0"/>
        <w:autoSpaceDE/>
        <w:autoSpaceDN/>
        <w:bidi w:val="0"/>
        <w:spacing w:line="588" w:lineRule="exact"/>
        <w:ind w:firstLine="444" w:firstLineChars="200"/>
        <w:outlineLvl w:val="9"/>
        <w:rPr>
          <w:rFonts w:hint="eastAsia" w:ascii="宋体" w:hAnsi="宋体" w:eastAsia="宋体" w:cs="宋体"/>
          <w:color w:val="auto"/>
          <w:spacing w:val="6"/>
          <w:sz w:val="21"/>
          <w:highlight w:val="none"/>
        </w:rPr>
      </w:pPr>
    </w:p>
    <w:p>
      <w:pPr>
        <w:pageBreakBefore w:val="0"/>
        <w:tabs>
          <w:tab w:val="left" w:pos="4860"/>
        </w:tabs>
        <w:kinsoku/>
        <w:wordWrap/>
        <w:overflowPunct/>
        <w:topLinePunct w:val="0"/>
        <w:autoSpaceDE/>
        <w:autoSpaceDN/>
        <w:bidi w:val="0"/>
        <w:spacing w:line="588" w:lineRule="exact"/>
        <w:ind w:right="1560" w:firstLine="444" w:firstLineChars="200"/>
        <w:jc w:val="center"/>
        <w:outlineLvl w:val="9"/>
        <w:rPr>
          <w:rFonts w:hint="eastAsia" w:ascii="宋体" w:hAnsi="宋体" w:eastAsia="宋体" w:cs="宋体"/>
          <w:color w:val="auto"/>
          <w:spacing w:val="6"/>
          <w:sz w:val="21"/>
          <w:highlight w:val="none"/>
        </w:rPr>
      </w:pPr>
      <w:r>
        <w:rPr>
          <w:rFonts w:hint="eastAsia" w:ascii="宋体" w:hAnsi="宋体" w:eastAsia="宋体" w:cs="宋体"/>
          <w:color w:val="auto"/>
          <w:spacing w:val="6"/>
          <w:sz w:val="21"/>
          <w:highlight w:val="none"/>
        </w:rPr>
        <w:t xml:space="preserve">               单位名称（盖章）：</w:t>
      </w:r>
    </w:p>
    <w:p>
      <w:pPr>
        <w:pageBreakBefore w:val="0"/>
        <w:tabs>
          <w:tab w:val="left" w:pos="4860"/>
        </w:tabs>
        <w:kinsoku/>
        <w:wordWrap/>
        <w:overflowPunct/>
        <w:topLinePunct w:val="0"/>
        <w:autoSpaceDE/>
        <w:autoSpaceDN/>
        <w:bidi w:val="0"/>
        <w:spacing w:line="588" w:lineRule="exact"/>
        <w:ind w:right="1560" w:firstLine="444" w:firstLineChars="200"/>
        <w:jc w:val="center"/>
        <w:outlineLvl w:val="9"/>
        <w:rPr>
          <w:rFonts w:hint="eastAsia" w:ascii="宋体" w:hAnsi="宋体" w:eastAsia="宋体" w:cs="宋体"/>
          <w:color w:val="auto"/>
          <w:spacing w:val="6"/>
          <w:sz w:val="21"/>
          <w:highlight w:val="none"/>
        </w:rPr>
      </w:pPr>
      <w:r>
        <w:rPr>
          <w:rFonts w:hint="eastAsia" w:ascii="宋体" w:hAnsi="宋体" w:eastAsia="宋体" w:cs="宋体"/>
          <w:color w:val="auto"/>
          <w:spacing w:val="6"/>
          <w:sz w:val="21"/>
          <w:highlight w:val="none"/>
        </w:rPr>
        <w:t xml:space="preserve">       日  期：</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注：1、如供应商为非残疾人福利性单位的可不提供本声明函。</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2、享受政府采购支持政策的残疾人福利性单位应当同时满足以下条件：</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（一）安置的残疾人占本单位在职职工人数的比例不低于25%（含25%），并且安置的残疾人人数不少于10人（含10人）；</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（二）依法与安置的每位残疾人签订了一年以上（含一年）的劳动合同或服务协议；</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（三）为安置的每位残疾人按月足额缴纳了基本养老保险、基本医疗保险、失业保险、工伤保险和生育保险等社会保险费；</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（四）通过银行等金融机构向安置的每位残疾人，按月支付了不低于单位所在区县适用的经省级人民政府批准的月最低工资标准的工资；</w:t>
      </w:r>
    </w:p>
    <w:p>
      <w:pPr>
        <w:pageBreakBefore w:val="0"/>
        <w:kinsoku/>
        <w:wordWrap/>
        <w:overflowPunct/>
        <w:topLinePunct w:val="0"/>
        <w:autoSpaceDE/>
        <w:autoSpaceDN/>
        <w:bidi w:val="0"/>
        <w:jc w:val="left"/>
        <w:outlineLvl w:val="9"/>
        <w:rPr>
          <w:rFonts w:hint="eastAsia" w:ascii="宋体" w:hAnsi="宋体" w:eastAsia="宋体" w:cs="宋体"/>
          <w:color w:val="auto"/>
          <w:sz w:val="21"/>
          <w:highlight w:val="none"/>
          <w:lang w:bidi="ar"/>
        </w:rPr>
      </w:pPr>
      <w:r>
        <w:rPr>
          <w:rFonts w:hint="eastAsia" w:ascii="宋体" w:hAnsi="宋体" w:eastAsia="宋体" w:cs="宋体"/>
          <w:color w:val="auto"/>
          <w:sz w:val="21"/>
          <w:highlight w:val="none"/>
          <w:lang w:bidi="ar"/>
        </w:rPr>
        <w:t>（五）提供本单位制造的货物、承担的工程或者服务（以下简称产品），或者提供其他残疾人福利性单位制造的货物（不包括使用非残疾人福利性单位注册商标的货物）。</w:t>
      </w:r>
    </w:p>
    <w:p>
      <w:pPr>
        <w:pageBreakBefore w:val="0"/>
        <w:kinsoku/>
        <w:wordWrap/>
        <w:overflowPunct/>
        <w:topLinePunct w:val="0"/>
        <w:autoSpaceDE/>
        <w:autoSpaceDN/>
        <w:bidi w:val="0"/>
        <w:jc w:val="left"/>
        <w:outlineLvl w:val="9"/>
        <w:rPr>
          <w:rFonts w:hint="eastAsia" w:ascii="宋体" w:hAnsi="宋体" w:eastAsia="宋体" w:cs="宋体"/>
          <w:b/>
          <w:bCs/>
          <w:color w:val="auto"/>
          <w:sz w:val="21"/>
          <w:highlight w:val="none"/>
          <w:lang w:bidi="ar"/>
        </w:rPr>
      </w:pPr>
      <w:r>
        <w:rPr>
          <w:rFonts w:hint="eastAsia" w:ascii="宋体" w:hAnsi="宋体" w:eastAsia="宋体" w:cs="宋体"/>
          <w:color w:val="auto"/>
          <w:sz w:val="21"/>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0"/>
        <w:pageBreakBefore w:val="0"/>
        <w:kinsoku/>
        <w:wordWrap/>
        <w:overflowPunct/>
        <w:topLinePunct w:val="0"/>
        <w:autoSpaceDE/>
        <w:autoSpaceDN/>
        <w:bidi w:val="0"/>
        <w:snapToGrid w:val="0"/>
        <w:ind w:left="420"/>
        <w:outlineLvl w:val="9"/>
        <w:rPr>
          <w:rFonts w:hint="eastAsia" w:ascii="宋体" w:hAnsi="宋体" w:eastAsia="宋体" w:cs="宋体"/>
          <w:color w:val="auto"/>
          <w:highlight w:val="none"/>
        </w:rPr>
      </w:pPr>
    </w:p>
    <w:p>
      <w:pPr>
        <w:pStyle w:val="10"/>
        <w:pageBreakBefore w:val="0"/>
        <w:kinsoku/>
        <w:wordWrap/>
        <w:overflowPunct/>
        <w:topLinePunct w:val="0"/>
        <w:autoSpaceDE/>
        <w:autoSpaceDN/>
        <w:bidi w:val="0"/>
        <w:snapToGrid w:val="0"/>
        <w:outlineLvl w:val="9"/>
      </w:pPr>
      <w:r>
        <w:rPr>
          <w:rFonts w:hint="eastAsia" w:ascii="宋体" w:hAnsi="宋体" w:cs="宋体"/>
          <w:color w:val="auto"/>
          <w:highlight w:val="none"/>
          <w:lang w:val="en-US" w:eastAsia="zh-CN"/>
        </w:rPr>
        <w:t>（5）</w:t>
      </w:r>
      <w:r>
        <w:rPr>
          <w:rFonts w:hint="eastAsia" w:ascii="宋体" w:hAnsi="宋体" w:eastAsia="宋体" w:cs="宋体"/>
          <w:color w:val="auto"/>
          <w:highlight w:val="none"/>
        </w:rPr>
        <w:t>供应商针对报价需要说明的其他文件和说明（格式自拟）；</w:t>
      </w:r>
    </w:p>
    <w:sectPr>
      <w:footerReference r:id="rId14" w:type="default"/>
      <w:footnotePr>
        <w:numFmt w:val="decimalEnclosedCircleChinese"/>
      </w:footnotePr>
      <w:pgSz w:w="11906" w:h="16838"/>
      <w:pgMar w:top="1701" w:right="1134" w:bottom="1304" w:left="1134" w:header="964" w:footer="567" w:gutter="567"/>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ystem">
    <w:altName w:val="微软雅黑"/>
    <w:panose1 w:val="020B06040200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rPr>
    </w:pPr>
  </w:p>
  <w:p>
    <w:pPr>
      <w:pStyle w:val="1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rPr>
    </w:pPr>
  </w:p>
  <w:p>
    <w:pPr>
      <w:pStyle w:val="1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Aknl8cBAACZAwAADgAAAGRycy9lMm9Eb2MueG1srVPNjtMwEL4j8Q6W 79TZHFAVNV2BqkVICJAWHsB17MaS/+Rxm/QF4A04ceHOc/U5GDtJd1kue+DijGfG38z3zWRzO1pD TjKC9q6lN6uKEumE77Q7tPTrl7tXa0ogcddx451s6VkCvd2+fLEZQiNr33vTyUgQxEEzhJb2KYWG MRC9tBxWPkiHQeWj5Qmv8cC6yAdEt4bVVfWaDT52IXohAdC7m4J0RozPAfRKaSF3XhytdGlCjdLw hJSg1wHotnSrlBTpk1IgEzEtRaapnFgE7X0+2XbDm0PkoddiboE/p4UnnCzXDoteoXY8cXKM+h8o q0X04FVaCW/ZRKQogixuqifa3Pc8yMIFpYZwFR3+H6z4ePocie5aWlPiuMWBX358v/z8ffn1jdRZ niFAg1n3AfPS+NaPuDSLH9CZWY8q2vxFPgTjKO75Kq4cExH50bperysMCYwtF8RnD89DhPROekuy 0dKI0yui8tMHSFPqkpKrOX+njSkTNO4vB2JmD8u9Tz1mK437cSa0990Z+Qw4+JY63HNKzHuHuuYd WYy4GPvFOIaoD31ZolwPwptjwiZKb7nCBDsXxokVdvN25ZV4fC9ZD3/U9g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OqXm5zwAAAAUBAAAPAAAAAAAAAAEAIAAAACIAAABkcnMvZG93bnJldi54bWxQ SwECFAAUAAAACACHTuJA9Aknl8cBAACZAwAADgAAAAAAAAABACAAAAAeAQAAZHJzL2Uyb0RvYy54 bWxQSwUGAAAAAAYABgBZAQAAVwUAAAAA ">
              <v:fill on="f" focussize="0,0"/>
              <v:stroke on="f"/>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DkjEckBAACZAwAADgAAAGRycy9lMm9Eb2MueG1srVPNjtMwEL4j8Q6W 79TZSouqqOlqUbUICQHSwgO4jt1Y8p88bpO+ALwBJy7cea4+B2Mn6S7LZQ97ccYz42/m+2ayvhms IUcZQXvX0KtFRYl0wrfa7Rv67evdmxUlkLhrufFONvQkgd5sXr9a96GWS99508pIEMRB3YeGdimF mjEQnbQcFj5Ih0Hlo+UJr3HP2sh7RLeGLavqLet9bEP0QgKgdzsG6YQYnwPoldJCbr04WOnSiBql 4QkpQacD0E3pVikp0melQCZiGopMUzmxCNq7fLLNmtf7yEOnxdQCf04LTzhZrh0WvUBteeLkEPV/ UFaL6MGrtBDespFIUQRZXFVPtLnveJCFC0oN4SI6vBys+HT8EoluG3pN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kOSMRyQEAAJkDAAAOAAAAAAAAAAEAIAAAAB4BAABkcnMvZTJvRG9j LnhtbFBLBQYAAAAABgAGAFkBAABZBQAAAAA= ">
              <v:fill on="f" focussize="0,0"/>
              <v:stroke on="f"/>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mc:Fallback>
      </mc:AlternateContent>
    </w:r>
  </w:p>
  <w:p>
    <w:pPr>
      <w:pStyle w:val="1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rPr>
        <w:rFonts w:eastAsia="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84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JL6ScgBAACZAwAADgAAAGRycy9lMm9Eb2MueG1srVPNjtMwEL4j8Q6W 79TZHqoqarraVbUICQHSwgO4jt1Y8p88bpO+ALwBJy7cea4+B2Mn6cJy2QMXZzwz/ma+byab28Ea cpIRtHcNvVlUlEgnfKvdoaFfPj+8WVMCibuWG+9kQ88S6O329atNH2q59J03rYwEQRzUfWhol1Ko GQPRScth4YN0GFQ+Wp7wGg+sjbxHdGvYsqpWrPexDdELCYDe3RikE2J8CaBXSgu58+JopUsjapSG J6QEnQ5At6VbpaRIH5UCmYhpKDJN5cQiaO/zybYbXh8iD50WUwv8JS0842S5dlj0CrXjiZNj1P9A WS2iB6/SQnjLRiJFEWRxUz3T5rHjQRYuKDWEq+jw/2DFh9OnSHTb0BUljlsc+OX7t8uPX5efX8kq y9MHqDHrMWBeGu79gEsz+wGdmfWgos1f5EMwjuKer+LKIRGRH62X63WFIYGx+YL47Ol5iJDeSm9J NhoacXpFVH56D2lMnVNyNecftDFlgsb95UDM7GG597HHbKVhP0yE9r49I58eB99Qh3tOiXnnUNe8 I7MRZ2M/G8cQ9aErS5TrQbg7Jmyi9JYrjLBTYZxYYTdtV16JP+8l6+mP2v4G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DSS+knIAQAAmQMAAA4AAAAAAAAAAQAgAAAAHgEAAGRycy9lMm9Eb2Mu eG1sUEsFBgAAAAAGAAYAWQEAAFgFAAAAAA== ">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G+QoMkBAACZAwAADgAAAGRycy9lMm9Eb2MueG1srVPNjtMwEL4j8Q6W 79TZroSqqOlqUbUICQHSwgO4jt1Y8p88bpO+ALwBJy7cea4+B2Mn6S7LZQ97ccYz42/m+2ayvhms IUcZQXvX0KtFRYl0wrfa7Rv67evdmxUlkLhrufFONvQkgd5sXr9a96GWS99508pIEMRB3YeGdimF mjEQnbQcFj5Ih0Hlo+UJr3HP2sh7RLeGLavqLet9bEP0QgKgdzsG6YQYnwPoldJCbr04WOnSiBql 4QkpQacD0E3pVikp0melQCZiGopMUzmxCNq7fLLNmtf7yEOnxdQCf04LTzhZrh0WvUBteeLkEPV/ UFaL6MGrtBDespFIUQRZXFVPtLnveJCFC0oN4SI6vBys+HT8EoluG3pNieMWB37++eP868/593dy neXpA9SYdR8wLw3v/IBLM/sBnZn1oKLNX+RDMI7ini7iyiERkR+tlqtVhSGBsfmC+OzheYiQ3ktv STYaGnF6RVR+/AhpTJ1TcjXn77QxZYLG/eNAzOxhufexx2ylYTdMhHa+PSGfHgffUId7Ton54FDX vCOzEWdjNxuHEPW+K0uU60G4PSRsovSWK4ywU2GcWGE3bVdeicf3kvXwR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Eb5CgyQEAAJkDAAAOAAAAAAAAAAEAIAAAAB4BAABkcnMvZTJvRG9j LnhtbFBLBQYAAAAABgAGAFkBAABZBQAAAAA= ">
              <v:fill on="f" focussize="0,0"/>
              <v:stroke on="f"/>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mc:Fallback>
      </mc:AlternateContent>
    </w:r>
  </w:p>
  <w:p>
    <w:pPr>
      <w:pStyle w:val="1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6E4D2"/>
    <w:multiLevelType w:val="singleLevel"/>
    <w:tmpl w:val="CEF6E4D2"/>
    <w:lvl w:ilvl="0" w:tentative="0">
      <w:start w:val="1"/>
      <w:numFmt w:val="decimal"/>
      <w:pStyle w:val="5"/>
      <w:lvlText w:val="%1."/>
      <w:lvlJc w:val="left"/>
      <w:pPr>
        <w:tabs>
          <w:tab w:val="left" w:pos="360"/>
        </w:tabs>
        <w:ind w:left="360" w:hanging="360"/>
      </w:pPr>
    </w:lvl>
  </w:abstractNum>
  <w:abstractNum w:abstractNumId="1">
    <w:nsid w:val="E5EBEC41"/>
    <w:multiLevelType w:val="singleLevel"/>
    <w:tmpl w:val="E5EBEC41"/>
    <w:lvl w:ilvl="0" w:tentative="0">
      <w:start w:val="7"/>
      <w:numFmt w:val="decimal"/>
      <w:suff w:val="nothing"/>
      <w:lvlText w:val="%1、"/>
      <w:lvlJc w:val="left"/>
    </w:lvl>
  </w:abstractNum>
  <w:abstractNum w:abstractNumId="2">
    <w:nsid w:val="049AF305"/>
    <w:multiLevelType w:val="singleLevel"/>
    <w:tmpl w:val="049AF305"/>
    <w:lvl w:ilvl="0" w:tentative="0">
      <w:start w:val="4"/>
      <w:numFmt w:val="chineseCounting"/>
      <w:suff w:val="nothing"/>
      <w:lvlText w:val="%1．"/>
      <w:lvlJc w:val="left"/>
      <w:rPr>
        <w:rFonts w:hint="eastAsia"/>
      </w:rPr>
    </w:lvl>
  </w:abstractNum>
  <w:abstractNum w:abstractNumId="3">
    <w:nsid w:val="228A7789"/>
    <w:multiLevelType w:val="singleLevel"/>
    <w:tmpl w:val="228A7789"/>
    <w:lvl w:ilvl="0" w:tentative="0">
      <w:start w:val="3"/>
      <w:numFmt w:val="decimal"/>
      <w:suff w:val="nothing"/>
      <w:lvlText w:val="（%1）"/>
      <w:lvlJc w:val="left"/>
    </w:lvl>
  </w:abstractNum>
  <w:abstractNum w:abstractNumId="4">
    <w:nsid w:val="29D120CC"/>
    <w:multiLevelType w:val="singleLevel"/>
    <w:tmpl w:val="29D120CC"/>
    <w:lvl w:ilvl="0" w:tentative="0">
      <w:start w:val="1"/>
      <w:numFmt w:val="decimal"/>
      <w:suff w:val="nothing"/>
      <w:lvlText w:val="（%1）"/>
      <w:lvlJc w:val="left"/>
    </w:lvl>
  </w:abstractNum>
  <w:abstractNum w:abstractNumId="5">
    <w:nsid w:val="34415AF3"/>
    <w:multiLevelType w:val="multilevel"/>
    <w:tmpl w:val="34415AF3"/>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A43321"/>
    <w:multiLevelType w:val="multilevel"/>
    <w:tmpl w:val="3BA4332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C4E44E1"/>
    <w:multiLevelType w:val="multilevel"/>
    <w:tmpl w:val="3C4E44E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1F6C8CF"/>
    <w:multiLevelType w:val="singleLevel"/>
    <w:tmpl w:val="61F6C8CF"/>
    <w:lvl w:ilvl="0" w:tentative="0">
      <w:start w:val="6"/>
      <w:numFmt w:val="decimal"/>
      <w:lvlText w:val="%1."/>
      <w:lvlJc w:val="left"/>
      <w:pPr>
        <w:tabs>
          <w:tab w:val="left" w:pos="312"/>
        </w:tabs>
      </w:p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YmVhNDYzYmMxMzRhNjZkM2RlYThiNTU3ZmIyZjgifQ=="/>
  </w:docVars>
  <w:rsids>
    <w:rsidRoot w:val="7B585139"/>
    <w:rsid w:val="0002296D"/>
    <w:rsid w:val="00BE440D"/>
    <w:rsid w:val="02895985"/>
    <w:rsid w:val="02BA21E0"/>
    <w:rsid w:val="03060F81"/>
    <w:rsid w:val="034F0B7A"/>
    <w:rsid w:val="038A1428"/>
    <w:rsid w:val="03C76F7E"/>
    <w:rsid w:val="04895273"/>
    <w:rsid w:val="04E90B5B"/>
    <w:rsid w:val="05225831"/>
    <w:rsid w:val="060A2B37"/>
    <w:rsid w:val="06471FDD"/>
    <w:rsid w:val="06677F89"/>
    <w:rsid w:val="066F544C"/>
    <w:rsid w:val="06E17E21"/>
    <w:rsid w:val="06F406A4"/>
    <w:rsid w:val="07322345"/>
    <w:rsid w:val="07941252"/>
    <w:rsid w:val="08B95D17"/>
    <w:rsid w:val="09026019"/>
    <w:rsid w:val="090C6F35"/>
    <w:rsid w:val="095658C6"/>
    <w:rsid w:val="0B13248D"/>
    <w:rsid w:val="0B593BA6"/>
    <w:rsid w:val="0B776EC0"/>
    <w:rsid w:val="0BF805F8"/>
    <w:rsid w:val="0C4A1EDF"/>
    <w:rsid w:val="0C741652"/>
    <w:rsid w:val="0CF3390C"/>
    <w:rsid w:val="0DD35356"/>
    <w:rsid w:val="0E1E3623"/>
    <w:rsid w:val="0E811E04"/>
    <w:rsid w:val="0EC51760"/>
    <w:rsid w:val="0EE76EDD"/>
    <w:rsid w:val="0F7656DC"/>
    <w:rsid w:val="0FCF7155"/>
    <w:rsid w:val="0FEA6FF4"/>
    <w:rsid w:val="0FEB1C2B"/>
    <w:rsid w:val="105B5E8D"/>
    <w:rsid w:val="10CA1840"/>
    <w:rsid w:val="10FE773C"/>
    <w:rsid w:val="11184C67"/>
    <w:rsid w:val="112C42A9"/>
    <w:rsid w:val="11AB623A"/>
    <w:rsid w:val="11BB692F"/>
    <w:rsid w:val="120314AE"/>
    <w:rsid w:val="123C65D5"/>
    <w:rsid w:val="123F1DBA"/>
    <w:rsid w:val="13082AF4"/>
    <w:rsid w:val="130D1EB8"/>
    <w:rsid w:val="131B448A"/>
    <w:rsid w:val="13223837"/>
    <w:rsid w:val="136A10B9"/>
    <w:rsid w:val="13C7475D"/>
    <w:rsid w:val="13EB02B7"/>
    <w:rsid w:val="13F46207"/>
    <w:rsid w:val="13FE2369"/>
    <w:rsid w:val="141E63C0"/>
    <w:rsid w:val="144D6A10"/>
    <w:rsid w:val="14761576"/>
    <w:rsid w:val="14946D1A"/>
    <w:rsid w:val="14D226B9"/>
    <w:rsid w:val="15391971"/>
    <w:rsid w:val="15AF2D86"/>
    <w:rsid w:val="15AF59FA"/>
    <w:rsid w:val="15F72FCF"/>
    <w:rsid w:val="162135D2"/>
    <w:rsid w:val="177064F7"/>
    <w:rsid w:val="181D2B9D"/>
    <w:rsid w:val="185468E8"/>
    <w:rsid w:val="185D2D1B"/>
    <w:rsid w:val="18982224"/>
    <w:rsid w:val="18C059D0"/>
    <w:rsid w:val="18C15FA2"/>
    <w:rsid w:val="190809E2"/>
    <w:rsid w:val="19A30E80"/>
    <w:rsid w:val="19D379B8"/>
    <w:rsid w:val="19F33BB6"/>
    <w:rsid w:val="1AC030A9"/>
    <w:rsid w:val="1B11796B"/>
    <w:rsid w:val="1B5C1C2F"/>
    <w:rsid w:val="1C1A627A"/>
    <w:rsid w:val="1C1B3898"/>
    <w:rsid w:val="1C246FF6"/>
    <w:rsid w:val="1C4027D8"/>
    <w:rsid w:val="1C751F64"/>
    <w:rsid w:val="1CA953D5"/>
    <w:rsid w:val="1D5C74A1"/>
    <w:rsid w:val="1D90796E"/>
    <w:rsid w:val="1E025426"/>
    <w:rsid w:val="1E1D538B"/>
    <w:rsid w:val="1E37603B"/>
    <w:rsid w:val="1E4744D0"/>
    <w:rsid w:val="1E6F1C79"/>
    <w:rsid w:val="1E815964"/>
    <w:rsid w:val="1E9C5B42"/>
    <w:rsid w:val="1F7F5DE8"/>
    <w:rsid w:val="1FA312B5"/>
    <w:rsid w:val="1FB120B7"/>
    <w:rsid w:val="1FCF29CF"/>
    <w:rsid w:val="1FD24AA7"/>
    <w:rsid w:val="1FED72F9"/>
    <w:rsid w:val="2012580C"/>
    <w:rsid w:val="201B3E66"/>
    <w:rsid w:val="20B54B9A"/>
    <w:rsid w:val="20DB1848"/>
    <w:rsid w:val="219A700D"/>
    <w:rsid w:val="21AB746C"/>
    <w:rsid w:val="21E12E8E"/>
    <w:rsid w:val="221D20F7"/>
    <w:rsid w:val="22521696"/>
    <w:rsid w:val="226704C4"/>
    <w:rsid w:val="22AC1615"/>
    <w:rsid w:val="235E06A3"/>
    <w:rsid w:val="239413F2"/>
    <w:rsid w:val="23B13434"/>
    <w:rsid w:val="24572F93"/>
    <w:rsid w:val="24B12C02"/>
    <w:rsid w:val="24C30629"/>
    <w:rsid w:val="253C0A50"/>
    <w:rsid w:val="25BD1711"/>
    <w:rsid w:val="25DF76E4"/>
    <w:rsid w:val="2630419C"/>
    <w:rsid w:val="263A3E1C"/>
    <w:rsid w:val="263B6AE1"/>
    <w:rsid w:val="265E685B"/>
    <w:rsid w:val="26A41640"/>
    <w:rsid w:val="27626CE2"/>
    <w:rsid w:val="27872D39"/>
    <w:rsid w:val="29A24DDA"/>
    <w:rsid w:val="2A1B65A0"/>
    <w:rsid w:val="2A2878AC"/>
    <w:rsid w:val="2A9B6575"/>
    <w:rsid w:val="2AC633CF"/>
    <w:rsid w:val="2B920D55"/>
    <w:rsid w:val="2BA72A52"/>
    <w:rsid w:val="2BDB1057"/>
    <w:rsid w:val="2C583D4C"/>
    <w:rsid w:val="2CE02702"/>
    <w:rsid w:val="2D1338E3"/>
    <w:rsid w:val="2D30727C"/>
    <w:rsid w:val="2DC8696D"/>
    <w:rsid w:val="2DC90862"/>
    <w:rsid w:val="2DF20B9E"/>
    <w:rsid w:val="2DFB396A"/>
    <w:rsid w:val="2E0C3040"/>
    <w:rsid w:val="2E3541F1"/>
    <w:rsid w:val="2E376D01"/>
    <w:rsid w:val="2EDC0415"/>
    <w:rsid w:val="2EFE6E2D"/>
    <w:rsid w:val="2F376BE8"/>
    <w:rsid w:val="2F685293"/>
    <w:rsid w:val="2F950CCA"/>
    <w:rsid w:val="2FDF1D29"/>
    <w:rsid w:val="3002174A"/>
    <w:rsid w:val="3014442E"/>
    <w:rsid w:val="306F78B6"/>
    <w:rsid w:val="307A2FC3"/>
    <w:rsid w:val="30DC1F0C"/>
    <w:rsid w:val="311C17EC"/>
    <w:rsid w:val="31B00187"/>
    <w:rsid w:val="31D63CDE"/>
    <w:rsid w:val="31D73965"/>
    <w:rsid w:val="32036508"/>
    <w:rsid w:val="326F3A3B"/>
    <w:rsid w:val="332D7CE1"/>
    <w:rsid w:val="335E6208"/>
    <w:rsid w:val="34866E60"/>
    <w:rsid w:val="353D5303"/>
    <w:rsid w:val="353E3BD9"/>
    <w:rsid w:val="35DA2256"/>
    <w:rsid w:val="35E0307F"/>
    <w:rsid w:val="370E1BD7"/>
    <w:rsid w:val="371E4021"/>
    <w:rsid w:val="37C018F2"/>
    <w:rsid w:val="37F0618E"/>
    <w:rsid w:val="389B3C80"/>
    <w:rsid w:val="39F536AF"/>
    <w:rsid w:val="3A3E2D7D"/>
    <w:rsid w:val="3A757570"/>
    <w:rsid w:val="3AED5FA8"/>
    <w:rsid w:val="3B60612C"/>
    <w:rsid w:val="3B710987"/>
    <w:rsid w:val="3D3D4FC4"/>
    <w:rsid w:val="3DCE38C6"/>
    <w:rsid w:val="3DDD67A7"/>
    <w:rsid w:val="3DEE671E"/>
    <w:rsid w:val="3E09759C"/>
    <w:rsid w:val="3E1334F8"/>
    <w:rsid w:val="3F087854"/>
    <w:rsid w:val="3F8213B4"/>
    <w:rsid w:val="3FA0183A"/>
    <w:rsid w:val="3FED70C2"/>
    <w:rsid w:val="3FF15BB1"/>
    <w:rsid w:val="3FF84574"/>
    <w:rsid w:val="3FFA53EF"/>
    <w:rsid w:val="40002A44"/>
    <w:rsid w:val="40CF050F"/>
    <w:rsid w:val="410764A6"/>
    <w:rsid w:val="41182BB6"/>
    <w:rsid w:val="414A09FE"/>
    <w:rsid w:val="415A08CA"/>
    <w:rsid w:val="425814BA"/>
    <w:rsid w:val="427A5871"/>
    <w:rsid w:val="427F607F"/>
    <w:rsid w:val="429E4757"/>
    <w:rsid w:val="437F7674"/>
    <w:rsid w:val="438D657A"/>
    <w:rsid w:val="43AB617B"/>
    <w:rsid w:val="43FE4D82"/>
    <w:rsid w:val="440F51E1"/>
    <w:rsid w:val="445D5F4C"/>
    <w:rsid w:val="45E16709"/>
    <w:rsid w:val="464C44CA"/>
    <w:rsid w:val="46AE4275"/>
    <w:rsid w:val="46EF53F4"/>
    <w:rsid w:val="47964468"/>
    <w:rsid w:val="488553BB"/>
    <w:rsid w:val="48A40FE8"/>
    <w:rsid w:val="48DE5E4D"/>
    <w:rsid w:val="491C0184"/>
    <w:rsid w:val="495038E0"/>
    <w:rsid w:val="498555B6"/>
    <w:rsid w:val="49A14B2D"/>
    <w:rsid w:val="49AC5D3E"/>
    <w:rsid w:val="49CA7DD5"/>
    <w:rsid w:val="4A0D3F70"/>
    <w:rsid w:val="4A123335"/>
    <w:rsid w:val="4ADD3943"/>
    <w:rsid w:val="4B0A0778"/>
    <w:rsid w:val="4B2031D2"/>
    <w:rsid w:val="4B2E0642"/>
    <w:rsid w:val="4B63653E"/>
    <w:rsid w:val="4B6B0F4E"/>
    <w:rsid w:val="4B8F6A14"/>
    <w:rsid w:val="4BE64A79"/>
    <w:rsid w:val="4C2E4D00"/>
    <w:rsid w:val="4C875F31"/>
    <w:rsid w:val="4C8F3363"/>
    <w:rsid w:val="4CD46184"/>
    <w:rsid w:val="4CF769B1"/>
    <w:rsid w:val="4D4036F3"/>
    <w:rsid w:val="4D924EB8"/>
    <w:rsid w:val="4D951248"/>
    <w:rsid w:val="4DB210B7"/>
    <w:rsid w:val="4DC62DB4"/>
    <w:rsid w:val="4E316414"/>
    <w:rsid w:val="4E843F2A"/>
    <w:rsid w:val="4F3B7A0D"/>
    <w:rsid w:val="4F703551"/>
    <w:rsid w:val="4FD719C5"/>
    <w:rsid w:val="502D1F4B"/>
    <w:rsid w:val="505774D1"/>
    <w:rsid w:val="50AA7C6B"/>
    <w:rsid w:val="50E61077"/>
    <w:rsid w:val="51C25640"/>
    <w:rsid w:val="51E14EC9"/>
    <w:rsid w:val="51E67509"/>
    <w:rsid w:val="52636495"/>
    <w:rsid w:val="52D01FDF"/>
    <w:rsid w:val="530A5A35"/>
    <w:rsid w:val="53634C01"/>
    <w:rsid w:val="536D4C48"/>
    <w:rsid w:val="5396454A"/>
    <w:rsid w:val="53A374B0"/>
    <w:rsid w:val="53AA7CBD"/>
    <w:rsid w:val="53FD6E04"/>
    <w:rsid w:val="5402266C"/>
    <w:rsid w:val="540957A8"/>
    <w:rsid w:val="54AD082A"/>
    <w:rsid w:val="54C72B12"/>
    <w:rsid w:val="55313209"/>
    <w:rsid w:val="55BD4A9D"/>
    <w:rsid w:val="5627460C"/>
    <w:rsid w:val="56682C5A"/>
    <w:rsid w:val="568F16A6"/>
    <w:rsid w:val="56A46172"/>
    <w:rsid w:val="56D66EED"/>
    <w:rsid w:val="571C1C97"/>
    <w:rsid w:val="572D5C52"/>
    <w:rsid w:val="574C432A"/>
    <w:rsid w:val="5754474F"/>
    <w:rsid w:val="57EC2349"/>
    <w:rsid w:val="58484A6E"/>
    <w:rsid w:val="585F008D"/>
    <w:rsid w:val="59F65056"/>
    <w:rsid w:val="5A0E7BDB"/>
    <w:rsid w:val="5A981CC5"/>
    <w:rsid w:val="5AE96334"/>
    <w:rsid w:val="5B1769FD"/>
    <w:rsid w:val="5BBD0DF2"/>
    <w:rsid w:val="5BDB7A2A"/>
    <w:rsid w:val="5BE26EBB"/>
    <w:rsid w:val="5BF700B3"/>
    <w:rsid w:val="5CDA4186"/>
    <w:rsid w:val="5D2C42B6"/>
    <w:rsid w:val="5D6A401C"/>
    <w:rsid w:val="5DA723F2"/>
    <w:rsid w:val="5DC129C0"/>
    <w:rsid w:val="5E1C51EC"/>
    <w:rsid w:val="5E345B18"/>
    <w:rsid w:val="5EF37781"/>
    <w:rsid w:val="5F170A91"/>
    <w:rsid w:val="5F372E0A"/>
    <w:rsid w:val="602B08B8"/>
    <w:rsid w:val="608C160F"/>
    <w:rsid w:val="60ED6811"/>
    <w:rsid w:val="61265BEC"/>
    <w:rsid w:val="613C66BE"/>
    <w:rsid w:val="61D27B22"/>
    <w:rsid w:val="6226148A"/>
    <w:rsid w:val="623B3779"/>
    <w:rsid w:val="62F355D6"/>
    <w:rsid w:val="630F445E"/>
    <w:rsid w:val="63414013"/>
    <w:rsid w:val="634E142A"/>
    <w:rsid w:val="637E622C"/>
    <w:rsid w:val="6456362D"/>
    <w:rsid w:val="64B13A1E"/>
    <w:rsid w:val="65A64064"/>
    <w:rsid w:val="65D04378"/>
    <w:rsid w:val="65FD004D"/>
    <w:rsid w:val="665A0657"/>
    <w:rsid w:val="66EC3434"/>
    <w:rsid w:val="67136C12"/>
    <w:rsid w:val="675C5183"/>
    <w:rsid w:val="67A1322B"/>
    <w:rsid w:val="6898605A"/>
    <w:rsid w:val="68AF4719"/>
    <w:rsid w:val="69502B49"/>
    <w:rsid w:val="69A607E1"/>
    <w:rsid w:val="69B91BB0"/>
    <w:rsid w:val="69BE2739"/>
    <w:rsid w:val="6B8B5136"/>
    <w:rsid w:val="6B940F5F"/>
    <w:rsid w:val="6B99520C"/>
    <w:rsid w:val="6BDF6F8D"/>
    <w:rsid w:val="6C480D33"/>
    <w:rsid w:val="6C523D39"/>
    <w:rsid w:val="6C901D6A"/>
    <w:rsid w:val="6D614A71"/>
    <w:rsid w:val="6D763A57"/>
    <w:rsid w:val="6DA14D3C"/>
    <w:rsid w:val="6DB76476"/>
    <w:rsid w:val="6E100EAB"/>
    <w:rsid w:val="6EF108E8"/>
    <w:rsid w:val="6F9B77A5"/>
    <w:rsid w:val="6FC447D3"/>
    <w:rsid w:val="703E6382"/>
    <w:rsid w:val="70BA00FF"/>
    <w:rsid w:val="70E351A8"/>
    <w:rsid w:val="711637F9"/>
    <w:rsid w:val="713C4FB8"/>
    <w:rsid w:val="718D136F"/>
    <w:rsid w:val="72225F5B"/>
    <w:rsid w:val="72BC3F26"/>
    <w:rsid w:val="73316AFA"/>
    <w:rsid w:val="73520F95"/>
    <w:rsid w:val="73B37B09"/>
    <w:rsid w:val="73CF5C6F"/>
    <w:rsid w:val="73F628A5"/>
    <w:rsid w:val="754D1541"/>
    <w:rsid w:val="75F46DB7"/>
    <w:rsid w:val="76075A0D"/>
    <w:rsid w:val="766A178B"/>
    <w:rsid w:val="768E0063"/>
    <w:rsid w:val="76B245B3"/>
    <w:rsid w:val="77707373"/>
    <w:rsid w:val="77C36064"/>
    <w:rsid w:val="77FE6B23"/>
    <w:rsid w:val="78556B82"/>
    <w:rsid w:val="787212BF"/>
    <w:rsid w:val="788A7758"/>
    <w:rsid w:val="798863AE"/>
    <w:rsid w:val="798B088A"/>
    <w:rsid w:val="798B6ADC"/>
    <w:rsid w:val="79986B03"/>
    <w:rsid w:val="79E8198A"/>
    <w:rsid w:val="7A91596F"/>
    <w:rsid w:val="7AB4796D"/>
    <w:rsid w:val="7B430CF1"/>
    <w:rsid w:val="7B585139"/>
    <w:rsid w:val="7BA53535"/>
    <w:rsid w:val="7C4A1FD6"/>
    <w:rsid w:val="7CFA2D3B"/>
    <w:rsid w:val="7D1172F8"/>
    <w:rsid w:val="7D1A3A3E"/>
    <w:rsid w:val="7DE67259"/>
    <w:rsid w:val="7E1973C1"/>
    <w:rsid w:val="7E2D666D"/>
    <w:rsid w:val="7F5009DC"/>
    <w:rsid w:val="7FA2248A"/>
    <w:rsid w:val="7FCA378E"/>
    <w:rsid w:val="7FFE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jc w:val="both"/>
      <w:textAlignment w:val="baseline"/>
    </w:pPr>
    <w:rPr>
      <w:rFonts w:ascii="宋体" w:hAnsi="Times New Roman" w:eastAsia="仿宋" w:cs="Times New Roman"/>
      <w:sz w:val="28"/>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outlineLvl w:val="1"/>
    </w:pPr>
    <w:rPr>
      <w:rFonts w:asciiTheme="majorHAnsi" w:hAnsiTheme="majorHAnsi" w:cstheme="majorBidi"/>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z w:val="24"/>
    </w:rPr>
  </w:style>
  <w:style w:type="paragraph" w:styleId="5">
    <w:name w:val="List Number"/>
    <w:basedOn w:val="1"/>
    <w:qFormat/>
    <w:uiPriority w:val="0"/>
    <w:pPr>
      <w:numPr>
        <w:ilvl w:val="0"/>
        <w:numId w:val="1"/>
      </w:numPr>
    </w:pPr>
  </w:style>
  <w:style w:type="paragraph" w:styleId="6">
    <w:name w:val="Normal Indent"/>
    <w:basedOn w:val="1"/>
    <w:next w:val="1"/>
    <w:qFormat/>
    <w:uiPriority w:val="0"/>
    <w:pPr>
      <w:ind w:firstLine="420" w:firstLineChars="200"/>
    </w:pPr>
    <w:rPr>
      <w:rFonts w:ascii="Times New Roman" w:hAnsi="Times New Roman" w:eastAsia="宋体" w:cs="Times New Roman"/>
      <w:sz w:val="24"/>
    </w:rPr>
  </w:style>
  <w:style w:type="paragraph" w:styleId="7">
    <w:name w:val="caption"/>
    <w:basedOn w:val="1"/>
    <w:next w:val="1"/>
    <w:qFormat/>
    <w:uiPriority w:val="0"/>
    <w:pPr>
      <w:spacing w:before="152" w:after="160" w:line="360" w:lineRule="atLeast"/>
    </w:pPr>
    <w:rPr>
      <w:rFonts w:ascii="Arial" w:hAnsi="Arial" w:eastAsia="黑体" w:cs="Arial"/>
      <w:kern w:val="2"/>
      <w:sz w:val="20"/>
      <w:szCs w:val="20"/>
    </w:rPr>
  </w:style>
  <w:style w:type="paragraph" w:styleId="8">
    <w:name w:val="annotation text"/>
    <w:basedOn w:val="1"/>
    <w:qFormat/>
    <w:uiPriority w:val="0"/>
    <w:pPr>
      <w:adjustRightInd/>
      <w:spacing w:line="240" w:lineRule="auto"/>
      <w:jc w:val="left"/>
      <w:textAlignment w:val="auto"/>
    </w:pPr>
    <w:rPr>
      <w:rFonts w:ascii="Times New Roman" w:hAnsi="Times New Roman" w:eastAsia="宋体" w:cs="Times New Roman"/>
      <w:kern w:val="2"/>
      <w:sz w:val="21"/>
    </w:rPr>
  </w:style>
  <w:style w:type="paragraph" w:styleId="9">
    <w:name w:val="Body Text Indent"/>
    <w:basedOn w:val="1"/>
    <w:next w:val="1"/>
    <w:qFormat/>
    <w:uiPriority w:val="0"/>
    <w:pPr>
      <w:spacing w:after="120"/>
      <w:ind w:left="420" w:leftChars="200"/>
    </w:pPr>
    <w:rPr>
      <w:rFonts w:ascii="Times New Roman" w:hAnsi="Times New Roman" w:eastAsia="宋体" w:cs="Times New Roman"/>
      <w:sz w:val="24"/>
    </w:rPr>
  </w:style>
  <w:style w:type="paragraph" w:styleId="10">
    <w:name w:val="Plain Text"/>
    <w:basedOn w:val="1"/>
    <w:qFormat/>
    <w:uiPriority w:val="0"/>
    <w:rPr>
      <w:rFonts w:ascii="Times New Roman" w:hAnsi="Courier New" w:eastAsia="宋体" w:cs="Times New Roman"/>
      <w:sz w:val="21"/>
    </w:rPr>
  </w:style>
  <w:style w:type="paragraph" w:styleId="11">
    <w:name w:val="Date"/>
    <w:basedOn w:val="1"/>
    <w:next w:val="1"/>
    <w:qFormat/>
    <w:uiPriority w:val="0"/>
    <w:pPr>
      <w:ind w:leftChars="2500"/>
    </w:pPr>
    <w:rPr>
      <w:rFonts w:hint="eastAsia" w:ascii="黑体" w:hAnsi="宋体" w:eastAsia="黑体"/>
      <w:kern w:val="44"/>
      <w:position w:val="6"/>
      <w:szCs w:val="20"/>
    </w:rPr>
  </w:style>
  <w:style w:type="paragraph" w:styleId="12">
    <w:name w:val="Body Text Indent 2"/>
    <w:basedOn w:val="1"/>
    <w:qFormat/>
    <w:uiPriority w:val="0"/>
    <w:pPr>
      <w:spacing w:after="120" w:line="480" w:lineRule="auto"/>
      <w:ind w:left="420" w:leftChars="200"/>
    </w:pPr>
    <w:rPr>
      <w:rFonts w:ascii="Times New Roman" w:hAnsi="Times New Roman" w:eastAsia="宋体" w:cs="Times New Roman"/>
      <w:sz w:val="24"/>
    </w:rPr>
  </w:style>
  <w:style w:type="paragraph" w:styleId="13">
    <w:name w:val="footer"/>
    <w:basedOn w:val="1"/>
    <w:qFormat/>
    <w:uiPriority w:val="0"/>
    <w:pPr>
      <w:tabs>
        <w:tab w:val="center" w:pos="4153"/>
        <w:tab w:val="right" w:pos="8306"/>
      </w:tabs>
      <w:snapToGrid w:val="0"/>
      <w:spacing w:line="240" w:lineRule="atLeast"/>
      <w:jc w:val="left"/>
    </w:pPr>
    <w:rPr>
      <w:rFonts w:ascii="Times New Roman" w:hAnsi="Times New Roman" w:eastAsia="宋体" w:cs="Times New Roman"/>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pPr>
      <w:spacing w:before="120" w:after="120"/>
      <w:jc w:val="left"/>
    </w:pPr>
    <w:rPr>
      <w:rFonts w:ascii="Calibri" w:hAnsi="Calibri" w:eastAsia="宋体" w:cs="Times New Roman"/>
      <w:b/>
      <w:bCs/>
      <w:caps/>
      <w:szCs w:val="20"/>
    </w:rPr>
  </w:style>
  <w:style w:type="paragraph" w:styleId="16">
    <w:name w:val="Body Text First Indent"/>
    <w:basedOn w:val="2"/>
    <w:next w:val="1"/>
    <w:qFormat/>
    <w:uiPriority w:val="0"/>
    <w:pPr>
      <w:ind w:firstLine="420" w:firstLineChars="100"/>
    </w:pPr>
    <w:rPr>
      <w:rFonts w:ascii="Times New Roman" w:hAnsi="Times New Roman" w:eastAsia="宋体" w:cs="Times New Roman"/>
    </w:rPr>
  </w:style>
  <w:style w:type="paragraph" w:styleId="17">
    <w:name w:val="Body Text First Indent 2"/>
    <w:basedOn w:val="9"/>
    <w:next w:val="1"/>
    <w:qFormat/>
    <w:uiPriority w:val="0"/>
    <w:pPr>
      <w:ind w:firstLine="420" w:firstLineChars="200"/>
    </w:pPr>
    <w:rPr>
      <w:rFonts w:ascii="Times New Roman" w:hAnsi="Times New Roman" w:eastAsia="宋体" w:cs="Times New Roman"/>
    </w:rPr>
  </w:style>
  <w:style w:type="table" w:styleId="19">
    <w:name w:val="Table Grid"/>
    <w:basedOn w:val="18"/>
    <w:qFormat/>
    <w:uiPriority w:val="0"/>
    <w:pPr>
      <w:widowControl w:val="0"/>
      <w:adjustRightInd w:val="0"/>
      <w:spacing w:line="312" w:lineRule="atLeast"/>
      <w:jc w:val="both"/>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正文1"/>
    <w:basedOn w:val="1"/>
    <w:next w:val="1"/>
    <w:qFormat/>
    <w:uiPriority w:val="0"/>
    <w:pPr>
      <w:adjustRightInd/>
      <w:spacing w:before="156"/>
      <w:ind w:firstLine="510" w:firstLineChars="200"/>
      <w:textAlignment w:val="auto"/>
    </w:pPr>
    <w:rPr>
      <w:rFonts w:ascii="Times New Roman" w:hAnsi="Times New Roman" w:eastAsia="宋体" w:cs="Times New Roman"/>
      <w:kern w:val="2"/>
      <w:szCs w:val="20"/>
    </w:rPr>
  </w:style>
  <w:style w:type="paragraph" w:customStyle="1" w:styleId="22">
    <w:name w:val="普通正文"/>
    <w:basedOn w:val="1"/>
    <w:qFormat/>
    <w:uiPriority w:val="0"/>
    <w:pPr>
      <w:spacing w:before="120" w:after="120"/>
      <w:ind w:firstLine="480"/>
      <w:jc w:val="left"/>
    </w:pPr>
    <w:rPr>
      <w:rFonts w:ascii="Arial" w:hAnsi="Arial" w:eastAsia="宋体" w:cs="Times New Roman"/>
      <w:szCs w:val="24"/>
    </w:rPr>
  </w:style>
  <w:style w:type="paragraph" w:customStyle="1" w:styleId="23">
    <w:name w:val="正文 "/>
    <w:basedOn w:val="1"/>
    <w:qFormat/>
    <w:uiPriority w:val="0"/>
    <w:pPr>
      <w:widowControl w:val="0"/>
      <w:adjustRightInd w:val="0"/>
      <w:spacing w:line="318" w:lineRule="atLeast"/>
      <w:ind w:left="369" w:firstLine="369"/>
      <w:jc w:val="both"/>
      <w:textAlignment w:val="baseline"/>
    </w:pPr>
    <w:rPr>
      <w:rFonts w:ascii="宋体" w:hAnsi="Times New Roman" w:eastAsia="宋体" w:cs="Times New Roman"/>
      <w:sz w:val="21"/>
      <w:szCs w:val="20"/>
    </w:rPr>
  </w:style>
  <w:style w:type="paragraph" w:customStyle="1" w:styleId="24">
    <w:name w:val="正文段"/>
    <w:basedOn w:val="1"/>
    <w:qFormat/>
    <w:uiPriority w:val="0"/>
    <w:pPr>
      <w:widowControl/>
      <w:adjustRightInd/>
      <w:snapToGrid w:val="0"/>
      <w:spacing w:after="156" w:afterLines="50" w:line="240" w:lineRule="auto"/>
      <w:ind w:firstLine="200" w:firstLineChars="200"/>
      <w:textAlignment w:val="auto"/>
    </w:pPr>
    <w:rPr>
      <w:rFonts w:ascii="Times New Roman" w:hAnsi="Times New Roman" w:eastAsia="宋体" w:cs="Times New Roman"/>
      <w:sz w:val="24"/>
      <w:szCs w:val="20"/>
    </w:rPr>
  </w:style>
  <w:style w:type="paragraph" w:customStyle="1" w:styleId="25">
    <w:name w:val="正文空2格  1."/>
    <w:basedOn w:val="1"/>
    <w:qFormat/>
    <w:uiPriority w:val="0"/>
    <w:pPr>
      <w:ind w:firstLine="480" w:firstLineChars="200"/>
    </w:pPr>
    <w:rPr>
      <w:rFonts w:ascii="Times New Roman" w:hAnsi="Times New Roman" w:eastAsia="宋体" w:cs="宋体"/>
      <w:sz w:val="28"/>
      <w:szCs w:val="20"/>
    </w:rPr>
  </w:style>
  <w:style w:type="paragraph" w:customStyle="1" w:styleId="26">
    <w:name w:val="Plain Text1"/>
    <w:basedOn w:val="1"/>
    <w:qFormat/>
    <w:uiPriority w:val="0"/>
    <w:pPr>
      <w:spacing w:line="240" w:lineRule="auto"/>
    </w:pPr>
    <w:rPr>
      <w:rFonts w:ascii="Times New Roman" w:hAnsi="Courier New" w:eastAsia="楷体_GB2312" w:cs="Times New Roman"/>
      <w:kern w:val="2"/>
      <w:sz w:val="28"/>
      <w:szCs w:val="20"/>
    </w:rPr>
  </w:style>
  <w:style w:type="paragraph" w:styleId="27">
    <w:name w:val="No Spacing"/>
    <w:qFormat/>
    <w:uiPriority w:val="0"/>
    <w:pPr>
      <w:widowControl w:val="0"/>
      <w:jc w:val="both"/>
    </w:pPr>
    <w:rPr>
      <w:rFonts w:ascii="Times New Roman" w:hAnsi="Times New Roman" w:eastAsia="宋体" w:cs="System"/>
      <w:sz w:val="28"/>
      <w:lang w:val="en-US" w:eastAsia="zh-CN" w:bidi="ar-SA"/>
    </w:rPr>
  </w:style>
  <w:style w:type="paragraph" w:styleId="28">
    <w:name w:val="List Paragraph"/>
    <w:basedOn w:val="1"/>
    <w:qFormat/>
    <w:uiPriority w:val="34"/>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2.xml" Type="http://schemas.openxmlformats.org/officeDocument/2006/relationships/head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endnotes.xml" Type="http://schemas.openxmlformats.org/officeDocument/2006/relationships/endnotes"/><Relationship Id="rId5" Target="footer1.xml" Type="http://schemas.openxmlformats.org/officeDocument/2006/relationships/footer"/><Relationship Id="rId6" Target="footer2.xml" Type="http://schemas.openxmlformats.org/officeDocument/2006/relationships/footer"/><Relationship Id="rId7" Target="header1.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27408</Words>
  <Characters>29408</Characters>
  <Lines>0</Lines>
  <Paragraphs>0</Paragraphs>
  <TotalTime>6</TotalTime>
  <ScaleCrop>false</ScaleCrop>
  <LinksUpToDate>false</LinksUpToDate>
  <CharactersWithSpaces>31698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2022-06-21T02:55:00Z</dcterms:created>
  <dc:creator>小姐姐</dc:creator>
  <cp:lastModifiedBy>小姐姐</cp:lastModifiedBy>
  <cp:lastPrinted>2022-11-28T01:17:00Z</cp:lastPrinted>
  <dcterms:modified xsi:type="dcterms:W3CDTF">2022-12-13T01:01:58Z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705F08355B344A5EA2B3471F00DD411F</vt:lpwstr>
  </property>
</Properties>
</file>