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eastAsia" w:ascii="黑体" w:hAnsi="黑体" w:eastAsia="黑体" w:cs="黑体"/>
          <w:bCs/>
          <w:color w:val="auto"/>
          <w:sz w:val="40"/>
          <w:szCs w:val="40"/>
          <w:highlight w:val="none"/>
        </w:rPr>
      </w:pPr>
      <w:bookmarkStart w:id="393" w:name="_GoBack"/>
      <w:bookmarkEnd w:id="393"/>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Cs/>
          <w:color w:val="auto"/>
          <w:sz w:val="44"/>
          <w:szCs w:val="44"/>
          <w:highlight w:val="none"/>
          <w:lang w:eastAsia="zh-CN"/>
        </w:rPr>
      </w:pPr>
      <w:r>
        <w:rPr>
          <w:rFonts w:hint="eastAsia" w:ascii="黑体" w:hAnsi="黑体" w:eastAsia="黑体" w:cs="黑体"/>
          <w:bCs/>
          <w:color w:val="auto"/>
          <w:sz w:val="44"/>
          <w:szCs w:val="44"/>
          <w:highlight w:val="none"/>
          <w:lang w:eastAsia="zh-CN"/>
        </w:rPr>
        <w:t>开化县卫生健康局2022--2024年度医疗责任保险服务采购项目</w:t>
      </w:r>
    </w:p>
    <w:p>
      <w:pPr>
        <w:adjustRightInd w:val="0"/>
        <w:snapToGrid w:val="0"/>
        <w:spacing w:line="50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（采购编号：</w:t>
      </w:r>
      <w:r>
        <w:rPr>
          <w:rFonts w:hint="eastAsia" w:ascii="黑体" w:hAnsi="黑体" w:eastAsia="黑体" w:cs="黑体"/>
          <w:color w:val="auto"/>
          <w:sz w:val="28"/>
          <w:szCs w:val="28"/>
          <w:highlight w:val="none"/>
          <w:lang w:eastAsia="zh-CN"/>
        </w:rPr>
        <w:t>TCCG2022-</w:t>
      </w:r>
      <w:r>
        <w:rPr>
          <w:rFonts w:hint="eastAsia" w:ascii="黑体" w:hAnsi="黑体" w:eastAsia="黑体" w:cs="黑体"/>
          <w:color w:val="auto"/>
          <w:sz w:val="28"/>
          <w:szCs w:val="28"/>
          <w:highlight w:val="none"/>
          <w:lang w:val="en-US" w:eastAsia="zh-CN"/>
        </w:rPr>
        <w:t>YLZRBX</w:t>
      </w:r>
      <w:r>
        <w:rPr>
          <w:rFonts w:hint="eastAsia" w:ascii="黑体" w:hAnsi="黑体" w:eastAsia="黑体" w:cs="黑体"/>
          <w:color w:val="auto"/>
          <w:sz w:val="28"/>
          <w:szCs w:val="28"/>
          <w:highlight w:val="none"/>
        </w:rPr>
        <w:t>）</w:t>
      </w:r>
    </w:p>
    <w:p>
      <w:pPr>
        <w:pStyle w:val="9"/>
        <w:rPr>
          <w:rFonts w:hint="eastAsia"/>
        </w:rPr>
      </w:pPr>
    </w:p>
    <w:p>
      <w:pPr>
        <w:pStyle w:val="9"/>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adjustRightInd w:val="0"/>
        <w:snapToGrid w:val="0"/>
        <w:jc w:val="center"/>
        <w:rPr>
          <w:rFonts w:ascii="仿宋" w:hAnsi="仿宋" w:eastAsia="仿宋"/>
          <w:color w:val="auto"/>
          <w:sz w:val="24"/>
          <w:highlight w:val="none"/>
        </w:rPr>
      </w:pPr>
    </w:p>
    <w:p>
      <w:pPr>
        <w:pStyle w:val="48"/>
        <w:rPr>
          <w:rFonts w:hint="eastAsia"/>
          <w:color w:val="auto"/>
          <w:highlight w:val="none"/>
        </w:rPr>
      </w:pPr>
    </w:p>
    <w:p>
      <w:pPr>
        <w:adjustRightInd w:val="0"/>
        <w:snapToGrid w:val="0"/>
        <w:jc w:val="center"/>
        <w:rPr>
          <w:rFonts w:hint="eastAsia" w:ascii="宋体" w:hAnsi="宋体" w:cs="宋体"/>
          <w:b/>
          <w:color w:val="auto"/>
          <w:sz w:val="72"/>
          <w:szCs w:val="72"/>
          <w:highlight w:val="none"/>
        </w:rPr>
      </w:pPr>
      <w:r>
        <w:rPr>
          <w:rFonts w:hint="eastAsia" w:ascii="宋体" w:hAnsi="宋体" w:cs="宋体"/>
          <w:b/>
          <w:color w:val="auto"/>
          <w:sz w:val="112"/>
          <w:szCs w:val="112"/>
          <w:highlight w:val="none"/>
        </w:rPr>
        <w:t>公开招标采购文件</w:t>
      </w:r>
    </w:p>
    <w:p>
      <w:pPr>
        <w:adjustRightInd w:val="0"/>
        <w:snapToGri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（线上电子招投标）</w:t>
      </w:r>
    </w:p>
    <w:p>
      <w:pPr>
        <w:pStyle w:val="9"/>
        <w:rPr>
          <w:rFonts w:hint="eastAsia" w:ascii="宋体" w:hAnsi="宋体" w:cs="宋体"/>
          <w:b/>
          <w:color w:val="auto"/>
          <w:sz w:val="44"/>
          <w:szCs w:val="44"/>
          <w:highlight w:val="none"/>
        </w:rPr>
      </w:pPr>
    </w:p>
    <w:p>
      <w:pPr>
        <w:rPr>
          <w:rFonts w:hint="eastAsia" w:ascii="宋体" w:hAnsi="宋体" w:cs="宋体"/>
          <w:b/>
          <w:color w:val="auto"/>
          <w:sz w:val="44"/>
          <w:szCs w:val="44"/>
          <w:highlight w:val="none"/>
        </w:rPr>
      </w:pPr>
    </w:p>
    <w:p>
      <w:pPr>
        <w:pStyle w:val="9"/>
        <w:rPr>
          <w:rFonts w:hint="eastAsia"/>
        </w:rPr>
      </w:pPr>
    </w:p>
    <w:p>
      <w:pPr>
        <w:rPr>
          <w:rFonts w:hint="eastAsia"/>
        </w:rPr>
      </w:pPr>
    </w:p>
    <w:p>
      <w:pPr>
        <w:pStyle w:val="9"/>
        <w:rPr>
          <w:rFonts w:hint="eastAsia"/>
        </w:rPr>
      </w:pPr>
    </w:p>
    <w:p>
      <w:pPr>
        <w:pStyle w:val="9"/>
        <w:rPr>
          <w:rFonts w:hint="eastAsia"/>
        </w:rPr>
      </w:pPr>
    </w:p>
    <w:p>
      <w:pPr>
        <w:pStyle w:val="9"/>
        <w:rPr>
          <w:rFonts w:hint="eastAsia"/>
        </w:rPr>
      </w:pPr>
    </w:p>
    <w:p>
      <w:pPr>
        <w:pStyle w:val="245"/>
        <w:snapToGrid w:val="0"/>
        <w:spacing w:line="560" w:lineRule="exact"/>
        <w:ind w:firstLine="1494" w:firstLineChars="498"/>
        <w:rPr>
          <w:rFonts w:hint="eastAsia" w:ascii="黑体" w:hAnsi="黑体" w:eastAsia="黑体" w:cs="黑体"/>
          <w:color w:val="auto"/>
          <w:sz w:val="30"/>
          <w:szCs w:val="30"/>
          <w:highlight w:val="none"/>
        </w:rPr>
      </w:pPr>
    </w:p>
    <w:p>
      <w:pPr>
        <w:pStyle w:val="245"/>
        <w:snapToGrid w:val="0"/>
        <w:spacing w:line="560" w:lineRule="exact"/>
        <w:ind w:left="0" w:leftChars="0" w:firstLine="1800" w:firstLineChars="600"/>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采</w:t>
      </w:r>
      <w:r>
        <w:rPr>
          <w:rFonts w:ascii="黑体" w:hAnsi="黑体" w:eastAsia="黑体" w:cs="黑体"/>
          <w:color w:val="auto"/>
          <w:sz w:val="30"/>
          <w:szCs w:val="30"/>
          <w:highlight w:val="none"/>
        </w:rPr>
        <w:t xml:space="preserve">   </w:t>
      </w:r>
      <w:r>
        <w:rPr>
          <w:rFonts w:hint="eastAsia" w:ascii="黑体" w:hAnsi="黑体" w:eastAsia="黑体" w:cs="黑体"/>
          <w:color w:val="auto"/>
          <w:sz w:val="30"/>
          <w:szCs w:val="30"/>
          <w:highlight w:val="none"/>
        </w:rPr>
        <w:t>购</w:t>
      </w:r>
      <w:r>
        <w:rPr>
          <w:rFonts w:ascii="黑体" w:hAnsi="黑体" w:eastAsia="黑体" w:cs="黑体"/>
          <w:color w:val="auto"/>
          <w:sz w:val="30"/>
          <w:szCs w:val="30"/>
          <w:highlight w:val="none"/>
        </w:rPr>
        <w:t xml:space="preserve">   </w:t>
      </w:r>
      <w:r>
        <w:rPr>
          <w:rFonts w:hint="eastAsia" w:ascii="黑体" w:hAnsi="黑体" w:eastAsia="黑体" w:cs="黑体"/>
          <w:color w:val="auto"/>
          <w:sz w:val="30"/>
          <w:szCs w:val="30"/>
          <w:highlight w:val="none"/>
        </w:rPr>
        <w:t>人：</w:t>
      </w:r>
      <w:r>
        <w:rPr>
          <w:rFonts w:hint="eastAsia" w:ascii="黑体" w:hAnsi="黑体" w:eastAsia="黑体" w:cs="黑体"/>
          <w:color w:val="auto"/>
          <w:sz w:val="30"/>
          <w:szCs w:val="30"/>
          <w:highlight w:val="none"/>
          <w:lang w:eastAsia="zh-CN"/>
        </w:rPr>
        <w:t>开化县卫生健康局</w:t>
      </w:r>
    </w:p>
    <w:p>
      <w:pPr>
        <w:pStyle w:val="245"/>
        <w:snapToGrid w:val="0"/>
        <w:spacing w:line="560" w:lineRule="exact"/>
        <w:ind w:left="0" w:leftChars="0" w:firstLine="0" w:firstLineChars="0"/>
        <w:jc w:val="center"/>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采购代理机构：</w:t>
      </w:r>
      <w:r>
        <w:rPr>
          <w:rFonts w:hint="eastAsia" w:ascii="黑体" w:hAnsi="黑体" w:eastAsia="黑体" w:cs="黑体"/>
          <w:color w:val="auto"/>
          <w:sz w:val="30"/>
          <w:szCs w:val="30"/>
          <w:highlight w:val="none"/>
          <w:lang w:eastAsia="zh-CN"/>
        </w:rPr>
        <w:t>浙江天册工程管理有限公司</w:t>
      </w:r>
    </w:p>
    <w:p>
      <w:pPr>
        <w:pStyle w:val="245"/>
        <w:snapToGrid w:val="0"/>
        <w:spacing w:line="560" w:lineRule="exact"/>
        <w:ind w:left="0" w:leftChars="0" w:firstLine="0" w:firstLineChars="0"/>
        <w:jc w:val="center"/>
        <w:rPr>
          <w:rFonts w:hint="eastAsia" w:ascii="黑体" w:hAnsi="黑体" w:eastAsia="黑体" w:cs="黑体"/>
          <w:color w:val="auto"/>
          <w:sz w:val="30"/>
          <w:szCs w:val="30"/>
          <w:highlight w:val="none"/>
        </w:rPr>
      </w:pPr>
      <w:bookmarkStart w:id="0" w:name="_Toc340582613"/>
      <w:r>
        <w:rPr>
          <w:rFonts w:hint="eastAsia" w:ascii="黑体" w:hAnsi="黑体" w:eastAsia="黑体" w:cs="黑体"/>
          <w:color w:val="auto"/>
          <w:sz w:val="30"/>
          <w:szCs w:val="30"/>
          <w:highlight w:val="none"/>
        </w:rPr>
        <w:t>二○二</w:t>
      </w:r>
      <w:r>
        <w:rPr>
          <w:rFonts w:hint="eastAsia" w:ascii="黑体" w:hAnsi="黑体" w:eastAsia="黑体" w:cs="黑体"/>
          <w:color w:val="auto"/>
          <w:sz w:val="30"/>
          <w:szCs w:val="30"/>
          <w:highlight w:val="none"/>
          <w:lang w:eastAsia="zh-CN"/>
        </w:rPr>
        <w:t>二</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八</w:t>
      </w:r>
      <w:r>
        <w:rPr>
          <w:rFonts w:hint="eastAsia" w:ascii="黑体" w:hAnsi="黑体" w:eastAsia="黑体" w:cs="黑体"/>
          <w:color w:val="auto"/>
          <w:sz w:val="30"/>
          <w:szCs w:val="30"/>
          <w:highlight w:val="none"/>
        </w:rPr>
        <w:t>月</w:t>
      </w:r>
    </w:p>
    <w:p>
      <w:pPr>
        <w:pStyle w:val="245"/>
        <w:snapToGrid w:val="0"/>
        <w:spacing w:line="560" w:lineRule="exact"/>
        <w:jc w:val="center"/>
        <w:rPr>
          <w:rFonts w:hint="eastAsia" w:ascii="黑体" w:hAnsi="黑体" w:eastAsia="黑体" w:cs="黑体"/>
          <w:bCs/>
          <w:color w:val="auto"/>
          <w:sz w:val="44"/>
          <w:szCs w:val="44"/>
          <w:highlight w:val="none"/>
        </w:rPr>
      </w:pPr>
      <w:r>
        <w:rPr>
          <w:rFonts w:hint="eastAsia" w:ascii="黑体" w:hAnsi="黑体" w:eastAsia="黑体" w:cs="黑体"/>
          <w:color w:val="auto"/>
          <w:sz w:val="30"/>
          <w:szCs w:val="30"/>
          <w:highlight w:val="none"/>
        </w:rPr>
        <w:br w:type="page"/>
      </w:r>
      <w:r>
        <w:rPr>
          <w:rFonts w:hint="eastAsia" w:ascii="黑体" w:hAnsi="黑体" w:eastAsia="黑体" w:cs="黑体"/>
          <w:bCs/>
          <w:color w:val="auto"/>
          <w:sz w:val="44"/>
          <w:szCs w:val="44"/>
          <w:highlight w:val="none"/>
        </w:rPr>
        <w:t>目  录</w:t>
      </w:r>
    </w:p>
    <w:p>
      <w:pPr>
        <w:pStyle w:val="245"/>
        <w:snapToGrid w:val="0"/>
        <w:spacing w:line="360" w:lineRule="auto"/>
        <w:ind w:firstLine="0"/>
        <w:rPr>
          <w:rFonts w:hint="eastAsia" w:ascii="仿宋" w:hAnsi="仿宋" w:eastAsia="仿宋" w:cs="仿宋"/>
          <w:color w:val="auto"/>
          <w:sz w:val="24"/>
          <w:highlight w:val="none"/>
        </w:rPr>
      </w:pPr>
    </w:p>
    <w:p>
      <w:pPr>
        <w:pStyle w:val="3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_Toc7607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第一章 招标公告</w:t>
      </w:r>
      <w:r>
        <w:rPr>
          <w:rFonts w:hint="eastAsia" w:ascii="宋体" w:hAnsi="宋体" w:cs="宋体"/>
          <w:color w:val="auto"/>
          <w:szCs w:val="21"/>
          <w:highlight w:val="none"/>
        </w:rPr>
        <w:tab/>
      </w:r>
      <w:r>
        <w:rPr>
          <w:rFonts w:hint="eastAsia" w:ascii="宋体" w:hAnsi="宋体" w:cs="宋体"/>
          <w:color w:val="auto"/>
          <w:szCs w:val="21"/>
          <w:highlight w:val="none"/>
        </w:rPr>
        <w:t>3</w:t>
      </w:r>
      <w:r>
        <w:rPr>
          <w:rFonts w:hint="eastAsia" w:ascii="宋体" w:hAnsi="宋体" w:cs="宋体"/>
          <w:color w:val="auto"/>
          <w:szCs w:val="21"/>
          <w:highlight w:val="none"/>
        </w:rPr>
        <w:fldChar w:fldCharType="end"/>
      </w:r>
    </w:p>
    <w:p>
      <w:pPr>
        <w:pStyle w:val="3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_Toc32706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第二章 投标人须知及前附表</w:t>
      </w:r>
      <w:r>
        <w:rPr>
          <w:rFonts w:hint="eastAsia" w:ascii="宋体" w:hAnsi="宋体" w:cs="宋体"/>
          <w:color w:val="auto"/>
          <w:szCs w:val="21"/>
          <w:highlight w:val="none"/>
        </w:rPr>
        <w:tab/>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p>
    <w:p>
      <w:pPr>
        <w:pStyle w:val="40"/>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_Toc21471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A、投标人须知前附表</w:t>
      </w:r>
      <w:r>
        <w:rPr>
          <w:rFonts w:hint="eastAsia" w:ascii="宋体" w:hAnsi="宋体" w:cs="宋体"/>
          <w:color w:val="auto"/>
          <w:szCs w:val="21"/>
          <w:highlight w:val="none"/>
        </w:rPr>
        <w:tab/>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p>
    <w:p>
      <w:pPr>
        <w:pStyle w:val="40"/>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_Toc6074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B、投标人须知</w:t>
      </w:r>
      <w:r>
        <w:rPr>
          <w:rFonts w:hint="eastAsia" w:ascii="宋体" w:hAnsi="宋体" w:cs="宋体"/>
          <w:color w:val="auto"/>
          <w:szCs w:val="21"/>
          <w:highlight w:val="none"/>
        </w:rPr>
        <w:tab/>
      </w:r>
      <w:r>
        <w:rPr>
          <w:rFonts w:hint="eastAsia" w:ascii="宋体" w:hAnsi="宋体" w:cs="宋体"/>
          <w:color w:val="auto"/>
          <w:szCs w:val="21"/>
          <w:highlight w:val="none"/>
        </w:rPr>
        <w:t>8</w:t>
      </w:r>
      <w:r>
        <w:rPr>
          <w:rFonts w:hint="eastAsia" w:ascii="宋体" w:hAnsi="宋体" w:cs="宋体"/>
          <w:color w:val="auto"/>
          <w:szCs w:val="21"/>
          <w:highlight w:val="none"/>
        </w:rPr>
        <w:fldChar w:fldCharType="end"/>
      </w:r>
    </w:p>
    <w:p>
      <w:pPr>
        <w:pStyle w:val="2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_Toc16065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一、总则</w:t>
      </w:r>
      <w:r>
        <w:rPr>
          <w:rFonts w:hint="eastAsia" w:ascii="宋体" w:hAnsi="宋体" w:cs="宋体"/>
          <w:color w:val="auto"/>
          <w:szCs w:val="21"/>
          <w:highlight w:val="none"/>
        </w:rPr>
        <w:tab/>
      </w:r>
      <w:r>
        <w:rPr>
          <w:rFonts w:hint="eastAsia" w:ascii="宋体" w:hAnsi="宋体" w:cs="宋体"/>
          <w:color w:val="auto"/>
          <w:szCs w:val="21"/>
          <w:highlight w:val="none"/>
        </w:rPr>
        <w:t>8</w:t>
      </w:r>
      <w:r>
        <w:rPr>
          <w:rFonts w:hint="eastAsia" w:ascii="宋体" w:hAnsi="宋体" w:cs="宋体"/>
          <w:color w:val="auto"/>
          <w:szCs w:val="21"/>
          <w:highlight w:val="none"/>
        </w:rPr>
        <w:fldChar w:fldCharType="end"/>
      </w:r>
    </w:p>
    <w:p>
      <w:pPr>
        <w:pStyle w:val="2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_Toc6231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二、招标文件</w:t>
      </w:r>
      <w:r>
        <w:rPr>
          <w:rFonts w:hint="eastAsia" w:ascii="宋体" w:hAnsi="宋体" w:cs="宋体"/>
          <w:color w:val="auto"/>
          <w:szCs w:val="21"/>
          <w:highlight w:val="none"/>
        </w:rPr>
        <w:tab/>
      </w:r>
      <w:r>
        <w:rPr>
          <w:rFonts w:hint="eastAsia" w:ascii="宋体" w:hAnsi="宋体" w:cs="宋体"/>
          <w:color w:val="auto"/>
          <w:szCs w:val="21"/>
          <w:highlight w:val="none"/>
        </w:rPr>
        <w:t>9</w:t>
      </w:r>
      <w:r>
        <w:rPr>
          <w:rFonts w:hint="eastAsia" w:ascii="宋体" w:hAnsi="宋体" w:cs="宋体"/>
          <w:color w:val="auto"/>
          <w:szCs w:val="21"/>
          <w:highlight w:val="none"/>
        </w:rPr>
        <w:fldChar w:fldCharType="end"/>
      </w:r>
    </w:p>
    <w:p>
      <w:pPr>
        <w:pStyle w:val="2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_Toc27714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三、 投标文件的编制</w:t>
      </w:r>
      <w:r>
        <w:rPr>
          <w:rFonts w:hint="eastAsia" w:ascii="宋体" w:hAnsi="宋体" w:cs="宋体"/>
          <w:color w:val="auto"/>
          <w:szCs w:val="21"/>
          <w:highlight w:val="none"/>
        </w:rPr>
        <w:tab/>
      </w:r>
      <w:r>
        <w:rPr>
          <w:rFonts w:hint="eastAsia" w:ascii="宋体" w:hAnsi="宋体" w:cs="宋体"/>
          <w:color w:val="auto"/>
          <w:szCs w:val="21"/>
          <w:highlight w:val="none"/>
        </w:rPr>
        <w:t>1</w:t>
      </w:r>
      <w:r>
        <w:rPr>
          <w:rFonts w:hint="eastAsia" w:ascii="宋体" w:hAnsi="宋体" w:cs="宋体"/>
          <w:color w:val="auto"/>
          <w:szCs w:val="21"/>
          <w:highlight w:val="none"/>
        </w:rPr>
        <w:fldChar w:fldCharType="end"/>
      </w:r>
      <w:r>
        <w:rPr>
          <w:rFonts w:hint="eastAsia" w:ascii="宋体" w:hAnsi="宋体" w:cs="宋体"/>
          <w:color w:val="auto"/>
          <w:szCs w:val="21"/>
          <w:highlight w:val="none"/>
        </w:rPr>
        <w:t>0</w:t>
      </w:r>
    </w:p>
    <w:p>
      <w:pPr>
        <w:pStyle w:val="2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_Toc10346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四、投标文件的包装与递交</w:t>
      </w:r>
      <w:r>
        <w:rPr>
          <w:rFonts w:hint="eastAsia" w:ascii="宋体" w:hAnsi="宋体" w:cs="宋体"/>
          <w:color w:val="auto"/>
          <w:szCs w:val="21"/>
          <w:highlight w:val="none"/>
        </w:rPr>
        <w:tab/>
      </w:r>
      <w:r>
        <w:rPr>
          <w:rFonts w:hint="eastAsia" w:ascii="宋体" w:hAnsi="宋体" w:cs="宋体"/>
          <w:color w:val="auto"/>
          <w:szCs w:val="21"/>
          <w:highlight w:val="none"/>
        </w:rPr>
        <w:t>12</w:t>
      </w:r>
      <w:r>
        <w:rPr>
          <w:rFonts w:hint="eastAsia" w:ascii="宋体" w:hAnsi="宋体" w:cs="宋体"/>
          <w:color w:val="auto"/>
          <w:szCs w:val="21"/>
          <w:highlight w:val="none"/>
        </w:rPr>
        <w:fldChar w:fldCharType="end"/>
      </w:r>
    </w:p>
    <w:p>
      <w:pPr>
        <w:pStyle w:val="2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_Toc32366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五、开标、评标和定标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_Toc32366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_Toc1630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六、合同授予</w:t>
      </w:r>
      <w:r>
        <w:rPr>
          <w:rFonts w:hint="eastAsia" w:ascii="宋体" w:hAnsi="宋体" w:cs="宋体"/>
          <w:color w:val="auto"/>
          <w:szCs w:val="21"/>
          <w:highlight w:val="none"/>
        </w:rPr>
        <w:tab/>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p>
    <w:p>
      <w:pPr>
        <w:pStyle w:val="3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_Toc5189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第三章 主要合同条款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_Toc5189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35"/>
        <w:tabs>
          <w:tab w:val="right" w:leader="dot" w:pos="9071"/>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_Toc31217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第四章 采购</w:t>
      </w:r>
      <w:r>
        <w:rPr>
          <w:rFonts w:hint="eastAsia" w:ascii="宋体" w:hAnsi="宋体" w:cs="宋体"/>
          <w:bCs/>
          <w:color w:val="auto"/>
          <w:szCs w:val="21"/>
          <w:highlight w:val="none"/>
          <w:lang w:eastAsia="zh-CN"/>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37</w:t>
      </w:r>
    </w:p>
    <w:p>
      <w:pPr>
        <w:pStyle w:val="35"/>
        <w:tabs>
          <w:tab w:val="right" w:leader="dot" w:pos="9071"/>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_Toc14377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第五章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bookmarkEnd w:id="0"/>
      <w:bookmarkStart w:id="1" w:name="_Toc433917257"/>
      <w:bookmarkStart w:id="2" w:name="_Toc326937527"/>
      <w:bookmarkStart w:id="3" w:name="_Toc358384685"/>
      <w:bookmarkStart w:id="4" w:name="_Toc393201704"/>
      <w:bookmarkStart w:id="5" w:name="_Toc7607"/>
      <w:bookmarkStart w:id="6" w:name="_Toc333842541"/>
      <w:r>
        <w:rPr>
          <w:rFonts w:hint="eastAsia" w:ascii="宋体" w:hAnsi="宋体" w:cs="宋体"/>
          <w:color w:val="auto"/>
          <w:szCs w:val="21"/>
          <w:highlight w:val="none"/>
          <w:lang w:val="en-US" w:eastAsia="zh-CN"/>
        </w:rPr>
        <w:t>41</w:t>
      </w:r>
    </w:p>
    <w:p>
      <w:pPr>
        <w:pStyle w:val="4"/>
        <w:bidi w:val="0"/>
        <w:rPr>
          <w:rFonts w:hint="eastAsia"/>
        </w:rPr>
      </w:pPr>
      <w:r>
        <w:rPr>
          <w:rFonts w:hint="eastAsia"/>
        </w:rPr>
        <w:br w:type="page"/>
      </w:r>
      <w:r>
        <w:rPr>
          <w:rFonts w:hint="eastAsia"/>
        </w:rPr>
        <w:t>第一章  招标公告</w:t>
      </w:r>
      <w:bookmarkEnd w:id="1"/>
      <w:bookmarkEnd w:id="2"/>
      <w:bookmarkEnd w:id="3"/>
      <w:bookmarkEnd w:id="4"/>
      <w:bookmarkEnd w:id="5"/>
      <w:bookmarkEnd w:id="6"/>
    </w:p>
    <w:p>
      <w:pPr>
        <w:keepNext w:val="0"/>
        <w:keepLines w:val="0"/>
        <w:pageBreakBefore w:val="0"/>
        <w:pBdr>
          <w:top w:val="single" w:color="auto" w:sz="4" w:space="1"/>
          <w:left w:val="single" w:color="auto" w:sz="4" w:space="4"/>
          <w:bottom w:val="single" w:color="auto" w:sz="4" w:space="1"/>
          <w:right w:val="single" w:color="auto" w:sz="4" w:space="4"/>
        </w:pBdr>
        <w:topLinePunct w:val="0"/>
        <w:bidi w:val="0"/>
        <w:spacing w:line="4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开化县卫生健康局2022--2024年度医疗责任保险服务采购项目</w:t>
      </w:r>
      <w:r>
        <w:rPr>
          <w:rFonts w:hint="eastAsia" w:ascii="宋体" w:hAnsi="宋体" w:cs="宋体"/>
          <w:color w:val="auto"/>
          <w:szCs w:val="21"/>
          <w:highlight w:val="none"/>
        </w:rPr>
        <w:t>的潜在投标人</w:t>
      </w:r>
      <w:r>
        <w:rPr>
          <w:rFonts w:hint="eastAsia" w:ascii="宋体" w:hAnsi="宋体" w:cs="宋体"/>
          <w:color w:val="auto"/>
          <w:sz w:val="21"/>
          <w:szCs w:val="21"/>
          <w:lang w:eastAsia="zh-CN"/>
        </w:rPr>
        <w:t>应在</w:t>
      </w:r>
      <w:r>
        <w:rPr>
          <w:rFonts w:hint="eastAsia" w:ascii="宋体" w:hAnsi="宋体" w:eastAsia="宋体" w:cs="宋体"/>
          <w:color w:val="auto"/>
          <w:sz w:val="21"/>
          <w:szCs w:val="21"/>
          <w:lang w:eastAsia="zh-CN"/>
        </w:rPr>
        <w:t>政采云平台（网址：https://login.zcygov.cn/login）、</w:t>
      </w:r>
      <w:r>
        <w:rPr>
          <w:rFonts w:hint="eastAsia" w:ascii="宋体" w:hAnsi="宋体" w:cs="宋体"/>
          <w:color w:val="auto"/>
          <w:szCs w:val="21"/>
          <w:highlight w:val="none"/>
        </w:rPr>
        <w:t>浙江政府采购网（http://zfcg.czt.zj.gov.cn）或开化县人民政府网（http://www.kaihua.gov.cn/）</w:t>
      </w:r>
      <w:r>
        <w:rPr>
          <w:rFonts w:hint="eastAsia" w:ascii="宋体" w:hAnsi="宋体" w:cs="宋体"/>
          <w:color w:val="auto"/>
          <w:szCs w:val="21"/>
          <w:highlight w:val="none"/>
          <w:lang w:val="en-US" w:eastAsia="zh-CN"/>
        </w:rPr>
        <w:t>免费下载</w:t>
      </w:r>
      <w:r>
        <w:rPr>
          <w:rFonts w:hint="eastAsia" w:ascii="宋体" w:hAnsi="宋体" w:cs="宋体"/>
          <w:color w:val="auto"/>
          <w:szCs w:val="21"/>
          <w:highlight w:val="none"/>
        </w:rPr>
        <w:t>获取</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下载</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招标文件，并于</w:t>
      </w:r>
      <w:r>
        <w:rPr>
          <w:rFonts w:hint="eastAsia" w:ascii="宋体" w:hAnsi="宋体" w:cs="宋体"/>
          <w:color w:val="auto"/>
          <w:szCs w:val="21"/>
          <w:highlight w:val="none"/>
          <w:u w:val="single"/>
          <w:lang w:val="en-US" w:eastAsia="zh-CN"/>
        </w:rPr>
        <w:t xml:space="preserve">2022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8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14 </w:t>
      </w:r>
      <w:r>
        <w:rPr>
          <w:rFonts w:hint="eastAsia" w:ascii="宋体" w:hAnsi="宋体" w:cs="宋体"/>
          <w:color w:val="auto"/>
          <w:szCs w:val="21"/>
          <w:highlight w:val="none"/>
        </w:rPr>
        <w:t>点</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分（北京时间）前递交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上传</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w:t>
      </w:r>
    </w:p>
    <w:p>
      <w:pPr>
        <w:keepNext w:val="0"/>
        <w:keepLines w:val="0"/>
        <w:pageBreakBefore w:val="0"/>
        <w:topLinePunct w:val="0"/>
        <w:bidi w:val="0"/>
        <w:spacing w:line="440" w:lineRule="exac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一、项目基本概况：</w:t>
      </w:r>
    </w:p>
    <w:p>
      <w:pPr>
        <w:keepNext w:val="0"/>
        <w:keepLines w:val="0"/>
        <w:pageBreakBefore w:val="0"/>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TCCG2022-YLZRBX</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u w:val="none"/>
          <w:lang w:eastAsia="zh-CN"/>
        </w:rPr>
        <w:t>开化县卫生健康局2022--2024年度医疗责任保险服务采购项目</w:t>
      </w:r>
    </w:p>
    <w:p>
      <w:pPr>
        <w:keepNext w:val="0"/>
        <w:keepLines w:val="0"/>
        <w:pageBreakBefore w:val="0"/>
        <w:topLinePunct w:val="0"/>
        <w:bidi w:val="0"/>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3.预算金额：</w:t>
      </w:r>
      <w:r>
        <w:rPr>
          <w:rFonts w:hint="eastAsia" w:ascii="宋体" w:hAnsi="宋体" w:cs="宋体"/>
          <w:color w:val="auto"/>
          <w:szCs w:val="21"/>
          <w:highlight w:val="none"/>
          <w:lang w:val="en-US" w:eastAsia="zh-CN"/>
        </w:rPr>
        <w:t>660</w:t>
      </w:r>
      <w:r>
        <w:rPr>
          <w:rFonts w:hint="eastAsia" w:ascii="宋体" w:hAnsi="宋体" w:cs="宋体"/>
          <w:color w:val="auto"/>
          <w:szCs w:val="21"/>
          <w:highlight w:val="none"/>
        </w:rPr>
        <w:t>万元</w:t>
      </w:r>
    </w:p>
    <w:p>
      <w:pPr>
        <w:keepNext w:val="0"/>
        <w:keepLines w:val="0"/>
        <w:pageBreakBefore w:val="0"/>
        <w:topLinePunct w:val="0"/>
        <w:bidi w:val="0"/>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4.最高限价：</w:t>
      </w:r>
      <w:r>
        <w:rPr>
          <w:rFonts w:hint="eastAsia" w:ascii="宋体" w:hAnsi="宋体" w:cs="宋体"/>
          <w:color w:val="auto"/>
          <w:szCs w:val="21"/>
          <w:highlight w:val="none"/>
          <w:lang w:val="en-US" w:eastAsia="zh-CN"/>
        </w:rPr>
        <w:t>660</w:t>
      </w:r>
      <w:r>
        <w:rPr>
          <w:rFonts w:hint="eastAsia" w:ascii="宋体" w:hAnsi="宋体" w:cs="宋体"/>
          <w:color w:val="auto"/>
          <w:szCs w:val="21"/>
          <w:highlight w:val="none"/>
        </w:rPr>
        <w:t>万元</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5.采购需求：</w:t>
      </w:r>
    </w:p>
    <w:tbl>
      <w:tblPr>
        <w:tblStyle w:val="49"/>
        <w:tblW w:w="950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8"/>
        <w:gridCol w:w="3079"/>
        <w:gridCol w:w="1077"/>
        <w:gridCol w:w="1174"/>
        <w:gridCol w:w="246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8" w:hRule="atLeast"/>
        </w:trPr>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标项</w:t>
            </w:r>
          </w:p>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标项内容</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2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简要技术要求、用途</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rPr>
        <w:tc>
          <w:tcPr>
            <w:tcW w:w="908" w:type="dxa"/>
            <w:tcBorders>
              <w:top w:val="single" w:color="auto" w:sz="4" w:space="0"/>
              <w:left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bookmarkStart w:id="7" w:name="B10_序号"/>
            <w:r>
              <w:rPr>
                <w:rFonts w:hint="eastAsia" w:ascii="宋体" w:hAnsi="宋体" w:cs="宋体"/>
                <w:color w:val="auto"/>
                <w:szCs w:val="21"/>
                <w:highlight w:val="none"/>
              </w:rPr>
              <w:t>1</w:t>
            </w:r>
            <w:bookmarkEnd w:id="7"/>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开化县卫生健康局2022--2024年度医疗责任保险服务采购项目</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1174" w:type="dxa"/>
            <w:tcBorders>
              <w:top w:val="single" w:color="auto" w:sz="4" w:space="0"/>
              <w:left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kern w:val="21"/>
                <w:highlight w:val="none"/>
              </w:rPr>
            </w:pPr>
            <w:r>
              <w:rPr>
                <w:rFonts w:hint="eastAsia" w:ascii="宋体" w:hAnsi="宋体" w:cs="宋体"/>
                <w:color w:val="auto"/>
                <w:kern w:val="21"/>
                <w:highlight w:val="none"/>
              </w:rPr>
              <w:t>项</w:t>
            </w:r>
          </w:p>
        </w:tc>
        <w:tc>
          <w:tcPr>
            <w:tcW w:w="2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bookmarkStart w:id="8" w:name="B15_备注"/>
            <w:bookmarkEnd w:id="8"/>
            <w:r>
              <w:rPr>
                <w:rFonts w:hint="eastAsia" w:ascii="宋体" w:hAnsi="宋体" w:cs="宋体"/>
                <w:color w:val="auto"/>
                <w:kern w:val="21"/>
                <w:highlight w:val="none"/>
              </w:rPr>
              <w:t>详见第四章《采购</w:t>
            </w:r>
            <w:r>
              <w:rPr>
                <w:rFonts w:hint="eastAsia" w:ascii="宋体" w:hAnsi="宋体" w:cs="宋体"/>
                <w:color w:val="auto"/>
                <w:kern w:val="21"/>
                <w:highlight w:val="none"/>
                <w:lang w:eastAsia="zh-CN"/>
              </w:rPr>
              <w:t>需求</w:t>
            </w:r>
            <w:r>
              <w:rPr>
                <w:rFonts w:hint="eastAsia" w:ascii="宋体" w:hAnsi="宋体" w:cs="宋体"/>
                <w:color w:val="auto"/>
                <w:kern w:val="21"/>
                <w:highlight w:val="none"/>
              </w:rPr>
              <w:t>》</w:t>
            </w:r>
          </w:p>
        </w:tc>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opLinePunct w:val="0"/>
              <w:bidi w:val="0"/>
              <w:spacing w:line="440" w:lineRule="exact"/>
              <w:jc w:val="center"/>
              <w:textAlignment w:val="auto"/>
              <w:rPr>
                <w:rFonts w:hint="eastAsia" w:ascii="宋体" w:hAnsi="宋体" w:cs="宋体"/>
                <w:color w:val="auto"/>
                <w:szCs w:val="21"/>
                <w:highlight w:val="none"/>
              </w:rPr>
            </w:pPr>
          </w:p>
        </w:tc>
      </w:tr>
    </w:tbl>
    <w:p>
      <w:pPr>
        <w:keepNext w:val="0"/>
        <w:keepLines w:val="0"/>
        <w:pageBreakBefore w:val="0"/>
        <w:topLinePunct w:val="0"/>
        <w:bidi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highlight w:val="none"/>
        </w:rPr>
        <w:t>服务期限：</w:t>
      </w:r>
      <w:r>
        <w:rPr>
          <w:rFonts w:hint="eastAsia" w:ascii="宋体" w:hAnsi="宋体"/>
          <w:color w:val="auto"/>
          <w:highlight w:val="none"/>
          <w:lang w:eastAsia="zh-CN"/>
        </w:rPr>
        <w:t>详见采购需求</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7.本项目不接受联合体投标。</w:t>
      </w:r>
    </w:p>
    <w:p>
      <w:pPr>
        <w:pStyle w:val="26"/>
        <w:keepNext w:val="0"/>
        <w:keepLines w:val="0"/>
        <w:pageBreakBefore w:val="0"/>
        <w:topLinePunct w:val="0"/>
        <w:bidi w:val="0"/>
        <w:spacing w:line="440" w:lineRule="exact"/>
        <w:textAlignment w:val="auto"/>
        <w:rPr>
          <w:rFonts w:hint="eastAsia" w:hAnsi="宋体" w:cs="宋体"/>
          <w:b/>
          <w:color w:val="auto"/>
          <w:szCs w:val="21"/>
          <w:highlight w:val="none"/>
        </w:rPr>
      </w:pPr>
      <w:r>
        <w:rPr>
          <w:rFonts w:hint="eastAsia" w:hAnsi="宋体" w:cs="宋体"/>
          <w:b/>
          <w:bCs/>
          <w:color w:val="auto"/>
          <w:szCs w:val="21"/>
          <w:highlight w:val="none"/>
        </w:rPr>
        <w:t>二、</w:t>
      </w:r>
      <w:r>
        <w:rPr>
          <w:rFonts w:hint="eastAsia" w:hAnsi="宋体" w:cs="宋体"/>
          <w:b/>
          <w:color w:val="auto"/>
          <w:szCs w:val="21"/>
          <w:highlight w:val="none"/>
        </w:rPr>
        <w:t>申请人资格要求：</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2.必须为未被列入“信用中国”网站(www.creditchina.gov.cn)、中国政府采购网(www.ccgp.gov.cn)渠道信用</w:t>
      </w:r>
      <w:r>
        <w:rPr>
          <w:rFonts w:hint="eastAsia" w:ascii="宋体" w:hAnsi="宋体" w:eastAsia="宋体" w:cs="宋体"/>
          <w:color w:val="auto"/>
          <w:szCs w:val="21"/>
          <w:highlight w:val="none"/>
        </w:rPr>
        <w:t>记录</w:t>
      </w:r>
      <w:r>
        <w:rPr>
          <w:rFonts w:hint="eastAsia" w:ascii="宋体" w:hAnsi="宋体" w:cs="宋体"/>
          <w:color w:val="auto"/>
          <w:szCs w:val="21"/>
          <w:highlight w:val="none"/>
        </w:rPr>
        <w:t>失信被执行人、重大税收违法案件当事人名单、政府采购严重违法失信行为记录名单的投标人；</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3.落实政府采购政策需满足的资格要求：</w:t>
      </w:r>
      <w:r>
        <w:rPr>
          <w:rFonts w:hint="eastAsia" w:ascii="宋体" w:hAnsi="宋体" w:cs="宋体"/>
          <w:color w:val="auto"/>
          <w:szCs w:val="21"/>
          <w:highlight w:val="none"/>
          <w:u w:val="single"/>
        </w:rPr>
        <w:t> 无 </w:t>
      </w:r>
      <w:r>
        <w:rPr>
          <w:rFonts w:hint="eastAsia" w:ascii="宋体" w:hAnsi="宋体" w:cs="宋体"/>
          <w:color w:val="auto"/>
          <w:szCs w:val="21"/>
          <w:highlight w:val="none"/>
        </w:rPr>
        <w:t>；</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4.本项目的特定资格要求：</w:t>
      </w:r>
    </w:p>
    <w:p>
      <w:pPr>
        <w:keepNext w:val="0"/>
        <w:keepLines w:val="0"/>
        <w:pageBreakBefore w:val="0"/>
        <w:topLinePunct w:val="0"/>
        <w:bidi w:val="0"/>
        <w:spacing w:line="440" w:lineRule="exact"/>
        <w:ind w:firstLine="422" w:firstLineChars="200"/>
        <w:textAlignment w:val="auto"/>
        <w:rPr>
          <w:rFonts w:hint="eastAsia" w:ascii="宋体" w:hAnsi="宋体" w:eastAsia="宋体" w:cs="宋体"/>
          <w:color w:val="auto"/>
          <w:szCs w:val="21"/>
          <w:highlight w:val="none"/>
          <w:lang w:eastAsia="zh-CN"/>
        </w:rPr>
      </w:pPr>
      <w:r>
        <w:rPr>
          <w:rFonts w:hint="eastAsia" w:ascii="宋体" w:hAnsi="宋体"/>
          <w:b/>
          <w:bCs/>
          <w:color w:val="auto"/>
          <w:highlight w:val="none"/>
          <w:u w:val="single"/>
        </w:rPr>
        <w:t>4.1投标人必须为经中国保险监督管理委员会批准在中华人民共和国境内设立和营业的，并依法核定许可经营保险业务的保险公司</w:t>
      </w:r>
      <w:r>
        <w:rPr>
          <w:rFonts w:hint="eastAsia" w:ascii="宋体" w:hAnsi="宋体" w:cs="宋体"/>
          <w:color w:val="auto"/>
          <w:szCs w:val="21"/>
          <w:highlight w:val="none"/>
          <w:u w:val="single"/>
          <w:lang w:eastAsia="zh-CN"/>
        </w:rPr>
        <w:t>；</w:t>
      </w:r>
    </w:p>
    <w:p>
      <w:pPr>
        <w:keepNext w:val="0"/>
        <w:keepLines w:val="0"/>
        <w:pageBreakBefore w:val="0"/>
        <w:topLinePunct w:val="0"/>
        <w:bidi w:val="0"/>
        <w:spacing w:line="440" w:lineRule="exact"/>
        <w:ind w:firstLine="422" w:firstLineChars="200"/>
        <w:textAlignment w:val="auto"/>
        <w:rPr>
          <w:rFonts w:hint="eastAsia" w:ascii="宋体" w:hAnsi="宋体"/>
          <w:b/>
          <w:bCs/>
          <w:color w:val="auto"/>
          <w:highlight w:val="none"/>
          <w:u w:val="single"/>
        </w:rPr>
      </w:pPr>
      <w:r>
        <w:rPr>
          <w:rFonts w:hint="eastAsia" w:ascii="宋体" w:hAnsi="宋体"/>
          <w:b/>
          <w:bCs/>
          <w:color w:val="auto"/>
          <w:highlight w:val="none"/>
          <w:u w:val="single"/>
        </w:rPr>
        <w:t>4.2必须具有中国保险监督管理委员会核准颁发的《经营保险业务许可证》。</w:t>
      </w:r>
    </w:p>
    <w:p>
      <w:pPr>
        <w:keepNext w:val="0"/>
        <w:keepLines w:val="0"/>
        <w:pageBreakBefore w:val="0"/>
        <w:topLinePunct w:val="0"/>
        <w:bidi w:val="0"/>
        <w:spacing w:line="440" w:lineRule="exact"/>
        <w:ind w:firstLine="422" w:firstLineChars="200"/>
        <w:textAlignment w:val="auto"/>
        <w:rPr>
          <w:rFonts w:hint="eastAsia" w:ascii="宋体" w:hAnsi="宋体" w:eastAsia="宋体" w:cs="Times New Roman"/>
          <w:b/>
          <w:bCs/>
          <w:color w:val="auto"/>
          <w:highlight w:val="none"/>
          <w:u w:val="none"/>
          <w:lang w:val="en-US" w:eastAsia="zh-CN"/>
        </w:rPr>
      </w:pPr>
      <w:r>
        <w:rPr>
          <w:rFonts w:hint="eastAsia" w:ascii="宋体" w:hAnsi="宋体" w:eastAsia="宋体" w:cs="Times New Roman"/>
          <w:b/>
          <w:bCs/>
          <w:color w:val="auto"/>
          <w:highlight w:val="none"/>
          <w:u w:val="none"/>
          <w:lang w:eastAsia="zh-CN"/>
        </w:rPr>
        <w:t>注</w:t>
      </w:r>
      <w:r>
        <w:rPr>
          <w:rFonts w:hint="eastAsia" w:ascii="宋体" w:hAnsi="宋体" w:eastAsia="宋体" w:cs="Times New Roman"/>
          <w:b/>
          <w:bCs/>
          <w:color w:val="auto"/>
          <w:highlight w:val="none"/>
          <w:u w:val="none"/>
        </w:rPr>
        <w:t>：同一保险集团公司的不同分（子）公司（机构），不得同时参加本项目的投标</w:t>
      </w:r>
      <w:r>
        <w:rPr>
          <w:rFonts w:hint="eastAsia" w:ascii="宋体" w:hAnsi="宋体" w:eastAsia="宋体" w:cs="Times New Roman"/>
          <w:b/>
          <w:bCs/>
          <w:color w:val="auto"/>
          <w:highlight w:val="none"/>
          <w:u w:val="none"/>
          <w:lang w:eastAsia="zh-CN"/>
        </w:rPr>
        <w:t>。</w:t>
      </w:r>
    </w:p>
    <w:p>
      <w:pPr>
        <w:pStyle w:val="26"/>
        <w:keepNext w:val="0"/>
        <w:keepLines w:val="0"/>
        <w:pageBreakBefore w:val="0"/>
        <w:topLinePunct w:val="0"/>
        <w:bidi w:val="0"/>
        <w:spacing w:line="440" w:lineRule="exact"/>
        <w:textAlignment w:val="auto"/>
        <w:rPr>
          <w:rFonts w:hint="eastAsia" w:ascii="宋体" w:hAnsi="宋体" w:cs="宋体"/>
          <w:bCs/>
          <w:color w:val="auto"/>
          <w:sz w:val="21"/>
          <w:szCs w:val="21"/>
          <w:highlight w:val="none"/>
        </w:rPr>
      </w:pPr>
      <w:r>
        <w:rPr>
          <w:rFonts w:hint="eastAsia" w:ascii="宋体" w:hAnsi="宋体" w:cs="宋体"/>
          <w:b/>
          <w:bCs/>
          <w:color w:val="auto"/>
          <w:sz w:val="21"/>
          <w:szCs w:val="21"/>
          <w:highlight w:val="none"/>
        </w:rPr>
        <w:t>三、获取招标文件：</w:t>
      </w:r>
    </w:p>
    <w:p>
      <w:pPr>
        <w:keepNext w:val="0"/>
        <w:keepLines w:val="0"/>
        <w:pageBreakBefore w:val="0"/>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rPr>
        <w:t>至</w:t>
      </w:r>
      <w:r>
        <w:rPr>
          <w:rFonts w:hint="eastAsia" w:ascii="宋体" w:hAnsi="宋体" w:cs="宋体"/>
          <w:color w:val="auto"/>
          <w:szCs w:val="21"/>
          <w:highlight w:val="none"/>
          <w:u w:val="single"/>
          <w:lang w:val="en-US" w:eastAsia="zh-CN"/>
        </w:rPr>
        <w:t xml:space="preserve">2022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8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14 </w:t>
      </w:r>
      <w:r>
        <w:rPr>
          <w:rFonts w:hint="eastAsia" w:ascii="宋体" w:hAnsi="宋体" w:cs="宋体"/>
          <w:color w:val="auto"/>
          <w:szCs w:val="21"/>
          <w:highlight w:val="none"/>
        </w:rPr>
        <w:t>点</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分</w:t>
      </w:r>
      <w:r>
        <w:rPr>
          <w:rFonts w:hint="eastAsia" w:ascii="宋体" w:hAnsi="宋体" w:eastAsia="宋体" w:cs="宋体"/>
          <w:color w:val="auto"/>
          <w:sz w:val="21"/>
          <w:szCs w:val="21"/>
          <w:highlight w:val="none"/>
          <w:lang w:eastAsia="zh-CN"/>
        </w:rPr>
        <w:t>（北京时间）</w:t>
      </w:r>
    </w:p>
    <w:p>
      <w:pPr>
        <w:keepNext w:val="0"/>
        <w:keepLines w:val="0"/>
        <w:pageBreakBefore w:val="0"/>
        <w:widowControl w:val="0"/>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地点：政采云平台（网址：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"https://login.zcygov.cn/login"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https://login.zcygov.cn/login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、浙江政府采购网（http://zfcg.czt.zj.gov.cn/）或开化县人民政府网（www.kaihua.gov.cn/）</w:t>
      </w:r>
      <w:r>
        <w:rPr>
          <w:rFonts w:hint="eastAsia" w:ascii="宋体" w:hAnsi="宋体" w:eastAsia="宋体" w:cs="宋体"/>
          <w:color w:val="auto"/>
          <w:sz w:val="21"/>
          <w:szCs w:val="21"/>
          <w:highlight w:val="none"/>
        </w:rPr>
        <w:t>免费下载</w:t>
      </w:r>
      <w:r>
        <w:rPr>
          <w:rFonts w:hint="eastAsia" w:ascii="宋体" w:hAnsi="宋体" w:eastAsia="宋体" w:cs="宋体"/>
          <w:color w:val="auto"/>
          <w:sz w:val="21"/>
          <w:szCs w:val="21"/>
          <w:highlight w:val="none"/>
          <w:lang w:eastAsia="zh-CN"/>
        </w:rPr>
        <w:t>。</w:t>
      </w:r>
    </w:p>
    <w:p>
      <w:pPr>
        <w:keepNext w:val="0"/>
        <w:keepLines w:val="0"/>
        <w:pageBreakBefore w:val="0"/>
        <w:widowControl w:val="0"/>
        <w:kinsoku w:val="0"/>
        <w:overflowPunct w:val="0"/>
        <w:topLinePunct w:val="0"/>
        <w:autoSpaceDE w:val="0"/>
        <w:autoSpaceDN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方式：已在浙江省政府采购网注册的正式供应商可登录政采云平台（网址：https://login.zcygov.cn/login）</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"https://login.zcygov.cn/login）获取采购文件（(不是正式供应商不能获取采购文件)）。"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进入政采云系统“项目采购”模块“获取采购文件”菜单依法获取采购文件；</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未在浙江省政府采购网注册的供应商可在浙江政府采购网（http://zfcg.czt.zj.gov.cn/）选择“潜在供应商”获取采购文件或“游客”浏览采购文件，也可在开化县人民政府网（www.kaihua.gov.cn/）公告中下载获取采购文件</w:t>
      </w:r>
      <w:r>
        <w:rPr>
          <w:rFonts w:hint="eastAsia" w:ascii="宋体" w:hAnsi="宋体" w:eastAsia="宋体" w:cs="宋体"/>
          <w:color w:val="auto"/>
          <w:kern w:val="2"/>
          <w:sz w:val="21"/>
          <w:szCs w:val="21"/>
          <w:highlight w:val="none"/>
          <w:lang w:eastAsia="zh-CN" w:bidi="ar-SA"/>
        </w:rPr>
        <w:t>。</w:t>
      </w:r>
    </w:p>
    <w:p>
      <w:pPr>
        <w:keepNext w:val="0"/>
        <w:keepLines w:val="0"/>
        <w:pageBreakBefore w:val="0"/>
        <w:widowControl w:val="0"/>
        <w:kinsoku w:val="0"/>
        <w:overflowPunct w:val="0"/>
        <w:topLinePunct w:val="0"/>
        <w:autoSpaceDE w:val="0"/>
        <w:autoSpaceDN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售价：0元。</w:t>
      </w:r>
    </w:p>
    <w:p>
      <w:pPr>
        <w:keepNext w:val="0"/>
        <w:keepLines w:val="0"/>
        <w:pageBreakBefore w:val="0"/>
        <w:topLinePunct w:val="0"/>
        <w:bidi w:val="0"/>
        <w:spacing w:line="440" w:lineRule="exac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u w:val="single"/>
          <w:lang w:val="en-US" w:eastAsia="zh-CN"/>
        </w:rPr>
        <w:t xml:space="preserve"> 2022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8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14:30 </w:t>
      </w:r>
      <w:r>
        <w:rPr>
          <w:rFonts w:hint="eastAsia" w:ascii="宋体" w:hAnsi="宋体" w:cs="宋体"/>
          <w:color w:val="auto"/>
          <w:szCs w:val="21"/>
          <w:highlight w:val="none"/>
        </w:rPr>
        <w:t>时</w:t>
      </w:r>
      <w:r>
        <w:rPr>
          <w:rFonts w:hint="eastAsia" w:ascii="宋体" w:hAnsi="宋体" w:cs="宋体"/>
          <w:bCs/>
          <w:color w:val="auto"/>
          <w:szCs w:val="21"/>
          <w:highlight w:val="none"/>
        </w:rPr>
        <w:t>（北京时间）</w:t>
      </w:r>
    </w:p>
    <w:p>
      <w:pPr>
        <w:keepNext w:val="0"/>
        <w:keepLines w:val="0"/>
        <w:pageBreakBefore w:val="0"/>
        <w:kinsoku/>
        <w:overflowPunct/>
        <w:topLinePunct w:val="0"/>
        <w:autoSpaceDE/>
        <w:autoSpaceDN/>
        <w:bidi w:val="0"/>
        <w:spacing w:line="440" w:lineRule="exact"/>
        <w:ind w:firstLine="422" w:firstLineChars="200"/>
        <w:textAlignment w:val="auto"/>
        <w:rPr>
          <w:rFonts w:hint="eastAsia" w:ascii="宋体" w:hAnsi="宋体" w:cs="宋体"/>
          <w:b/>
          <w:bCs/>
          <w:color w:val="auto"/>
          <w:kern w:val="2"/>
          <w:sz w:val="21"/>
          <w:szCs w:val="21"/>
          <w:lang w:eastAsia="zh-CN" w:bidi="ar-SA"/>
        </w:rPr>
      </w:pPr>
      <w:r>
        <w:rPr>
          <w:rFonts w:hint="eastAsia" w:ascii="宋体" w:hAnsi="宋体" w:cs="宋体"/>
          <w:b/>
          <w:bCs/>
          <w:color w:val="auto"/>
          <w:kern w:val="2"/>
          <w:sz w:val="21"/>
          <w:szCs w:val="21"/>
          <w:lang w:eastAsia="zh-CN" w:bidi="ar-SA"/>
        </w:rPr>
        <w:t>投标地点（网址）：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lang w:val="en-US" w:eastAsia="zh-CN"/>
        </w:rPr>
        <w:t xml:space="preserve"> 2022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8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14:30 </w:t>
      </w:r>
      <w:r>
        <w:rPr>
          <w:rFonts w:hint="eastAsia" w:ascii="宋体" w:hAnsi="宋体" w:cs="宋体"/>
          <w:color w:val="auto"/>
          <w:szCs w:val="21"/>
          <w:highlight w:val="none"/>
        </w:rPr>
        <w:t>时</w:t>
      </w:r>
      <w:r>
        <w:rPr>
          <w:rFonts w:hint="eastAsia" w:ascii="宋体" w:hAnsi="宋体" w:cs="宋体"/>
          <w:bCs/>
          <w:color w:val="auto"/>
          <w:szCs w:val="21"/>
          <w:highlight w:val="none"/>
        </w:rPr>
        <w:t>（北京时间）</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开标地点（网址）：开化县公共资源交易中心开标区(开化县凤凰南路2号5楼)</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如认为需要，投标人可以选择递交以介质（U盘）存储的数据电文形式的“备份投标文件”，“备份投标文件”应当密封包装并在包装上标注投标项目名称、投标单位名称并加盖公章，且在投标截止时间前，通过邮寄或现场送达等方式送至指定地点，逾期送达或未密封将被拒收。（邮寄收件地址：浙江省衢州市开化县凤凰南路2号  开化县公共资源交易中心  邮编：324300</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收件人：</w:t>
      </w:r>
      <w:r>
        <w:rPr>
          <w:rFonts w:hint="eastAsia" w:ascii="宋体" w:hAnsi="宋体" w:cs="宋体"/>
          <w:color w:val="auto"/>
          <w:szCs w:val="21"/>
          <w:highlight w:val="none"/>
          <w:lang w:eastAsia="zh-CN"/>
        </w:rPr>
        <w:t>浙江天册工程管理有限公司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程虹</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15257000311</w:t>
      </w:r>
      <w:r>
        <w:rPr>
          <w:rFonts w:hint="eastAsia" w:ascii="宋体" w:hAnsi="宋体" w:cs="宋体"/>
          <w:color w:val="auto"/>
          <w:szCs w:val="21"/>
          <w:highlight w:val="none"/>
        </w:rPr>
        <w:t>）</w:t>
      </w:r>
    </w:p>
    <w:p>
      <w:pPr>
        <w:keepNext w:val="0"/>
        <w:keepLines w:val="0"/>
        <w:pageBreakBefore w:val="0"/>
        <w:topLinePunct w:val="0"/>
        <w:bidi w:val="0"/>
        <w:spacing w:line="440" w:lineRule="exact"/>
        <w:textAlignment w:val="auto"/>
        <w:rPr>
          <w:rFonts w:ascii="宋体" w:hAnsi="宋体" w:cs="宋体"/>
          <w:b/>
          <w:bCs/>
          <w:color w:val="auto"/>
          <w:szCs w:val="21"/>
          <w:highlight w:val="none"/>
        </w:rPr>
      </w:pPr>
      <w:r>
        <w:rPr>
          <w:rFonts w:ascii="宋体" w:hAnsi="宋体" w:cs="宋体"/>
          <w:b/>
          <w:bCs/>
          <w:color w:val="auto"/>
          <w:szCs w:val="21"/>
          <w:highlight w:val="none"/>
        </w:rPr>
        <w:t>五、公告期限</w:t>
      </w:r>
    </w:p>
    <w:p>
      <w:pPr>
        <w:keepNext w:val="0"/>
        <w:keepLines w:val="0"/>
        <w:pageBreakBefore w:val="0"/>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pPr>
        <w:keepNext w:val="0"/>
        <w:keepLines w:val="0"/>
        <w:pageBreakBefore w:val="0"/>
        <w:topLinePunct w:val="0"/>
        <w:bidi w:val="0"/>
        <w:spacing w:line="440" w:lineRule="exact"/>
        <w:textAlignment w:val="auto"/>
        <w:rPr>
          <w:rFonts w:ascii="宋体" w:hAnsi="宋体" w:cs="宋体"/>
          <w:b/>
          <w:bCs/>
          <w:color w:val="auto"/>
          <w:szCs w:val="21"/>
          <w:highlight w:val="none"/>
        </w:rPr>
      </w:pPr>
      <w:r>
        <w:rPr>
          <w:rFonts w:ascii="宋体" w:hAnsi="宋体" w:cs="宋体"/>
          <w:b/>
          <w:bCs/>
          <w:color w:val="auto"/>
          <w:szCs w:val="21"/>
          <w:highlight w:val="none"/>
        </w:rPr>
        <w:t>六、其他补充事宜</w:t>
      </w:r>
    </w:p>
    <w:p>
      <w:pPr>
        <w:keepNext w:val="0"/>
        <w:keepLines w:val="0"/>
        <w:pageBreakBefore w:val="0"/>
        <w:kinsoku/>
        <w:overflowPunct/>
        <w:topLinePunct w:val="0"/>
        <w:autoSpaceDE/>
        <w:autoSpaceDN/>
        <w:bidi w:val="0"/>
        <w:spacing w:beforeLines="0" w:afterLines="0" w:line="44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cs="宋体"/>
          <w:b/>
          <w:color w:val="auto"/>
          <w:sz w:val="21"/>
          <w:szCs w:val="21"/>
          <w:highlight w:val="none"/>
          <w:shd w:val="clear" w:color="auto" w:fill="FFFFFF"/>
        </w:rPr>
        <w:t>1.《浙江省财政厅关于进一步发挥政府采购政策功能全力推动经济稳进提质的通知》 （浙财采监（2</w:t>
      </w:r>
      <w:r>
        <w:rPr>
          <w:rFonts w:hint="default" w:ascii="宋体" w:hAnsi="宋体" w:eastAsia="宋体" w:cs="宋体"/>
          <w:b/>
          <w:color w:val="auto"/>
          <w:sz w:val="21"/>
          <w:szCs w:val="21"/>
          <w:highlight w:val="none"/>
        </w:rPr>
        <w:t>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overflowPunct/>
        <w:topLinePunct w:val="0"/>
        <w:autoSpaceDE/>
        <w:autoSpaceDN/>
        <w:bidi w:val="0"/>
        <w:spacing w:beforeLines="0" w:afterLines="0" w:line="44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overflowPunct/>
        <w:topLinePunct w:val="0"/>
        <w:autoSpaceDE/>
        <w:autoSpaceDN/>
        <w:bidi w:val="0"/>
        <w:spacing w:beforeLines="0" w:afterLines="0" w:line="44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overflowPunct/>
        <w:topLinePunct w:val="0"/>
        <w:autoSpaceDE/>
        <w:autoSpaceDN/>
        <w:bidi w:val="0"/>
        <w:spacing w:beforeLines="0" w:afterLines="0" w:line="44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 其他事项</w:t>
      </w:r>
    </w:p>
    <w:p>
      <w:pPr>
        <w:keepNext w:val="0"/>
        <w:keepLines w:val="0"/>
        <w:pageBreakBefore w:val="0"/>
        <w:kinsoku/>
        <w:overflowPunct/>
        <w:topLinePunct w:val="0"/>
        <w:autoSpaceDE/>
        <w:autoSpaceDN/>
        <w:bidi w:val="0"/>
        <w:spacing w:beforeLines="0" w:afterLines="0" w:line="44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4.1.质疑和投诉相关规定详见《政府采购质疑和投诉办法》（财政部令94令）。</w:t>
      </w:r>
    </w:p>
    <w:p>
      <w:pPr>
        <w:keepNext w:val="0"/>
        <w:keepLines w:val="0"/>
        <w:pageBreakBefore w:val="0"/>
        <w:kinsoku/>
        <w:overflowPunct/>
        <w:topLinePunct w:val="0"/>
        <w:autoSpaceDE/>
        <w:autoSpaceDN/>
        <w:bidi w:val="0"/>
        <w:spacing w:beforeLines="0" w:afterLines="0" w:line="44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4.2.投标说明</w:t>
      </w:r>
    </w:p>
    <w:p>
      <w:pPr>
        <w:keepNext w:val="0"/>
        <w:keepLines w:val="0"/>
        <w:pageBreakBefore w:val="0"/>
        <w:kinsoku/>
        <w:overflowPunct/>
        <w:topLinePunct w:val="0"/>
        <w:autoSpaceDE/>
        <w:autoSpaceDN/>
        <w:bidi w:val="0"/>
        <w:spacing w:beforeLines="0" w:afterLines="0" w:line="44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(1)本项目实行电子投标，应按照本项目招标文件和政采云平台的要求编制、加密并递交投标文件。</w:t>
      </w:r>
    </w:p>
    <w:p>
      <w:pPr>
        <w:pStyle w:val="26"/>
        <w:keepNext w:val="0"/>
        <w:keepLines w:val="0"/>
        <w:pageBreakBefore w:val="0"/>
        <w:kinsoku/>
        <w:wordWrap w:val="0"/>
        <w:overflowPunct/>
        <w:topLinePunct w:val="0"/>
        <w:autoSpaceDE/>
        <w:autoSpaceDN/>
        <w:bidi w:val="0"/>
        <w:adjustRightInd w:val="0"/>
        <w:snapToGrid w:val="0"/>
        <w:spacing w:beforeLines="0" w:afterLines="0" w:line="440" w:lineRule="exact"/>
        <w:ind w:firstLine="422" w:firstLineChars="200"/>
        <w:textAlignment w:val="auto"/>
        <w:rPr>
          <w:rFonts w:hint="default" w:cs="宋体"/>
          <w:b/>
          <w:color w:val="auto"/>
          <w:sz w:val="21"/>
          <w:szCs w:val="21"/>
          <w:highlight w:val="none"/>
        </w:rPr>
      </w:pPr>
      <w:r>
        <w:rPr>
          <w:rFonts w:hint="default" w:cs="宋体"/>
          <w:b/>
          <w:color w:val="auto"/>
          <w:sz w:val="21"/>
          <w:szCs w:val="21"/>
          <w:highlight w:val="none"/>
        </w:rPr>
        <w:t>(2)投标人应在开标前完成CA数字证书办理。（办理流程详见</w:t>
      </w:r>
      <w:r>
        <w:rPr>
          <w:rFonts w:hint="default" w:cs="宋体"/>
          <w:b/>
          <w:color w:val="auto"/>
          <w:sz w:val="21"/>
          <w:szCs w:val="21"/>
          <w:highlight w:val="none"/>
        </w:rPr>
        <w:fldChar w:fldCharType="begin"/>
      </w:r>
      <w:r>
        <w:rPr>
          <w:rFonts w:hint="default" w:cs="宋体"/>
          <w:b/>
          <w:color w:val="auto"/>
          <w:sz w:val="21"/>
          <w:szCs w:val="21"/>
          <w:highlight w:val="none"/>
        </w:rPr>
        <w:instrText xml:space="preserve"> HYPERLINK "http://zfcg.czt.zj.gov.cn/bidClientTemplate/2019-05-27/12945.html" </w:instrText>
      </w:r>
      <w:r>
        <w:rPr>
          <w:rFonts w:hint="default" w:cs="宋体"/>
          <w:b/>
          <w:color w:val="auto"/>
          <w:sz w:val="21"/>
          <w:szCs w:val="21"/>
          <w:highlight w:val="none"/>
        </w:rPr>
        <w:fldChar w:fldCharType="separate"/>
      </w:r>
      <w:r>
        <w:rPr>
          <w:rFonts w:hint="default" w:cs="宋体"/>
          <w:b/>
          <w:color w:val="auto"/>
          <w:sz w:val="21"/>
          <w:szCs w:val="21"/>
          <w:highlight w:val="none"/>
        </w:rPr>
        <w:t>http://zfcg.czt.zj.gov.cn/bidClientTemplate/2019-05-27/12945.html</w:t>
      </w:r>
      <w:r>
        <w:rPr>
          <w:rFonts w:hint="default" w:cs="宋体"/>
          <w:b/>
          <w:color w:val="auto"/>
          <w:sz w:val="21"/>
          <w:szCs w:val="21"/>
          <w:highlight w:val="none"/>
        </w:rPr>
        <w:fldChar w:fldCharType="end"/>
      </w:r>
      <w:r>
        <w:rPr>
          <w:rFonts w:hint="default" w:cs="宋体"/>
          <w:b/>
          <w:color w:val="auto"/>
          <w:sz w:val="21"/>
          <w:szCs w:val="21"/>
          <w:highlight w:val="none"/>
        </w:rPr>
        <w:t>）。完成CA数字证书办理预计一周左右，建议各投标人抓紧时间办理。</w:t>
      </w:r>
    </w:p>
    <w:p>
      <w:pPr>
        <w:keepNext w:val="0"/>
        <w:keepLines w:val="0"/>
        <w:pageBreakBefore w:val="0"/>
        <w:kinsoku/>
        <w:wordWrap w:val="0"/>
        <w:overflowPunct/>
        <w:topLinePunct w:val="0"/>
        <w:autoSpaceDE/>
        <w:autoSpaceDN/>
        <w:bidi w:val="0"/>
        <w:snapToGrid w:val="0"/>
        <w:spacing w:beforeLines="0" w:afterLines="0" w:line="44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(3)投标人通过政采云平台电子投标工具制作投标文件，电子投标工具请供应商自行前往浙江省政府采购网下载并安装，（下载网址：http://zfcg.czt.zj.gov.cn/bidClientTemplate/2019-09-24/12975.html）。</w:t>
      </w:r>
    </w:p>
    <w:p>
      <w:pPr>
        <w:keepNext w:val="0"/>
        <w:keepLines w:val="0"/>
        <w:pageBreakBefore w:val="0"/>
        <w:kinsoku/>
        <w:wordWrap w:val="0"/>
        <w:overflowPunct/>
        <w:topLinePunct w:val="0"/>
        <w:autoSpaceDE/>
        <w:autoSpaceDN/>
        <w:bidi w:val="0"/>
        <w:snapToGrid w:val="0"/>
        <w:spacing w:beforeLines="0" w:afterLines="0" w:line="44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pPr>
        <w:keepNext w:val="0"/>
        <w:keepLines w:val="0"/>
        <w:pageBreakBefore w:val="0"/>
        <w:kinsoku/>
        <w:wordWrap w:val="0"/>
        <w:overflowPunct/>
        <w:topLinePunct w:val="0"/>
        <w:autoSpaceDE/>
        <w:autoSpaceDN/>
        <w:bidi w:val="0"/>
        <w:snapToGrid w:val="0"/>
        <w:spacing w:beforeLines="0" w:afterLines="0" w:line="44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4.3.中小企业信用融资及电子保函</w:t>
      </w:r>
    </w:p>
    <w:p>
      <w:pPr>
        <w:keepNext w:val="0"/>
        <w:keepLines w:val="0"/>
        <w:pageBreakBefore w:val="0"/>
        <w:kinsoku/>
        <w:wordWrap w:val="0"/>
        <w:overflowPunct/>
        <w:topLinePunct w:val="0"/>
        <w:autoSpaceDE/>
        <w:autoSpaceDN/>
        <w:bidi w:val="0"/>
        <w:snapToGrid w:val="0"/>
        <w:spacing w:beforeLines="0" w:afterLines="0" w:line="44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cs="宋体"/>
          <w:b/>
          <w:color w:val="auto"/>
          <w:sz w:val="21"/>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r>
        <w:rPr>
          <w:rFonts w:hint="default" w:ascii="宋体" w:hAnsi="宋体" w:eastAsia="宋体" w:cs="宋体"/>
          <w:b/>
          <w:color w:val="auto"/>
          <w:sz w:val="21"/>
          <w:szCs w:val="21"/>
          <w:highlight w:val="none"/>
        </w:rPr>
        <w:t>投标人若有办理电子保函意向的可登录浙江政府采购网“浙江政采贷”（网址：</w:t>
      </w:r>
      <w:r>
        <w:rPr>
          <w:rFonts w:hint="default" w:ascii="宋体" w:hAnsi="宋体" w:eastAsia="宋体" w:cs="宋体"/>
          <w:b/>
          <w:color w:val="auto"/>
          <w:sz w:val="21"/>
          <w:szCs w:val="21"/>
          <w:highlight w:val="none"/>
        </w:rPr>
        <w:fldChar w:fldCharType="begin"/>
      </w:r>
      <w:r>
        <w:rPr>
          <w:rFonts w:hint="default" w:ascii="宋体" w:hAnsi="宋体" w:eastAsia="宋体" w:cs="宋体"/>
          <w:b/>
          <w:color w:val="auto"/>
          <w:sz w:val="21"/>
          <w:szCs w:val="21"/>
          <w:highlight w:val="none"/>
        </w:rPr>
        <w:instrText xml:space="preserve"> HYPERLINK "https://jinrong.zcygov.cn" </w:instrText>
      </w:r>
      <w:r>
        <w:rPr>
          <w:rFonts w:hint="default" w:ascii="宋体" w:hAnsi="宋体" w:eastAsia="宋体" w:cs="宋体"/>
          <w:b/>
          <w:color w:val="auto"/>
          <w:sz w:val="21"/>
          <w:szCs w:val="21"/>
          <w:highlight w:val="none"/>
        </w:rPr>
        <w:fldChar w:fldCharType="separate"/>
      </w:r>
      <w:r>
        <w:rPr>
          <w:rFonts w:hint="default" w:ascii="宋体" w:hAnsi="宋体" w:eastAsia="宋体" w:cs="宋体"/>
          <w:b/>
          <w:color w:val="auto"/>
          <w:sz w:val="21"/>
          <w:szCs w:val="21"/>
          <w:highlight w:val="none"/>
        </w:rPr>
        <w:t>https://jinrong.zcygov.cn</w:t>
      </w:r>
      <w:r>
        <w:rPr>
          <w:rFonts w:hint="default" w:ascii="宋体" w:hAnsi="宋体" w:eastAsia="宋体" w:cs="宋体"/>
          <w:b/>
          <w:color w:val="auto"/>
          <w:sz w:val="21"/>
          <w:szCs w:val="21"/>
          <w:highlight w:val="none"/>
        </w:rPr>
        <w:fldChar w:fldCharType="end"/>
      </w:r>
      <w:r>
        <w:rPr>
          <w:rFonts w:hint="default" w:ascii="宋体" w:hAnsi="宋体" w:eastAsia="宋体" w:cs="宋体"/>
          <w:b/>
          <w:color w:val="auto"/>
          <w:sz w:val="21"/>
          <w:szCs w:val="21"/>
          <w:highlight w:val="none"/>
        </w:rPr>
        <w:t>，政府采购云平台金融服务中心）查看相关政策和服务方案。</w:t>
      </w:r>
    </w:p>
    <w:p>
      <w:pPr>
        <w:pStyle w:val="45"/>
        <w:keepNext w:val="0"/>
        <w:keepLines w:val="0"/>
        <w:pageBreakBefore w:val="0"/>
        <w:topLinePunct w:val="0"/>
        <w:bidi w:val="0"/>
        <w:spacing w:beforeAutospacing="0" w:afterAutospacing="0" w:line="440" w:lineRule="exact"/>
        <w:textAlignment w:val="auto"/>
        <w:rPr>
          <w:rFonts w:ascii="宋体" w:hAnsi="宋体" w:cs="宋体"/>
          <w:b/>
          <w:bCs/>
          <w:color w:val="auto"/>
          <w:kern w:val="2"/>
          <w:sz w:val="21"/>
          <w:szCs w:val="21"/>
          <w:highlight w:val="none"/>
        </w:rPr>
      </w:pPr>
      <w:r>
        <w:rPr>
          <w:rFonts w:ascii="宋体" w:hAnsi="宋体" w:cs="宋体"/>
          <w:b/>
          <w:bCs/>
          <w:color w:val="auto"/>
          <w:kern w:val="2"/>
          <w:sz w:val="21"/>
          <w:szCs w:val="21"/>
          <w:highlight w:val="none"/>
        </w:rPr>
        <w:t>七、对本次招标提出询问、质疑、投诉，请按以下方式联系</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开化县卫生健康局</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地  址：开化县</w:t>
      </w:r>
      <w:r>
        <w:rPr>
          <w:rFonts w:hint="eastAsia" w:ascii="宋体" w:hAnsi="宋体" w:cs="宋体"/>
          <w:color w:val="auto"/>
          <w:kern w:val="2"/>
          <w:sz w:val="21"/>
          <w:szCs w:val="21"/>
          <w:highlight w:val="none"/>
          <w:lang w:val="en-US" w:eastAsia="zh-CN"/>
        </w:rPr>
        <w:t>芹阳办事处凤凰南</w:t>
      </w:r>
      <w:r>
        <w:rPr>
          <w:rFonts w:hint="eastAsia" w:ascii="宋体" w:hAnsi="宋体" w:cs="宋体"/>
          <w:color w:val="auto"/>
          <w:kern w:val="2"/>
          <w:sz w:val="21"/>
          <w:szCs w:val="21"/>
          <w:highlight w:val="none"/>
        </w:rPr>
        <w:t>路</w:t>
      </w: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rPr>
        <w:t>号</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传 真：/</w:t>
      </w:r>
    </w:p>
    <w:p>
      <w:pPr>
        <w:pStyle w:val="45"/>
        <w:keepNext w:val="0"/>
        <w:keepLines w:val="0"/>
        <w:pageBreakBefore w:val="0"/>
        <w:topLinePunct w:val="0"/>
        <w:bidi w:val="0"/>
        <w:spacing w:beforeAutospacing="0" w:afterAutospacing="0"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bCs/>
          <w:color w:val="auto"/>
          <w:kern w:val="2"/>
          <w:sz w:val="21"/>
          <w:szCs w:val="21"/>
          <w:highlight w:val="none"/>
        </w:rPr>
        <w:t>项目联系人（询问）</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王仪康</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olor w:val="auto"/>
          <w:sz w:val="21"/>
          <w:highlight w:val="none"/>
          <w:lang w:val="en-US" w:eastAsia="zh-CN"/>
        </w:rPr>
      </w:pPr>
      <w:r>
        <w:rPr>
          <w:rFonts w:hint="eastAsia" w:ascii="宋体" w:hAnsi="宋体" w:cs="宋体"/>
          <w:bCs/>
          <w:color w:val="auto"/>
          <w:kern w:val="2"/>
          <w:sz w:val="21"/>
          <w:szCs w:val="21"/>
          <w:highlight w:val="none"/>
        </w:rPr>
        <w:t>项目联系方式（询问）</w:t>
      </w:r>
      <w:r>
        <w:rPr>
          <w:rFonts w:hint="eastAsia" w:ascii="宋体" w:hAnsi="宋体" w:cs="宋体"/>
          <w:color w:val="auto"/>
          <w:sz w:val="21"/>
          <w:szCs w:val="21"/>
          <w:highlight w:val="none"/>
        </w:rPr>
        <w:t>：0570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6012927</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rPr>
        <w:t>质疑联系人：</w:t>
      </w:r>
      <w:r>
        <w:rPr>
          <w:rFonts w:hint="eastAsia" w:ascii="宋体" w:hAnsi="宋体" w:cs="宋体"/>
          <w:color w:val="auto"/>
          <w:sz w:val="21"/>
          <w:szCs w:val="21"/>
          <w:highlight w:val="none"/>
          <w:lang w:val="en-US" w:eastAsia="zh-CN"/>
        </w:rPr>
        <w:t>王仪康</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olor w:val="auto"/>
          <w:sz w:val="21"/>
          <w:highlight w:val="none"/>
          <w:lang w:val="en-US" w:eastAsia="zh-CN"/>
        </w:rPr>
      </w:pPr>
      <w:r>
        <w:rPr>
          <w:rFonts w:hint="eastAsia" w:ascii="宋体" w:hAnsi="宋体" w:cs="宋体"/>
          <w:bCs/>
          <w:color w:val="auto"/>
          <w:kern w:val="2"/>
          <w:sz w:val="21"/>
          <w:szCs w:val="21"/>
          <w:highlight w:val="none"/>
        </w:rPr>
        <w:t>质疑联系方式：</w:t>
      </w:r>
      <w:r>
        <w:rPr>
          <w:rFonts w:hint="eastAsia" w:ascii="宋体" w:hAnsi="宋体" w:cs="宋体"/>
          <w:color w:val="auto"/>
          <w:sz w:val="21"/>
          <w:szCs w:val="21"/>
          <w:highlight w:val="none"/>
        </w:rPr>
        <w:t>0570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6012927</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浙江天册工程管理有限公司</w:t>
      </w:r>
      <w:r>
        <w:rPr>
          <w:rFonts w:hint="eastAsia" w:ascii="宋体" w:hAnsi="宋体" w:cs="宋体"/>
          <w:color w:val="auto"/>
          <w:kern w:val="2"/>
          <w:sz w:val="21"/>
          <w:szCs w:val="21"/>
          <w:highlight w:val="none"/>
        </w:rPr>
        <w:t> </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2"/>
          <w:sz w:val="21"/>
          <w:szCs w:val="21"/>
          <w:highlight w:val="none"/>
        </w:rPr>
        <w:t>地  址：</w:t>
      </w:r>
      <w:r>
        <w:rPr>
          <w:rFonts w:hint="eastAsia" w:ascii="宋体" w:hAnsi="宋体" w:eastAsia="宋体" w:cs="宋体"/>
          <w:color w:val="auto"/>
          <w:kern w:val="0"/>
          <w:sz w:val="21"/>
          <w:szCs w:val="21"/>
          <w:highlight w:val="none"/>
          <w:lang w:val="en-US" w:eastAsia="zh-CN" w:bidi="ar-SA"/>
        </w:rPr>
        <w:t>开化县金佰汇7号楼金融中心4楼410室</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传  真：/        </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项目联系人（询问）：</w:t>
      </w:r>
      <w:r>
        <w:rPr>
          <w:rFonts w:hint="eastAsia" w:ascii="宋体" w:hAnsi="宋体" w:cs="宋体"/>
          <w:bCs/>
          <w:color w:val="auto"/>
          <w:kern w:val="2"/>
          <w:sz w:val="21"/>
          <w:szCs w:val="21"/>
          <w:highlight w:val="none"/>
          <w:lang w:val="en-US" w:eastAsia="zh-CN"/>
        </w:rPr>
        <w:t>程虹</w:t>
      </w:r>
      <w:r>
        <w:rPr>
          <w:rFonts w:hint="eastAsia" w:ascii="宋体" w:hAnsi="宋体" w:cs="宋体"/>
          <w:bCs/>
          <w:color w:val="auto"/>
          <w:kern w:val="2"/>
          <w:sz w:val="21"/>
          <w:szCs w:val="21"/>
          <w:highlight w:val="none"/>
        </w:rPr>
        <w:t>     </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项目联系方式（询问）：</w:t>
      </w:r>
      <w:r>
        <w:rPr>
          <w:rFonts w:hint="eastAsia" w:ascii="宋体" w:hAnsi="宋体" w:cs="宋体"/>
          <w:bCs/>
          <w:color w:val="auto"/>
          <w:kern w:val="2"/>
          <w:sz w:val="21"/>
          <w:szCs w:val="21"/>
          <w:highlight w:val="none"/>
          <w:lang w:val="en-US" w:eastAsia="zh-CN"/>
        </w:rPr>
        <w:t>1</w:t>
      </w:r>
      <w:r>
        <w:rPr>
          <w:rFonts w:hint="eastAsia" w:ascii="宋体" w:hAnsi="宋体" w:cs="宋体"/>
          <w:bCs/>
          <w:color w:val="auto"/>
          <w:kern w:val="2"/>
          <w:sz w:val="21"/>
          <w:szCs w:val="21"/>
          <w:highlight w:val="none"/>
          <w:lang w:val="en-US" w:eastAsia="zh-CN"/>
        </w:rPr>
        <w:t>5257000311</w:t>
      </w:r>
      <w:r>
        <w:rPr>
          <w:rFonts w:hint="eastAsia" w:ascii="宋体" w:hAnsi="宋体" w:cs="宋体"/>
          <w:bCs/>
          <w:color w:val="auto"/>
          <w:kern w:val="2"/>
          <w:sz w:val="21"/>
          <w:szCs w:val="21"/>
          <w:highlight w:val="none"/>
        </w:rPr>
        <w:t>　</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lang w:eastAsia="zh-CN"/>
        </w:rPr>
      </w:pPr>
      <w:r>
        <w:rPr>
          <w:rFonts w:hint="eastAsia" w:ascii="宋体" w:hAnsi="宋体" w:cs="宋体"/>
          <w:bCs/>
          <w:color w:val="auto"/>
          <w:kern w:val="2"/>
          <w:sz w:val="21"/>
          <w:szCs w:val="21"/>
          <w:highlight w:val="none"/>
        </w:rPr>
        <w:t>质疑联系人：</w:t>
      </w:r>
      <w:r>
        <w:rPr>
          <w:rFonts w:hint="eastAsia" w:ascii="宋体" w:hAnsi="宋体" w:cs="宋体"/>
          <w:bCs/>
          <w:color w:val="auto"/>
          <w:kern w:val="2"/>
          <w:sz w:val="21"/>
          <w:szCs w:val="21"/>
          <w:highlight w:val="none"/>
          <w:lang w:val="en-US" w:eastAsia="zh-CN" w:bidi="ar-SA"/>
        </w:rPr>
        <w:t>阮少凤</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rPr>
        <w:t>质疑联系方式：</w:t>
      </w:r>
      <w:r>
        <w:rPr>
          <w:rFonts w:hint="eastAsia" w:ascii="宋体" w:hAnsi="宋体" w:eastAsia="宋体" w:cs="宋体"/>
          <w:color w:val="auto"/>
          <w:kern w:val="0"/>
          <w:sz w:val="21"/>
          <w:szCs w:val="21"/>
          <w:highlight w:val="none"/>
          <w:lang w:val="en-US" w:eastAsia="zh-CN" w:bidi="ar-SA"/>
        </w:rPr>
        <w:t>0570-6063317</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rPr>
      </w:pPr>
      <w:r>
        <w:rPr>
          <w:rFonts w:hint="eastAsia" w:ascii="宋体" w:hAnsi="宋体" w:cs="宋体"/>
          <w:color w:val="auto"/>
          <w:kern w:val="2"/>
          <w:sz w:val="21"/>
          <w:szCs w:val="21"/>
          <w:highlight w:val="none"/>
        </w:rPr>
        <w:t>3.</w:t>
      </w:r>
      <w:r>
        <w:rPr>
          <w:rFonts w:hint="eastAsia" w:ascii="宋体" w:hAnsi="宋体" w:cs="宋体"/>
          <w:bCs/>
          <w:color w:val="auto"/>
          <w:kern w:val="2"/>
          <w:sz w:val="21"/>
          <w:szCs w:val="21"/>
          <w:highlight w:val="none"/>
        </w:rPr>
        <w:t>同级政府采购监督管理部门            </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名    称：开化县财政局政府采购监管科（以下简称采监科）</w:t>
      </w:r>
    </w:p>
    <w:p>
      <w:pPr>
        <w:keepNext w:val="0"/>
        <w:keepLines w:val="0"/>
        <w:pageBreakBefore w:val="0"/>
        <w:topLinePunct w:val="0"/>
        <w:bidi w:val="0"/>
        <w:spacing w:line="440" w:lineRule="exact"/>
        <w:ind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地    址：</w:t>
      </w:r>
      <w:r>
        <w:rPr>
          <w:rFonts w:hint="eastAsia" w:ascii="宋体" w:hAnsi="宋体" w:cs="宋体"/>
          <w:bCs/>
          <w:color w:val="auto"/>
          <w:szCs w:val="21"/>
          <w:highlight w:val="none"/>
          <w:lang w:eastAsia="zh-CN"/>
        </w:rPr>
        <w:t>开化县永吉二路8号</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传   </w:t>
      </w:r>
      <w:r>
        <w:rPr>
          <w:rFonts w:hint="eastAsia" w:ascii="宋体" w:hAnsi="宋体" w:cs="宋体"/>
          <w:bCs/>
          <w:color w:val="auto"/>
          <w:kern w:val="2"/>
          <w:sz w:val="21"/>
          <w:szCs w:val="21"/>
          <w:highlight w:val="none"/>
          <w:lang w:val="en-US" w:eastAsia="zh-CN"/>
        </w:rPr>
        <w:t xml:space="preserve"> </w:t>
      </w:r>
      <w:r>
        <w:rPr>
          <w:rFonts w:hint="eastAsia" w:ascii="宋体" w:hAnsi="宋体" w:cs="宋体"/>
          <w:bCs/>
          <w:color w:val="auto"/>
          <w:kern w:val="2"/>
          <w:sz w:val="21"/>
          <w:szCs w:val="21"/>
          <w:highlight w:val="none"/>
        </w:rPr>
        <w:t xml:space="preserve"> 真：/ </w:t>
      </w:r>
    </w:p>
    <w:p>
      <w:pPr>
        <w:pStyle w:val="45"/>
        <w:keepNext w:val="0"/>
        <w:keepLines w:val="0"/>
        <w:pageBreakBefore w:val="0"/>
        <w:topLinePunct w:val="0"/>
        <w:bidi w:val="0"/>
        <w:spacing w:beforeAutospacing="0" w:afterAutospacing="0" w:line="440" w:lineRule="exact"/>
        <w:ind w:firstLine="420" w:firstLineChars="200"/>
        <w:textAlignment w:val="auto"/>
        <w:rPr>
          <w:rFonts w:hint="default"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rPr>
        <w:t>联</w:t>
      </w:r>
      <w:r>
        <w:rPr>
          <w:rFonts w:hint="eastAsia" w:ascii="宋体" w:hAnsi="宋体" w:cs="宋体"/>
          <w:bCs/>
          <w:color w:val="auto"/>
          <w:kern w:val="2"/>
          <w:sz w:val="21"/>
          <w:szCs w:val="21"/>
          <w:highlight w:val="none"/>
          <w:lang w:val="en-US" w:eastAsia="zh-CN"/>
        </w:rPr>
        <w:t xml:space="preserve">  </w:t>
      </w:r>
      <w:r>
        <w:rPr>
          <w:rFonts w:hint="eastAsia" w:ascii="宋体" w:hAnsi="宋体" w:cs="宋体"/>
          <w:bCs/>
          <w:color w:val="auto"/>
          <w:kern w:val="2"/>
          <w:sz w:val="21"/>
          <w:szCs w:val="21"/>
          <w:highlight w:val="none"/>
        </w:rPr>
        <w:t>系</w:t>
      </w:r>
      <w:r>
        <w:rPr>
          <w:rFonts w:hint="eastAsia" w:ascii="宋体" w:hAnsi="宋体" w:cs="宋体"/>
          <w:bCs/>
          <w:color w:val="auto"/>
          <w:kern w:val="2"/>
          <w:sz w:val="21"/>
          <w:szCs w:val="21"/>
          <w:highlight w:val="none"/>
          <w:lang w:val="en-US" w:eastAsia="zh-CN"/>
        </w:rPr>
        <w:t xml:space="preserve">   </w:t>
      </w:r>
      <w:r>
        <w:rPr>
          <w:rFonts w:hint="eastAsia" w:ascii="宋体" w:hAnsi="宋体" w:cs="宋体"/>
          <w:bCs/>
          <w:color w:val="auto"/>
          <w:kern w:val="2"/>
          <w:sz w:val="21"/>
          <w:szCs w:val="21"/>
          <w:highlight w:val="none"/>
        </w:rPr>
        <w:t>人：俞</w:t>
      </w:r>
      <w:r>
        <w:rPr>
          <w:rFonts w:hint="eastAsia" w:ascii="宋体" w:hAnsi="宋体" w:cs="宋体"/>
          <w:bCs/>
          <w:color w:val="auto"/>
          <w:kern w:val="2"/>
          <w:sz w:val="21"/>
          <w:szCs w:val="21"/>
          <w:highlight w:val="none"/>
          <w:lang w:val="en-US" w:eastAsia="zh-CN"/>
        </w:rPr>
        <w:t>晓</w:t>
      </w:r>
      <w:r>
        <w:rPr>
          <w:rFonts w:hint="eastAsia" w:ascii="宋体" w:hAnsi="宋体" w:cs="宋体"/>
          <w:bCs/>
          <w:color w:val="auto"/>
          <w:kern w:val="2"/>
          <w:sz w:val="21"/>
          <w:szCs w:val="21"/>
          <w:highlight w:val="none"/>
          <w:lang w:val="en-US" w:eastAsia="zh-CN"/>
        </w:rPr>
        <w:t>丰</w:t>
      </w: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监督投诉电话：0570-6013637</w:t>
      </w:r>
    </w:p>
    <w:p>
      <w:pPr>
        <w:pStyle w:val="45"/>
        <w:keepNext w:val="0"/>
        <w:keepLines w:val="0"/>
        <w:pageBreakBefore w:val="0"/>
        <w:topLinePunct w:val="0"/>
        <w:bidi w:val="0"/>
        <w:spacing w:beforeAutospacing="0" w:afterAutospacing="0" w:line="440" w:lineRule="exact"/>
        <w:ind w:firstLine="422" w:firstLineChars="200"/>
        <w:textAlignment w:val="auto"/>
        <w:rPr>
          <w:rFonts w:hint="eastAsia" w:ascii="宋体" w:hAnsi="宋体" w:cs="宋体"/>
          <w:b/>
          <w:bCs/>
          <w:color w:val="auto"/>
          <w:kern w:val="2"/>
          <w:sz w:val="21"/>
          <w:szCs w:val="21"/>
          <w:highlight w:val="none"/>
          <w:lang w:eastAsia="zh-CN"/>
        </w:rPr>
      </w:pPr>
      <w:r>
        <w:rPr>
          <w:rFonts w:hint="eastAsia" w:ascii="宋体" w:hAnsi="宋体" w:cs="宋体"/>
          <w:b/>
          <w:bCs/>
          <w:color w:val="auto"/>
          <w:kern w:val="2"/>
          <w:sz w:val="21"/>
          <w:szCs w:val="21"/>
          <w:highlight w:val="none"/>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cs="宋体"/>
          <w:b/>
          <w:bCs/>
          <w:color w:val="auto"/>
          <w:kern w:val="2"/>
          <w:sz w:val="21"/>
          <w:szCs w:val="21"/>
          <w:highlight w:val="none"/>
          <w:lang w:eastAsia="zh-CN"/>
        </w:rPr>
        <w:t>。</w:t>
      </w:r>
    </w:p>
    <w:p>
      <w:pPr>
        <w:pStyle w:val="45"/>
        <w:keepNext w:val="0"/>
        <w:keepLines w:val="0"/>
        <w:pageBreakBefore w:val="0"/>
        <w:topLinePunct w:val="0"/>
        <w:bidi w:val="0"/>
        <w:spacing w:beforeAutospacing="0" w:afterAutospacing="0" w:line="440" w:lineRule="exact"/>
        <w:ind w:firstLine="422" w:firstLineChars="200"/>
        <w:textAlignment w:val="auto"/>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CA问题联系电话（人工）：汇信CA 400-888-4636；天谷CA 400-087-8198。</w:t>
      </w:r>
    </w:p>
    <w:p>
      <w:pPr>
        <w:pStyle w:val="45"/>
        <w:keepNext w:val="0"/>
        <w:keepLines w:val="0"/>
        <w:pageBreakBefore w:val="0"/>
        <w:topLinePunct w:val="0"/>
        <w:bidi w:val="0"/>
        <w:spacing w:beforeAutospacing="0" w:afterAutospacing="0" w:line="440" w:lineRule="exact"/>
        <w:ind w:firstLine="422" w:firstLineChars="200"/>
        <w:textAlignment w:val="auto"/>
        <w:rPr>
          <w:rFonts w:hint="eastAsia" w:ascii="宋体" w:hAnsi="宋体" w:cs="宋体"/>
          <w:b/>
          <w:bCs/>
          <w:color w:val="auto"/>
          <w:kern w:val="2"/>
          <w:sz w:val="21"/>
          <w:szCs w:val="21"/>
          <w:highlight w:val="none"/>
        </w:rPr>
      </w:pPr>
    </w:p>
    <w:p>
      <w:pPr>
        <w:pStyle w:val="45"/>
        <w:keepNext w:val="0"/>
        <w:keepLines w:val="0"/>
        <w:pageBreakBefore w:val="0"/>
        <w:topLinePunct w:val="0"/>
        <w:bidi w:val="0"/>
        <w:spacing w:beforeAutospacing="0" w:afterAutospacing="0" w:line="440" w:lineRule="exact"/>
        <w:ind w:firstLine="420" w:firstLineChars="200"/>
        <w:textAlignment w:val="auto"/>
        <w:rPr>
          <w:rFonts w:hint="eastAsia" w:ascii="宋体" w:hAnsi="宋体" w:cs="宋体"/>
          <w:bCs/>
          <w:color w:val="auto"/>
          <w:sz w:val="21"/>
          <w:szCs w:val="21"/>
          <w:highlight w:val="none"/>
        </w:rPr>
      </w:pPr>
    </w:p>
    <w:p>
      <w:pPr>
        <w:pStyle w:val="45"/>
        <w:keepNext w:val="0"/>
        <w:keepLines w:val="0"/>
        <w:pageBreakBefore w:val="0"/>
        <w:topLinePunct w:val="0"/>
        <w:bidi w:val="0"/>
        <w:spacing w:beforeAutospacing="0" w:afterAutospacing="0" w:line="440" w:lineRule="exact"/>
        <w:ind w:firstLine="420" w:firstLineChars="200"/>
        <w:jc w:val="righ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开化县卫生健康局</w:t>
      </w:r>
    </w:p>
    <w:p>
      <w:pPr>
        <w:pStyle w:val="45"/>
        <w:keepNext w:val="0"/>
        <w:keepLines w:val="0"/>
        <w:pageBreakBefore w:val="0"/>
        <w:topLinePunct w:val="0"/>
        <w:bidi w:val="0"/>
        <w:spacing w:beforeAutospacing="0" w:afterAutospacing="0" w:line="440" w:lineRule="exact"/>
        <w:jc w:val="righ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浙江天册工程管理有限公司</w:t>
      </w:r>
    </w:p>
    <w:p>
      <w:pPr>
        <w:pStyle w:val="45"/>
        <w:keepNext w:val="0"/>
        <w:keepLines w:val="0"/>
        <w:pageBreakBefore w:val="0"/>
        <w:topLinePunct w:val="0"/>
        <w:bidi w:val="0"/>
        <w:spacing w:beforeAutospacing="0" w:afterAutospacing="0" w:line="440" w:lineRule="exact"/>
        <w:jc w:val="center"/>
        <w:textAlignment w:val="auto"/>
        <w:rPr>
          <w:rFonts w:hint="eastAsia" w:ascii="黑体" w:hAnsi="黑体" w:eastAsia="黑体" w:cs="黑体"/>
          <w:color w:val="auto"/>
          <w:sz w:val="36"/>
          <w:szCs w:val="36"/>
          <w:highlight w:val="none"/>
        </w:rPr>
      </w:pPr>
      <w:bookmarkStart w:id="9" w:name="_Toc333842542"/>
      <w:bookmarkStart w:id="10" w:name="_Toc393201705"/>
      <w:bookmarkStart w:id="11" w:name="_Toc358384686"/>
      <w:bookmarkStart w:id="12" w:name="_Toc433917258"/>
      <w:bookmarkStart w:id="13" w:name="_Toc326937528"/>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二○二</w:t>
      </w:r>
      <w:r>
        <w:rPr>
          <w:rFonts w:hint="eastAsia" w:ascii="宋体" w:hAnsi="宋体" w:cs="宋体"/>
          <w:color w:val="auto"/>
          <w:sz w:val="21"/>
          <w:szCs w:val="21"/>
          <w:highlight w:val="none"/>
          <w:lang w:eastAsia="zh-CN"/>
        </w:rPr>
        <w:t>二</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八</w:t>
      </w:r>
      <w:r>
        <w:rPr>
          <w:rFonts w:hint="eastAsia" w:ascii="宋体" w:hAnsi="宋体" w:cs="宋体"/>
          <w:color w:val="auto"/>
          <w:sz w:val="21"/>
          <w:szCs w:val="21"/>
          <w:highlight w:val="none"/>
        </w:rPr>
        <w:t>月</w:t>
      </w:r>
      <w:bookmarkStart w:id="14" w:name="_Toc32706"/>
      <w:r>
        <w:rPr>
          <w:rStyle w:val="59"/>
          <w:rFonts w:hint="eastAsia"/>
        </w:rPr>
        <w:br w:type="page"/>
      </w:r>
      <w:r>
        <w:rPr>
          <w:rStyle w:val="59"/>
          <w:rFonts w:hint="eastAsia"/>
        </w:rPr>
        <w:t>第二章  投标人须知及前附表</w:t>
      </w:r>
      <w:bookmarkEnd w:id="9"/>
      <w:bookmarkEnd w:id="10"/>
      <w:bookmarkEnd w:id="11"/>
      <w:bookmarkEnd w:id="12"/>
      <w:bookmarkEnd w:id="13"/>
      <w:bookmarkEnd w:id="14"/>
    </w:p>
    <w:p>
      <w:pPr>
        <w:pStyle w:val="5"/>
        <w:bidi w:val="0"/>
        <w:rPr>
          <w:rFonts w:hint="eastAsia"/>
        </w:rPr>
      </w:pPr>
      <w:bookmarkStart w:id="15" w:name="_Toc333842543"/>
      <w:bookmarkStart w:id="16" w:name="_Toc326937529"/>
      <w:bookmarkStart w:id="17" w:name="_Toc21471"/>
      <w:bookmarkStart w:id="18" w:name="_Toc393201706"/>
      <w:bookmarkStart w:id="19" w:name="_Toc433917259"/>
      <w:bookmarkStart w:id="20" w:name="_Toc358384687"/>
      <w:r>
        <w:rPr>
          <w:rFonts w:hint="eastAsia"/>
        </w:rPr>
        <w:t>A、投标人须知前附表</w:t>
      </w:r>
      <w:bookmarkEnd w:id="15"/>
      <w:bookmarkEnd w:id="16"/>
      <w:bookmarkEnd w:id="17"/>
      <w:bookmarkEnd w:id="18"/>
      <w:bookmarkEnd w:id="19"/>
      <w:bookmarkEnd w:id="20"/>
    </w:p>
    <w:tbl>
      <w:tblPr>
        <w:tblStyle w:val="4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630"/>
        <w:gridCol w:w="1551"/>
        <w:gridCol w:w="7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78"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Cs w:val="21"/>
                <w:highlight w:val="none"/>
              </w:rPr>
            </w:pPr>
            <w:bookmarkStart w:id="21" w:name="_Toc433917260"/>
            <w:bookmarkStart w:id="22" w:name="_Toc333842544"/>
            <w:bookmarkStart w:id="23" w:name="_Toc326937530"/>
            <w:bookmarkStart w:id="24" w:name="_Toc393201707"/>
            <w:bookmarkStart w:id="25" w:name="_Toc358384688"/>
            <w:r>
              <w:rPr>
                <w:rFonts w:hint="eastAsia" w:ascii="宋体" w:hAnsi="宋体" w:cs="宋体"/>
                <w:b/>
                <w:color w:val="auto"/>
                <w:szCs w:val="21"/>
                <w:highlight w:val="none"/>
              </w:rPr>
              <w:t xml:space="preserve">序号 </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内容</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须     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54"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采购项目</w:t>
            </w:r>
            <w:r>
              <w:rPr>
                <w:rStyle w:val="119"/>
                <w:rFonts w:hint="default" w:cs="宋体"/>
                <w:color w:val="auto"/>
                <w:sz w:val="21"/>
                <w:szCs w:val="21"/>
                <w:highlight w:val="none"/>
              </w:rPr>
              <w:t>概况</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开化县卫生健康局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Style w:val="130"/>
                <w:rFonts w:hint="default" w:cs="宋体"/>
                <w:color w:val="auto"/>
                <w:highlight w:val="none"/>
              </w:rPr>
              <w:t>采购内容：</w:t>
            </w:r>
            <w:r>
              <w:rPr>
                <w:rFonts w:hint="eastAsia" w:ascii="宋体" w:hAnsi="宋体" w:eastAsia="宋体" w:cs="宋体"/>
                <w:color w:val="auto"/>
                <w:szCs w:val="21"/>
                <w:highlight w:val="none"/>
                <w:lang w:eastAsia="zh-CN"/>
              </w:rPr>
              <w:t>开化县卫生健康局2022--2024年度医疗责任保险服务采购项目</w:t>
            </w:r>
            <w:r>
              <w:rPr>
                <w:rStyle w:val="130"/>
                <w:rFonts w:hint="default" w:cs="宋体"/>
                <w:color w:val="auto"/>
                <w:highlight w:val="none"/>
              </w:rPr>
              <w:t>（详见第四章《采购</w:t>
            </w:r>
            <w:r>
              <w:rPr>
                <w:rStyle w:val="130"/>
                <w:rFonts w:hint="eastAsia" w:eastAsia="宋体" w:cs="宋体"/>
                <w:color w:val="auto"/>
                <w:highlight w:val="none"/>
                <w:lang w:eastAsia="zh-CN"/>
              </w:rPr>
              <w:t>需求</w:t>
            </w:r>
            <w:r>
              <w:rPr>
                <w:rStyle w:val="130"/>
                <w:rFonts w:hint="default" w:cs="宋体"/>
                <w:color w:val="auto"/>
                <w:highlight w:val="none"/>
              </w:rPr>
              <w:t>》）</w:t>
            </w:r>
          </w:p>
          <w:p>
            <w:pPr>
              <w:keepNext w:val="0"/>
              <w:keepLines w:val="0"/>
              <w:pageBreakBefore w:val="0"/>
              <w:kinsoku/>
              <w:wordWrap/>
              <w:overflowPunct/>
              <w:topLinePunct w:val="0"/>
              <w:autoSpaceDE/>
              <w:autoSpaceDN/>
              <w:bidi w:val="0"/>
              <w:adjustRightInd/>
              <w:snapToGrid/>
              <w:spacing w:line="400" w:lineRule="exact"/>
              <w:textAlignment w:val="auto"/>
              <w:rPr>
                <w:rStyle w:val="130"/>
                <w:rFonts w:hint="eastAsia" w:eastAsia="宋体" w:cs="宋体"/>
                <w:color w:val="auto"/>
                <w:highlight w:val="none"/>
                <w:lang w:eastAsia="zh-CN"/>
              </w:rPr>
            </w:pPr>
            <w:r>
              <w:rPr>
                <w:rStyle w:val="130"/>
                <w:rFonts w:hint="default" w:cs="宋体"/>
                <w:color w:val="auto"/>
                <w:highlight w:val="none"/>
              </w:rPr>
              <w:t>项目编号：</w:t>
            </w:r>
            <w:r>
              <w:rPr>
                <w:rStyle w:val="130"/>
                <w:rFonts w:hint="eastAsia" w:eastAsia="宋体" w:cs="宋体"/>
                <w:color w:val="auto"/>
                <w:highlight w:val="none"/>
                <w:lang w:eastAsia="zh-CN"/>
              </w:rPr>
              <w:t>TCCG2022-YLZRBX</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rPr>
            </w:pPr>
            <w:r>
              <w:rPr>
                <w:rFonts w:hint="eastAsia" w:ascii="宋体" w:hAnsi="宋体" w:cs="宋体"/>
                <w:color w:val="auto"/>
                <w:highlight w:val="none"/>
              </w:rPr>
              <w:t>采购预算为：</w:t>
            </w:r>
            <w:r>
              <w:rPr>
                <w:rFonts w:hint="eastAsia" w:ascii="宋体" w:hAnsi="宋体" w:cs="宋体"/>
                <w:color w:val="auto"/>
                <w:szCs w:val="21"/>
                <w:highlight w:val="none"/>
                <w:lang w:val="en-US" w:eastAsia="zh-CN"/>
              </w:rPr>
              <w:t>660万元</w:t>
            </w:r>
            <w:r>
              <w:rPr>
                <w:rFonts w:hint="eastAsia" w:ascii="宋体" w:hAnsi="宋体" w:cs="宋体"/>
                <w:color w:val="auto"/>
                <w:highlight w:val="non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rPr>
            </w:pPr>
            <w:r>
              <w:rPr>
                <w:rFonts w:hint="eastAsia" w:ascii="宋体" w:hAnsi="宋体"/>
                <w:color w:val="auto"/>
                <w:highlight w:val="none"/>
              </w:rPr>
              <w:t>最高限价：</w:t>
            </w:r>
            <w:r>
              <w:rPr>
                <w:rFonts w:hint="eastAsia" w:ascii="宋体" w:hAnsi="宋体" w:cs="宋体"/>
                <w:color w:val="auto"/>
                <w:szCs w:val="21"/>
                <w:highlight w:val="none"/>
                <w:lang w:val="en-US" w:eastAsia="zh-CN"/>
              </w:rPr>
              <w:t>660万元</w:t>
            </w:r>
          </w:p>
          <w:p>
            <w:pPr>
              <w:keepNext w:val="0"/>
              <w:keepLines w:val="0"/>
              <w:pageBreakBefore w:val="0"/>
              <w:kinsoku/>
              <w:wordWrap/>
              <w:overflowPunct/>
              <w:topLinePunct w:val="0"/>
              <w:autoSpaceDE/>
              <w:autoSpaceDN/>
              <w:bidi w:val="0"/>
              <w:adjustRightInd/>
              <w:snapToGrid/>
              <w:spacing w:line="400" w:lineRule="exact"/>
              <w:textAlignment w:val="auto"/>
              <w:rPr>
                <w:rStyle w:val="130"/>
                <w:rFonts w:hint="eastAsia" w:eastAsia="宋体" w:cs="宋体"/>
                <w:bCs/>
                <w:color w:val="auto"/>
                <w:highlight w:val="none"/>
                <w:lang w:eastAsia="zh-CN"/>
              </w:rPr>
            </w:pPr>
            <w:r>
              <w:rPr>
                <w:rFonts w:hint="eastAsia" w:ascii="宋体" w:hAnsi="宋体" w:cs="宋体"/>
                <w:color w:val="auto"/>
                <w:highlight w:val="none"/>
              </w:rPr>
              <w:t>服务期限：</w:t>
            </w:r>
            <w:r>
              <w:rPr>
                <w:rFonts w:hint="eastAsia" w:ascii="宋体" w:hAnsi="宋体" w:cs="宋体"/>
                <w:color w:val="auto"/>
                <w:highlight w:val="none"/>
                <w:lang w:eastAsia="zh-CN"/>
              </w:rPr>
              <w:t>详见采购需求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26" w:hRule="atLeast"/>
          <w:jc w:val="center"/>
        </w:trPr>
        <w:tc>
          <w:tcPr>
            <w:tcW w:w="63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1551" w:type="dxa"/>
            <w:shd w:val="clear" w:color="000000" w:fill="auto"/>
            <w:noWrap w:val="0"/>
            <w:vAlign w:val="center"/>
          </w:tcPr>
          <w:p>
            <w:pPr>
              <w:pStyle w:val="26"/>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cs="宋体"/>
                <w:color w:val="auto"/>
                <w:szCs w:val="21"/>
                <w:highlight w:val="none"/>
              </w:rPr>
            </w:pPr>
            <w:r>
              <w:rPr>
                <w:rFonts w:hint="eastAsia" w:hAnsi="宋体" w:cs="宋体"/>
                <w:color w:val="auto"/>
                <w:szCs w:val="21"/>
                <w:highlight w:val="none"/>
              </w:rPr>
              <w:t>信用查询</w:t>
            </w:r>
          </w:p>
        </w:tc>
        <w:tc>
          <w:tcPr>
            <w:tcW w:w="7145" w:type="dxa"/>
            <w:shd w:val="clear" w:color="000000" w:fill="auto"/>
            <w:noWrap w:val="0"/>
            <w:vAlign w:val="center"/>
          </w:tcPr>
          <w:p>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hAnsi="宋体" w:cs="宋体"/>
                <w:color w:val="auto"/>
                <w:szCs w:val="21"/>
                <w:highlight w:val="none"/>
              </w:rPr>
            </w:pPr>
            <w:r>
              <w:rPr>
                <w:rFonts w:hint="eastAsia" w:hAnsi="宋体" w:cs="宋体"/>
                <w:color w:val="auto"/>
                <w:szCs w:val="21"/>
                <w:highlight w:val="none"/>
              </w:rPr>
              <w:t>根据《关于在政府采购活动中查询及使用信用记录有关问题的通知》财库[2016]125号的规定：</w:t>
            </w:r>
          </w:p>
          <w:p>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hAnsi="宋体" w:cs="宋体"/>
                <w:color w:val="auto"/>
                <w:szCs w:val="21"/>
                <w:highlight w:val="none"/>
              </w:rPr>
            </w:pPr>
            <w:r>
              <w:rPr>
                <w:rFonts w:hint="eastAsia" w:hAnsi="宋体" w:cs="宋体"/>
                <w:color w:val="auto"/>
                <w:szCs w:val="21"/>
                <w:highlight w:val="none"/>
              </w:rPr>
              <w:t>1.采购人或采购代理机构在开标当日将对本项目投标人的信用记录进行查询。查询渠道为信用中国网站（www.creditchina.gov.cn）和中国政府采购网（www.ccgp.gov.cn）等。</w:t>
            </w:r>
          </w:p>
          <w:p>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hAnsi="宋体" w:cs="宋体"/>
                <w:color w:val="auto"/>
                <w:szCs w:val="21"/>
                <w:highlight w:val="none"/>
              </w:rPr>
            </w:pPr>
            <w:r>
              <w:rPr>
                <w:rFonts w:hint="eastAsia" w:hAnsi="宋体" w:cs="宋体"/>
                <w:color w:val="auto"/>
                <w:szCs w:val="21"/>
                <w:highlight w:val="none"/>
              </w:rPr>
              <w:t>2.信用信息查询的截止时点：提交投标文件（响应文件）截止时间前3年内；</w:t>
            </w:r>
          </w:p>
          <w:p>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hAnsi="宋体" w:cs="宋体"/>
                <w:b/>
                <w:bCs/>
                <w:color w:val="auto"/>
                <w:szCs w:val="21"/>
                <w:highlight w:val="none"/>
              </w:rPr>
            </w:pPr>
            <w:r>
              <w:rPr>
                <w:rFonts w:hint="eastAsia" w:hAnsi="宋体" w:cs="宋体"/>
                <w:color w:val="auto"/>
                <w:szCs w:val="21"/>
                <w:highlight w:val="none"/>
                <w:lang w:val="en-US" w:eastAsia="zh-CN"/>
              </w:rPr>
              <w:t>3</w:t>
            </w:r>
            <w:r>
              <w:rPr>
                <w:rFonts w:hint="eastAsia" w:hAnsi="宋体" w:cs="宋体"/>
                <w:color w:val="auto"/>
                <w:szCs w:val="21"/>
                <w:highlight w:val="none"/>
              </w:rPr>
              <w:t>.使用规则：被列入失信被执行人、重大税收违法案件当事人名单、政府采购严重违法失信行为记录名单及其它不符合《中华人民共和国政府采购法》第二十二条规定条件的，</w:t>
            </w:r>
            <w:r>
              <w:rPr>
                <w:rFonts w:hint="eastAsia" w:hAnsi="宋体" w:cs="宋体"/>
                <w:b/>
                <w:bCs/>
                <w:color w:val="auto"/>
                <w:szCs w:val="21"/>
                <w:highlight w:val="none"/>
              </w:rPr>
              <w:t>其投标将被拒绝。</w:t>
            </w:r>
          </w:p>
          <w:p>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hAnsi="宋体" w:cs="宋体"/>
                <w:color w:val="auto"/>
                <w:szCs w:val="21"/>
                <w:highlight w:val="none"/>
              </w:rPr>
            </w:pPr>
            <w:r>
              <w:rPr>
                <w:rFonts w:hint="eastAsia" w:hAnsi="宋体" w:cs="宋体"/>
                <w:color w:val="auto"/>
                <w:szCs w:val="21"/>
                <w:highlight w:val="none"/>
                <w:lang w:val="en-US" w:eastAsia="zh-CN"/>
              </w:rPr>
              <w:t>4</w:t>
            </w:r>
            <w:r>
              <w:rPr>
                <w:rFonts w:hint="eastAsia" w:hAnsi="宋体" w:cs="宋体"/>
                <w:color w:val="auto"/>
                <w:szCs w:val="21"/>
                <w:highlight w:val="none"/>
              </w:rPr>
              <w:t>.联合体成员任意一方存在不良信用记录的，视同联合体存在不良信用记录。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49"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中小企业预留份额情况</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lang w:eastAsia="zh-CN"/>
              </w:rPr>
              <w:t>根据《政府采购促进中小企业发展管理办法》财库〔2020〕46号文件的规定，</w:t>
            </w:r>
            <w:r>
              <w:rPr>
                <w:rFonts w:hint="eastAsia" w:ascii="宋体" w:hAnsi="宋体" w:eastAsia="宋体" w:cs="宋体"/>
                <w:b/>
                <w:bCs/>
                <w:color w:val="auto"/>
                <w:sz w:val="21"/>
                <w:szCs w:val="21"/>
                <w:lang w:eastAsia="zh-CN"/>
              </w:rPr>
              <w:t>本项目</w:t>
            </w:r>
            <w:r>
              <w:rPr>
                <w:rFonts w:hint="eastAsia" w:hAnsi="宋体" w:eastAsia="宋体" w:cs="宋体"/>
                <w:b/>
                <w:bCs/>
                <w:color w:val="auto"/>
                <w:sz w:val="21"/>
                <w:szCs w:val="21"/>
                <w:lang w:val="en-US" w:eastAsia="zh-CN"/>
              </w:rPr>
              <w:t>不属于</w:t>
            </w:r>
            <w:r>
              <w:rPr>
                <w:rFonts w:hint="eastAsia" w:ascii="宋体" w:hAnsi="宋体" w:eastAsia="宋体" w:cs="宋体"/>
                <w:b/>
                <w:bCs/>
                <w:color w:val="auto"/>
                <w:sz w:val="21"/>
                <w:szCs w:val="21"/>
                <w:lang w:eastAsia="zh-CN"/>
              </w:rPr>
              <w:t>预留份额专门面向中小企业采购的项目</w:t>
            </w:r>
            <w:r>
              <w:rPr>
                <w:rFonts w:hint="eastAsia" w:ascii="宋体" w:hAnsi="宋体" w:eastAsia="宋体" w:cs="宋体"/>
                <w:color w:val="auto"/>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49"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hAnsi="宋体" w:cs="宋体"/>
                <w:color w:val="auto"/>
                <w:szCs w:val="21"/>
                <w:lang w:bidi="ar"/>
              </w:rPr>
              <w:t>中小企业有关政策</w:t>
            </w:r>
          </w:p>
        </w:tc>
        <w:tc>
          <w:tcPr>
            <w:tcW w:w="7145" w:type="dxa"/>
            <w:shd w:val="clear" w:color="000000" w:fill="auto"/>
            <w:noWrap w:val="0"/>
            <w:vAlign w:val="center"/>
          </w:tcPr>
          <w:p>
            <w:pPr>
              <w:pStyle w:val="187"/>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bCs/>
                <w:color w:val="auto"/>
                <w:sz w:val="21"/>
                <w:szCs w:val="21"/>
                <w:highlight w:val="none"/>
                <w:u w:val="single"/>
              </w:rPr>
            </w:pPr>
            <w:r>
              <w:rPr>
                <w:rFonts w:hint="eastAsia"/>
                <w:bCs/>
                <w:color w:val="auto"/>
                <w:sz w:val="21"/>
                <w:szCs w:val="21"/>
                <w:highlight w:val="none"/>
              </w:rPr>
              <w:t>1.项目属性:</w:t>
            </w:r>
            <w:r>
              <w:rPr>
                <w:rFonts w:hint="eastAsia"/>
                <w:color w:val="auto"/>
                <w:sz w:val="21"/>
                <w:szCs w:val="21"/>
                <w:highlight w:val="none"/>
              </w:rPr>
              <w:t>□</w:t>
            </w:r>
            <w:r>
              <w:rPr>
                <w:rFonts w:hint="eastAsia"/>
                <w:bCs/>
                <w:color w:val="auto"/>
                <w:sz w:val="21"/>
                <w:szCs w:val="21"/>
                <w:highlight w:val="none"/>
              </w:rPr>
              <w:t xml:space="preserve">货物类  </w:t>
            </w:r>
            <w:r>
              <w:rPr>
                <w:rFonts w:hint="eastAsia"/>
                <w:color w:val="auto"/>
                <w:sz w:val="21"/>
                <w:szCs w:val="21"/>
                <w:highlight w:val="none"/>
              </w:rPr>
              <w:t>☑</w:t>
            </w:r>
            <w:r>
              <w:rPr>
                <w:rFonts w:hint="eastAsia"/>
                <w:bCs/>
                <w:color w:val="auto"/>
                <w:sz w:val="21"/>
                <w:szCs w:val="21"/>
                <w:highlight w:val="none"/>
              </w:rPr>
              <w:t xml:space="preserve">服务类  </w:t>
            </w:r>
            <w:r>
              <w:rPr>
                <w:rFonts w:hint="eastAsia"/>
                <w:color w:val="auto"/>
                <w:sz w:val="21"/>
                <w:szCs w:val="21"/>
                <w:highlight w:val="none"/>
              </w:rPr>
              <w:t>□</w:t>
            </w:r>
            <w:r>
              <w:rPr>
                <w:rFonts w:hint="eastAsia"/>
                <w:bCs/>
                <w:color w:val="auto"/>
                <w:sz w:val="21"/>
                <w:szCs w:val="21"/>
                <w:highlight w:val="none"/>
              </w:rPr>
              <w:t>工程类</w:t>
            </w:r>
          </w:p>
          <w:p>
            <w:pPr>
              <w:pStyle w:val="187"/>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color w:val="auto"/>
                <w:sz w:val="21"/>
                <w:szCs w:val="21"/>
                <w:highlight w:val="none"/>
              </w:rPr>
            </w:pPr>
            <w:r>
              <w:rPr>
                <w:rFonts w:hint="eastAsia"/>
                <w:color w:val="auto"/>
                <w:sz w:val="21"/>
                <w:szCs w:val="21"/>
                <w:highlight w:val="none"/>
              </w:rPr>
              <w:t>2.中小企业划分标准所属行业根据《中小企业划型标准规定》执行，但按财库〔2020〕46号文件规定，与大企业的负责人为同一人、或者与大企业存在直接控股、管理关系的除外。</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3.采购标的名称：</w:t>
            </w:r>
            <w:r>
              <w:rPr>
                <w:rFonts w:hint="eastAsia" w:ascii="宋体" w:hAnsi="宋体" w:eastAsia="宋体" w:cs="宋体"/>
                <w:color w:val="auto"/>
                <w:sz w:val="21"/>
                <w:szCs w:val="21"/>
                <w:u w:val="single"/>
              </w:rPr>
              <w:t>医疗责任保险</w:t>
            </w:r>
            <w:r>
              <w:rPr>
                <w:rFonts w:hint="eastAsia" w:ascii="宋体" w:hAnsi="宋体" w:cs="宋体"/>
                <w:bCs/>
                <w:color w:val="auto"/>
                <w:szCs w:val="21"/>
                <w:highlight w:val="none"/>
              </w:rPr>
              <w:t>，所属行业：</w:t>
            </w:r>
            <w:r>
              <w:rPr>
                <w:rFonts w:hint="eastAsia" w:ascii="宋体" w:hAnsi="宋体" w:cs="宋体"/>
                <w:bCs/>
                <w:color w:val="auto"/>
                <w:szCs w:val="21"/>
                <w:highlight w:val="none"/>
                <w:u w:val="single"/>
                <w:lang w:val="en-US" w:eastAsia="zh-CN"/>
              </w:rPr>
              <w:t xml:space="preserve"> 其他服务</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val="0"/>
                <w:bCs/>
                <w:strike/>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根据财库〔2020〕46号的</w:t>
            </w:r>
            <w:r>
              <w:rPr>
                <w:rFonts w:hint="eastAsia" w:ascii="宋体" w:hAnsi="宋体" w:eastAsia="宋体" w:cs="宋体"/>
                <w:b w:val="0"/>
                <w:bCs/>
                <w:color w:val="auto"/>
                <w:sz w:val="21"/>
                <w:szCs w:val="21"/>
                <w:highlight w:val="none"/>
                <w:lang w:val="en-US" w:eastAsia="zh-CN"/>
              </w:rPr>
              <w:t>第十一条</w:t>
            </w:r>
            <w:r>
              <w:rPr>
                <w:rFonts w:hint="eastAsia" w:ascii="宋体" w:hAnsi="宋体" w:eastAsia="宋体" w:cs="宋体"/>
                <w:b w:val="0"/>
                <w:bCs/>
                <w:color w:val="auto"/>
                <w:sz w:val="21"/>
                <w:szCs w:val="21"/>
                <w:highlight w:val="none"/>
              </w:rPr>
              <w:t>规定，中小企业参加政府采购活动，应当出具本办法规定的《中小企业声明函》，否则不得享受相关中小企业扶持政策。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根据浙财采监〔2022〕8号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浙江省财政厅关于进一步加大政府采购支持中小企业力度助力扎实稳住经济的通知</w:t>
            </w:r>
            <w:r>
              <w:rPr>
                <w:rFonts w:hint="eastAsia" w:ascii="宋体" w:hAnsi="宋体" w:eastAsia="宋体" w:cs="宋体"/>
                <w:color w:val="auto"/>
                <w:sz w:val="21"/>
                <w:szCs w:val="21"/>
                <w:highlight w:val="none"/>
                <w:lang w:eastAsia="zh-CN"/>
              </w:rPr>
              <w:t>》规定和采购人提供的</w:t>
            </w:r>
            <w:r>
              <w:rPr>
                <w:rFonts w:hint="eastAsia" w:ascii="宋体" w:hAnsi="宋体" w:eastAsia="宋体" w:cs="宋体"/>
                <w:color w:val="auto"/>
                <w:sz w:val="21"/>
                <w:szCs w:val="21"/>
                <w:highlight w:val="none"/>
                <w:lang w:val="en-US" w:eastAsia="zh-CN"/>
              </w:rPr>
              <w:t>面向中小企业预留采购份额确认函</w:t>
            </w:r>
            <w:r>
              <w:rPr>
                <w:rFonts w:hint="eastAsia" w:ascii="宋体" w:hAnsi="宋体" w:eastAsia="宋体" w:cs="宋体"/>
                <w:bCs/>
                <w:color w:val="auto"/>
                <w:sz w:val="21"/>
                <w:szCs w:val="21"/>
                <w:highlight w:val="none"/>
              </w:rPr>
              <w:t>，在评审时对符合本办法规定的小微企业报价给予</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%的扣除，取扣除后的价格作为最终投标报价（此最终投标报价仅作为价格分计算）。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7.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49"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sz w:val="21"/>
                <w:szCs w:val="21"/>
                <w:lang w:val="en-US" w:eastAsia="zh-CN"/>
              </w:rPr>
              <w:t>5</w:t>
            </w:r>
          </w:p>
        </w:tc>
        <w:tc>
          <w:tcPr>
            <w:tcW w:w="1551" w:type="dxa"/>
            <w:shd w:val="clear" w:color="000000" w:fill="auto"/>
            <w:noWrap w:val="0"/>
            <w:vAlign w:val="center"/>
          </w:tcPr>
          <w:p>
            <w:pPr>
              <w:pStyle w:val="26"/>
              <w:keepNext w:val="0"/>
              <w:keepLines w:val="0"/>
              <w:pageBreakBefore w:val="0"/>
              <w:kinsoku/>
              <w:wordWrap/>
              <w:overflowPunct/>
              <w:topLinePunct w:val="0"/>
              <w:autoSpaceDE/>
              <w:autoSpaceDN/>
              <w:bidi w:val="0"/>
              <w:adjustRightInd/>
              <w:snapToGrid/>
              <w:spacing w:line="400" w:lineRule="exact"/>
              <w:jc w:val="center"/>
              <w:textAlignment w:val="auto"/>
              <w:rPr>
                <w:rFonts w:hint="eastAsia" w:hAnsi="宋体" w:cs="宋体"/>
                <w:color w:val="auto"/>
                <w:szCs w:val="21"/>
                <w:lang w:bidi="ar"/>
              </w:rPr>
            </w:pPr>
            <w:r>
              <w:rPr>
                <w:rFonts w:hint="eastAsia" w:hAnsi="宋体" w:cs="宋体"/>
                <w:szCs w:val="21"/>
              </w:rPr>
              <w:t>政府采购节能环保产品</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 w:val="21"/>
                <w:szCs w:val="21"/>
                <w:lang w:eastAsia="zh-CN"/>
              </w:rPr>
            </w:pPr>
            <w:r>
              <w:rPr>
                <w:rFonts w:hint="eastAsia" w:ascii="宋体" w:hAnsi="宋体" w:cs="宋体"/>
                <w:sz w:val="21"/>
                <w:szCs w:val="21"/>
                <w:lang w:eastAsia="zh-CN"/>
              </w:rPr>
              <w:t xml:space="preserve">本项目是否适用政府采购节能环保产品：□是  </w:t>
            </w:r>
            <w:r>
              <w:rPr>
                <w:rFonts w:hint="eastAsia" w:ascii="宋体" w:hAnsi="宋体" w:cs="宋体"/>
                <w:sz w:val="21"/>
                <w:szCs w:val="21"/>
                <w:lang w:eastAsia="zh-CN"/>
              </w:rPr>
              <w:sym w:font="Wingdings 2" w:char="0052"/>
            </w:r>
            <w:r>
              <w:rPr>
                <w:rFonts w:hint="eastAsia" w:ascii="宋体" w:hAnsi="宋体" w:cs="宋体"/>
                <w:sz w:val="21"/>
                <w:szCs w:val="21"/>
                <w:lang w:eastAsia="zh-CN"/>
              </w:rPr>
              <w:t>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 w:val="21"/>
                <w:szCs w:val="21"/>
                <w:lang w:eastAsia="zh-CN"/>
              </w:rPr>
            </w:pPr>
            <w:r>
              <w:rPr>
                <w:rFonts w:hint="eastAsia" w:ascii="宋体" w:hAnsi="宋体" w:cs="宋体"/>
                <w:sz w:val="21"/>
                <w:szCs w:val="21"/>
                <w:lang w:eastAsia="zh-CN"/>
              </w:rPr>
              <w:t>投标产品若属于节能（环保）产品的，请提供财政部、生态环境部发布有效期内《环境标志产品政府采购品目清单》或财政部、发展改革委联合发布有效期内《节能产品政府采购品目清单》中的产品。</w:t>
            </w:r>
          </w:p>
          <w:p>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hAnsi="宋体" w:cs="宋体"/>
                <w:szCs w:val="21"/>
              </w:rPr>
              <w:t>《采购需求》中要求提供的产品属于《节能产品政府采购品目清单》中政府强制采购产品的，投标人须提供该清单内产品，</w:t>
            </w:r>
            <w:r>
              <w:rPr>
                <w:rFonts w:hint="eastAsia" w:hAnsi="宋体" w:cs="宋体"/>
                <w:b/>
                <w:szCs w:val="21"/>
              </w:rPr>
              <w:t>否则其投标将作为无效标处理。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49"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是否允许进口产品</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49"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是否允许转包与分包</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转包：□是   ☑否</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分包：□是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49"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49"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是否组织踏勘现场</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投标人自行组织踏勘现场，费用自理。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49"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答疑与澄清</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投标人如对招标文件有异议，应当于公告发布之日起至公告期限满第7个工作日内，以书面形式向采购人提出，逾期不予受理。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1"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投标文件提交截止日起90日内。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1"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Style w:val="130"/>
                <w:rFonts w:hint="default" w:cs="宋体"/>
                <w:color w:val="auto"/>
                <w:highlight w:val="none"/>
              </w:rPr>
            </w:pPr>
            <w:r>
              <w:rPr>
                <w:rFonts w:hint="eastAsia" w:hAnsi="宋体" w:cs="宋体"/>
                <w:color w:val="auto"/>
                <w:kern w:val="0"/>
                <w:szCs w:val="21"/>
                <w:lang w:bidi="en-US"/>
              </w:rPr>
              <w:t>电子</w:t>
            </w: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的传输</w:t>
            </w:r>
            <w:r>
              <w:rPr>
                <w:rFonts w:hint="eastAsia" w:ascii="宋体" w:hAnsi="宋体" w:cs="宋体"/>
                <w:color w:val="auto"/>
                <w:szCs w:val="21"/>
                <w:highlight w:val="none"/>
              </w:rPr>
              <w:t>递交</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Style w:val="130"/>
                <w:rFonts w:hint="default" w:cs="宋体"/>
                <w:color w:val="auto"/>
                <w:highlight w:val="none"/>
              </w:rPr>
            </w:pPr>
            <w:r>
              <w:rPr>
                <w:rFonts w:hint="eastAsia" w:ascii="宋体" w:hAnsi="宋体" w:cs="宋体"/>
                <w:color w:val="auto"/>
                <w:szCs w:val="21"/>
                <w:highlight w:val="none"/>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10"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15257000311</w:t>
            </w:r>
            <w:r>
              <w:rPr>
                <w:rFonts w:hint="eastAsia" w:ascii="宋体" w:hAnsi="宋体" w:cs="宋体"/>
                <w:color w:val="auto"/>
                <w:szCs w:val="21"/>
                <w:highlight w:val="none"/>
              </w:rPr>
              <w:t xml:space="preserve">   电子邮箱：</w:t>
            </w:r>
            <w:r>
              <w:rPr>
                <w:rFonts w:hint="eastAsia" w:ascii="宋体" w:hAnsi="宋体" w:cs="宋体"/>
                <w:color w:val="auto"/>
                <w:szCs w:val="21"/>
                <w:highlight w:val="none"/>
                <w:u w:val="none"/>
              </w:rPr>
              <w:fldChar w:fldCharType="begin"/>
            </w:r>
            <w:r>
              <w:rPr>
                <w:rFonts w:hint="eastAsia" w:ascii="宋体" w:hAnsi="宋体" w:cs="宋体"/>
                <w:color w:val="auto"/>
                <w:szCs w:val="21"/>
                <w:highlight w:val="none"/>
                <w:u w:val="none"/>
              </w:rPr>
              <w:instrText xml:space="preserve"> HYPERLINK "mailto:khxztbzx@163.com" </w:instrText>
            </w:r>
            <w:r>
              <w:rPr>
                <w:rFonts w:hint="eastAsia" w:ascii="宋体" w:hAnsi="宋体" w:cs="宋体"/>
                <w:color w:val="auto"/>
                <w:szCs w:val="21"/>
                <w:highlight w:val="none"/>
                <w:u w:val="none"/>
              </w:rPr>
              <w:fldChar w:fldCharType="separate"/>
            </w:r>
            <w:r>
              <w:rPr>
                <w:rStyle w:val="57"/>
                <w:rFonts w:hint="eastAsia" w:ascii="宋体" w:hAnsi="宋体" w:cs="宋体"/>
                <w:color w:val="auto"/>
                <w:szCs w:val="21"/>
                <w:highlight w:val="none"/>
                <w:u w:val="none"/>
                <w:lang w:val="en-US" w:eastAsia="zh-CN"/>
              </w:rPr>
              <w:t>329023157</w:t>
            </w:r>
            <w:r>
              <w:rPr>
                <w:rStyle w:val="57"/>
                <w:rFonts w:hint="eastAsia" w:ascii="宋体" w:hAnsi="宋体" w:cs="宋体"/>
                <w:color w:val="auto"/>
                <w:szCs w:val="21"/>
                <w:highlight w:val="none"/>
                <w:u w:val="none"/>
              </w:rPr>
              <w:t>@qq.com</w:t>
            </w:r>
            <w:r>
              <w:rPr>
                <w:rFonts w:hint="eastAsia" w:ascii="宋体" w:hAnsi="宋体" w:cs="宋体"/>
                <w:color w:val="auto"/>
                <w:szCs w:val="21"/>
                <w:highlight w:val="none"/>
                <w:u w:val="non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56"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bCs/>
                <w:color w:val="auto"/>
                <w:kern w:val="0"/>
                <w:szCs w:val="21"/>
                <w:highlight w:val="none"/>
              </w:rPr>
              <w:t>投标材料形式、制作及组成</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1.供应商应准备投标文件，按政采云平台项目采购-电子招投标操作指南</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"https://help.zcy.gov.cn/web/site_2/2018/12-28/2573.html）及本招标文件要求递交。"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及本招标文件要求递交。</w:t>
            </w:r>
            <w:r>
              <w:rPr>
                <w:rFonts w:hint="eastAsia" w:ascii="宋体" w:hAnsi="宋体" w:cs="宋体"/>
                <w:color w:val="auto"/>
                <w:szCs w:val="21"/>
                <w:highlight w:val="none"/>
              </w:rPr>
              <w:fldChar w:fldCharType="end"/>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2.投标文件均由资格证明文件、技术商务文件、报价文件三部份组成。</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如认为需要，投标人可以选择递交以介质（U盘）存储的数据电文形式的“备份投标文件”，“备份投标文件”应当密封包装并在包装上标注投标项目名称、投标单位名称并加盖公章，且在投标截止时间前，通过邮寄或现场送达等方式送至指定地点，逾期送达或未密封将被拒收。（邮寄收件地址：浙江省衢州市开化县凤凰南路2号  开化县公共资源交易中心  邮编：324300收件人：</w:t>
            </w:r>
            <w:r>
              <w:rPr>
                <w:rFonts w:hint="eastAsia" w:ascii="宋体" w:hAnsi="宋体" w:cs="宋体"/>
                <w:color w:val="auto"/>
                <w:szCs w:val="21"/>
                <w:highlight w:val="none"/>
                <w:lang w:eastAsia="zh-CN"/>
              </w:rPr>
              <w:t>浙江天册工程管理有限公司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程虹</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lang w:eastAsia="zh-CN"/>
              </w:rPr>
              <w:t>15257000311</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Style w:val="130"/>
                <w:rFonts w:hint="eastAsia" w:ascii="宋体" w:hAnsi="宋体" w:eastAsia="宋体" w:cs="宋体"/>
                <w:b/>
                <w:bCs/>
                <w:i w:val="0"/>
                <w:iCs w:val="0"/>
                <w:color w:val="auto"/>
                <w:sz w:val="21"/>
                <w:szCs w:val="21"/>
                <w:lang w:val="en-US" w:eastAsia="zh-CN"/>
              </w:rPr>
              <w:t>4.</w:t>
            </w:r>
            <w:r>
              <w:rPr>
                <w:rFonts w:hint="eastAsia" w:ascii="宋体" w:hAnsi="宋体" w:eastAsia="宋体" w:cs="宋体"/>
                <w:b/>
                <w:bCs/>
                <w:i w:val="0"/>
                <w:iCs w:val="0"/>
                <w:color w:val="auto"/>
                <w:kern w:val="2"/>
                <w:sz w:val="21"/>
                <w:szCs w:val="21"/>
                <w:highlight w:val="none"/>
                <w:lang w:val="en-US" w:eastAsia="zh-CN" w:bidi="ar-SA"/>
              </w:rPr>
              <w:t>成交供应商在领取成交通知书后需另行提供纸质版投标文件3份。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0"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 xml:space="preserve"> </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Cs w:val="21"/>
                <w:highlight w:val="none"/>
              </w:rPr>
            </w:pPr>
            <w:r>
              <w:rPr>
                <w:rFonts w:hint="eastAsia" w:ascii="宋体" w:hAnsi="宋体" w:cs="宋体"/>
                <w:color w:val="auto"/>
                <w:szCs w:val="21"/>
                <w:highlight w:val="none"/>
              </w:rPr>
              <w:t>投标截止时间</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 xml:space="preserve"> 2022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8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14:30 </w:t>
            </w:r>
            <w:r>
              <w:rPr>
                <w:rFonts w:hint="eastAsia" w:ascii="宋体" w:hAnsi="宋体" w:cs="宋体"/>
                <w:color w:val="auto"/>
                <w:szCs w:val="21"/>
                <w:highlight w:val="none"/>
              </w:rPr>
              <w:t>时</w:t>
            </w:r>
            <w:r>
              <w:rPr>
                <w:rFonts w:hint="eastAsia" w:ascii="宋体" w:hAnsi="宋体" w:cs="宋体"/>
                <w:bCs/>
                <w:color w:val="auto"/>
                <w:szCs w:val="21"/>
                <w:highlight w:val="none"/>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3"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开标时间及</w:t>
            </w:r>
            <w:r>
              <w:rPr>
                <w:rStyle w:val="119"/>
                <w:rFonts w:hint="default" w:cs="宋体"/>
                <w:color w:val="auto"/>
                <w:sz w:val="21"/>
                <w:szCs w:val="21"/>
                <w:highlight w:val="none"/>
              </w:rPr>
              <w:t>地点</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开标地点：</w:t>
            </w:r>
            <w:r>
              <w:rPr>
                <w:rFonts w:hint="eastAsia" w:ascii="宋体" w:hAnsi="宋体" w:cs="宋体"/>
                <w:color w:val="auto"/>
                <w:szCs w:val="21"/>
                <w:highlight w:val="none"/>
                <w:u w:val="single"/>
                <w:lang w:val="en-US" w:eastAsia="zh-CN"/>
              </w:rPr>
              <w:t xml:space="preserve"> 2022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8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14:30 </w:t>
            </w:r>
            <w:r>
              <w:rPr>
                <w:rFonts w:hint="eastAsia" w:ascii="宋体" w:hAnsi="宋体" w:cs="宋体"/>
                <w:color w:val="auto"/>
                <w:szCs w:val="21"/>
                <w:highlight w:val="none"/>
              </w:rPr>
              <w:t>时</w:t>
            </w:r>
            <w:r>
              <w:rPr>
                <w:rFonts w:hint="eastAsia" w:ascii="宋体" w:hAnsi="宋体" w:cs="宋体"/>
                <w:bCs/>
                <w:color w:val="auto"/>
                <w:szCs w:val="21"/>
                <w:highlight w:val="none"/>
              </w:rPr>
              <w:t>（北京时间）</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开标地点：开化县公共资源交易中心开标区(开化县凤凰南路2号5楼)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77"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投标人出席</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招标会议</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b/>
                <w:bCs/>
                <w:color w:val="auto"/>
                <w:highlight w:val="none"/>
              </w:rPr>
            </w:pPr>
            <w:r>
              <w:rPr>
                <w:rFonts w:hint="default"/>
                <w:b/>
                <w:bCs/>
                <w:color w:val="auto"/>
                <w:highlight w:val="none"/>
              </w:rPr>
              <w:t>本项目实行电子交易，投标人代表无须出席开标现场。</w:t>
            </w:r>
          </w:p>
          <w:p>
            <w:pPr>
              <w:keepNext w:val="0"/>
              <w:keepLines w:val="0"/>
              <w:pageBreakBefore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1、投标人须提前下载“钉钉”app，并安装注册。投标人代表可通过搜索群号</w:t>
            </w:r>
            <w:r>
              <w:rPr>
                <w:rFonts w:hint="eastAsia"/>
                <w:color w:val="FF0000"/>
                <w:highlight w:val="none"/>
                <w:u w:val="single"/>
                <w:lang w:val="en-US" w:eastAsia="zh-CN"/>
              </w:rPr>
              <w:t xml:space="preserve"> </w:t>
            </w:r>
            <w:r>
              <w:rPr>
                <w:rFonts w:hint="eastAsia"/>
                <w:b/>
                <w:bCs/>
                <w:color w:val="auto"/>
                <w:highlight w:val="none"/>
                <w:u w:val="single"/>
                <w:lang w:val="en-US" w:eastAsia="zh-CN"/>
              </w:rPr>
              <w:t xml:space="preserve">44806333 </w:t>
            </w:r>
            <w:r>
              <w:rPr>
                <w:rFonts w:hint="eastAsia"/>
                <w:color w:val="auto"/>
                <w:highlight w:val="none"/>
              </w:rPr>
              <w:t>加入项目钉钉直播群，观看现场直播。每个投标人仅限授权委托人加入钉钉直播群，申请加入时需进行身份验证，注明“公司名称+授权委托人姓名”，否则验证不通过。</w:t>
            </w:r>
          </w:p>
          <w:p>
            <w:pPr>
              <w:keepNext w:val="0"/>
              <w:keepLines w:val="0"/>
              <w:pageBreakBefore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2、若因网络或操作等原因造成不能正常直播或直播有缺陷的，将在项目结束后将现场音视频录像分享至钉钉直播群，供投标人回放。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3、因采用钉钉直播“不见面”方式招标，建议投标人安排一名能熟练使用“钉钉”APP或有较高网络操作能力的投标代表。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77"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中标公告</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及中标通知书</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在中标供应商确定之日起2个工作日内发布中标公告及《中标通知书》，中标公告发布网址：浙江省政府采购网(http://zfcg.czt.zj.gov.cn/)和开化县人民政府网（www.kaihua.gov.cn/）。</w:t>
            </w:r>
            <w:r>
              <w:rPr>
                <w:rFonts w:hint="eastAsia" w:ascii="宋体" w:hAnsi="宋体" w:eastAsia="宋体" w:cs="宋体"/>
                <w:b/>
                <w:bCs/>
                <w:color w:val="auto"/>
                <w:sz w:val="21"/>
                <w:szCs w:val="21"/>
                <w:highlight w:val="none"/>
                <w:lang w:eastAsia="zh-CN"/>
              </w:rPr>
              <w:t>发布中标公告时同步公开</w:t>
            </w:r>
            <w:r>
              <w:rPr>
                <w:rFonts w:hint="eastAsia" w:ascii="宋体" w:hAnsi="宋体" w:eastAsia="宋体" w:cs="宋体"/>
                <w:b/>
                <w:bCs/>
                <w:color w:val="auto"/>
                <w:sz w:val="21"/>
                <w:szCs w:val="21"/>
                <w:highlight w:val="none"/>
              </w:rPr>
              <w:t>评标委员会对每个投标人的《得分汇总表》情况；</w:t>
            </w:r>
            <w:r>
              <w:rPr>
                <w:rFonts w:hint="eastAsia" w:ascii="宋体" w:hAnsi="宋体" w:eastAsia="宋体" w:cs="宋体"/>
                <w:b/>
                <w:bCs/>
                <w:color w:val="auto"/>
                <w:sz w:val="21"/>
                <w:szCs w:val="21"/>
                <w:highlight w:val="none"/>
              </w:rPr>
              <w:t>若中标人为中小企业的，还需公布《中小企业声明函》。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5"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145"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☑本项目不收取履约保证金。</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□合同签订时，中标人通过电汇、转账、银行或保险公司出具履约保函向采购人交纳中标金额</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%的履约保证金。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72"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b/>
                <w:i w:val="0"/>
                <w:iCs/>
                <w:color w:val="auto"/>
                <w:kern w:val="0"/>
                <w:szCs w:val="21"/>
                <w:highlight w:val="none"/>
                <w:u w:val="single"/>
              </w:rPr>
              <w:t>30日</w:t>
            </w:r>
            <w:r>
              <w:rPr>
                <w:rFonts w:hint="eastAsia" w:ascii="宋体" w:hAnsi="宋体" w:cs="宋体"/>
                <w:color w:val="auto"/>
                <w:kern w:val="0"/>
                <w:szCs w:val="21"/>
                <w:highlight w:val="none"/>
              </w:rPr>
              <w:t>内</w:t>
            </w:r>
            <w:r>
              <w:rPr>
                <w:rFonts w:hint="eastAsia" w:ascii="宋体" w:hAnsi="宋体" w:cs="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90"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合同价格条款</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固定总价合同，以中标价为基准，政策性变化均不允许调整，材料价差变动不准调整。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42"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Style w:val="148"/>
                <w:rFonts w:hint="eastAsia" w:ascii="宋体" w:hAnsi="宋体" w:eastAsia="宋体" w:cs="宋体"/>
                <w:color w:val="auto"/>
                <w:lang w:val="en-US" w:eastAsia="zh-CN"/>
              </w:rPr>
              <w:t>22</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企业信用融资及电子保函</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eastAsia="宋体" w:cs="宋体"/>
                <w:b/>
                <w:bCs/>
                <w:color w:val="auto"/>
                <w:kern w:val="0"/>
                <w:sz w:val="21"/>
                <w:szCs w:val="21"/>
                <w:highlight w:val="none"/>
                <w:lang w:val="en-US" w:eastAsia="zh-CN"/>
              </w:rPr>
              <w:t>投标人若有办理电子保函意向的可登录浙江政府采购网“浙江政采贷”（网址：</w:t>
            </w: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HYPERLINK "https://jinrong.zcygov.cn"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https://jinrong.zcygov.cn</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，政府采购云平台金融服务中心）查看相关政策和服务方案。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42"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Style w:val="148"/>
                <w:rFonts w:hint="eastAsia" w:ascii="宋体" w:hAnsi="宋体" w:eastAsia="宋体" w:cs="宋体"/>
                <w:color w:val="auto"/>
                <w:lang w:val="en-US" w:eastAsia="zh-CN"/>
              </w:rPr>
              <w:t>23</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重要提醒</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Style w:val="148"/>
                <w:rFonts w:hint="eastAsia" w:ascii="宋体" w:hAnsi="宋体" w:eastAsia="宋体" w:cs="宋体"/>
                <w:b/>
                <w:color w:val="auto"/>
                <w:sz w:val="21"/>
                <w:szCs w:val="21"/>
                <w:highlight w:val="none"/>
                <w:lang w:eastAsia="zh-CN"/>
              </w:rPr>
            </w:pPr>
            <w:r>
              <w:rPr>
                <w:rStyle w:val="148"/>
                <w:rFonts w:hint="default" w:ascii="仿宋" w:hAnsi="仿宋" w:eastAsia="仿宋" w:cs="仿宋"/>
                <w:b/>
                <w:color w:val="auto"/>
                <w:sz w:val="21"/>
                <w:szCs w:val="21"/>
                <w:highlight w:val="none"/>
                <w:lang w:eastAsia="zh-CN"/>
              </w:rPr>
              <w:t>1</w:t>
            </w:r>
            <w:r>
              <w:rPr>
                <w:rStyle w:val="148"/>
                <w:rFonts w:hint="eastAsia" w:ascii="宋体" w:hAnsi="宋体" w:eastAsia="宋体" w:cs="宋体"/>
                <w:b/>
                <w:color w:val="auto"/>
                <w:sz w:val="21"/>
                <w:szCs w:val="21"/>
                <w:highlight w:val="none"/>
                <w:lang w:eastAsia="zh-CN"/>
              </w:rPr>
              <w:t>、投标截止时间后，所有供应商均应当准时在线参加。投标人登录政采云平台，用“项目采购-开标评标”功能对电子投标文件进行在线解密。在线解密电子投标文件时间为开标时间起30分钟内。</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eastAsia="zh-CN"/>
              </w:rPr>
              <w:t>2</w:t>
            </w:r>
            <w:r>
              <w:rPr>
                <w:rFonts w:hint="eastAsia" w:ascii="宋体" w:hAnsi="宋体" w:eastAsia="宋体" w:cs="宋体"/>
                <w:color w:val="auto"/>
                <w:sz w:val="21"/>
                <w:szCs w:val="21"/>
              </w:rPr>
              <w:t>所有询标流程，均在线上完成，请各投标人务必不要离开电脑太久，并留意手机短信。投标人的联系电话在投标当天保持通信畅通，因通信问题无法联系到投标人造成的后果由投标人自行承担。（请提前检查“政采云”内，关于“项目采购”的岗位权限是否已勾选上。如有问题，请致电400-8817190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.带“▲”为必须满足的实质性内容。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kern w:val="0"/>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.本采购文件未尽事项按法律法规及行业主管部门文件执行。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42" w:hRule="atLeast"/>
          <w:jc w:val="center"/>
        </w:trPr>
        <w:tc>
          <w:tcPr>
            <w:tcW w:w="630"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bookmarkStart w:id="26" w:name="_Toc6074"/>
            <w:r>
              <w:rPr>
                <w:rStyle w:val="148"/>
                <w:rFonts w:cs="宋体"/>
                <w:color w:val="auto"/>
                <w:lang w:eastAsia="zh-CN"/>
              </w:rPr>
              <w:t>24</w:t>
            </w:r>
          </w:p>
        </w:tc>
        <w:tc>
          <w:tcPr>
            <w:tcW w:w="1551"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合同</w:t>
            </w:r>
            <w:r>
              <w:rPr>
                <w:rStyle w:val="148"/>
                <w:rFonts w:cs="宋体"/>
                <w:color w:val="auto"/>
                <w:lang w:eastAsia="zh-CN"/>
              </w:rPr>
              <w:t>公告时间</w:t>
            </w:r>
          </w:p>
        </w:tc>
        <w:tc>
          <w:tcPr>
            <w:tcW w:w="7145" w:type="dxa"/>
            <w:shd w:val="clear" w:color="000000" w:fill="auto"/>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Style w:val="148"/>
                <w:rFonts w:cs="宋体"/>
                <w:color w:val="auto"/>
                <w:lang w:eastAsia="zh-CN"/>
              </w:rPr>
              <w:t>自政府采购合同签订之日起2个工作日内在浙江省政府采购网(http://zfcg.czt.zj.gov.cn/)和开化县人民政府网公共资源交易采购栏（http://www.kaihua.gov.cn/col/col1229091453/index.html）发布。</w:t>
            </w:r>
          </w:p>
        </w:tc>
      </w:tr>
    </w:tbl>
    <w:p>
      <w:pPr>
        <w:widowControl/>
        <w:spacing w:line="500" w:lineRule="exact"/>
        <w:jc w:val="center"/>
        <w:outlineLvl w:val="1"/>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r>
        <w:rPr>
          <w:rStyle w:val="60"/>
          <w:rFonts w:hint="eastAsia"/>
        </w:rPr>
        <w:t>B、投标人须知</w:t>
      </w:r>
      <w:bookmarkEnd w:id="21"/>
      <w:bookmarkEnd w:id="22"/>
      <w:bookmarkEnd w:id="23"/>
      <w:bookmarkEnd w:id="24"/>
      <w:bookmarkEnd w:id="25"/>
      <w:bookmarkEnd w:id="26"/>
    </w:p>
    <w:p>
      <w:pPr>
        <w:pStyle w:val="6"/>
        <w:bidi w:val="0"/>
        <w:rPr>
          <w:rFonts w:hint="eastAsia" w:ascii="宋体" w:hAnsi="宋体" w:cs="宋体"/>
          <w:b w:val="0"/>
          <w:bCs w:val="0"/>
          <w:color w:val="auto"/>
          <w:kern w:val="0"/>
          <w:szCs w:val="28"/>
          <w:highlight w:val="none"/>
        </w:rPr>
      </w:pPr>
      <w:bookmarkStart w:id="27" w:name="_Toc393201708"/>
      <w:bookmarkStart w:id="28" w:name="_Toc326937531"/>
      <w:bookmarkStart w:id="29" w:name="_Toc358384689"/>
      <w:bookmarkStart w:id="30" w:name="_Toc433917261"/>
      <w:bookmarkStart w:id="31" w:name="_Toc333842545"/>
      <w:bookmarkStart w:id="32" w:name="_Toc16065"/>
      <w:r>
        <w:rPr>
          <w:rFonts w:hint="eastAsia"/>
        </w:rPr>
        <w:t>一、总 则</w:t>
      </w:r>
      <w:bookmarkEnd w:id="27"/>
      <w:bookmarkEnd w:id="28"/>
      <w:bookmarkEnd w:id="29"/>
      <w:bookmarkEnd w:id="30"/>
      <w:bookmarkEnd w:id="31"/>
      <w:bookmarkEnd w:id="32"/>
    </w:p>
    <w:p>
      <w:pPr>
        <w:widowControl/>
        <w:spacing w:line="40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1、项目概况</w:t>
      </w:r>
    </w:p>
    <w:p>
      <w:pPr>
        <w:widowControl/>
        <w:spacing w:line="400" w:lineRule="exact"/>
        <w:ind w:right="-178" w:rightChars="-85"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kern w:val="0"/>
          <w:szCs w:val="21"/>
          <w:highlight w:val="none"/>
        </w:rPr>
        <w:t>1.1采购人：</w:t>
      </w:r>
      <w:r>
        <w:rPr>
          <w:rFonts w:hint="eastAsia" w:ascii="宋体" w:hAnsi="宋体" w:cs="宋体"/>
          <w:color w:val="auto"/>
          <w:szCs w:val="21"/>
          <w:highlight w:val="none"/>
          <w:lang w:eastAsia="zh-CN"/>
        </w:rPr>
        <w:t>开化县卫生健康局</w:t>
      </w:r>
    </w:p>
    <w:p>
      <w:pPr>
        <w:widowControl/>
        <w:spacing w:line="40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1.2采购内容：</w:t>
      </w:r>
      <w:r>
        <w:rPr>
          <w:rFonts w:hint="eastAsia" w:ascii="宋体" w:hAnsi="宋体" w:cs="宋体"/>
          <w:bCs/>
          <w:color w:val="auto"/>
          <w:kern w:val="0"/>
          <w:szCs w:val="21"/>
          <w:highlight w:val="none"/>
          <w:lang w:eastAsia="zh-CN"/>
        </w:rPr>
        <w:t>开化县卫生健康局2022--2024年度医疗责任保险服务采购项目</w:t>
      </w:r>
      <w:r>
        <w:rPr>
          <w:rFonts w:hint="eastAsia" w:ascii="宋体" w:hAnsi="宋体" w:cs="宋体"/>
          <w:color w:val="auto"/>
          <w:kern w:val="0"/>
          <w:szCs w:val="21"/>
          <w:highlight w:val="none"/>
        </w:rPr>
        <w:t>（详见《采购</w:t>
      </w:r>
      <w:r>
        <w:rPr>
          <w:rFonts w:hint="eastAsia" w:ascii="宋体" w:hAnsi="宋体" w:cs="宋体"/>
          <w:color w:val="auto"/>
          <w:kern w:val="0"/>
          <w:szCs w:val="21"/>
          <w:highlight w:val="none"/>
          <w:lang w:eastAsia="zh-CN"/>
        </w:rPr>
        <w:t>需求</w:t>
      </w:r>
      <w:r>
        <w:rPr>
          <w:rFonts w:hint="eastAsia" w:ascii="宋体" w:hAnsi="宋体" w:cs="宋体"/>
          <w:color w:val="auto"/>
          <w:kern w:val="0"/>
          <w:szCs w:val="21"/>
          <w:highlight w:val="none"/>
        </w:rPr>
        <w:t>》）</w:t>
      </w:r>
    </w:p>
    <w:p>
      <w:pPr>
        <w:widowControl/>
        <w:spacing w:line="400" w:lineRule="exact"/>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1.3项目编号：</w:t>
      </w:r>
      <w:r>
        <w:rPr>
          <w:rFonts w:hint="eastAsia" w:ascii="宋体" w:hAnsi="宋体" w:cs="宋体"/>
          <w:bCs/>
          <w:color w:val="auto"/>
          <w:kern w:val="0"/>
          <w:szCs w:val="21"/>
          <w:highlight w:val="none"/>
          <w:lang w:eastAsia="zh-CN"/>
        </w:rPr>
        <w:t>TCCG2022-YLZRBX</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bCs/>
          <w:color w:val="auto"/>
          <w:kern w:val="0"/>
          <w:szCs w:val="21"/>
          <w:highlight w:val="none"/>
        </w:rPr>
        <w:t>1.4采购预算：</w:t>
      </w:r>
      <w:r>
        <w:rPr>
          <w:rFonts w:hint="eastAsia" w:ascii="宋体" w:hAnsi="宋体" w:cs="宋体"/>
          <w:color w:val="auto"/>
          <w:szCs w:val="21"/>
          <w:highlight w:val="none"/>
          <w:u w:val="none"/>
          <w:lang w:eastAsia="zh-CN"/>
        </w:rPr>
        <w:t>6</w:t>
      </w:r>
      <w:r>
        <w:rPr>
          <w:rFonts w:hint="eastAsia" w:ascii="宋体" w:hAnsi="宋体" w:cs="宋体"/>
          <w:color w:val="auto"/>
          <w:szCs w:val="21"/>
          <w:highlight w:val="none"/>
          <w:u w:val="none"/>
          <w:lang w:val="en-US" w:eastAsia="zh-CN"/>
        </w:rPr>
        <w:t>6</w:t>
      </w:r>
      <w:r>
        <w:rPr>
          <w:rFonts w:hint="eastAsia" w:ascii="宋体" w:hAnsi="宋体" w:cs="宋体"/>
          <w:color w:val="auto"/>
          <w:szCs w:val="21"/>
          <w:highlight w:val="none"/>
          <w:u w:val="none"/>
          <w:lang w:eastAsia="zh-CN"/>
        </w:rPr>
        <w:t>0万元</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 xml:space="preserve"> </w:t>
      </w:r>
    </w:p>
    <w:p>
      <w:pPr>
        <w:widowControl/>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w:t>
      </w:r>
      <w:r>
        <w:rPr>
          <w:rFonts w:hint="eastAsia" w:ascii="宋体" w:hAnsi="宋体"/>
          <w:color w:val="auto"/>
          <w:highlight w:val="none"/>
          <w:u w:val="none"/>
        </w:rPr>
        <w:t>最高限价：</w:t>
      </w:r>
      <w:r>
        <w:rPr>
          <w:rFonts w:hint="eastAsia" w:ascii="宋体" w:hAnsi="宋体" w:cs="宋体"/>
          <w:color w:val="auto"/>
          <w:szCs w:val="21"/>
          <w:highlight w:val="none"/>
          <w:u w:val="none"/>
          <w:lang w:eastAsia="zh-CN"/>
        </w:rPr>
        <w:t>6</w:t>
      </w:r>
      <w:r>
        <w:rPr>
          <w:rFonts w:hint="eastAsia" w:ascii="宋体" w:hAnsi="宋体" w:cs="宋体"/>
          <w:color w:val="auto"/>
          <w:szCs w:val="21"/>
          <w:highlight w:val="none"/>
          <w:u w:val="none"/>
          <w:lang w:val="en-US" w:eastAsia="zh-CN"/>
        </w:rPr>
        <w:t>6</w:t>
      </w:r>
      <w:r>
        <w:rPr>
          <w:rFonts w:hint="eastAsia" w:ascii="宋体" w:hAnsi="宋体" w:cs="宋体"/>
          <w:color w:val="auto"/>
          <w:szCs w:val="21"/>
          <w:highlight w:val="none"/>
          <w:u w:val="none"/>
          <w:lang w:eastAsia="zh-CN"/>
        </w:rPr>
        <w:t>0万元</w:t>
      </w:r>
      <w:r>
        <w:rPr>
          <w:rFonts w:hint="eastAsia" w:ascii="宋体" w:hAnsi="宋体" w:cs="宋体"/>
          <w:color w:val="auto"/>
          <w:szCs w:val="21"/>
          <w:highlight w:val="none"/>
          <w:u w:val="none"/>
          <w:lang w:val="en-US" w:eastAsia="zh-CN"/>
        </w:rPr>
        <w:t xml:space="preserve"> </w:t>
      </w:r>
    </w:p>
    <w:p>
      <w:pPr>
        <w:widowControl/>
        <w:spacing w:line="40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服务期限：</w:t>
      </w:r>
      <w:r>
        <w:rPr>
          <w:rFonts w:hint="eastAsia" w:ascii="宋体" w:hAnsi="宋体" w:cs="宋体"/>
          <w:color w:val="auto"/>
          <w:highlight w:val="none"/>
          <w:lang w:eastAsia="zh-CN"/>
        </w:rPr>
        <w:t>详见采购需求</w:t>
      </w:r>
    </w:p>
    <w:p>
      <w:pPr>
        <w:widowControl/>
        <w:spacing w:line="400" w:lineRule="exact"/>
        <w:ind w:firstLine="211" w:firstLineChars="100"/>
        <w:jc w:val="left"/>
        <w:rPr>
          <w:rFonts w:hint="eastAsia" w:ascii="宋体" w:hAnsi="宋体" w:cs="宋体"/>
          <w:bCs/>
          <w:color w:val="auto"/>
          <w:kern w:val="0"/>
          <w:szCs w:val="21"/>
          <w:highlight w:val="none"/>
        </w:rPr>
      </w:pPr>
      <w:r>
        <w:rPr>
          <w:rFonts w:hint="eastAsia" w:ascii="宋体" w:hAnsi="宋体" w:cs="宋体"/>
          <w:b/>
          <w:bCs/>
          <w:color w:val="auto"/>
          <w:kern w:val="0"/>
          <w:szCs w:val="21"/>
          <w:highlight w:val="none"/>
        </w:rPr>
        <w:t>▲2、投标人资格</w:t>
      </w:r>
    </w:p>
    <w:p>
      <w:pPr>
        <w:pStyle w:val="220"/>
        <w:spacing w:line="400" w:lineRule="exact"/>
        <w:ind w:left="0" w:firstLine="420" w:firstLineChars="200"/>
        <w:rPr>
          <w:rFonts w:hint="eastAsia"/>
          <w:color w:val="auto"/>
          <w:sz w:val="21"/>
          <w:szCs w:val="21"/>
          <w:highlight w:val="none"/>
        </w:rPr>
      </w:pPr>
      <w:r>
        <w:rPr>
          <w:rFonts w:hint="eastAsia"/>
          <w:color w:val="auto"/>
          <w:sz w:val="21"/>
          <w:szCs w:val="21"/>
          <w:highlight w:val="none"/>
        </w:rPr>
        <w:t>2.1具备《政府采购法》第二十二条规定条件；</w:t>
      </w:r>
    </w:p>
    <w:p>
      <w:pPr>
        <w:pStyle w:val="220"/>
        <w:spacing w:line="400" w:lineRule="exact"/>
        <w:ind w:left="0" w:firstLine="420" w:firstLineChars="200"/>
        <w:rPr>
          <w:rFonts w:hint="eastAsia"/>
          <w:color w:val="auto"/>
          <w:sz w:val="21"/>
          <w:szCs w:val="21"/>
          <w:highlight w:val="none"/>
        </w:rPr>
      </w:pPr>
      <w:r>
        <w:rPr>
          <w:rFonts w:hint="eastAsia"/>
          <w:color w:val="auto"/>
          <w:sz w:val="21"/>
          <w:szCs w:val="21"/>
          <w:highlight w:val="none"/>
        </w:rPr>
        <w:t>2.2必须为未被列入“信用中国”网站(www.creditchina.gov.cn)、中国政府采购网(www.ccgp.gov.cn)渠道信用记录失信被执行人、重大税收违法案件当事人名单、政府采购严重违法失信行为记录名单的投标人；</w:t>
      </w:r>
    </w:p>
    <w:p>
      <w:pPr>
        <w:pStyle w:val="220"/>
        <w:spacing w:line="4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2.3落实政府采购政策需满足的资格要求：</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220"/>
        <w:spacing w:line="400" w:lineRule="exact"/>
        <w:ind w:left="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2.4本项目的特定资格要求：</w:t>
      </w:r>
    </w:p>
    <w:p>
      <w:pPr>
        <w:pStyle w:val="220"/>
        <w:spacing w:line="400" w:lineRule="exact"/>
        <w:ind w:left="0"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2.4.1投标人必须为经中国保险监督管理委员会批准在中华人民共和国境内设立和营业的，并依法核定许可经营保险业务的保险公司；</w:t>
      </w:r>
    </w:p>
    <w:p>
      <w:pPr>
        <w:spacing w:line="3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2.4.2必须具有中国保险监督管理委员会核准颁发的《经营保险业务许可证》。</w:t>
      </w:r>
    </w:p>
    <w:p>
      <w:pPr>
        <w:pStyle w:val="220"/>
        <w:spacing w:line="400" w:lineRule="exact"/>
        <w:ind w:left="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注：同一保险集团公司的不同分（子）公司（机构），不得同时参加本项目的投标</w:t>
      </w:r>
      <w:r>
        <w:rPr>
          <w:rFonts w:hint="eastAsia" w:eastAsia="宋体" w:cs="宋体"/>
          <w:b/>
          <w:bCs/>
          <w:color w:val="auto"/>
          <w:sz w:val="21"/>
          <w:szCs w:val="21"/>
          <w:highlight w:val="none"/>
          <w:lang w:eastAsia="zh-CN"/>
        </w:rPr>
        <w:t>。</w:t>
      </w:r>
    </w:p>
    <w:p>
      <w:pPr>
        <w:spacing w:line="440" w:lineRule="exact"/>
        <w:ind w:firstLine="413" w:firstLineChars="196"/>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3、投标费用</w:t>
      </w:r>
    </w:p>
    <w:p>
      <w:pPr>
        <w:spacing w:line="44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3.1不论投标结果如何，投标人均自行承担所有与参加投标有关的全部费用。</w:t>
      </w:r>
    </w:p>
    <w:p>
      <w:pPr>
        <w:spacing w:line="440" w:lineRule="exact"/>
        <w:ind w:firstLine="422" w:firstLineChars="200"/>
        <w:rPr>
          <w:rFonts w:hint="eastAsia" w:ascii="宋体" w:hAnsi="宋体" w:eastAsia="宋体" w:cs="宋体"/>
          <w:b/>
          <w:color w:val="auto"/>
          <w:sz w:val="21"/>
          <w:szCs w:val="21"/>
          <w:highlight w:val="none"/>
          <w:u w:val="none"/>
          <w:lang w:eastAsia="zh-CN"/>
        </w:rPr>
      </w:pPr>
      <w:r>
        <w:rPr>
          <w:rFonts w:hint="eastAsia" w:ascii="宋体" w:hAnsi="宋体" w:eastAsia="宋体" w:cs="宋体"/>
          <w:b/>
          <w:color w:val="auto"/>
          <w:sz w:val="21"/>
          <w:szCs w:val="21"/>
          <w:highlight w:val="none"/>
          <w:u w:val="none"/>
          <w:lang w:eastAsia="zh-CN"/>
        </w:rPr>
        <w:t>3.2招标代理费由中标单位支付，以中标金额为基数，参照</w:t>
      </w:r>
      <w:r>
        <w:rPr>
          <w:rFonts w:hint="eastAsia" w:ascii="宋体" w:hAnsi="宋体" w:eastAsia="宋体" w:cs="宋体"/>
          <w:b/>
          <w:color w:val="auto"/>
          <w:sz w:val="21"/>
          <w:szCs w:val="21"/>
          <w:highlight w:val="none"/>
          <w:u w:val="none"/>
          <w:lang w:val="zh-CN" w:eastAsia="zh-CN"/>
        </w:rPr>
        <w:t>国家发展和改革委员会发改价格【2011】534号文件</w:t>
      </w:r>
      <w:r>
        <w:rPr>
          <w:rFonts w:hint="eastAsia" w:ascii="宋体" w:hAnsi="宋体" w:eastAsia="宋体" w:cs="宋体"/>
          <w:b/>
          <w:color w:val="auto"/>
          <w:sz w:val="21"/>
          <w:szCs w:val="21"/>
          <w:highlight w:val="none"/>
          <w:u w:val="none"/>
          <w:lang w:eastAsia="zh-CN"/>
        </w:rPr>
        <w:t>(服务类)标准收取。</w:t>
      </w:r>
    </w:p>
    <w:p>
      <w:pPr>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招标代理费的收取标准：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57"/>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3" w:hRule="atLeast"/>
          <w:jc w:val="center"/>
        </w:trPr>
        <w:tc>
          <w:tcPr>
            <w:tcW w:w="3857" w:type="dxa"/>
            <w:tcBorders>
              <w:tl2br w:val="single" w:color="auto" w:sz="4" w:space="0"/>
            </w:tcBorders>
            <w:noWrap w:val="0"/>
            <w:tcMar>
              <w:top w:w="30" w:type="dxa"/>
              <w:left w:w="150" w:type="dxa"/>
              <w:bottom w:w="30" w:type="dxa"/>
              <w:right w:w="150" w:type="dxa"/>
            </w:tcMar>
            <w:vAlign w:val="center"/>
          </w:tcPr>
          <w:p>
            <w:pPr>
              <w:autoSpaceDE w:val="0"/>
              <w:autoSpaceDN w:val="0"/>
              <w:snapToGrid w:val="0"/>
              <w:ind w:firstLine="630" w:firstLineChars="300"/>
              <w:rPr>
                <w:rFonts w:hint="eastAsia" w:ascii="宋体" w:hAnsi="宋体" w:eastAsia="宋体" w:cs="宋体"/>
                <w:color w:val="auto"/>
                <w:sz w:val="21"/>
                <w:szCs w:val="21"/>
                <w:highlight w:val="none"/>
                <w:lang w:val="zh-CN" w:eastAsia="zh-CN"/>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1396365</wp:posOffset>
                      </wp:positionH>
                      <wp:positionV relativeFrom="paragraph">
                        <wp:posOffset>-19685</wp:posOffset>
                      </wp:positionV>
                      <wp:extent cx="920115" cy="844550"/>
                      <wp:effectExtent l="3175" t="3810" r="10160" b="8890"/>
                      <wp:wrapNone/>
                      <wp:docPr id="1" name="直线 2"/>
                      <wp:cNvGraphicFramePr/>
                      <a:graphic xmlns:a="http://schemas.openxmlformats.org/drawingml/2006/main">
                        <a:graphicData uri="http://schemas.microsoft.com/office/word/2010/wordprocessingShape">
                          <wps:wsp>
                            <wps:cNvSpPr/>
                            <wps:spPr>
                              <a:xfrm>
                                <a:off x="0" y="0"/>
                                <a:ext cx="920115" cy="8445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9.95pt;margin-top:-1.55pt;height:66.5pt;width:72.45pt;z-index:251659264;mso-width-relative:page;mso-height-relative:page;" filled="f" stroked="t" coordsize="21600,21600" o:gfxdata="UEsDBAoAAAAAAIdO4kAAAAAAAAAAAAAAAAAEAAAAZHJzL1BLAwQUAAAACACHTuJAaj0FFtcAAAAK AQAADwAAAGRycy9kb3ducmV2LnhtbE2Py07DMBBF90j8gzVIbKrWeaCqDXG6ALJjQwGxncbTJCIe p7H7gK9nWMFydI/unFtuLm5QJ5pC79lAukhAETfe9twaeHut5ytQISJbHDyTgS8KsKmur0osrD/z C522sVVSwqFAA12MY6F1aDpyGBZ+JJZs7yeHUc6p1XbCs5S7QWdJstQOe5YPHY700FHzuT06A6F+ p0P9PWtmyUfeesoOj89PaMztTZrcg4p0iX8w/OqLOlTitPNHtkENBrJ0vRbUwDxPQQmQL+9ky07I TBJdlfr/hOoHUEsDBBQAAAAIAIdO4kAr4AvR6QEAAN8DAAAOAAAAZHJzL2Uyb0RvYy54bWytU0uO EzEQ3SNxB8t70kk0QUNrOrMgDBsEIw1zgIo/3Zb8k8tJJ2fhGqzYcJy5BmV3yMCwyYJeuMuu8qt6 r8o3twdn2V4lNMF3fDGbc6a8CNL4vuOPX+/eXHOGGbwEG7zq+FEhv12/fnUzxlYtwxCsVIkRiMd2 jB0fco5t06AYlAOchag8OXVIDjJtU9/IBCOhO9ss5/O3zRiSjCkIhUinm8nJT4jpEsCgtRFqE8TO KZ8n1KQsZKKEg4nI17VarZXIX7RGlZntODHNdaUkZG/L2qxvoO0TxMGIUwlwSQkvODkwnpKeoTaQ ge2S+QfKGZECBp1nIrhmIlIVIRaL+QttHgaIqnIhqTGeRcf/Bys+7+8TM5ImgTMPjhr+9O3704+f bFm0GSO2FPIQ79Nph2QWogedXPkTBXaoeh7PeqpDZoIO3xGnxYozQa7rq6vVqurdPF+OCfNHFRwr Rset8YUutLD/hJkSUujvkHJsPRsJdbUsmECzp6nnZLpI9aPv610M1sg7Y225ganfvreJ7aH0v36F FuH+FVaSbACHKa66pskYFMgPXrJ8jKSMpwfBSwlOSc6sovdTLAKENoOxl0RSauupgqLspGWxtkEe qQ+7mEw/kBKLWmXxUN9rvacZLYP1574iPb/L9S9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AAAAAZHJzL1BLAQIUABQAAAAIAIdO4kBqPQUW 1wAAAAoBAAAPAAAAAAAAAAEAIAAAACIAAABkcnMvZG93bnJldi54bWxQSwECFAAUAAAACACHTuJA K+AL0ekBAADfAwAADgAAAAAAAAABACAAAAAmAQAAZHJzL2Uyb0RvYy54bWxQSwUGAAAAAAYABgBZ AQAAgQUAAAAA ">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lang w:val="zh-CN"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费率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 xml:space="preserve"> </w:t>
            </w:r>
            <w:r>
              <w:rPr>
                <w:rFonts w:hint="eastAsia" w:ascii="宋体" w:hAnsi="宋体" w:eastAsia="宋体" w:cs="宋体"/>
                <w:color w:val="auto"/>
                <w:sz w:val="21"/>
                <w:szCs w:val="21"/>
                <w:highlight w:val="none"/>
                <w:lang w:val="en-US" w:eastAsia="zh-CN"/>
              </w:rPr>
              <w:t>服务类型</w:t>
            </w:r>
          </w:p>
          <w:p>
            <w:pPr>
              <w:autoSpaceDE w:val="0"/>
              <w:autoSpaceDN w:val="0"/>
              <w:snapToGrid w:val="0"/>
              <w:rPr>
                <w:rFonts w:hint="eastAsia" w:ascii="宋体" w:hAnsi="宋体" w:eastAsia="宋体" w:cs="宋体"/>
                <w:color w:val="auto"/>
                <w:sz w:val="21"/>
                <w:szCs w:val="21"/>
                <w:highlight w:val="none"/>
                <w:lang w:val="zh-CN" w:eastAsia="zh-CN"/>
              </w:rPr>
            </w:pPr>
          </w:p>
          <w:p>
            <w:pPr>
              <w:autoSpaceDE w:val="0"/>
              <w:autoSpaceDN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中标金额 （万元）</w:t>
            </w:r>
          </w:p>
        </w:tc>
        <w:tc>
          <w:tcPr>
            <w:tcW w:w="3870" w:type="dxa"/>
            <w:noWrap w:val="0"/>
            <w:tcMar>
              <w:top w:w="30" w:type="dxa"/>
              <w:left w:w="150" w:type="dxa"/>
              <w:bottom w:w="30" w:type="dxa"/>
              <w:right w:w="150" w:type="dxa"/>
            </w:tcMar>
            <w:vAlign w:val="center"/>
          </w:tcPr>
          <w:p>
            <w:pPr>
              <w:autoSpaceDE w:val="0"/>
              <w:autoSpaceDN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857" w:type="dxa"/>
            <w:noWrap w:val="0"/>
            <w:tcMar>
              <w:top w:w="30" w:type="dxa"/>
              <w:left w:w="150" w:type="dxa"/>
              <w:bottom w:w="30" w:type="dxa"/>
              <w:right w:w="150" w:type="dxa"/>
            </w:tcMar>
            <w:vAlign w:val="center"/>
          </w:tcPr>
          <w:p>
            <w:pPr>
              <w:autoSpaceDE w:val="0"/>
              <w:autoSpaceDN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100以下</w:t>
            </w:r>
          </w:p>
        </w:tc>
        <w:tc>
          <w:tcPr>
            <w:tcW w:w="3870" w:type="dxa"/>
            <w:noWrap w:val="0"/>
            <w:tcMar>
              <w:top w:w="30" w:type="dxa"/>
              <w:left w:w="150" w:type="dxa"/>
              <w:bottom w:w="30" w:type="dxa"/>
              <w:right w:w="150" w:type="dxa"/>
            </w:tcMar>
            <w:vAlign w:val="center"/>
          </w:tcPr>
          <w:p>
            <w:pPr>
              <w:autoSpaceDE w:val="0"/>
              <w:autoSpaceDN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857" w:type="dxa"/>
            <w:noWrap w:val="0"/>
            <w:tcMar>
              <w:top w:w="30" w:type="dxa"/>
              <w:left w:w="150" w:type="dxa"/>
              <w:bottom w:w="30" w:type="dxa"/>
              <w:right w:w="150" w:type="dxa"/>
            </w:tcMar>
            <w:vAlign w:val="center"/>
          </w:tcPr>
          <w:p>
            <w:pPr>
              <w:autoSpaceDE w:val="0"/>
              <w:autoSpaceDN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100-500</w:t>
            </w:r>
          </w:p>
        </w:tc>
        <w:tc>
          <w:tcPr>
            <w:tcW w:w="3870" w:type="dxa"/>
            <w:noWrap w:val="0"/>
            <w:tcMar>
              <w:top w:w="30" w:type="dxa"/>
              <w:left w:w="150" w:type="dxa"/>
              <w:bottom w:w="30" w:type="dxa"/>
              <w:right w:w="150" w:type="dxa"/>
            </w:tcMar>
            <w:vAlign w:val="center"/>
          </w:tcPr>
          <w:p>
            <w:pPr>
              <w:autoSpaceDE w:val="0"/>
              <w:autoSpaceDN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857" w:type="dxa"/>
            <w:noWrap w:val="0"/>
            <w:tcMar>
              <w:top w:w="30" w:type="dxa"/>
              <w:left w:w="150" w:type="dxa"/>
              <w:bottom w:w="30" w:type="dxa"/>
              <w:right w:w="150" w:type="dxa"/>
            </w:tcMar>
            <w:vAlign w:val="center"/>
          </w:tcPr>
          <w:p>
            <w:pPr>
              <w:autoSpaceDE w:val="0"/>
              <w:autoSpaceDN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500-1000</w:t>
            </w:r>
          </w:p>
        </w:tc>
        <w:tc>
          <w:tcPr>
            <w:tcW w:w="3870" w:type="dxa"/>
            <w:noWrap w:val="0"/>
            <w:tcMar>
              <w:top w:w="30" w:type="dxa"/>
              <w:left w:w="150" w:type="dxa"/>
              <w:bottom w:w="30" w:type="dxa"/>
              <w:right w:w="150" w:type="dxa"/>
            </w:tcMar>
            <w:vAlign w:val="center"/>
          </w:tcPr>
          <w:p>
            <w:pPr>
              <w:autoSpaceDE w:val="0"/>
              <w:autoSpaceDN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0.45%</w:t>
            </w:r>
          </w:p>
        </w:tc>
      </w:tr>
    </w:tbl>
    <w:p>
      <w:pPr>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3.3结算方式及时间为：</w:t>
      </w:r>
      <w:r>
        <w:rPr>
          <w:rFonts w:hint="eastAsia" w:ascii="宋体" w:hAnsi="宋体" w:eastAsia="宋体" w:cs="宋体"/>
          <w:color w:val="auto"/>
          <w:sz w:val="21"/>
          <w:szCs w:val="21"/>
          <w:highlight w:val="none"/>
          <w:u w:val="single"/>
          <w:lang w:eastAsia="zh-CN"/>
        </w:rPr>
        <w:t>在中标公示结束后（领取中标通知书时）由中标单位一次性向采购代理机构付清。</w:t>
      </w:r>
    </w:p>
    <w:p>
      <w:pPr>
        <w:spacing w:line="44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开户名称</w:t>
      </w:r>
      <w:r>
        <w:rPr>
          <w:rFonts w:hint="eastAsia" w:ascii="宋体" w:hAnsi="宋体" w:eastAsia="宋体" w:cs="宋体"/>
          <w:bCs/>
          <w:color w:val="auto"/>
          <w:sz w:val="21"/>
          <w:szCs w:val="21"/>
          <w:highlight w:val="none"/>
          <w:lang w:eastAsia="zh-CN"/>
        </w:rPr>
        <w:t>：浙江天册工程管理有限公司开化分公司</w:t>
      </w:r>
    </w:p>
    <w:p>
      <w:pPr>
        <w:spacing w:line="44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开户银行：温州银行股份有限公司衢州开化小微企业专营支行</w:t>
      </w:r>
    </w:p>
    <w:p>
      <w:pPr>
        <w:spacing w:line="44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bCs/>
          <w:color w:val="auto"/>
          <w:sz w:val="21"/>
          <w:szCs w:val="21"/>
          <w:highlight w:val="none"/>
          <w:lang w:eastAsia="zh-CN"/>
        </w:rPr>
        <w:t>账</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eastAsia="zh-CN"/>
        </w:rPr>
        <w:t>号：</w:t>
      </w:r>
      <w:r>
        <w:rPr>
          <w:rFonts w:hint="eastAsia" w:ascii="宋体" w:hAnsi="宋体" w:eastAsia="宋体" w:cs="宋体"/>
          <w:bCs/>
          <w:color w:val="auto"/>
          <w:sz w:val="21"/>
          <w:szCs w:val="21"/>
          <w:highlight w:val="none"/>
          <w:lang w:eastAsia="zh-CN"/>
        </w:rPr>
        <w:t>901050120190002828</w:t>
      </w:r>
    </w:p>
    <w:p>
      <w:pPr>
        <w:widowControl/>
        <w:spacing w:line="400" w:lineRule="exact"/>
        <w:ind w:firstLine="413" w:firstLineChars="196"/>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▲4、投标委托</w:t>
      </w:r>
    </w:p>
    <w:p>
      <w:pPr>
        <w:snapToGrid w:val="0"/>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投标人代表无须出席开标现场，电子投标文件中的授权委托书须加盖单位公章。</w:t>
      </w:r>
    </w:p>
    <w:p>
      <w:pPr>
        <w:spacing w:line="40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5、关于中小企业参与政府采购活动的规定</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（一）在货物采购项目中，货物由中小企业制造，即货物由中小企业生产且使用该中小企业商号或者注册商标；</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（二）在工程采购项目中，工程由中小企业承建，即工程施工单位为中小企业；</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（三）在服务采购项目中，服务由中小企业承接，即提供服务的人员为中小企业依照《中华人民共和国劳动合同法》订立劳动合同的从业人员。</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pPr>
        <w:widowControl/>
        <w:spacing w:beforeLines="0" w:afterLines="0" w:line="400" w:lineRule="exact"/>
        <w:ind w:firstLine="211" w:firstLineChars="100"/>
        <w:jc w:val="left"/>
        <w:rPr>
          <w:rFonts w:hint="eastAsia" w:ascii="宋体" w:hAnsi="宋体" w:cs="宋体"/>
          <w:b/>
          <w:bCs/>
          <w:color w:val="auto"/>
          <w:kern w:val="0"/>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color w:val="auto"/>
          <w:kern w:val="0"/>
          <w:sz w:val="21"/>
          <w:szCs w:val="21"/>
          <w:highlight w:val="none"/>
        </w:rPr>
        <w:t>5.</w:t>
      </w:r>
      <w:r>
        <w:rPr>
          <w:rFonts w:hint="eastAsia" w:ascii="宋体"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符合条件但不提供以上材料（中小企业声明函或残疾人福利性单位声明函或监狱企业的证明文件）将不享受评审中价格扣除优惠。</w:t>
      </w:r>
    </w:p>
    <w:p>
      <w:pPr>
        <w:widowControl/>
        <w:spacing w:line="400" w:lineRule="exact"/>
        <w:ind w:firstLine="207" w:firstLineChars="98"/>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▲6、特别说明</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6.1供应商所使用的资格、信誉、荣誉、业绩与企业认证必须为本法人所拥有(且在有效期内)。</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6.2投标人应仔细阅读招标文件的所有内容，按照招标文件的要求提交投标文件，并对所提供的全部资料的真实性承担法律责任。</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6.3招标文件中如有描述歧义或前后不一致的地方，评标委员会有权按公平、合理的原则进行评判，但对同一条款的评判适用于每个投标人。</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6.4投标文件对实质性条款必须做出承诺并能响应或优于招标文件的规定。投标文件的响应内容必须真实、明确、准确。否则，评标委员会将对其作出不利的评审。</w:t>
      </w:r>
    </w:p>
    <w:p>
      <w:pPr>
        <w:widowControl/>
        <w:spacing w:line="400" w:lineRule="exact"/>
        <w:ind w:firstLine="413" w:firstLineChars="196"/>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7、解释权 </w:t>
      </w:r>
    </w:p>
    <w:p>
      <w:pPr>
        <w:widowControl/>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本招标文件的《</w:t>
      </w:r>
      <w:r>
        <w:rPr>
          <w:rFonts w:hint="eastAsia" w:ascii="宋体" w:hAnsi="宋体" w:cs="宋体"/>
          <w:bCs/>
          <w:color w:val="auto"/>
          <w:kern w:val="0"/>
          <w:szCs w:val="21"/>
          <w:highlight w:val="none"/>
          <w:lang w:eastAsia="zh-CN"/>
        </w:rPr>
        <w:t>采购需求</w:t>
      </w:r>
      <w:r>
        <w:rPr>
          <w:rFonts w:hint="eastAsia" w:ascii="宋体" w:hAnsi="宋体" w:cs="宋体"/>
          <w:bCs/>
          <w:color w:val="auto"/>
          <w:kern w:val="0"/>
          <w:szCs w:val="21"/>
          <w:highlight w:val="none"/>
        </w:rPr>
        <w:t>》、《评审办法》解释权归采购人，其余部分归采购代理机构。</w:t>
      </w:r>
      <w:bookmarkStart w:id="33" w:name="_Toc333842546"/>
      <w:bookmarkStart w:id="34" w:name="_Toc326937532"/>
      <w:bookmarkStart w:id="35" w:name="_Toc358384690"/>
    </w:p>
    <w:p>
      <w:pPr>
        <w:widowControl/>
        <w:jc w:val="center"/>
        <w:outlineLvl w:val="2"/>
        <w:rPr>
          <w:rFonts w:hint="eastAsia" w:ascii="宋体" w:hAnsi="宋体" w:cs="宋体"/>
          <w:b/>
          <w:bCs/>
          <w:color w:val="auto"/>
          <w:kern w:val="0"/>
          <w:sz w:val="28"/>
          <w:szCs w:val="28"/>
          <w:highlight w:val="none"/>
        </w:rPr>
      </w:pPr>
      <w:bookmarkStart w:id="36" w:name="_Toc433917262"/>
      <w:bookmarkStart w:id="37" w:name="_Toc6231"/>
      <w:bookmarkStart w:id="38" w:name="_Toc393201709"/>
      <w:r>
        <w:rPr>
          <w:rFonts w:hint="eastAsia" w:ascii="宋体" w:hAnsi="宋体" w:cs="宋体"/>
          <w:b/>
          <w:bCs/>
          <w:color w:val="auto"/>
          <w:kern w:val="0"/>
          <w:sz w:val="28"/>
          <w:szCs w:val="28"/>
          <w:highlight w:val="none"/>
        </w:rPr>
        <w:t xml:space="preserve"> </w:t>
      </w:r>
      <w:r>
        <w:rPr>
          <w:rStyle w:val="61"/>
          <w:rFonts w:hint="eastAsia"/>
          <w:highlight w:val="none"/>
        </w:rPr>
        <w:t>二、招标文件</w:t>
      </w:r>
      <w:bookmarkEnd w:id="33"/>
      <w:bookmarkEnd w:id="34"/>
      <w:bookmarkEnd w:id="35"/>
      <w:bookmarkEnd w:id="36"/>
      <w:bookmarkEnd w:id="37"/>
      <w:bookmarkEnd w:id="38"/>
    </w:p>
    <w:p>
      <w:pPr>
        <w:widowControl/>
        <w:spacing w:line="400" w:lineRule="exact"/>
        <w:ind w:firstLine="413" w:firstLineChars="196"/>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8、招标文件构成</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8.1 招标文件包括 </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第一章  招标公告</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第二章  </w:t>
      </w:r>
      <w:r>
        <w:rPr>
          <w:rFonts w:hint="eastAsia" w:ascii="宋体" w:hAnsi="宋体" w:cs="宋体"/>
          <w:bCs/>
          <w:color w:val="auto"/>
          <w:kern w:val="0"/>
          <w:szCs w:val="21"/>
          <w:highlight w:val="none"/>
        </w:rPr>
        <w:t>投标人须知及前附表</w:t>
      </w:r>
    </w:p>
    <w:p>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第三章  合同条款及前附表 </w:t>
      </w:r>
    </w:p>
    <w:p>
      <w:pPr>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第四章  采购</w:t>
      </w:r>
      <w:r>
        <w:rPr>
          <w:rFonts w:hint="eastAsia" w:ascii="宋体" w:hAnsi="宋体" w:cs="宋体"/>
          <w:color w:val="auto"/>
          <w:kern w:val="0"/>
          <w:szCs w:val="21"/>
          <w:highlight w:val="none"/>
          <w:lang w:eastAsia="zh-CN"/>
        </w:rPr>
        <w:t>需求</w:t>
      </w:r>
    </w:p>
    <w:p>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第五章  投标文件格式</w:t>
      </w:r>
    </w:p>
    <w:p>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8.2 投标人应认真阅读招标文件中所有的事项、格式、条款和规范等要求，从而对招标文件做出实质性的响应。如果没有按照招标文件的要求提交全部投标文件或资料，没有对招标文件作出实质性响应，其风险应当由投标人自行承担。</w:t>
      </w:r>
    </w:p>
    <w:p>
      <w:pPr>
        <w:spacing w:line="400" w:lineRule="exact"/>
        <w:ind w:firstLine="413" w:firstLineChars="196"/>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9、招标文件的修改、澄清</w:t>
      </w:r>
    </w:p>
    <w:p>
      <w:pPr>
        <w:tabs>
          <w:tab w:val="left" w:pos="527"/>
        </w:tabs>
        <w:spacing w:line="400" w:lineRule="exact"/>
        <w:ind w:firstLine="420" w:firstLineChars="200"/>
        <w:jc w:val="left"/>
        <w:rPr>
          <w:rFonts w:hint="eastAsia" w:ascii="宋体" w:hAnsi="宋体" w:cs="宋体"/>
          <w:color w:val="auto"/>
          <w:sz w:val="21"/>
          <w:szCs w:val="21"/>
          <w:highlight w:val="none"/>
        </w:rPr>
      </w:pPr>
      <w:bookmarkStart w:id="39" w:name="_Toc393201710"/>
      <w:bookmarkStart w:id="40" w:name="_Toc333842547"/>
      <w:bookmarkStart w:id="41" w:name="_Toc358384691"/>
      <w:bookmarkStart w:id="42" w:name="_Toc326937533"/>
      <w:r>
        <w:rPr>
          <w:rFonts w:hint="eastAsia" w:ascii="宋体" w:hAnsi="宋体" w:cs="宋体"/>
          <w:color w:val="auto"/>
          <w:sz w:val="21"/>
          <w:szCs w:val="21"/>
          <w:highlight w:val="none"/>
        </w:rPr>
        <w:t>9.1采购人或者采购代理机构可以对已发出的招标文件进行必要的澄清或者修改，但不得改变采购标的和资格条件。澄清或者修改应当在原公告发布媒体上发布澄清（更正）公告。澄清或者修改的内容为招标文件的组成部分。</w:t>
      </w:r>
    </w:p>
    <w:p>
      <w:pPr>
        <w:tabs>
          <w:tab w:val="left" w:pos="527"/>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9.2澄清或者修改的内容可能影响投标文件编制的，采购人或者采购代理机构应当在投标截止时间至少15日前(不足15日的，应当顺延提交投标文件的截止时间)。</w:t>
      </w:r>
    </w:p>
    <w:p>
      <w:pPr>
        <w:spacing w:line="400" w:lineRule="exact"/>
        <w:ind w:firstLine="420" w:firstLineChars="200"/>
        <w:jc w:val="left"/>
        <w:rPr>
          <w:rFonts w:hint="eastAsia"/>
          <w:color w:val="auto"/>
          <w:highlight w:val="none"/>
        </w:rPr>
      </w:pPr>
      <w:r>
        <w:rPr>
          <w:rFonts w:hint="eastAsia" w:ascii="宋体" w:hAnsi="宋体" w:cs="宋体"/>
          <w:color w:val="auto"/>
          <w:szCs w:val="21"/>
          <w:highlight w:val="none"/>
        </w:rPr>
        <w:t>9.3不论采购人向投标人发送的资料文件，还是投标人提出的问题，均采用信息发布网上公告形式，任何口头提问及答复一律无效。</w:t>
      </w:r>
      <w:bookmarkStart w:id="43" w:name="_Toc433917263"/>
      <w:bookmarkStart w:id="44" w:name="_Toc27714"/>
    </w:p>
    <w:p>
      <w:pPr>
        <w:pStyle w:val="6"/>
        <w:bidi w:val="0"/>
        <w:rPr>
          <w:rFonts w:hint="eastAsia"/>
          <w:highlight w:val="none"/>
        </w:rPr>
      </w:pPr>
      <w:r>
        <w:rPr>
          <w:rFonts w:hint="eastAsia"/>
          <w:highlight w:val="none"/>
        </w:rPr>
        <w:t>三、投标文件的编制</w:t>
      </w:r>
      <w:bookmarkEnd w:id="39"/>
      <w:bookmarkEnd w:id="40"/>
      <w:bookmarkEnd w:id="41"/>
      <w:bookmarkEnd w:id="42"/>
      <w:bookmarkEnd w:id="43"/>
      <w:bookmarkEnd w:id="44"/>
    </w:p>
    <w:p>
      <w:pPr>
        <w:widowControl/>
        <w:spacing w:line="40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10、投标文件的构成</w:t>
      </w:r>
    </w:p>
    <w:p>
      <w:pPr>
        <w:adjustRightInd w:val="0"/>
        <w:snapToGrid w:val="0"/>
        <w:spacing w:line="400" w:lineRule="exact"/>
        <w:ind w:firstLine="211" w:firstLineChars="1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▲投标文件由资格证明文件、技术商务文件、报价文件三部份组成。电子投标文件中须加盖公章部分均采用CA签章。</w:t>
      </w:r>
    </w:p>
    <w:p>
      <w:pPr>
        <w:widowControl/>
        <w:spacing w:line="400" w:lineRule="exact"/>
        <w:ind w:firstLine="210" w:firstLineChars="100"/>
        <w:jc w:val="left"/>
        <w:rPr>
          <w:rFonts w:hint="eastAsia" w:ascii="宋体" w:hAnsi="宋体" w:cs="宋体"/>
          <w:b/>
          <w:bCs/>
          <w:color w:val="auto"/>
          <w:kern w:val="0"/>
          <w:szCs w:val="21"/>
          <w:highlight w:val="none"/>
        </w:rPr>
      </w:pPr>
      <w:r>
        <w:rPr>
          <w:rFonts w:hint="eastAsia" w:ascii="宋体" w:hAnsi="宋体" w:cs="宋体"/>
          <w:color w:val="auto"/>
          <w:szCs w:val="21"/>
          <w:highlight w:val="none"/>
        </w:rPr>
        <w:t>▲</w:t>
      </w:r>
      <w:r>
        <w:rPr>
          <w:rFonts w:hint="eastAsia" w:ascii="宋体" w:hAnsi="宋体" w:cs="宋体"/>
          <w:b/>
          <w:bCs/>
          <w:color w:val="auto"/>
          <w:kern w:val="0"/>
          <w:szCs w:val="21"/>
          <w:highlight w:val="none"/>
        </w:rPr>
        <w:t>10.1资格证明文件</w:t>
      </w:r>
    </w:p>
    <w:p>
      <w:pPr>
        <w:widowControl/>
        <w:spacing w:line="400" w:lineRule="exact"/>
        <w:ind w:firstLine="413" w:firstLineChars="197"/>
        <w:jc w:val="left"/>
        <w:rPr>
          <w:rFonts w:hint="eastAsia" w:ascii="宋体" w:hAnsi="宋体" w:cs="宋体"/>
          <w:color w:val="auto"/>
          <w:szCs w:val="21"/>
          <w:highlight w:val="none"/>
        </w:rPr>
      </w:pPr>
      <w:r>
        <w:rPr>
          <w:rFonts w:hint="eastAsia" w:ascii="宋体" w:hAnsi="宋体" w:cs="宋体"/>
          <w:color w:val="auto"/>
          <w:szCs w:val="21"/>
          <w:highlight w:val="none"/>
        </w:rPr>
        <w:t>10.1.1包括但不限于以下内容：</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（1）投标声明书（格式附后）；</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）法人或者其他组织的营业执照等证明文件扫描件；</w:t>
      </w:r>
    </w:p>
    <w:p>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）《经营保险业务许可证》扫描件</w:t>
      </w:r>
      <w:r>
        <w:rPr>
          <w:rFonts w:hint="eastAsia" w:ascii="宋体" w:hAnsi="宋体" w:cs="宋体"/>
          <w:color w:val="auto"/>
          <w:szCs w:val="21"/>
          <w:highlight w:val="none"/>
        </w:rPr>
        <w:t>；</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）法定代表人身份证扫描件（正、反面）；</w:t>
      </w:r>
    </w:p>
    <w:p>
      <w:pPr>
        <w:widowControl/>
        <w:spacing w:line="400" w:lineRule="exact"/>
        <w:ind w:firstLine="420" w:firstLineChars="200"/>
        <w:rPr>
          <w:rFonts w:hint="eastAsia" w:ascii="宋体" w:hAnsi="宋体" w:cs="宋体"/>
          <w:color w:val="auto"/>
          <w:kern w:val="2"/>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）法定代表人授权委托书（如为授权委托人参加投标，格式附后）；</w:t>
      </w:r>
    </w:p>
    <w:p>
      <w:pPr>
        <w:keepNext w:val="0"/>
        <w:keepLines w:val="0"/>
        <w:pageBreakBefore w:val="0"/>
        <w:widowControl/>
        <w:kinsoku/>
        <w:wordWrap/>
        <w:overflowPunct/>
        <w:topLinePunct w:val="0"/>
        <w:bidi w:val="0"/>
        <w:spacing w:line="440" w:lineRule="exact"/>
        <w:ind w:firstLine="420" w:firstLineChars="200"/>
        <w:jc w:val="left"/>
        <w:rPr>
          <w:rFonts w:hint="eastAsia" w:ascii="宋体" w:hAnsi="宋体" w:cs="宋体"/>
          <w:color w:val="auto"/>
          <w:kern w:val="2"/>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）符合参加政府采购活动应当具备的一般条件的承诺函；</w:t>
      </w:r>
    </w:p>
    <w:p>
      <w:pPr>
        <w:pStyle w:val="231"/>
        <w:spacing w:line="400" w:lineRule="exact"/>
        <w:ind w:firstLine="420" w:firstLineChars="200"/>
        <w:rPr>
          <w:rFonts w:hint="eastAsia" w:ascii="宋体" w:hAnsi="宋体" w:cs="宋体"/>
          <w:b w:val="0"/>
          <w:bCs w:val="0"/>
          <w:color w:val="auto"/>
          <w:kern w:val="2"/>
          <w:szCs w:val="21"/>
          <w:highlight w:val="none"/>
        </w:rPr>
      </w:pPr>
      <w:r>
        <w:rPr>
          <w:rFonts w:hint="eastAsia" w:ascii="宋体" w:hAnsi="宋体" w:cs="宋体"/>
          <w:color w:val="auto"/>
          <w:kern w:val="2"/>
          <w:szCs w:val="21"/>
          <w:highlight w:val="none"/>
          <w:lang w:val="en-US" w:eastAsia="zh-CN"/>
        </w:rPr>
        <w:t>①</w:t>
      </w:r>
      <w:r>
        <w:rPr>
          <w:rFonts w:hint="eastAsia" w:ascii="宋体" w:hAnsi="宋体" w:cs="宋体"/>
          <w:color w:val="auto"/>
          <w:kern w:val="2"/>
          <w:szCs w:val="21"/>
          <w:highlight w:val="none"/>
        </w:rPr>
        <w:t>最近一年度</w:t>
      </w:r>
      <w:r>
        <w:rPr>
          <w:rFonts w:hint="eastAsia" w:ascii="宋体" w:hAnsi="宋体" w:cs="宋体"/>
          <w:b w:val="0"/>
          <w:bCs w:val="0"/>
          <w:color w:val="auto"/>
          <w:szCs w:val="21"/>
          <w:highlight w:val="none"/>
        </w:rPr>
        <w:t>投标人</w:t>
      </w:r>
      <w:r>
        <w:rPr>
          <w:rFonts w:hint="eastAsia" w:ascii="宋体" w:hAnsi="宋体" w:cs="宋体"/>
          <w:b w:val="0"/>
          <w:bCs w:val="0"/>
          <w:color w:val="auto"/>
          <w:kern w:val="2"/>
          <w:szCs w:val="21"/>
          <w:highlight w:val="none"/>
        </w:rPr>
        <w:t>财务状况报告扫描件（投标人若是新注册成立的，无法提供财务状况报告，请提供情况说明）；</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b w:val="0"/>
          <w:bCs w:val="0"/>
          <w:color w:val="auto"/>
          <w:szCs w:val="21"/>
          <w:highlight w:val="none"/>
          <w:lang w:val="en-US" w:eastAsia="zh-CN"/>
        </w:rPr>
        <w:t>②</w:t>
      </w:r>
      <w:r>
        <w:rPr>
          <w:rFonts w:hint="eastAsia" w:ascii="宋体" w:hAnsi="宋体" w:cs="宋体"/>
          <w:b w:val="0"/>
          <w:bCs w:val="0"/>
          <w:color w:val="auto"/>
          <w:szCs w:val="21"/>
          <w:highlight w:val="none"/>
        </w:rPr>
        <w:t>截至开标前6个月内投标人依</w:t>
      </w:r>
      <w:r>
        <w:rPr>
          <w:rFonts w:hint="eastAsia" w:ascii="宋体" w:hAnsi="宋体" w:cs="宋体"/>
          <w:color w:val="auto"/>
          <w:szCs w:val="21"/>
          <w:highlight w:val="none"/>
        </w:rPr>
        <w:t>法缴纳税收的证明(完税凭证扫描件或税务部门出具的证明扫描件，至少提供一个月）或依法免税证明；</w:t>
      </w:r>
    </w:p>
    <w:p>
      <w:pPr>
        <w:widowControl/>
        <w:spacing w:line="400" w:lineRule="exact"/>
        <w:ind w:firstLine="420" w:firstLineChars="200"/>
        <w:jc w:val="left"/>
        <w:rPr>
          <w:rFonts w:hint="eastAsia" w:ascii="宋体" w:hAnsi="宋体" w:cs="宋体"/>
          <w:b w:val="0"/>
          <w:bCs w:val="0"/>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截至开标前6个月内投标人为员工缴纳的社会保障资金证明（缴纳凭证扫描件或人社部门出具的证明扫描件，至少提供一个月；且若</w:t>
      </w:r>
      <w:r>
        <w:rPr>
          <w:rFonts w:hint="eastAsia" w:ascii="宋体" w:hAnsi="宋体" w:cs="宋体"/>
          <w:b w:val="0"/>
          <w:bCs w:val="0"/>
          <w:color w:val="auto"/>
          <w:szCs w:val="21"/>
          <w:highlight w:val="none"/>
        </w:rPr>
        <w:t>授权委托人参与投标，则提供的社会保障资金证明须体现投标人为授权委托人缴纳的社保情况，投标人若是新注册成立的，无法提供完税证明的，请提供情况说明）；</w:t>
      </w:r>
    </w:p>
    <w:p>
      <w:pPr>
        <w:keepNext w:val="0"/>
        <w:keepLines w:val="0"/>
        <w:pageBreakBefore w:val="0"/>
        <w:widowControl/>
        <w:kinsoku/>
        <w:wordWrap/>
        <w:overflowPunct/>
        <w:topLinePunct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7</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投标人需要说明的其他文件和说明（格式自拟）</w:t>
      </w:r>
      <w:r>
        <w:rPr>
          <w:rFonts w:hint="eastAsia" w:ascii="宋体" w:hAnsi="宋体" w:cs="宋体"/>
          <w:color w:val="auto"/>
          <w:szCs w:val="21"/>
          <w:highlight w:val="none"/>
        </w:rPr>
        <w:t>。</w:t>
      </w:r>
    </w:p>
    <w:p>
      <w:pPr>
        <w:snapToGrid w:val="0"/>
        <w:spacing w:line="400" w:lineRule="exact"/>
        <w:ind w:firstLine="210" w:firstLineChars="100"/>
        <w:jc w:val="left"/>
        <w:rPr>
          <w:rFonts w:hint="eastAsia" w:ascii="宋体" w:hAnsi="宋体" w:cs="宋体"/>
          <w:b/>
          <w:bCs/>
          <w:color w:val="auto"/>
          <w:kern w:val="0"/>
          <w:szCs w:val="21"/>
          <w:highlight w:val="none"/>
        </w:rPr>
      </w:pPr>
      <w:r>
        <w:rPr>
          <w:rFonts w:hint="eastAsia" w:ascii="宋体" w:hAnsi="宋体" w:eastAsia="宋体" w:cs="宋体"/>
          <w:color w:val="auto"/>
          <w:sz w:val="21"/>
          <w:szCs w:val="21"/>
          <w:highlight w:val="none"/>
          <w:lang w:val="en-US" w:eastAsia="zh-CN" w:bidi="en-US"/>
        </w:rPr>
        <w:t>▲其中（6）中的</w:t>
      </w:r>
      <w:r>
        <w:rPr>
          <w:rFonts w:hint="eastAsia" w:ascii="宋体" w:hAnsi="宋体" w:eastAsia="宋体" w:cs="宋体"/>
          <w:color w:val="auto"/>
          <w:sz w:val="21"/>
          <w:szCs w:val="21"/>
          <w:highlight w:val="none"/>
          <w:lang w:val="en-US" w:eastAsia="zh-CN" w:bidi="en-US"/>
        </w:rPr>
        <w:fldChar w:fldCharType="begin"/>
      </w:r>
      <w:r>
        <w:rPr>
          <w:rFonts w:hint="eastAsia" w:ascii="宋体" w:hAnsi="宋体" w:eastAsia="宋体" w:cs="宋体"/>
          <w:color w:val="auto"/>
          <w:sz w:val="21"/>
          <w:szCs w:val="21"/>
          <w:highlight w:val="none"/>
          <w:lang w:val="en-US" w:eastAsia="zh-CN" w:bidi="en-US"/>
        </w:rPr>
        <w:instrText xml:space="preserve"> = 1 \* GB3 </w:instrText>
      </w:r>
      <w:r>
        <w:rPr>
          <w:rFonts w:hint="eastAsia" w:ascii="宋体" w:hAnsi="宋体" w:eastAsia="宋体" w:cs="宋体"/>
          <w:color w:val="auto"/>
          <w:sz w:val="21"/>
          <w:szCs w:val="21"/>
          <w:highlight w:val="none"/>
          <w:lang w:val="en-US" w:eastAsia="zh-CN" w:bidi="en-US"/>
        </w:rPr>
        <w:fldChar w:fldCharType="separate"/>
      </w:r>
      <w:r>
        <w:rPr>
          <w:rFonts w:hint="eastAsia" w:ascii="宋体" w:hAnsi="宋体" w:eastAsia="宋体" w:cs="宋体"/>
          <w:color w:val="auto"/>
          <w:sz w:val="21"/>
          <w:szCs w:val="21"/>
          <w:highlight w:val="none"/>
          <w:lang w:val="en-US" w:eastAsia="zh-CN" w:bidi="en-US"/>
        </w:rPr>
        <w:t>①</w:t>
      </w:r>
      <w:r>
        <w:rPr>
          <w:rFonts w:hint="eastAsia" w:ascii="宋体" w:hAnsi="宋体" w:eastAsia="宋体" w:cs="宋体"/>
          <w:color w:val="auto"/>
          <w:sz w:val="21"/>
          <w:szCs w:val="21"/>
          <w:highlight w:val="none"/>
          <w:lang w:val="en-US" w:eastAsia="zh-CN" w:bidi="en-US"/>
        </w:rPr>
        <w:fldChar w:fldCharType="end"/>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lang w:val="en-US" w:eastAsia="zh-CN" w:bidi="en-US"/>
        </w:rPr>
        <w:fldChar w:fldCharType="begin"/>
      </w:r>
      <w:r>
        <w:rPr>
          <w:rFonts w:hint="eastAsia" w:ascii="宋体" w:hAnsi="宋体" w:eastAsia="宋体" w:cs="宋体"/>
          <w:color w:val="auto"/>
          <w:sz w:val="21"/>
          <w:szCs w:val="21"/>
          <w:highlight w:val="none"/>
          <w:lang w:val="en-US" w:eastAsia="zh-CN" w:bidi="en-US"/>
        </w:rPr>
        <w:instrText xml:space="preserve"> = 2 \* GB3 </w:instrText>
      </w:r>
      <w:r>
        <w:rPr>
          <w:rFonts w:hint="eastAsia" w:ascii="宋体" w:hAnsi="宋体" w:eastAsia="宋体" w:cs="宋体"/>
          <w:color w:val="auto"/>
          <w:sz w:val="21"/>
          <w:szCs w:val="21"/>
          <w:highlight w:val="none"/>
          <w:lang w:val="en-US" w:eastAsia="zh-CN" w:bidi="en-US"/>
        </w:rPr>
        <w:fldChar w:fldCharType="separate"/>
      </w:r>
      <w:r>
        <w:rPr>
          <w:rFonts w:hint="eastAsia" w:ascii="宋体" w:hAnsi="宋体" w:eastAsia="宋体" w:cs="宋体"/>
          <w:color w:val="auto"/>
          <w:sz w:val="21"/>
          <w:szCs w:val="21"/>
          <w:highlight w:val="none"/>
          <w:lang w:val="en-US" w:eastAsia="zh-CN" w:bidi="en-US"/>
        </w:rPr>
        <w:t>②</w:t>
      </w:r>
      <w:r>
        <w:rPr>
          <w:rFonts w:hint="eastAsia" w:ascii="宋体" w:hAnsi="宋体" w:eastAsia="宋体" w:cs="宋体"/>
          <w:color w:val="auto"/>
          <w:sz w:val="21"/>
          <w:szCs w:val="21"/>
          <w:highlight w:val="none"/>
          <w:lang w:val="en-US" w:eastAsia="zh-CN" w:bidi="en-US"/>
        </w:rPr>
        <w:fldChar w:fldCharType="end"/>
      </w:r>
      <w:r>
        <w:rPr>
          <w:rFonts w:hint="eastAsia" w:ascii="宋体" w:hAnsi="宋体" w:eastAsia="宋体" w:cs="宋体"/>
          <w:color w:val="auto"/>
          <w:sz w:val="21"/>
          <w:szCs w:val="21"/>
          <w:highlight w:val="none"/>
          <w:lang w:val="en-US" w:eastAsia="zh-CN" w:bidi="en-US"/>
        </w:rPr>
        <w:t>、</w:t>
      </w:r>
      <w:r>
        <w:rPr>
          <w:rFonts w:hint="default" w:ascii="宋体" w:hAnsi="宋体" w:eastAsia="宋体" w:cs="宋体"/>
          <w:color w:val="auto"/>
          <w:sz w:val="21"/>
          <w:szCs w:val="21"/>
          <w:highlight w:val="none"/>
          <w:lang w:val="en-US" w:eastAsia="zh-CN" w:bidi="en-US"/>
        </w:rPr>
        <w:t>③</w:t>
      </w:r>
      <w:r>
        <w:rPr>
          <w:rFonts w:hint="eastAsia" w:ascii="宋体" w:hAnsi="宋体" w:eastAsia="宋体" w:cs="宋体"/>
          <w:color w:val="auto"/>
          <w:sz w:val="21"/>
          <w:szCs w:val="21"/>
          <w:highlight w:val="none"/>
          <w:lang w:val="en-US" w:eastAsia="zh-CN" w:bidi="en-US"/>
        </w:rPr>
        <w:t>无须在投标文件中提供，中标候选人在开标活动结束后2个工作日内，提供相应原件扫描件核查，否则将视同放弃中标资格。</w:t>
      </w:r>
    </w:p>
    <w:p>
      <w:pPr>
        <w:widowControl/>
        <w:spacing w:line="40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10.2技术商务文件</w:t>
      </w:r>
    </w:p>
    <w:p>
      <w:pPr>
        <w:snapToGrid w:val="0"/>
        <w:spacing w:line="400" w:lineRule="exact"/>
        <w:ind w:firstLine="420" w:firstLineChars="200"/>
        <w:jc w:val="left"/>
        <w:rPr>
          <w:rStyle w:val="57"/>
          <w:rFonts w:hint="eastAsia" w:ascii="宋体" w:hAnsi="宋体" w:cs="宋体"/>
          <w:color w:val="auto"/>
          <w:kern w:val="0"/>
          <w:highlight w:val="none"/>
          <w:u w:val="none"/>
        </w:rPr>
      </w:pPr>
      <w:r>
        <w:rPr>
          <w:rFonts w:hint="eastAsia" w:ascii="宋体" w:hAnsi="宋体" w:cs="宋体"/>
          <w:color w:val="auto"/>
          <w:szCs w:val="21"/>
          <w:highlight w:val="none"/>
        </w:rPr>
        <w:t>10.2.1包括但不限于以下内容：</w:t>
      </w:r>
    </w:p>
    <w:p>
      <w:pPr>
        <w:snapToGrid w:val="0"/>
        <w:spacing w:line="40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▲（1）政府采购项目供应商技术商务评分索引表（格式附后）；</w:t>
      </w:r>
    </w:p>
    <w:p>
      <w:pPr>
        <w:snapToGrid w:val="0"/>
        <w:spacing w:line="40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▲（2）项目合同履行期限承诺（格式自拟）；</w:t>
      </w:r>
    </w:p>
    <w:p>
      <w:pPr>
        <w:widowControl/>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（3）偿付能力充足率；</w:t>
      </w:r>
    </w:p>
    <w:p>
      <w:pPr>
        <w:widowControl/>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（4）类似业绩；</w:t>
      </w:r>
    </w:p>
    <w:p>
      <w:pPr>
        <w:widowControl/>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）服务</w:t>
      </w:r>
      <w:r>
        <w:rPr>
          <w:rFonts w:hint="eastAsia" w:ascii="宋体" w:hAnsi="宋体" w:cs="宋体"/>
          <w:bCs/>
          <w:color w:val="auto"/>
          <w:kern w:val="0"/>
          <w:szCs w:val="21"/>
          <w:highlight w:val="none"/>
          <w:lang w:eastAsia="zh-CN"/>
        </w:rPr>
        <w:t>能力</w:t>
      </w:r>
      <w:r>
        <w:rPr>
          <w:rFonts w:hint="eastAsia" w:ascii="宋体" w:hAnsi="宋体" w:cs="宋体"/>
          <w:bCs/>
          <w:color w:val="auto"/>
          <w:kern w:val="0"/>
          <w:szCs w:val="21"/>
          <w:highlight w:val="none"/>
        </w:rPr>
        <w:t>；</w:t>
      </w:r>
    </w:p>
    <w:p>
      <w:pPr>
        <w:widowControl/>
        <w:spacing w:line="400" w:lineRule="exact"/>
        <w:ind w:firstLine="420" w:firstLineChars="200"/>
        <w:rPr>
          <w:rFonts w:hint="eastAsia"/>
          <w:color w:val="auto"/>
          <w:highlight w:val="none"/>
          <w:lang w:eastAsia="zh-CN"/>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服务等级；</w:t>
      </w:r>
    </w:p>
    <w:p>
      <w:pPr>
        <w:widowControl/>
        <w:spacing w:line="400" w:lineRule="exact"/>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rPr>
        <w:t>市场份额</w:t>
      </w:r>
      <w:r>
        <w:rPr>
          <w:rFonts w:hint="eastAsia" w:ascii="宋体" w:hAnsi="宋体" w:cs="宋体"/>
          <w:bCs/>
          <w:color w:val="auto"/>
          <w:kern w:val="0"/>
          <w:szCs w:val="21"/>
          <w:highlight w:val="none"/>
          <w:lang w:eastAsia="zh-CN"/>
        </w:rPr>
        <w:t>；</w:t>
      </w:r>
    </w:p>
    <w:p>
      <w:pPr>
        <w:widowControl/>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rPr>
        <w:t>保险服务方案；</w:t>
      </w:r>
    </w:p>
    <w:p>
      <w:pPr>
        <w:widowControl/>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增值特色服务</w:t>
      </w:r>
      <w:r>
        <w:rPr>
          <w:rFonts w:hint="eastAsia" w:ascii="宋体" w:hAnsi="宋体" w:cs="宋体"/>
          <w:bCs/>
          <w:color w:val="auto"/>
          <w:kern w:val="0"/>
          <w:szCs w:val="21"/>
          <w:highlight w:val="none"/>
        </w:rPr>
        <w:t>；</w:t>
      </w:r>
    </w:p>
    <w:p>
      <w:pPr>
        <w:widowControl/>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rPr>
        <w:t>理赔服务方案；</w:t>
      </w:r>
    </w:p>
    <w:p>
      <w:pPr>
        <w:widowControl/>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rPr>
        <w:t>投标</w:t>
      </w:r>
      <w:r>
        <w:rPr>
          <w:rFonts w:hint="eastAsia" w:ascii="宋体" w:hAnsi="宋体" w:cs="宋体"/>
          <w:bCs/>
          <w:color w:val="auto"/>
          <w:kern w:val="0"/>
          <w:szCs w:val="21"/>
          <w:highlight w:val="none"/>
          <w:lang w:val="en-US" w:eastAsia="zh-CN"/>
        </w:rPr>
        <w:t>人</w:t>
      </w:r>
      <w:r>
        <w:rPr>
          <w:rFonts w:hint="eastAsia" w:ascii="宋体" w:hAnsi="宋体" w:cs="宋体"/>
          <w:bCs/>
          <w:color w:val="auto"/>
          <w:kern w:val="0"/>
          <w:szCs w:val="21"/>
          <w:highlight w:val="none"/>
        </w:rPr>
        <w:t>需要说明的其他文件和说明；</w:t>
      </w:r>
    </w:p>
    <w:p>
      <w:pPr>
        <w:widowControl/>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其他影响投标方资信评分的各类资质证明材料。</w:t>
      </w:r>
    </w:p>
    <w:p>
      <w:pPr>
        <w:widowControl/>
        <w:spacing w:line="40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10.3 报价文件</w:t>
      </w:r>
    </w:p>
    <w:p>
      <w:pPr>
        <w:tabs>
          <w:tab w:val="left" w:pos="527"/>
        </w:tabs>
        <w:spacing w:line="40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包括但不限于以下内容：</w:t>
      </w:r>
    </w:p>
    <w:p>
      <w:pPr>
        <w:tabs>
          <w:tab w:val="left" w:pos="527"/>
        </w:tabs>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color w:val="auto"/>
          <w:kern w:val="0"/>
          <w:szCs w:val="21"/>
          <w:highlight w:val="none"/>
        </w:rPr>
        <w:t>（1）投标函（格式附后）；</w:t>
      </w:r>
    </w:p>
    <w:p>
      <w:pPr>
        <w:pStyle w:val="9"/>
        <w:spacing w:line="400" w:lineRule="exact"/>
        <w:ind w:firstLine="422"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rPr>
        <w:t>（2）开标一览表（格式附后）；</w:t>
      </w:r>
    </w:p>
    <w:p>
      <w:pPr>
        <w:pStyle w:val="9"/>
        <w:spacing w:line="400" w:lineRule="exact"/>
        <w:ind w:firstLine="630" w:firstLineChars="3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（3）中小企业声明函（若有，</w:t>
      </w:r>
      <w:r>
        <w:rPr>
          <w:rFonts w:hint="eastAsia" w:ascii="宋体" w:hAnsi="宋体" w:eastAsia="宋体" w:cs="宋体"/>
          <w:b w:val="0"/>
          <w:bCs w:val="0"/>
          <w:color w:val="auto"/>
          <w:kern w:val="0"/>
          <w:sz w:val="21"/>
          <w:szCs w:val="21"/>
          <w:highlight w:val="none"/>
        </w:rPr>
        <w:t>格式附后</w:t>
      </w:r>
      <w:r>
        <w:rPr>
          <w:rFonts w:hint="eastAsia" w:ascii="宋体" w:hAnsi="宋体" w:eastAsia="宋体" w:cs="宋体"/>
          <w:b w:val="0"/>
          <w:bCs w:val="0"/>
          <w:color w:val="auto"/>
          <w:sz w:val="21"/>
          <w:szCs w:val="21"/>
          <w:highlight w:val="none"/>
        </w:rPr>
        <w:t>）；</w:t>
      </w:r>
    </w:p>
    <w:p>
      <w:pPr>
        <w:pStyle w:val="9"/>
        <w:spacing w:line="400" w:lineRule="exact"/>
        <w:ind w:firstLine="630" w:firstLineChars="3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（4）残疾人福利性单位声明函（若有，</w:t>
      </w:r>
      <w:r>
        <w:rPr>
          <w:rFonts w:hint="eastAsia" w:ascii="宋体" w:hAnsi="宋体" w:eastAsia="宋体" w:cs="宋体"/>
          <w:b w:val="0"/>
          <w:bCs w:val="0"/>
          <w:color w:val="auto"/>
          <w:kern w:val="0"/>
          <w:sz w:val="21"/>
          <w:szCs w:val="21"/>
          <w:highlight w:val="none"/>
        </w:rPr>
        <w:t>格式附后</w:t>
      </w:r>
      <w:r>
        <w:rPr>
          <w:rFonts w:hint="eastAsia" w:ascii="宋体" w:hAnsi="宋体" w:eastAsia="宋体" w:cs="宋体"/>
          <w:b w:val="0"/>
          <w:bCs w:val="0"/>
          <w:color w:val="auto"/>
          <w:sz w:val="21"/>
          <w:szCs w:val="21"/>
          <w:highlight w:val="none"/>
        </w:rPr>
        <w:t>）；</w:t>
      </w:r>
    </w:p>
    <w:p>
      <w:pPr>
        <w:widowControl/>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（5）省级以上监狱管理局、戒毒管理局（含新疆生产建设兵团）出具的属于监狱企业的证明文件扫描件（若有）；</w:t>
      </w:r>
    </w:p>
    <w:p>
      <w:pPr>
        <w:widowControl/>
        <w:spacing w:line="400" w:lineRule="exact"/>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（6）投标人需要说明的其他文件和说明。</w:t>
      </w:r>
    </w:p>
    <w:p>
      <w:pPr>
        <w:widowControl/>
        <w:spacing w:line="40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11、投标文件的语言及计量单位</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 投标文件以及投标人与采购人就有关投标事宜的所有来往函电，均应以中文汉语书写。除签名、盖章、专用名称等特殊情形外，以中文汉语以外的文字表述的投标文件视同未提供。</w:t>
      </w:r>
    </w:p>
    <w:p>
      <w:pPr>
        <w:widowControl/>
        <w:spacing w:line="400" w:lineRule="exact"/>
        <w:ind w:firstLine="420" w:firstLineChars="200"/>
        <w:jc w:val="left"/>
        <w:rPr>
          <w:rFonts w:hint="eastAsia" w:ascii="宋体" w:hAnsi="宋体" w:cs="宋体"/>
          <w:color w:val="auto"/>
          <w:spacing w:val="-8"/>
          <w:kern w:val="0"/>
          <w:szCs w:val="21"/>
          <w:highlight w:val="none"/>
        </w:rPr>
      </w:pPr>
      <w:r>
        <w:rPr>
          <w:rFonts w:hint="eastAsia" w:ascii="宋体" w:hAnsi="宋体" w:cs="宋体"/>
          <w:bCs/>
          <w:color w:val="auto"/>
          <w:kern w:val="0"/>
          <w:szCs w:val="21"/>
          <w:highlight w:val="none"/>
        </w:rPr>
        <w:t>11</w:t>
      </w:r>
      <w:r>
        <w:rPr>
          <w:rFonts w:hint="eastAsia" w:ascii="宋体" w:hAnsi="宋体" w:cs="宋体"/>
          <w:color w:val="auto"/>
          <w:kern w:val="0"/>
          <w:szCs w:val="21"/>
          <w:highlight w:val="none"/>
        </w:rPr>
        <w:t xml:space="preserve">.2 </w:t>
      </w:r>
      <w:r>
        <w:rPr>
          <w:rFonts w:hint="eastAsia" w:ascii="宋体" w:hAnsi="宋体" w:cs="宋体"/>
          <w:color w:val="auto"/>
          <w:spacing w:val="-8"/>
          <w:kern w:val="0"/>
          <w:szCs w:val="21"/>
          <w:highlight w:val="none"/>
        </w:rPr>
        <w:t>除技术性能中另有规定外，投标文件所使用的计量单位，一律使用法定计量单位。</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11</w:t>
      </w:r>
      <w:r>
        <w:rPr>
          <w:rFonts w:hint="eastAsia" w:ascii="宋体" w:hAnsi="宋体" w:cs="宋体"/>
          <w:color w:val="auto"/>
          <w:kern w:val="0"/>
          <w:szCs w:val="21"/>
          <w:highlight w:val="none"/>
        </w:rPr>
        <w:t>.3招标文件已有明确规定的，使用招标文件规定的计量单位；招标文件没有规定的，应采用中华人民共和国法定计量单位（货币单位：人民币元），否则视同未响应。</w:t>
      </w:r>
    </w:p>
    <w:p>
      <w:pPr>
        <w:widowControl/>
        <w:tabs>
          <w:tab w:val="center" w:pos="4771"/>
        </w:tabs>
        <w:spacing w:line="400" w:lineRule="exact"/>
        <w:ind w:firstLine="207" w:firstLineChars="98"/>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▲12、投标报价</w:t>
      </w:r>
      <w:r>
        <w:rPr>
          <w:rFonts w:hint="eastAsia" w:ascii="宋体" w:hAnsi="宋体" w:cs="宋体"/>
          <w:b/>
          <w:bCs/>
          <w:color w:val="auto"/>
          <w:kern w:val="0"/>
          <w:szCs w:val="21"/>
          <w:highlight w:val="none"/>
        </w:rPr>
        <w:tab/>
      </w:r>
    </w:p>
    <w:p>
      <w:pPr>
        <w:widowControl/>
        <w:spacing w:line="40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 xml:space="preserve">12.1 </w:t>
      </w:r>
      <w:r>
        <w:rPr>
          <w:rFonts w:hint="eastAsia" w:ascii="宋体" w:hAnsi="宋体" w:cs="宋体"/>
          <w:color w:val="auto"/>
          <w:szCs w:val="21"/>
          <w:highlight w:val="none"/>
        </w:rPr>
        <w:t>投标报价是履行合同的最终价格，报价应包括为完成招标文件所确定的招标范围内全部工作内容可能发生的各项费用，如人工费（含社保、相关福利费）、税金、风险、利润等等所有费用。</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12</w:t>
      </w:r>
      <w:r>
        <w:rPr>
          <w:rFonts w:hint="eastAsia" w:ascii="宋体" w:hAnsi="宋体" w:cs="宋体"/>
          <w:color w:val="auto"/>
          <w:kern w:val="0"/>
          <w:szCs w:val="21"/>
          <w:highlight w:val="none"/>
        </w:rPr>
        <w:t>.2 投标人对所投项目只能提出一个不变总价，采购人不接受任何选择价。</w:t>
      </w:r>
    </w:p>
    <w:p>
      <w:pPr>
        <w:keepLines w:val="0"/>
        <w:pageBreakBefore w:val="0"/>
        <w:kinsoku/>
        <w:overflowPunct/>
        <w:topLinePunct w:val="0"/>
        <w:bidi w:val="0"/>
        <w:spacing w:line="440" w:lineRule="exact"/>
        <w:ind w:firstLine="420" w:firstLineChars="200"/>
        <w:rPr>
          <w:rFonts w:hint="eastAsia" w:ascii="宋体" w:hAnsi="宋体" w:cs="宋体"/>
          <w:b/>
          <w:bCs/>
          <w:color w:val="auto"/>
          <w:kern w:val="0"/>
          <w:szCs w:val="21"/>
          <w:highlight w:val="none"/>
        </w:rPr>
      </w:pPr>
      <w:r>
        <w:rPr>
          <w:rFonts w:hint="eastAsia" w:ascii="宋体" w:hAnsi="宋体" w:cs="宋体"/>
          <w:bCs/>
          <w:color w:val="auto"/>
          <w:sz w:val="21"/>
          <w:szCs w:val="21"/>
          <w:lang w:eastAsia="zh-CN"/>
        </w:rPr>
        <w:t>12.3 文字大写的数据与数字表示有差别，以大写为准。</w:t>
      </w:r>
    </w:p>
    <w:p>
      <w:pPr>
        <w:widowControl/>
        <w:spacing w:line="400" w:lineRule="exact"/>
        <w:ind w:firstLine="413" w:firstLineChars="196"/>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13、投标文件的编写要求</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13.1投标文件按“政采云供应商项目采购-电子招投标操作指南”及本招标文件要求制作、加密并递交，投标文件内容不完整、编排混乱导致投标文件被误读、漏读或者查找不到相关内容的，为投标人的责任。</w:t>
      </w:r>
    </w:p>
    <w:p>
      <w:pPr>
        <w:widowControl/>
        <w:spacing w:line="400" w:lineRule="exact"/>
        <w:ind w:firstLine="205" w:firstLineChars="98"/>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▲13</w:t>
      </w:r>
      <w:r>
        <w:rPr>
          <w:rFonts w:hint="eastAsia" w:ascii="宋体" w:hAnsi="宋体" w:cs="宋体"/>
          <w:color w:val="auto"/>
          <w:kern w:val="0"/>
          <w:szCs w:val="21"/>
          <w:highlight w:val="none"/>
        </w:rPr>
        <w:t>.2 保证所提供的全部资料的真实性、完整性及有效性，对招标文件作出实质性响应。否则，其投标文件可能被拒绝。</w:t>
      </w:r>
    </w:p>
    <w:p>
      <w:pPr>
        <w:adjustRightInd w:val="0"/>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bCs/>
          <w:color w:val="auto"/>
          <w:kern w:val="0"/>
          <w:szCs w:val="21"/>
          <w:highlight w:val="none"/>
        </w:rPr>
        <w:t>14、</w:t>
      </w:r>
      <w:r>
        <w:rPr>
          <w:rFonts w:hint="eastAsia" w:ascii="宋体" w:hAnsi="宋体" w:cs="宋体"/>
          <w:b/>
          <w:color w:val="auto"/>
          <w:kern w:val="0"/>
          <w:szCs w:val="21"/>
          <w:highlight w:val="none"/>
        </w:rPr>
        <w:t>投标文件的制作</w:t>
      </w:r>
    </w:p>
    <w:p>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投标文件应按“政采云供应商项目采购-电子招投标操作指南”及本招标文件要求制作、加密并递交。</w:t>
      </w:r>
    </w:p>
    <w:p>
      <w:pPr>
        <w:widowControl/>
        <w:spacing w:line="40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15、投标的有效期</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15.1</w:t>
      </w:r>
      <w:r>
        <w:rPr>
          <w:rFonts w:hint="eastAsia" w:ascii="宋体" w:hAnsi="宋体" w:cs="宋体"/>
          <w:color w:val="auto"/>
          <w:szCs w:val="21"/>
          <w:highlight w:val="none"/>
        </w:rPr>
        <w:t>投标文件提交截止日起90日内。</w:t>
      </w:r>
    </w:p>
    <w:p>
      <w:pPr>
        <w:widowControl/>
        <w:spacing w:line="400" w:lineRule="exact"/>
        <w:ind w:firstLine="420" w:firstLineChars="200"/>
        <w:jc w:val="left"/>
        <w:rPr>
          <w:rFonts w:hint="eastAsia" w:ascii="宋体" w:hAnsi="宋体" w:cs="宋体"/>
          <w:color w:val="auto"/>
          <w:spacing w:val="-8"/>
          <w:kern w:val="0"/>
          <w:szCs w:val="21"/>
          <w:highlight w:val="none"/>
        </w:rPr>
      </w:pPr>
      <w:r>
        <w:rPr>
          <w:rFonts w:hint="eastAsia" w:ascii="宋体" w:hAnsi="宋体" w:cs="宋体"/>
          <w:color w:val="auto"/>
          <w:kern w:val="0"/>
          <w:szCs w:val="21"/>
          <w:highlight w:val="none"/>
        </w:rPr>
        <w:t xml:space="preserve">15.2 </w:t>
      </w:r>
      <w:r>
        <w:rPr>
          <w:rFonts w:hint="eastAsia" w:ascii="宋体" w:hAnsi="宋体" w:cs="宋体"/>
          <w:color w:val="auto"/>
          <w:spacing w:val="-8"/>
          <w:kern w:val="0"/>
          <w:szCs w:val="21"/>
          <w:highlight w:val="none"/>
        </w:rPr>
        <w:t>特殊情况下，采购人可与投标人协商延长投标文件的有效期。</w:t>
      </w:r>
    </w:p>
    <w:p>
      <w:pPr>
        <w:pStyle w:val="6"/>
        <w:bidi w:val="0"/>
        <w:rPr>
          <w:rFonts w:hint="eastAsia"/>
        </w:rPr>
      </w:pPr>
      <w:bookmarkStart w:id="45" w:name="_Toc326937534"/>
      <w:bookmarkStart w:id="46" w:name="_Toc433917264"/>
      <w:bookmarkStart w:id="47" w:name="_Toc333842548"/>
      <w:bookmarkStart w:id="48" w:name="_Toc358384692"/>
      <w:bookmarkStart w:id="49" w:name="_Toc10346"/>
      <w:bookmarkStart w:id="50" w:name="_Toc393201711"/>
      <w:r>
        <w:rPr>
          <w:rFonts w:hint="eastAsia"/>
        </w:rPr>
        <w:t>四、投标文件的包装与递交</w:t>
      </w:r>
      <w:bookmarkEnd w:id="45"/>
      <w:bookmarkEnd w:id="46"/>
      <w:bookmarkEnd w:id="47"/>
      <w:bookmarkEnd w:id="48"/>
      <w:bookmarkEnd w:id="49"/>
      <w:bookmarkEnd w:id="50"/>
    </w:p>
    <w:p>
      <w:pPr>
        <w:widowControl/>
        <w:spacing w:line="400" w:lineRule="exact"/>
        <w:ind w:firstLine="422" w:firstLineChars="200"/>
        <w:jc w:val="left"/>
        <w:rPr>
          <w:rFonts w:hint="eastAsia" w:ascii="宋体" w:hAnsi="宋体" w:cs="宋体"/>
          <w:b/>
          <w:bCs/>
          <w:color w:val="auto"/>
          <w:kern w:val="0"/>
          <w:szCs w:val="21"/>
          <w:highlight w:val="none"/>
        </w:rPr>
      </w:pPr>
      <w:bookmarkStart w:id="51" w:name="_Toc333842549"/>
      <w:bookmarkStart w:id="52" w:name="_Toc326937535"/>
      <w:bookmarkStart w:id="53" w:name="_Toc358384693"/>
      <w:bookmarkStart w:id="54" w:name="_Toc393201712"/>
      <w:bookmarkStart w:id="55" w:name="_Toc32366"/>
      <w:bookmarkStart w:id="56" w:name="_Toc433917265"/>
      <w:r>
        <w:rPr>
          <w:rFonts w:hint="eastAsia" w:ascii="宋体" w:hAnsi="宋体" w:cs="宋体"/>
          <w:b/>
          <w:bCs/>
          <w:color w:val="auto"/>
          <w:kern w:val="0"/>
          <w:szCs w:val="21"/>
          <w:highlight w:val="none"/>
        </w:rPr>
        <w:t>16、 投标文件的签署</w:t>
      </w:r>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16.1电子投标文件按“政采云平台供应商项目采购-电子招投标操作指南”</w:t>
      </w: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"https://help.zcy.gov.cn/web/site_2/2018/12-28/2573.html）及本招标文件规定的格式和顺序编制电子投标文件并进行关联定位。" </w:instrText>
      </w:r>
      <w:r>
        <w:rPr>
          <w:rFonts w:hint="eastAsia" w:ascii="宋体" w:hAnsi="宋体" w:cs="宋体"/>
          <w:bCs/>
          <w:color w:val="auto"/>
          <w:szCs w:val="21"/>
          <w:highlight w:val="none"/>
        </w:rPr>
        <w:fldChar w:fldCharType="separate"/>
      </w:r>
      <w:r>
        <w:rPr>
          <w:rFonts w:hint="eastAsia" w:ascii="宋体" w:hAnsi="宋体" w:cs="宋体"/>
          <w:bCs/>
          <w:color w:val="auto"/>
          <w:szCs w:val="21"/>
          <w:highlight w:val="none"/>
        </w:rPr>
        <w:t>及本招标文件规定的格式和顺序编制电子投标文件并进行关联定位。</w:t>
      </w:r>
      <w:r>
        <w:rPr>
          <w:rFonts w:hint="eastAsia" w:ascii="宋体" w:hAnsi="宋体" w:cs="宋体"/>
          <w:bCs/>
          <w:color w:val="auto"/>
          <w:szCs w:val="21"/>
          <w:highlight w:val="none"/>
        </w:rPr>
        <w:fldChar w:fldCharType="end"/>
      </w:r>
    </w:p>
    <w:p>
      <w:pPr>
        <w:spacing w:line="400" w:lineRule="exact"/>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▲16.2电子投标文件中须加盖公章部分均采用CA签章。</w:t>
      </w:r>
    </w:p>
    <w:p>
      <w:pPr>
        <w:widowControl/>
        <w:spacing w:line="380" w:lineRule="exact"/>
        <w:ind w:firstLine="422" w:firstLineChars="200"/>
        <w:jc w:val="left"/>
        <w:rPr>
          <w:rFonts w:hint="eastAsia" w:ascii="宋体" w:hAnsi="宋体" w:cs="宋体"/>
          <w:bCs/>
          <w:color w:val="auto"/>
          <w:szCs w:val="21"/>
          <w:highlight w:val="none"/>
        </w:rPr>
      </w:pPr>
      <w:r>
        <w:rPr>
          <w:rFonts w:hint="eastAsia" w:ascii="宋体" w:hAnsi="宋体" w:cs="宋体"/>
          <w:b/>
          <w:bCs/>
          <w:color w:val="auto"/>
          <w:kern w:val="0"/>
          <w:szCs w:val="21"/>
          <w:highlight w:val="none"/>
        </w:rPr>
        <w:t>17、投标截止时间和开标地址</w:t>
      </w:r>
    </w:p>
    <w:p>
      <w:pPr>
        <w:spacing w:line="400" w:lineRule="exact"/>
        <w:ind w:firstLine="420" w:firstLineChars="200"/>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17.1截止时间：</w:t>
      </w:r>
      <w:r>
        <w:rPr>
          <w:rFonts w:hint="eastAsia" w:ascii="宋体" w:hAnsi="宋体" w:cs="宋体"/>
          <w:color w:val="auto"/>
          <w:szCs w:val="21"/>
          <w:highlight w:val="none"/>
          <w:u w:val="single"/>
          <w:lang w:val="en-US" w:eastAsia="zh-CN"/>
        </w:rPr>
        <w:t xml:space="preserve"> 2022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8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14:30 </w:t>
      </w:r>
      <w:r>
        <w:rPr>
          <w:rFonts w:hint="eastAsia" w:ascii="宋体" w:hAnsi="宋体" w:cs="宋体"/>
          <w:color w:val="auto"/>
          <w:szCs w:val="21"/>
          <w:highlight w:val="none"/>
        </w:rPr>
        <w:t>时</w:t>
      </w:r>
      <w:r>
        <w:rPr>
          <w:rFonts w:hint="eastAsia" w:ascii="宋体" w:hAnsi="宋体" w:cs="宋体"/>
          <w:color w:val="auto"/>
          <w:sz w:val="21"/>
          <w:szCs w:val="21"/>
          <w:highlight w:val="none"/>
        </w:rPr>
        <w:t>（北京时间）</w:t>
      </w:r>
      <w:r>
        <w:rPr>
          <w:rFonts w:hint="eastAsia" w:ascii="宋体" w:hAnsi="宋体" w:cs="宋体"/>
          <w:bCs/>
          <w:color w:val="auto"/>
          <w:kern w:val="2"/>
          <w:sz w:val="21"/>
          <w:szCs w:val="21"/>
          <w:highlight w:val="none"/>
        </w:rPr>
        <w:t>，逾期不受理；</w:t>
      </w:r>
    </w:p>
    <w:p>
      <w:pPr>
        <w:pStyle w:val="26"/>
        <w:adjustRightInd w:val="0"/>
        <w:snapToGrid w:val="0"/>
        <w:spacing w:line="380" w:lineRule="exact"/>
        <w:ind w:firstLine="420" w:firstLineChars="200"/>
        <w:rPr>
          <w:rFonts w:hint="eastAsia" w:hAnsi="宋体" w:cs="宋体"/>
          <w:b/>
          <w:strike/>
          <w:color w:val="auto"/>
          <w:szCs w:val="21"/>
          <w:highlight w:val="none"/>
        </w:rPr>
      </w:pPr>
      <w:r>
        <w:rPr>
          <w:rFonts w:hint="eastAsia" w:hAnsi="宋体" w:cs="宋体"/>
          <w:bCs/>
          <w:color w:val="auto"/>
          <w:szCs w:val="21"/>
          <w:highlight w:val="none"/>
        </w:rPr>
        <w:t>17.2开标地点：开化县公共资源交易中心开标区(开化县凤凰南路2号5楼)。</w:t>
      </w:r>
    </w:p>
    <w:p>
      <w:pPr>
        <w:pStyle w:val="9"/>
        <w:spacing w:line="3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18、投标文件的</w:t>
      </w:r>
      <w:r>
        <w:rPr>
          <w:rFonts w:hint="eastAsia" w:ascii="宋体" w:hAnsi="宋体" w:eastAsia="宋体" w:cs="宋体"/>
          <w:bCs w:val="0"/>
          <w:color w:val="auto"/>
          <w:sz w:val="21"/>
          <w:szCs w:val="21"/>
          <w:highlight w:val="none"/>
        </w:rPr>
        <w:t>补充、修改和撤回</w:t>
      </w:r>
    </w:p>
    <w:p>
      <w:pPr>
        <w:autoSpaceDE w:val="0"/>
        <w:autoSpaceDN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18.1</w:t>
      </w:r>
      <w:r>
        <w:rPr>
          <w:rFonts w:hint="eastAsia" w:ascii="宋体" w:hAnsi="宋体" w:cs="宋体"/>
          <w:color w:val="auto"/>
          <w:szCs w:val="21"/>
          <w:highlight w:val="none"/>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18.2投标人修改后的投标文件应按原来的规定编制、标记和递交。</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18.3在递交投标文件截止期之后，投标人不得对其投标文件做任何修改。</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18.4递交投标文件截止期后，投标人不得撤回其投标文件。</w:t>
      </w:r>
    </w:p>
    <w:p>
      <w:pPr>
        <w:snapToGrid w:val="0"/>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18.5实质上没有响应本文件要求的投标文件将被拒绝。投标人不得通过修正或撤销不合要求的偏离或保留从而使其投标文件成为实质上响应的文件。</w:t>
      </w:r>
    </w:p>
    <w:p>
      <w:pPr>
        <w:pStyle w:val="6"/>
        <w:bidi w:val="0"/>
        <w:rPr>
          <w:rFonts w:hint="eastAsia"/>
        </w:rPr>
      </w:pPr>
      <w:r>
        <w:rPr>
          <w:rFonts w:hint="eastAsia"/>
        </w:rPr>
        <w:t>五、开标、评标</w:t>
      </w:r>
      <w:bookmarkEnd w:id="51"/>
      <w:bookmarkEnd w:id="52"/>
      <w:r>
        <w:rPr>
          <w:rFonts w:hint="eastAsia"/>
        </w:rPr>
        <w:t>和定标</w:t>
      </w:r>
      <w:bookmarkEnd w:id="53"/>
      <w:bookmarkEnd w:id="54"/>
      <w:bookmarkEnd w:id="55"/>
      <w:bookmarkEnd w:id="56"/>
    </w:p>
    <w:p>
      <w:pPr>
        <w:widowControl/>
        <w:spacing w:line="400" w:lineRule="exact"/>
        <w:ind w:firstLine="413" w:firstLineChars="196"/>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19.开</w:t>
      </w:r>
      <w:r>
        <w:rPr>
          <w:rFonts w:hint="eastAsia" w:ascii="宋体" w:hAnsi="宋体" w:cs="宋体"/>
          <w:b/>
          <w:bCs/>
          <w:color w:val="auto"/>
          <w:kern w:val="0"/>
          <w:szCs w:val="21"/>
          <w:highlight w:val="none"/>
          <w:lang w:val="en-US" w:eastAsia="zh-CN"/>
        </w:rPr>
        <w:t>评</w:t>
      </w:r>
      <w:r>
        <w:rPr>
          <w:rFonts w:hint="eastAsia" w:ascii="宋体" w:hAnsi="宋体" w:cs="宋体"/>
          <w:b/>
          <w:bCs/>
          <w:color w:val="auto"/>
          <w:kern w:val="0"/>
          <w:szCs w:val="21"/>
          <w:highlight w:val="none"/>
        </w:rPr>
        <w:t>标程序</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19.1采购代理机构将按照招标文件规定的时间、地点和程序组织开标，投标人应派法定代表人或其授权委托人准时参加线上开标会议，无关人员不得进入开标现场。投标人如未准时在线参加的，事后不得对采购相关人员、开标过程和开标结果提出异议。</w:t>
      </w:r>
    </w:p>
    <w:p>
      <w:pPr>
        <w:pStyle w:val="26"/>
        <w:snapToGrid w:val="0"/>
        <w:spacing w:line="400" w:lineRule="exact"/>
        <w:ind w:firstLine="413" w:firstLineChars="196"/>
        <w:rPr>
          <w:rFonts w:hint="eastAsia" w:hAnsi="宋体" w:cs="宋体"/>
          <w:b/>
          <w:bCs/>
          <w:color w:val="auto"/>
          <w:szCs w:val="21"/>
          <w:highlight w:val="none"/>
        </w:rPr>
      </w:pPr>
      <w:r>
        <w:rPr>
          <w:rFonts w:hint="eastAsia" w:hAnsi="宋体" w:cs="宋体"/>
          <w:b/>
          <w:color w:val="auto"/>
          <w:szCs w:val="21"/>
          <w:highlight w:val="none"/>
        </w:rPr>
        <w:t>19.2</w:t>
      </w:r>
      <w:r>
        <w:rPr>
          <w:rFonts w:hint="eastAsia" w:hAnsi="宋体" w:cs="宋体"/>
          <w:b/>
          <w:bCs/>
          <w:color w:val="auto"/>
          <w:szCs w:val="21"/>
          <w:highlight w:val="none"/>
        </w:rPr>
        <w:t>开标及评审程序</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19.2.1采购代理机构落实工作场地、设施，检查录音录像采集设备运行情况，验证电子交易平台是否能正常登录。</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19.2.2开标由采购代理机构主持，主持人介绍开标现场的人员情况，告知投标人代表相关权利、义务、开评标纪律、应当回避的情形等注意事项。</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19.2.3投标截止时，电子交易平台自动提取所有电子投标文件。采购代理机构点击[开始解密]按钮后，投标人用“项目采购-开标评标”功能对投标文件进行在线解密。解密时限为60分钟。</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投标人应当在解密时限内完成解密，如所有投标人的电子投标文件都已经解密完成的，则电子交易平台自动结束解密。如有任一投标人未解密，电子交易平台会在解密时限截止时自动结束解密。</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解密时限内未完成解密且按规定提供了备份投标文件的，招标方将拆封其备份投标文件，并导入电子交易平台；</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19.2.4由采购人代表对资格证明文件进行评审，公布资格证明文件评审结果；</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19.2.5由评标委员会对技术商务文件进行评审，公布商务和技术评审无效投标人名称及理由，有效投标人的商务和技术得分情况；</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19.2.6在电子交易平台开启投标人的报价文件信息，投标人对报价信息进行确认。投标人对报价信息不予确认的不影响后续评标过程；</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19.2.7评标委员会对报价情况进行评审；</w:t>
      </w:r>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19.2.8公布评审结果。</w:t>
      </w:r>
    </w:p>
    <w:p>
      <w:pPr>
        <w:widowControl/>
        <w:spacing w:line="400" w:lineRule="exact"/>
        <w:ind w:firstLine="413" w:firstLineChars="196"/>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20.</w:t>
      </w:r>
      <w:r>
        <w:rPr>
          <w:rFonts w:hint="eastAsia" w:ascii="宋体" w:hAnsi="宋体" w:cs="宋体"/>
          <w:b/>
          <w:color w:val="auto"/>
          <w:kern w:val="0"/>
          <w:szCs w:val="21"/>
          <w:highlight w:val="none"/>
        </w:rPr>
        <w:t>组建</w:t>
      </w:r>
      <w:r>
        <w:rPr>
          <w:rFonts w:hint="eastAsia" w:ascii="宋体" w:hAnsi="宋体" w:cs="宋体"/>
          <w:b/>
          <w:bCs/>
          <w:color w:val="auto"/>
          <w:kern w:val="0"/>
          <w:szCs w:val="21"/>
          <w:highlight w:val="none"/>
        </w:rPr>
        <w:t>评标委员会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20.1评标工作由评标委员会负责，</w:t>
      </w:r>
      <w:r>
        <w:rPr>
          <w:rFonts w:hint="eastAsia" w:ascii="宋体" w:hAnsi="宋体" w:cs="宋体"/>
          <w:color w:val="auto"/>
          <w:szCs w:val="21"/>
          <w:highlight w:val="none"/>
        </w:rPr>
        <w:t>评标委员会由采购人代表和评审专家组成，成员人数为5人，其中评审专家不得少于成员总数的三分之二。</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20.2</w:t>
      </w:r>
      <w:r>
        <w:rPr>
          <w:rFonts w:hint="eastAsia" w:ascii="宋体" w:hAnsi="宋体" w:cs="宋体"/>
          <w:color w:val="auto"/>
          <w:szCs w:val="21"/>
          <w:highlight w:val="none"/>
        </w:rPr>
        <w:t>评标组长</w:t>
      </w:r>
      <w:r>
        <w:rPr>
          <w:rFonts w:hint="eastAsia" w:ascii="宋体" w:hAnsi="宋体" w:cs="宋体"/>
          <w:color w:val="auto"/>
          <w:kern w:val="0"/>
          <w:szCs w:val="21"/>
          <w:highlight w:val="none"/>
        </w:rPr>
        <w:t>由</w:t>
      </w:r>
      <w:r>
        <w:rPr>
          <w:rFonts w:hint="eastAsia" w:ascii="宋体" w:hAnsi="宋体" w:cs="宋体"/>
          <w:bCs/>
          <w:color w:val="auto"/>
          <w:kern w:val="0"/>
          <w:szCs w:val="21"/>
          <w:highlight w:val="none"/>
        </w:rPr>
        <w:t>评标委员会</w:t>
      </w:r>
      <w:r>
        <w:rPr>
          <w:rFonts w:hint="eastAsia" w:ascii="宋体" w:hAnsi="宋体" w:cs="宋体"/>
          <w:color w:val="auto"/>
          <w:kern w:val="0"/>
          <w:szCs w:val="21"/>
          <w:highlight w:val="none"/>
        </w:rPr>
        <w:t>成员推荐产生，采购人代表不得担任</w:t>
      </w:r>
      <w:r>
        <w:rPr>
          <w:rFonts w:hint="eastAsia" w:ascii="宋体" w:hAnsi="宋体" w:cs="宋体"/>
          <w:color w:val="auto"/>
          <w:szCs w:val="21"/>
          <w:highlight w:val="none"/>
        </w:rPr>
        <w:t>评标组长。</w:t>
      </w:r>
    </w:p>
    <w:p>
      <w:pPr>
        <w:widowControl/>
        <w:spacing w:line="400" w:lineRule="exact"/>
        <w:ind w:firstLine="413" w:firstLineChars="196"/>
        <w:jc w:val="left"/>
        <w:rPr>
          <w:rFonts w:hint="eastAsia" w:ascii="宋体" w:hAnsi="宋体" w:cs="宋体"/>
          <w:b/>
          <w:bCs/>
          <w:iCs/>
          <w:color w:val="auto"/>
          <w:kern w:val="0"/>
          <w:szCs w:val="21"/>
          <w:highlight w:val="none"/>
        </w:rPr>
      </w:pPr>
      <w:r>
        <w:rPr>
          <w:rFonts w:hint="eastAsia" w:ascii="宋体" w:hAnsi="宋体" w:cs="宋体"/>
          <w:b/>
          <w:bCs/>
          <w:iCs/>
          <w:color w:val="auto"/>
          <w:kern w:val="0"/>
          <w:szCs w:val="21"/>
          <w:highlight w:val="none"/>
        </w:rPr>
        <w:t>21.组织评标程序</w:t>
      </w:r>
    </w:p>
    <w:p>
      <w:pPr>
        <w:pStyle w:val="26"/>
        <w:snapToGrid w:val="0"/>
        <w:spacing w:line="400" w:lineRule="exact"/>
        <w:ind w:firstLine="411" w:firstLineChars="196"/>
        <w:rPr>
          <w:rFonts w:hint="eastAsia" w:hAnsi="宋体" w:cs="宋体"/>
          <w:iCs/>
          <w:color w:val="auto"/>
          <w:kern w:val="0"/>
          <w:szCs w:val="21"/>
          <w:highlight w:val="none"/>
        </w:rPr>
      </w:pPr>
      <w:r>
        <w:rPr>
          <w:rFonts w:hint="eastAsia" w:hAnsi="宋体" w:cs="宋体"/>
          <w:iCs/>
          <w:color w:val="auto"/>
          <w:kern w:val="0"/>
          <w:szCs w:val="21"/>
          <w:highlight w:val="none"/>
        </w:rPr>
        <w:t>采购组织机构要按照采购文件规定的时间、地点及程序组织评标，各评审专家及相关人员应参加评审活动并接受核验、签到，无关人员不得进入评审现场。</w:t>
      </w:r>
    </w:p>
    <w:p>
      <w:pPr>
        <w:pStyle w:val="26"/>
        <w:snapToGrid w:val="0"/>
        <w:spacing w:line="400" w:lineRule="exact"/>
        <w:ind w:firstLine="411" w:firstLineChars="196"/>
        <w:rPr>
          <w:rFonts w:hint="eastAsia" w:hAnsi="宋体" w:cs="宋体"/>
          <w:iCs/>
          <w:color w:val="auto"/>
          <w:kern w:val="0"/>
          <w:szCs w:val="21"/>
          <w:highlight w:val="none"/>
        </w:rPr>
      </w:pPr>
      <w:r>
        <w:rPr>
          <w:rFonts w:hint="eastAsia" w:hAnsi="宋体" w:cs="宋体"/>
          <w:iCs/>
          <w:color w:val="auto"/>
          <w:kern w:val="0"/>
          <w:szCs w:val="21"/>
          <w:highlight w:val="none"/>
        </w:rPr>
        <w:t>21.1开启开标场地录音录像采集设备，并确保正常运行。</w:t>
      </w:r>
    </w:p>
    <w:p>
      <w:pPr>
        <w:pStyle w:val="26"/>
        <w:snapToGrid w:val="0"/>
        <w:spacing w:line="400" w:lineRule="exact"/>
        <w:ind w:firstLine="411" w:firstLineChars="196"/>
        <w:rPr>
          <w:rFonts w:hint="eastAsia" w:hAnsi="宋体" w:cs="宋体"/>
          <w:iCs/>
          <w:color w:val="auto"/>
          <w:kern w:val="0"/>
          <w:szCs w:val="21"/>
          <w:highlight w:val="none"/>
        </w:rPr>
      </w:pPr>
      <w:r>
        <w:rPr>
          <w:rFonts w:hint="eastAsia" w:hAnsi="宋体" w:cs="宋体"/>
          <w:iCs/>
          <w:color w:val="auto"/>
          <w:kern w:val="0"/>
          <w:szCs w:val="21"/>
          <w:highlight w:val="none"/>
        </w:rPr>
        <w:t>21.2按规定统一收缴、保存评标现场相关人员通讯工具。</w:t>
      </w:r>
    </w:p>
    <w:p>
      <w:pPr>
        <w:pStyle w:val="26"/>
        <w:snapToGrid w:val="0"/>
        <w:spacing w:line="400" w:lineRule="exact"/>
        <w:ind w:firstLine="411" w:firstLineChars="196"/>
        <w:rPr>
          <w:rFonts w:hint="eastAsia" w:hAnsi="宋体" w:cs="宋体"/>
          <w:iCs/>
          <w:color w:val="auto"/>
          <w:kern w:val="0"/>
          <w:szCs w:val="21"/>
          <w:highlight w:val="none"/>
        </w:rPr>
      </w:pPr>
      <w:r>
        <w:rPr>
          <w:rFonts w:hint="eastAsia" w:hAnsi="宋体" w:cs="宋体"/>
          <w:iCs/>
          <w:color w:val="auto"/>
          <w:kern w:val="0"/>
          <w:szCs w:val="21"/>
          <w:highlight w:val="none"/>
        </w:rPr>
        <w:t>21.3介绍评审现场的人员情况，宣布评审工作纪律，告知评审人员应当回避情形；组织推选评标委员会组长。</w:t>
      </w:r>
    </w:p>
    <w:p>
      <w:pPr>
        <w:widowControl/>
        <w:spacing w:line="400" w:lineRule="exact"/>
        <w:ind w:firstLine="411" w:firstLineChars="196"/>
        <w:jc w:val="left"/>
        <w:rPr>
          <w:rFonts w:hint="eastAsia" w:ascii="宋体" w:hAnsi="宋体" w:cs="宋体"/>
          <w:iCs/>
          <w:color w:val="auto"/>
          <w:kern w:val="0"/>
          <w:szCs w:val="21"/>
          <w:highlight w:val="none"/>
        </w:rPr>
      </w:pPr>
      <w:r>
        <w:rPr>
          <w:rFonts w:hint="eastAsia" w:ascii="宋体" w:hAnsi="宋体" w:cs="宋体"/>
          <w:iCs/>
          <w:color w:val="auto"/>
          <w:kern w:val="0"/>
          <w:szCs w:val="21"/>
          <w:highlight w:val="none"/>
        </w:rPr>
        <w:t>21.4宣读提交投标文件的供应商名单，组织评标委员会各位成员签订纸质形式的《政府采购评审人员廉洁自律承诺书》。</w:t>
      </w:r>
    </w:p>
    <w:p>
      <w:pPr>
        <w:pStyle w:val="26"/>
        <w:snapToGrid w:val="0"/>
        <w:spacing w:line="400" w:lineRule="exact"/>
        <w:ind w:firstLine="420" w:firstLineChars="200"/>
        <w:rPr>
          <w:rFonts w:hint="eastAsia" w:hAnsi="宋体" w:cs="宋体"/>
          <w:iCs/>
          <w:color w:val="auto"/>
          <w:kern w:val="0"/>
          <w:szCs w:val="21"/>
          <w:highlight w:val="none"/>
        </w:rPr>
      </w:pPr>
      <w:r>
        <w:rPr>
          <w:rFonts w:hint="eastAsia" w:hAnsi="宋体" w:cs="宋体"/>
          <w:iCs/>
          <w:color w:val="auto"/>
          <w:kern w:val="0"/>
          <w:szCs w:val="21"/>
          <w:highlight w:val="none"/>
        </w:rPr>
        <w:t>21.5采购人可以在评标前说明项目背景和采购需求，说明内容不得含有歧视性、倾向性意见，不得超出招标文件所述范围。说明应当提交书面材料，并随采购文件一并存档。</w:t>
      </w:r>
    </w:p>
    <w:p>
      <w:pPr>
        <w:pStyle w:val="26"/>
        <w:snapToGrid w:val="0"/>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21.6评标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26"/>
        <w:snapToGrid w:val="0"/>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21.7评标委员会对各供应商投标文件的有效性、完整性和响应程度进行审查，确定是否对招标文件作出实质性响应。</w:t>
      </w:r>
    </w:p>
    <w:p>
      <w:pPr>
        <w:pStyle w:val="26"/>
        <w:snapToGrid w:val="0"/>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21.8评标委员会按招标文件规定的评审方法和评审标准，依法独立对供应商投标文件进行评估、比较，并给予评价或打分，不受任何单位和个人的干预。</w:t>
      </w:r>
    </w:p>
    <w:p>
      <w:pPr>
        <w:pStyle w:val="26"/>
        <w:snapToGrid w:val="0"/>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21.9评标委员会对各供应商投标文件非实质性内容有疑议或异议，或者审查发现明显的文字或计算错误等，及时向评标组长提出。经评标委员会商议认为需要供应商作出必要澄清或说明的，应通过政采云平台线上发送询标函给供应商，供应商应通过政采云平台线上及时作出澄清或说明。询标函及澄清说明文件应作为政府采购项目档案归档留存。</w:t>
      </w:r>
    </w:p>
    <w:p>
      <w:pPr>
        <w:pStyle w:val="26"/>
        <w:snapToGrid w:val="0"/>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21.10评标委员会需对采购代理机构唱票或统计的评审结果进行确认，现场监督员应对评审结果签署监督意见。如发现分值汇总计算错误的、分项评分超出评分标准范围、对客观评审因素评分不一致的以及经评标委员会认定评分畸高、畸低的（其总评分偏离平均分30%以上的），应由相关人员当场改正或作出说明；拒不改正又不作说明的，由现场监督员如实记载后存入项目档案资料。</w:t>
      </w:r>
    </w:p>
    <w:p>
      <w:pPr>
        <w:pStyle w:val="26"/>
        <w:snapToGrid w:val="0"/>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 xml:space="preserve">21.11评标委员会根据评审汇总情况和招标文件规定确定中标候选供应商排序名单。 </w:t>
      </w:r>
    </w:p>
    <w:p>
      <w:pPr>
        <w:pStyle w:val="26"/>
        <w:snapToGrid w:val="0"/>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21.12起草评标报告，所有评标委员会须在评标报告上签字确认。</w:t>
      </w:r>
    </w:p>
    <w:p>
      <w:pPr>
        <w:widowControl/>
        <w:spacing w:line="400" w:lineRule="exact"/>
        <w:ind w:firstLine="413" w:firstLineChars="196"/>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22.评标原则</w:t>
      </w:r>
    </w:p>
    <w:p>
      <w:pPr>
        <w:pStyle w:val="26"/>
        <w:snapToGrid w:val="0"/>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22.1评标委员会必须公平、公正、客观，不带任何倾向性和启发性；不得向外界透露任何与评标有关的内容；任何单位和个人不得干扰、影响评标的正常进行；评标委员会及有关工作人员不得私下与投标人接触。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snapToGrid w:val="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22.2</w:t>
      </w:r>
      <w:r>
        <w:rPr>
          <w:rFonts w:hint="eastAsia" w:hAnsi="宋体" w:cs="宋体"/>
          <w:color w:val="auto"/>
          <w:szCs w:val="21"/>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r>
        <w:rPr>
          <w:rFonts w:hint="eastAsia" w:hAnsi="宋体" w:cs="宋体"/>
          <w:bCs/>
          <w:color w:val="auto"/>
          <w:szCs w:val="21"/>
          <w:highlight w:val="none"/>
        </w:rPr>
        <w:t>，由更换后的评标委员会重新进行评审。</w:t>
      </w:r>
      <w:r>
        <w:rPr>
          <w:rFonts w:hint="eastAsia" w:hAnsi="宋体" w:cs="宋体"/>
          <w:color w:val="auto"/>
          <w:szCs w:val="21"/>
          <w:highlight w:val="none"/>
        </w:rPr>
        <w:t>无法及时补足评标委员会成员的，应当停止评标活动，封存所有投标文件和开标、评标资料</w:t>
      </w:r>
      <w:r>
        <w:rPr>
          <w:rFonts w:hint="eastAsia" w:hAnsi="宋体" w:cs="宋体"/>
          <w:bCs/>
          <w:color w:val="auto"/>
          <w:szCs w:val="21"/>
          <w:highlight w:val="none"/>
        </w:rPr>
        <w:t>，并告知供应商择期重新评审的时间和地点。</w:t>
      </w:r>
    </w:p>
    <w:p>
      <w:pPr>
        <w:pStyle w:val="26"/>
        <w:snapToGrid w:val="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22.3评标委员会判断投标文件的响应性，仅基于投标文件本身而不靠外部证据。</w:t>
      </w:r>
    </w:p>
    <w:p>
      <w:pPr>
        <w:pStyle w:val="26"/>
        <w:snapToGrid w:val="0"/>
        <w:spacing w:line="400" w:lineRule="exact"/>
        <w:ind w:firstLine="411" w:firstLineChars="196"/>
        <w:rPr>
          <w:rFonts w:hint="eastAsia" w:hAnsi="宋体" w:cs="宋体"/>
          <w:color w:val="auto"/>
          <w:szCs w:val="21"/>
          <w:highlight w:val="none"/>
        </w:rPr>
      </w:pPr>
      <w:r>
        <w:rPr>
          <w:rFonts w:hint="eastAsia" w:hAnsi="宋体" w:cs="宋体"/>
          <w:bCs/>
          <w:color w:val="auto"/>
          <w:szCs w:val="21"/>
          <w:highlight w:val="none"/>
        </w:rPr>
        <w:t>22.4</w:t>
      </w:r>
      <w:r>
        <w:rPr>
          <w:rFonts w:hint="eastAsia" w:hAnsi="宋体" w:cs="宋体"/>
          <w:color w:val="auto"/>
          <w:szCs w:val="21"/>
          <w:highlight w:val="none"/>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6"/>
        <w:snapToGrid w:val="0"/>
        <w:spacing w:line="400" w:lineRule="exact"/>
        <w:ind w:firstLine="411" w:firstLineChars="196"/>
        <w:rPr>
          <w:rFonts w:hint="eastAsia" w:hAnsi="宋体" w:cs="宋体"/>
          <w:color w:val="auto"/>
          <w:szCs w:val="21"/>
          <w:highlight w:val="none"/>
        </w:rPr>
      </w:pPr>
      <w:r>
        <w:rPr>
          <w:rFonts w:hint="eastAsia" w:hAnsi="宋体" w:cs="宋体"/>
          <w:color w:val="auto"/>
          <w:szCs w:val="21"/>
          <w:highlight w:val="none"/>
        </w:rPr>
        <w:t>非单一产品采购项目，采购人应当根据采购项目技术构成、产品价格比重等合理确定核心产品，并在招标文件中载明。多家投标人提供的核心产品品牌相同的，按前款规定处理。</w:t>
      </w:r>
    </w:p>
    <w:p>
      <w:pPr>
        <w:pStyle w:val="26"/>
        <w:snapToGrid w:val="0"/>
        <w:spacing w:line="400" w:lineRule="exact"/>
        <w:ind w:firstLine="413" w:firstLineChars="196"/>
        <w:rPr>
          <w:rFonts w:hint="eastAsia" w:hAnsi="宋体" w:cs="宋体"/>
          <w:b/>
          <w:bCs/>
          <w:color w:val="auto"/>
          <w:szCs w:val="21"/>
          <w:highlight w:val="none"/>
        </w:rPr>
      </w:pPr>
      <w:r>
        <w:rPr>
          <w:rFonts w:hint="eastAsia" w:hAnsi="宋体" w:cs="宋体"/>
          <w:b/>
          <w:bCs/>
          <w:color w:val="auto"/>
          <w:szCs w:val="21"/>
          <w:highlight w:val="none"/>
        </w:rPr>
        <w:t>22.5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napToGrid w:val="0"/>
        <w:spacing w:line="400" w:lineRule="exact"/>
        <w:ind w:firstLine="411" w:firstLineChars="196"/>
        <w:rPr>
          <w:rFonts w:hint="eastAsia" w:hAnsi="宋体" w:cs="宋体"/>
          <w:color w:val="auto"/>
          <w:szCs w:val="21"/>
          <w:highlight w:val="none"/>
        </w:rPr>
      </w:pPr>
      <w:r>
        <w:rPr>
          <w:rFonts w:hint="eastAsia" w:hAnsi="宋体" w:cs="宋体"/>
          <w:bCs/>
          <w:color w:val="auto"/>
          <w:szCs w:val="21"/>
          <w:highlight w:val="none"/>
        </w:rPr>
        <w:t>22.6</w:t>
      </w:r>
      <w:r>
        <w:rPr>
          <w:rFonts w:hint="eastAsia" w:hAnsi="宋体" w:cs="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6"/>
        <w:snapToGrid w:val="0"/>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22.7评标委员会发现招标文件存在歧义、重大缺陷导致评标工作无法进行，或者招标文件内容违反国家有关强制性规定的，应当停止评标工作，与采购人或者采购代理机构沟通并作书面记录。</w:t>
      </w:r>
    </w:p>
    <w:p>
      <w:pPr>
        <w:widowControl/>
        <w:spacing w:line="400" w:lineRule="exact"/>
        <w:ind w:firstLine="413" w:firstLineChars="196"/>
        <w:jc w:val="left"/>
        <w:rPr>
          <w:rFonts w:hint="eastAsia" w:ascii="宋体" w:hAnsi="宋体" w:cs="宋体"/>
          <w:b/>
          <w:color w:val="auto"/>
          <w:kern w:val="0"/>
          <w:szCs w:val="21"/>
          <w:highlight w:val="none"/>
        </w:rPr>
      </w:pPr>
      <w:r>
        <w:rPr>
          <w:rFonts w:hint="eastAsia" w:ascii="宋体" w:hAnsi="宋体" w:cs="宋体"/>
          <w:b/>
          <w:bCs/>
          <w:color w:val="auto"/>
          <w:kern w:val="0"/>
          <w:szCs w:val="21"/>
          <w:highlight w:val="none"/>
        </w:rPr>
        <w:t>23.投标文件的澄清</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23.1</w:t>
      </w:r>
      <w:r>
        <w:rPr>
          <w:rFonts w:hint="eastAsia" w:ascii="宋体" w:hAnsi="宋体" w:cs="宋体"/>
          <w:color w:val="auto"/>
          <w:szCs w:val="21"/>
          <w:highlight w:val="none"/>
        </w:rPr>
        <w:t>对于投标文件中含义不明确、同类问题表述不一致或者有明显文字和计算错误的内容，评标委员会应当以通过政采云平台线上发出询标函要求投标人作出必要的澄清、说明或者补正。</w:t>
      </w:r>
    </w:p>
    <w:p>
      <w:pPr>
        <w:widowControl/>
        <w:spacing w:line="40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23.2投标人的澄清、说明或者补正应当采用政采云平台线上发送，并加盖CA签章。投标人的澄清、说明或者补正不得超出投标文件的范围或者改变投标文件的实质性内容。</w:t>
      </w:r>
    </w:p>
    <w:p>
      <w:pPr>
        <w:widowControl/>
        <w:spacing w:line="400" w:lineRule="exact"/>
        <w:ind w:firstLine="413" w:firstLineChars="196"/>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24.</w:t>
      </w:r>
      <w:r>
        <w:rPr>
          <w:rFonts w:hint="eastAsia" w:ascii="宋体" w:hAnsi="宋体" w:cs="宋体"/>
          <w:b/>
          <w:bCs/>
          <w:color w:val="auto"/>
          <w:kern w:val="0"/>
          <w:szCs w:val="21"/>
          <w:highlight w:val="none"/>
          <w:lang w:val="en-US" w:eastAsia="zh-CN"/>
        </w:rPr>
        <w:t>投标文件的</w:t>
      </w:r>
      <w:r>
        <w:rPr>
          <w:rFonts w:hint="eastAsia" w:ascii="宋体" w:hAnsi="宋体" w:cs="宋体"/>
          <w:b/>
          <w:bCs/>
          <w:color w:val="auto"/>
          <w:kern w:val="0"/>
          <w:szCs w:val="21"/>
          <w:highlight w:val="none"/>
        </w:rPr>
        <w:t>错误修正</w:t>
      </w:r>
    </w:p>
    <w:p>
      <w:pPr>
        <w:widowControl/>
        <w:spacing w:line="40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24.1</w:t>
      </w:r>
      <w:r>
        <w:rPr>
          <w:rFonts w:hint="eastAsia" w:ascii="宋体" w:hAnsi="宋体" w:cs="宋体"/>
          <w:color w:val="auto"/>
          <w:szCs w:val="21"/>
          <w:highlight w:val="none"/>
        </w:rPr>
        <w:t>电子交易平台客户端里开标一览表录入的投标报价信息与扫描上传的报价文件不一致的，以扫描上传的报价文件为准。</w:t>
      </w:r>
    </w:p>
    <w:p>
      <w:pPr>
        <w:pStyle w:val="17"/>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24.2投</w:t>
      </w:r>
      <w:r>
        <w:rPr>
          <w:rFonts w:hint="eastAsia" w:ascii="宋体" w:hAnsi="宋体" w:cs="宋体"/>
          <w:color w:val="auto"/>
          <w:szCs w:val="21"/>
          <w:highlight w:val="none"/>
        </w:rPr>
        <w:t>标文件报价出现前后不一致的，按照下列规定修正：</w:t>
      </w:r>
    </w:p>
    <w:p>
      <w:pPr>
        <w:pStyle w:val="17"/>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（一）投标文件中开标一览表（报价表）内容与投标文件中相应内容不一致的，以开标一览表（报价表）为准；</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（二）大写金额和小写金额不一致的，以大写金额为准；</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（三）单价金额小数点或者百分比有明显错位的，以开标一览表的总价为准，并修改单价；</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（四）总价金额与按单价汇总金额不一致的，以单价金额计算结果为准。</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同时出现两种以上不一致的，按照前款规定的顺序修正。修正后的报价经投标人确认后产生约束力，投标人不确认的，其投标无效。</w:t>
      </w:r>
    </w:p>
    <w:p>
      <w:pPr>
        <w:widowControl/>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25.采购过程中的异常情况及处理措施</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采购过程中出现以下情形，导致电子交易平台无法正常运行，或者无法保证电子交易的公平、公正和安全时，采购人可中止电子交易活动：</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4.病毒发作导致不能进行正常操作的；</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出现前款规定情形，不影响采购公平、公正性的，采购人可以待上述情形消除后继续组织电子交易活动，也可以决定某些环节以纸质形式进行；影响或可能影响采购公平、公正性的，应当重新采购。</w:t>
      </w:r>
    </w:p>
    <w:p>
      <w:pPr>
        <w:widowControl/>
        <w:spacing w:line="400" w:lineRule="exact"/>
        <w:ind w:firstLine="413" w:firstLineChars="196"/>
        <w:jc w:val="left"/>
        <w:rPr>
          <w:rFonts w:hint="eastAsia" w:ascii="宋体" w:hAnsi="宋体" w:cs="宋体"/>
          <w:b/>
          <w:color w:val="auto"/>
          <w:kern w:val="0"/>
          <w:szCs w:val="21"/>
          <w:highlight w:val="none"/>
        </w:rPr>
      </w:pPr>
      <w:r>
        <w:rPr>
          <w:rFonts w:hint="eastAsia" w:ascii="宋体" w:hAnsi="宋体" w:cs="宋体"/>
          <w:b/>
          <w:bCs/>
          <w:color w:val="auto"/>
          <w:kern w:val="0"/>
          <w:szCs w:val="21"/>
          <w:highlight w:val="none"/>
        </w:rPr>
        <w:t>26.评审方法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26.1本项目</w:t>
      </w:r>
      <w:r>
        <w:rPr>
          <w:rFonts w:hint="eastAsia" w:ascii="宋体" w:hAnsi="宋体" w:cs="宋体"/>
          <w:color w:val="auto"/>
          <w:szCs w:val="21"/>
          <w:highlight w:val="none"/>
        </w:rPr>
        <w:t>采用综合评分法，满分为100分，其中报价分值20分，技术商务等分值80分。</w:t>
      </w:r>
      <w:r>
        <w:rPr>
          <w:rFonts w:hint="eastAsia" w:ascii="宋体" w:hAnsi="宋体" w:cs="宋体"/>
          <w:color w:val="auto"/>
          <w:kern w:val="0"/>
          <w:szCs w:val="21"/>
          <w:highlight w:val="none"/>
        </w:rPr>
        <w:t>评分过程中采用四舍五入法，并保留两位小数。</w:t>
      </w:r>
      <w:r>
        <w:rPr>
          <w:rFonts w:hint="eastAsia" w:ascii="宋体" w:hAnsi="宋体" w:cs="宋体"/>
          <w:color w:val="auto"/>
          <w:szCs w:val="21"/>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采取随机抽取方式确定。</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26.1.</w:t>
      </w:r>
      <w:r>
        <w:rPr>
          <w:rFonts w:hint="eastAsia" w:ascii="宋体" w:hAnsi="宋体" w:cs="宋体"/>
          <w:color w:val="auto"/>
          <w:kern w:val="0"/>
          <w:szCs w:val="21"/>
          <w:highlight w:val="none"/>
          <w:lang w:val="en-US" w:eastAsia="zh-CN"/>
        </w:rPr>
        <w:t xml:space="preserve">1 </w:t>
      </w:r>
      <w:r>
        <w:rPr>
          <w:rFonts w:hint="eastAsia" w:ascii="宋体" w:hAnsi="宋体" w:cs="宋体"/>
          <w:color w:val="auto"/>
          <w:kern w:val="0"/>
          <w:szCs w:val="21"/>
          <w:highlight w:val="none"/>
        </w:rPr>
        <w:t>综合评分法中的价格分统一采用低价优先法计算。</w:t>
      </w:r>
    </w:p>
    <w:p>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26.2评分标准表：</w:t>
      </w:r>
    </w:p>
    <w:tbl>
      <w:tblPr>
        <w:tblStyle w:val="49"/>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600"/>
        <w:gridCol w:w="645"/>
        <w:gridCol w:w="1461"/>
        <w:gridCol w:w="639"/>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5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bCs/>
                <w:color w:val="auto"/>
                <w:spacing w:val="-10"/>
                <w:highlight w:val="none"/>
              </w:rPr>
            </w:pPr>
            <w:bookmarkStart w:id="57" w:name="串通投标的情形"/>
            <w:r>
              <w:rPr>
                <w:rFonts w:hint="eastAsia" w:ascii="宋体" w:hAnsi="宋体"/>
                <w:b/>
                <w:bCs/>
                <w:color w:val="auto"/>
                <w:spacing w:val="-10"/>
                <w:highlight w:val="none"/>
              </w:rPr>
              <w:t>序号</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
                <w:bCs/>
                <w:color w:val="auto"/>
                <w:spacing w:val="-10"/>
                <w:highlight w:val="none"/>
                <w:lang w:val="en-US" w:eastAsia="zh-CN"/>
              </w:rPr>
            </w:pPr>
            <w:r>
              <w:rPr>
                <w:rFonts w:hint="eastAsia" w:ascii="宋体" w:hAnsi="宋体"/>
                <w:b/>
                <w:bCs/>
                <w:color w:val="auto"/>
                <w:spacing w:val="-10"/>
                <w:highlight w:val="none"/>
                <w:lang w:val="en-US" w:eastAsia="zh-CN"/>
              </w:rPr>
              <w:t>类别</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bCs/>
                <w:color w:val="auto"/>
                <w:spacing w:val="-10"/>
                <w:highlight w:val="none"/>
              </w:rPr>
            </w:pPr>
            <w:r>
              <w:rPr>
                <w:rFonts w:hint="eastAsia" w:ascii="宋体" w:hAnsi="宋体"/>
                <w:b/>
                <w:bCs/>
                <w:color w:val="auto"/>
                <w:spacing w:val="-10"/>
                <w:highlight w:val="none"/>
              </w:rPr>
              <w:t>评分内容</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bCs/>
                <w:color w:val="auto"/>
                <w:highlight w:val="none"/>
              </w:rPr>
            </w:pPr>
            <w:r>
              <w:rPr>
                <w:rFonts w:hint="eastAsia" w:ascii="宋体" w:hAnsi="宋体"/>
                <w:b/>
                <w:bCs/>
                <w:color w:val="auto"/>
                <w:spacing w:val="-10"/>
                <w:highlight w:val="none"/>
              </w:rPr>
              <w:t>分值</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bCs/>
                <w:color w:val="auto"/>
                <w:highlight w:val="none"/>
              </w:rPr>
            </w:pPr>
            <w:r>
              <w:rPr>
                <w:rFonts w:hint="eastAsia" w:ascii="宋体" w:hAnsi="宋体"/>
                <w:b/>
                <w:bCs/>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679" w:hRule="atLeast"/>
        </w:trPr>
        <w:tc>
          <w:tcPr>
            <w:tcW w:w="600" w:type="dxa"/>
            <w:vMerge w:val="restart"/>
            <w:tcBorders>
              <w:left w:val="single" w:color="auto" w:sz="4" w:space="0"/>
              <w:right w:val="single" w:color="auto" w:sz="4" w:space="0"/>
            </w:tcBorders>
            <w:noWrap w:val="0"/>
            <w:vAlign w:val="center"/>
          </w:tcPr>
          <w:p>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64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技</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术</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资</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80</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Cs w:val="21"/>
                <w:highlight w:val="none"/>
              </w:rPr>
            </w:pPr>
            <w:r>
              <w:rPr>
                <w:rFonts w:hint="eastAsia" w:ascii="宋体" w:hAnsi="宋体" w:eastAsia="宋体" w:cs="宋体"/>
                <w:color w:val="auto"/>
                <w:kern w:val="2"/>
                <w:sz w:val="21"/>
                <w:szCs w:val="21"/>
                <w:highlight w:val="none"/>
                <w:lang w:eastAsia="zh-CN"/>
              </w:rPr>
              <w:t>分</w:t>
            </w:r>
          </w:p>
        </w:tc>
        <w:tc>
          <w:tcPr>
            <w:tcW w:w="146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60" w:beforeLines="50" w:after="160" w:afterLines="50"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偿付能力充足率</w:t>
            </w:r>
          </w:p>
        </w:tc>
        <w:tc>
          <w:tcPr>
            <w:tcW w:w="63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val="0"/>
                <w:bCs/>
                <w:color w:val="auto"/>
                <w:szCs w:val="21"/>
                <w:highlight w:val="none"/>
              </w:rPr>
            </w:pPr>
            <w:r>
              <w:rPr>
                <w:rFonts w:hint="eastAsia" w:ascii="宋体" w:hAnsi="宋体" w:cs="宋体"/>
                <w:b w:val="0"/>
                <w:bCs/>
                <w:color w:val="auto"/>
                <w:kern w:val="0"/>
                <w:szCs w:val="21"/>
                <w:highlight w:val="none"/>
                <w:lang w:val="en-US" w:eastAsia="zh-CN"/>
              </w:rPr>
              <w:t>11</w:t>
            </w:r>
            <w:r>
              <w:rPr>
                <w:rFonts w:hint="eastAsia" w:ascii="宋体" w:hAnsi="宋体" w:cs="宋体"/>
                <w:b w:val="0"/>
                <w:bCs/>
                <w:color w:val="auto"/>
                <w:kern w:val="0"/>
                <w:szCs w:val="21"/>
                <w:highlight w:val="none"/>
              </w:rPr>
              <w:t>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投标人所属总公司2021年度综合偿付能力充足率≥250%的得</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分，250%﹥年度综合偿付能力充足率≥200%的得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分，200%﹥年度综合偿付能力充足率≥150%的得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分。（以各投标人总公司2021年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季度末数据为准）各投标人自行网上下载并截图，否则不得分。本项最高得1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s="宋体"/>
                <w:b/>
                <w:bCs/>
                <w:color w:val="auto"/>
                <w:sz w:val="21"/>
                <w:szCs w:val="21"/>
                <w:highlight w:val="none"/>
              </w:rPr>
              <w:t>须提供相应截图等有效证明材料，否则不得分。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607" w:hRule="atLeast"/>
        </w:trPr>
        <w:tc>
          <w:tcPr>
            <w:tcW w:w="600" w:type="dxa"/>
            <w:vMerge w:val="continue"/>
            <w:tcBorders>
              <w:left w:val="single" w:color="auto" w:sz="4" w:space="0"/>
              <w:right w:val="single" w:color="auto" w:sz="4" w:space="0"/>
            </w:tcBorders>
            <w:noWrap w:val="0"/>
            <w:vAlign w:val="center"/>
          </w:tcPr>
          <w:p>
            <w:pPr>
              <w:spacing w:line="320" w:lineRule="exact"/>
              <w:ind w:right="-14"/>
              <w:jc w:val="center"/>
              <w:rPr>
                <w:rFonts w:hint="eastAsia" w:ascii="宋体" w:hAnsi="宋体" w:eastAsia="宋体"/>
                <w:color w:val="auto"/>
                <w:szCs w:val="21"/>
                <w:highlight w:val="none"/>
                <w:lang w:eastAsia="zh-CN"/>
              </w:rPr>
            </w:pPr>
          </w:p>
        </w:tc>
        <w:tc>
          <w:tcPr>
            <w:tcW w:w="6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Cs w:val="21"/>
                <w:highlight w:val="none"/>
              </w:rPr>
            </w:pPr>
          </w:p>
        </w:tc>
        <w:tc>
          <w:tcPr>
            <w:tcW w:w="146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color w:val="auto"/>
                <w:szCs w:val="21"/>
                <w:highlight w:val="none"/>
                <w:lang w:eastAsia="zh-CN"/>
              </w:rPr>
            </w:pPr>
            <w:r>
              <w:rPr>
                <w:rFonts w:hint="eastAsia" w:ascii="宋体" w:hAnsi="宋体" w:cs="宋体"/>
                <w:b w:val="0"/>
                <w:bCs/>
                <w:color w:val="auto"/>
                <w:kern w:val="0"/>
                <w:szCs w:val="21"/>
                <w:highlight w:val="none"/>
                <w:lang w:eastAsia="zh-CN"/>
              </w:rPr>
              <w:t>类似业绩</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val="0"/>
                <w:bCs/>
                <w:color w:val="auto"/>
                <w:szCs w:val="21"/>
                <w:highlight w:val="none"/>
              </w:rPr>
            </w:pP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投标人自201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年1月1日以来至投标截止日（以中标通知书或协议签订时间为准），与政府部门（行政机关或事业单位）签订</w:t>
            </w:r>
            <w:r>
              <w:rPr>
                <w:rFonts w:hint="eastAsia" w:ascii="宋体" w:hAnsi="宋体" w:eastAsia="宋体" w:cs="宋体"/>
                <w:sz w:val="21"/>
                <w:szCs w:val="21"/>
                <w:highlight w:val="none"/>
              </w:rPr>
              <w:t>医疗责任保险</w:t>
            </w:r>
            <w:r>
              <w:rPr>
                <w:rFonts w:hint="eastAsia" w:ascii="宋体" w:hAnsi="宋体" w:cs="宋体"/>
                <w:color w:val="auto"/>
                <w:kern w:val="0"/>
                <w:szCs w:val="21"/>
                <w:highlight w:val="none"/>
              </w:rPr>
              <w:t>合作项目的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每提供一个</w:t>
            </w:r>
            <w:r>
              <w:rPr>
                <w:rFonts w:hint="eastAsia" w:ascii="宋体" w:hAnsi="宋体" w:cs="宋体"/>
                <w:color w:val="auto"/>
                <w:kern w:val="0"/>
                <w:szCs w:val="21"/>
                <w:highlight w:val="none"/>
              </w:rPr>
              <w:t>得1分，最高得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s="宋体"/>
                <w:b/>
                <w:bCs/>
                <w:color w:val="auto"/>
                <w:kern w:val="0"/>
                <w:szCs w:val="21"/>
                <w:highlight w:val="none"/>
              </w:rPr>
              <w:t>证明材料须提供中标通知书或协议复印件并加盖公章，否则不得分。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397" w:hRule="atLeast"/>
        </w:trPr>
        <w:tc>
          <w:tcPr>
            <w:tcW w:w="600" w:type="dxa"/>
            <w:vMerge w:val="continue"/>
            <w:tcBorders>
              <w:left w:val="single" w:color="auto" w:sz="4" w:space="0"/>
              <w:right w:val="single" w:color="auto" w:sz="4" w:space="0"/>
            </w:tcBorders>
            <w:noWrap w:val="0"/>
            <w:vAlign w:val="center"/>
          </w:tcPr>
          <w:p>
            <w:pPr>
              <w:spacing w:line="320" w:lineRule="exact"/>
              <w:ind w:right="-14"/>
              <w:jc w:val="center"/>
              <w:rPr>
                <w:rFonts w:hint="eastAsia" w:ascii="宋体" w:hAnsi="宋体" w:eastAsia="宋体"/>
                <w:color w:val="auto"/>
                <w:szCs w:val="21"/>
                <w:highlight w:val="none"/>
                <w:lang w:eastAsia="zh-CN"/>
              </w:rPr>
            </w:pPr>
          </w:p>
        </w:tc>
        <w:tc>
          <w:tcPr>
            <w:tcW w:w="6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p>
        </w:tc>
        <w:tc>
          <w:tcPr>
            <w:tcW w:w="146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Style w:val="254"/>
                <w:rFonts w:hint="eastAsia" w:ascii="宋体" w:hAnsi="宋体"/>
                <w:b w:val="0"/>
                <w:bCs/>
                <w:color w:val="auto"/>
                <w:szCs w:val="21"/>
                <w:highlight w:val="none"/>
                <w:lang w:val="zh-CN" w:eastAsia="zh-TW"/>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服务能力</w:t>
            </w:r>
          </w:p>
        </w:tc>
        <w:tc>
          <w:tcPr>
            <w:tcW w:w="6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4</w:t>
            </w:r>
            <w:r>
              <w:rPr>
                <w:rFonts w:hint="eastAsia" w:ascii="宋体" w:hAnsi="宋体" w:cs="宋体"/>
                <w:b w:val="0"/>
                <w:bCs/>
                <w:color w:val="auto"/>
                <w:kern w:val="0"/>
                <w:szCs w:val="21"/>
                <w:highlight w:val="none"/>
              </w:rPr>
              <w:t>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投标人在开化县境内经保监局审批设立的服务网点数量（兼业务代理机构除外），每提供一个服务网点得1分，最高得4分。  </w:t>
            </w:r>
          </w:p>
          <w:p>
            <w:pPr>
              <w:pStyle w:val="5"/>
              <w:keepNext w:val="0"/>
              <w:keepLines w:val="0"/>
              <w:pageBreakBefore w:val="0"/>
              <w:kinsoku/>
              <w:wordWrap/>
              <w:overflowPunct/>
              <w:topLinePunct w:val="0"/>
              <w:autoSpaceDE/>
              <w:autoSpaceDN/>
              <w:bidi w:val="0"/>
              <w:adjustRightInd/>
              <w:snapToGrid/>
              <w:spacing w:line="400" w:lineRule="exact"/>
              <w:jc w:val="left"/>
              <w:textAlignment w:val="auto"/>
              <w:rPr>
                <w:rFonts w:hint="default"/>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提供相关证明材料复印件，未提供不得分。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87" w:hRule="atLeast"/>
        </w:trPr>
        <w:tc>
          <w:tcPr>
            <w:tcW w:w="600" w:type="dxa"/>
            <w:vMerge w:val="continue"/>
            <w:tcBorders>
              <w:left w:val="single" w:color="auto" w:sz="4" w:space="0"/>
              <w:right w:val="single" w:color="auto" w:sz="4" w:space="0"/>
            </w:tcBorders>
            <w:noWrap w:val="0"/>
            <w:vAlign w:val="center"/>
          </w:tcPr>
          <w:p>
            <w:pPr>
              <w:spacing w:line="320" w:lineRule="exact"/>
              <w:ind w:right="-14"/>
              <w:jc w:val="center"/>
              <w:rPr>
                <w:rFonts w:hint="eastAsia" w:ascii="宋体" w:hAnsi="宋体" w:eastAsia="宋体"/>
                <w:color w:val="auto"/>
                <w:szCs w:val="21"/>
                <w:highlight w:val="none"/>
                <w:lang w:eastAsia="zh-CN"/>
              </w:rPr>
            </w:pPr>
          </w:p>
        </w:tc>
        <w:tc>
          <w:tcPr>
            <w:tcW w:w="64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p>
        </w:tc>
        <w:tc>
          <w:tcPr>
            <w:tcW w:w="14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lang w:val="en-US" w:eastAsia="zh-CN"/>
              </w:rPr>
            </w:pPr>
          </w:p>
        </w:tc>
        <w:tc>
          <w:tcPr>
            <w:tcW w:w="6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3分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olor w:val="auto"/>
                <w:sz w:val="21"/>
                <w:szCs w:val="21"/>
                <w:highlight w:val="none"/>
                <w:lang w:val="en-US" w:eastAsia="zh-CN"/>
              </w:rPr>
            </w:pPr>
            <w:r>
              <w:rPr>
                <w:rFonts w:hint="eastAsia"/>
                <w:color w:val="auto"/>
                <w:sz w:val="21"/>
                <w:szCs w:val="21"/>
                <w:highlight w:val="none"/>
                <w:lang w:eastAsia="zh-CN"/>
              </w:rPr>
              <w:t>投标人为</w:t>
            </w:r>
            <w:r>
              <w:rPr>
                <w:rFonts w:hint="eastAsia"/>
                <w:color w:val="auto"/>
                <w:sz w:val="21"/>
                <w:szCs w:val="21"/>
                <w:highlight w:val="none"/>
              </w:rPr>
              <w:t>本项目配备专门</w:t>
            </w:r>
            <w:r>
              <w:rPr>
                <w:rFonts w:hint="eastAsia"/>
                <w:color w:val="auto"/>
                <w:sz w:val="21"/>
                <w:szCs w:val="21"/>
                <w:highlight w:val="none"/>
                <w:lang w:eastAsia="zh-CN"/>
              </w:rPr>
              <w:t>查勘</w:t>
            </w:r>
            <w:r>
              <w:rPr>
                <w:rFonts w:hint="eastAsia"/>
                <w:color w:val="auto"/>
                <w:sz w:val="21"/>
                <w:szCs w:val="21"/>
                <w:highlight w:val="none"/>
              </w:rPr>
              <w:t>车辆（投标人自有车辆）</w:t>
            </w:r>
            <w:r>
              <w:rPr>
                <w:rFonts w:hint="eastAsia"/>
                <w:color w:val="auto"/>
                <w:sz w:val="21"/>
                <w:szCs w:val="21"/>
                <w:highlight w:val="none"/>
                <w:lang w:eastAsia="zh-CN"/>
              </w:rPr>
              <w:t>，每提供一辆得</w:t>
            </w:r>
            <w:r>
              <w:rPr>
                <w:rFonts w:hint="eastAsia"/>
                <w:color w:val="auto"/>
                <w:sz w:val="21"/>
                <w:szCs w:val="21"/>
                <w:highlight w:val="none"/>
                <w:lang w:val="en-US" w:eastAsia="zh-CN"/>
              </w:rPr>
              <w:t>1分，最高得3分。</w:t>
            </w:r>
          </w:p>
          <w:p>
            <w:pPr>
              <w:pStyle w:val="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注：以投标人提供相关配备自有车辆行驶证数量为准，否则不得分。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565" w:hRule="atLeast"/>
        </w:trPr>
        <w:tc>
          <w:tcPr>
            <w:tcW w:w="600" w:type="dxa"/>
            <w:vMerge w:val="continue"/>
            <w:tcBorders>
              <w:left w:val="single" w:color="auto" w:sz="4" w:space="0"/>
              <w:right w:val="single" w:color="auto" w:sz="4" w:space="0"/>
            </w:tcBorders>
            <w:noWrap w:val="0"/>
            <w:vAlign w:val="center"/>
          </w:tcPr>
          <w:p>
            <w:pPr>
              <w:spacing w:line="320" w:lineRule="exact"/>
              <w:ind w:right="-14"/>
              <w:jc w:val="center"/>
              <w:rPr>
                <w:rFonts w:hint="eastAsia" w:ascii="宋体" w:hAnsi="宋体" w:eastAsia="宋体"/>
                <w:color w:val="auto"/>
                <w:szCs w:val="21"/>
                <w:highlight w:val="none"/>
                <w:lang w:eastAsia="zh-CN"/>
              </w:rPr>
            </w:pPr>
          </w:p>
        </w:tc>
        <w:tc>
          <w:tcPr>
            <w:tcW w:w="6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rPr>
              <w:t>服务等级</w:t>
            </w:r>
          </w:p>
        </w:tc>
        <w:tc>
          <w:tcPr>
            <w:tcW w:w="6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val="0"/>
                <w:bCs/>
                <w:color w:val="auto"/>
                <w:szCs w:val="21"/>
                <w:highlight w:val="none"/>
              </w:rPr>
            </w:pPr>
            <w:r>
              <w:rPr>
                <w:rFonts w:hint="eastAsia" w:ascii="宋体" w:hAnsi="宋体" w:cs="宋体"/>
                <w:b w:val="0"/>
                <w:bCs/>
                <w:color w:val="auto"/>
                <w:kern w:val="0"/>
                <w:szCs w:val="21"/>
                <w:highlight w:val="none"/>
              </w:rPr>
              <w:t>9分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按照全国统一《保险公司服务评价管理办法（试行）》中的服务评级等级，投标人自</w:t>
            </w:r>
            <w:r>
              <w:rPr>
                <w:rFonts w:ascii="宋体" w:hAnsi="宋体" w:cs="宋体"/>
                <w:color w:val="auto"/>
                <w:kern w:val="0"/>
                <w:szCs w:val="21"/>
                <w:highlight w:val="none"/>
              </w:rPr>
              <w:t>201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年1月1日以来至投标截止日，获得过服务评级评分：</w:t>
            </w:r>
            <w:r>
              <w:rPr>
                <w:rFonts w:ascii="宋体" w:hAnsi="宋体" w:cs="宋体"/>
                <w:color w:val="auto"/>
                <w:kern w:val="0"/>
                <w:szCs w:val="21"/>
                <w:highlight w:val="none"/>
              </w:rPr>
              <w:t>AAA</w:t>
            </w:r>
            <w:r>
              <w:rPr>
                <w:rFonts w:hint="eastAsia" w:ascii="宋体" w:hAnsi="宋体" w:cs="宋体"/>
                <w:color w:val="auto"/>
                <w:kern w:val="0"/>
                <w:szCs w:val="21"/>
                <w:highlight w:val="none"/>
              </w:rPr>
              <w:t>级得9分，</w:t>
            </w:r>
            <w:r>
              <w:rPr>
                <w:rFonts w:ascii="宋体" w:hAnsi="宋体" w:cs="宋体"/>
                <w:color w:val="auto"/>
                <w:kern w:val="0"/>
                <w:szCs w:val="21"/>
                <w:highlight w:val="none"/>
              </w:rPr>
              <w:t>AA</w:t>
            </w:r>
            <w:r>
              <w:rPr>
                <w:rFonts w:hint="eastAsia" w:ascii="宋体" w:hAnsi="宋体" w:cs="宋体"/>
                <w:color w:val="auto"/>
                <w:kern w:val="0"/>
                <w:szCs w:val="21"/>
                <w:highlight w:val="none"/>
              </w:rPr>
              <w:t>级得</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分，A级得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分，BBB级得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分，BB级得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 B级</w:t>
            </w:r>
            <w:r>
              <w:rPr>
                <w:rFonts w:hint="eastAsia" w:ascii="宋体" w:hAnsi="宋体" w:cs="宋体"/>
                <w:color w:val="auto"/>
                <w:kern w:val="0"/>
                <w:szCs w:val="21"/>
                <w:highlight w:val="none"/>
                <w:lang w:eastAsia="zh-CN"/>
              </w:rPr>
              <w:t>及以下等级的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注：一家投标单位只记一次分，最高得9分。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s="宋体"/>
                <w:b/>
                <w:bCs/>
                <w:color w:val="auto"/>
                <w:kern w:val="0"/>
                <w:szCs w:val="21"/>
                <w:highlight w:val="none"/>
              </w:rPr>
              <w:t>证明材料须提供中保信网站公布信息截图并加盖公章，否则不得分。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050" w:hRule="atLeast"/>
        </w:trPr>
        <w:tc>
          <w:tcPr>
            <w:tcW w:w="600" w:type="dxa"/>
            <w:vMerge w:val="continue"/>
            <w:tcBorders>
              <w:left w:val="single" w:color="auto" w:sz="4" w:space="0"/>
              <w:right w:val="single" w:color="auto" w:sz="4" w:space="0"/>
            </w:tcBorders>
            <w:noWrap w:val="0"/>
            <w:vAlign w:val="center"/>
          </w:tcPr>
          <w:p>
            <w:pPr>
              <w:spacing w:line="320" w:lineRule="exact"/>
              <w:ind w:right="-14"/>
              <w:jc w:val="center"/>
              <w:rPr>
                <w:rFonts w:hint="eastAsia" w:ascii="宋体" w:hAnsi="宋体" w:eastAsia="宋体"/>
                <w:color w:val="auto"/>
                <w:szCs w:val="21"/>
                <w:highlight w:val="none"/>
                <w:lang w:eastAsia="zh-CN"/>
              </w:rPr>
            </w:pPr>
          </w:p>
        </w:tc>
        <w:tc>
          <w:tcPr>
            <w:tcW w:w="6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color w:val="auto"/>
                <w:highlight w:val="none"/>
              </w:rPr>
            </w:pPr>
            <w:r>
              <w:rPr>
                <w:rFonts w:hint="eastAsia" w:ascii="宋体" w:hAnsi="宋体" w:cs="宋体"/>
                <w:b/>
                <w:bCs/>
                <w:color w:val="auto"/>
                <w:kern w:val="0"/>
                <w:szCs w:val="21"/>
                <w:highlight w:val="none"/>
              </w:rPr>
              <w:t>市场份额</w:t>
            </w:r>
          </w:p>
        </w:tc>
        <w:tc>
          <w:tcPr>
            <w:tcW w:w="6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7分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衢州</w:t>
            </w:r>
            <w:r>
              <w:rPr>
                <w:rFonts w:hint="eastAsia" w:ascii="宋体" w:hAnsi="宋体" w:eastAsia="宋体" w:cs="宋体"/>
                <w:color w:val="auto"/>
                <w:kern w:val="0"/>
                <w:szCs w:val="21"/>
                <w:highlight w:val="none"/>
              </w:rPr>
              <w:t>保险行业协会2020年度出具的份额表为准，第一名得7分、第二名得5分、第三名得3分、第四名得2分、第五名得1分，其余不得分。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注：提供</w:t>
            </w:r>
            <w:r>
              <w:rPr>
                <w:rFonts w:hint="eastAsia" w:ascii="宋体" w:hAnsi="宋体" w:cs="宋体"/>
                <w:b/>
                <w:bCs/>
                <w:color w:val="auto"/>
                <w:kern w:val="0"/>
                <w:szCs w:val="21"/>
                <w:highlight w:val="none"/>
                <w:lang w:eastAsia="zh-CN"/>
              </w:rPr>
              <w:t>衢州</w:t>
            </w:r>
            <w:r>
              <w:rPr>
                <w:rFonts w:hint="eastAsia" w:ascii="宋体" w:hAnsi="宋体" w:cs="宋体"/>
                <w:b/>
                <w:bCs/>
                <w:color w:val="auto"/>
                <w:kern w:val="0"/>
                <w:szCs w:val="21"/>
                <w:highlight w:val="none"/>
              </w:rPr>
              <w:t>保险行业协会2020年度出具的份额表报告，否则不得分。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161" w:hRule="atLeast"/>
        </w:trPr>
        <w:tc>
          <w:tcPr>
            <w:tcW w:w="600" w:type="dxa"/>
            <w:vMerge w:val="continue"/>
            <w:tcBorders>
              <w:left w:val="single" w:color="auto" w:sz="4" w:space="0"/>
              <w:right w:val="single" w:color="auto" w:sz="4" w:space="0"/>
            </w:tcBorders>
            <w:noWrap w:val="0"/>
            <w:vAlign w:val="center"/>
          </w:tcPr>
          <w:p>
            <w:pPr>
              <w:spacing w:line="320" w:lineRule="exact"/>
              <w:ind w:right="-14"/>
              <w:jc w:val="center"/>
              <w:rPr>
                <w:rFonts w:hint="eastAsia" w:ascii="宋体" w:hAnsi="宋体" w:eastAsia="宋体"/>
                <w:color w:val="auto"/>
                <w:szCs w:val="21"/>
                <w:highlight w:val="none"/>
                <w:lang w:eastAsia="zh-CN"/>
              </w:rPr>
            </w:pPr>
          </w:p>
        </w:tc>
        <w:tc>
          <w:tcPr>
            <w:tcW w:w="6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60" w:beforeLines="50" w:after="160" w:afterLines="50" w:line="400" w:lineRule="exact"/>
              <w:jc w:val="center"/>
              <w:textAlignment w:val="auto"/>
              <w:rPr>
                <w:rFonts w:hint="eastAsia"/>
                <w:color w:val="auto"/>
                <w:highlight w:val="none"/>
              </w:rPr>
            </w:pPr>
            <w:r>
              <w:rPr>
                <w:rFonts w:hint="eastAsia" w:ascii="宋体" w:hAnsi="宋体" w:eastAsia="宋体" w:cs="宋体"/>
                <w:b w:val="0"/>
                <w:bCs/>
                <w:color w:val="auto"/>
                <w:kern w:val="0"/>
                <w:szCs w:val="21"/>
                <w:highlight w:val="none"/>
                <w:lang w:eastAsia="zh-CN"/>
              </w:rPr>
              <w:t>保险服务方案</w:t>
            </w:r>
          </w:p>
        </w:tc>
        <w:tc>
          <w:tcPr>
            <w:tcW w:w="6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b w:val="0"/>
                <w:bCs/>
                <w:color w:val="auto"/>
                <w:szCs w:val="21"/>
                <w:highlight w:val="none"/>
                <w:lang w:val="en-US" w:eastAsia="zh-CN"/>
              </w:rPr>
              <w:t>20分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根据采购</w:t>
            </w:r>
            <w:r>
              <w:rPr>
                <w:rFonts w:hint="eastAsia" w:ascii="宋体" w:hAnsi="宋体" w:eastAsia="宋体" w:cs="宋体"/>
                <w:color w:val="auto"/>
                <w:kern w:val="0"/>
                <w:szCs w:val="21"/>
                <w:highlight w:val="none"/>
                <w:lang w:eastAsia="zh-CN"/>
              </w:rPr>
              <w:t>需求中：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olor w:val="auto"/>
                <w:sz w:val="21"/>
                <w:szCs w:val="24"/>
                <w:highlight w:val="none"/>
                <w:lang w:val="en-US" w:eastAsia="zh-CN"/>
              </w:rPr>
            </w:pPr>
            <w:r>
              <w:rPr>
                <w:rFonts w:hint="eastAsia"/>
                <w:color w:val="auto"/>
                <w:sz w:val="21"/>
                <w:szCs w:val="24"/>
                <w:highlight w:val="none"/>
                <w:lang w:val="en-US" w:eastAsia="zh-CN"/>
              </w:rPr>
              <w:t>承保后的服务：</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jc w:val="left"/>
              <w:textAlignment w:val="auto"/>
              <w:rPr>
                <w:rFonts w:hint="eastAsia"/>
                <w:color w:val="auto"/>
                <w:sz w:val="21"/>
                <w:szCs w:val="24"/>
                <w:highlight w:val="none"/>
                <w:lang w:val="en-US" w:eastAsia="zh-CN"/>
              </w:rPr>
            </w:pPr>
            <w:r>
              <w:rPr>
                <w:rFonts w:hint="eastAsia"/>
                <w:color w:val="auto"/>
                <w:sz w:val="21"/>
                <w:szCs w:val="24"/>
                <w:highlight w:val="none"/>
                <w:lang w:val="en-US" w:eastAsia="zh-CN"/>
              </w:rPr>
              <w:t>理赔权限RMB800万（含）以上的，得4分；理赔权限RMB500万（含）-RMB800万（不含）的，得2分；理赔权限RMB500万（不含）以下的，不得分；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olor w:val="auto"/>
                <w:sz w:val="21"/>
                <w:szCs w:val="24"/>
                <w:highlight w:val="none"/>
                <w:lang w:val="en-US" w:eastAsia="zh-CN"/>
              </w:rPr>
            </w:pPr>
            <w:r>
              <w:rPr>
                <w:rFonts w:hint="eastAsia"/>
                <w:color w:val="auto"/>
                <w:sz w:val="21"/>
                <w:szCs w:val="24"/>
                <w:highlight w:val="none"/>
                <w:lang w:val="en-US" w:eastAsia="zh-CN"/>
              </w:rPr>
              <w:t>注：提供总公司对于本次招标项目所在地所属省级分公司关于医疗责任保险理赔权限的正规授权文件，针对本项目的临时授权文件以及总公司的理赔权限无效。原件备查，否则业绩不予认可。</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color w:val="auto"/>
                <w:sz w:val="21"/>
                <w:szCs w:val="24"/>
                <w:highlight w:val="none"/>
                <w:lang w:val="en-US" w:eastAsia="zh-CN"/>
              </w:rPr>
            </w:pPr>
            <w:r>
              <w:rPr>
                <w:rFonts w:hint="eastAsia"/>
                <w:color w:val="auto"/>
                <w:sz w:val="21"/>
                <w:szCs w:val="24"/>
                <w:highlight w:val="none"/>
                <w:lang w:val="en-US" w:eastAsia="zh-CN"/>
              </w:rPr>
              <w:t>根据投标人的客户维护方案，共计3项内容，提供法律服务、保险合同变更、派专人定期回访内容进行评分，每提供一项得2分，最高得6分，不符合不得分。</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cs="宋体"/>
                <w:b/>
                <w:bCs/>
                <w:color w:val="auto"/>
                <w:kern w:val="0"/>
                <w:szCs w:val="21"/>
                <w:highlight w:val="none"/>
              </w:rPr>
            </w:pPr>
            <w:r>
              <w:rPr>
                <w:rFonts w:hint="eastAsia"/>
                <w:color w:val="auto"/>
                <w:sz w:val="21"/>
                <w:szCs w:val="24"/>
                <w:highlight w:val="none"/>
                <w:lang w:val="en-US" w:eastAsia="zh-CN"/>
              </w:rPr>
              <w:t>根据投标人的整体理赔服务方案，提供整体服务措施、现场查勘时效承诺、理赔时效承诺、特色服务进行评分，每提供一项得2.5分，最高得10分，不符合不得分。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855" w:hRule="atLeast"/>
        </w:trPr>
        <w:tc>
          <w:tcPr>
            <w:tcW w:w="600" w:type="dxa"/>
            <w:vMerge w:val="continue"/>
            <w:tcBorders>
              <w:left w:val="single" w:color="auto" w:sz="4" w:space="0"/>
              <w:right w:val="single" w:color="auto" w:sz="4" w:space="0"/>
            </w:tcBorders>
            <w:noWrap w:val="0"/>
            <w:vAlign w:val="center"/>
          </w:tcPr>
          <w:p>
            <w:pPr>
              <w:spacing w:line="320" w:lineRule="exact"/>
              <w:ind w:right="-14"/>
              <w:jc w:val="center"/>
              <w:rPr>
                <w:rFonts w:hint="eastAsia" w:ascii="宋体" w:hAnsi="宋体" w:eastAsia="宋体"/>
                <w:color w:val="auto"/>
                <w:szCs w:val="21"/>
                <w:highlight w:val="none"/>
                <w:lang w:eastAsia="zh-CN"/>
              </w:rPr>
            </w:pPr>
          </w:p>
        </w:tc>
        <w:tc>
          <w:tcPr>
            <w:tcW w:w="6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60" w:beforeLines="50" w:after="160" w:afterLines="50" w:line="400" w:lineRule="exact"/>
              <w:jc w:val="center"/>
              <w:textAlignment w:val="auto"/>
              <w:rPr>
                <w:rFonts w:hint="eastAsia"/>
                <w:color w:val="auto"/>
                <w:highlight w:val="none"/>
              </w:rPr>
            </w:pPr>
            <w:r>
              <w:rPr>
                <w:rFonts w:hint="eastAsia" w:ascii="宋体" w:hAnsi="宋体" w:eastAsia="宋体" w:cs="宋体"/>
                <w:b w:val="0"/>
                <w:bCs/>
                <w:color w:val="auto"/>
                <w:kern w:val="0"/>
                <w:szCs w:val="21"/>
                <w:highlight w:val="none"/>
                <w:lang w:eastAsia="zh-CN"/>
              </w:rPr>
              <w:t>增值特色服务</w:t>
            </w:r>
          </w:p>
        </w:tc>
        <w:tc>
          <w:tcPr>
            <w:tcW w:w="6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16分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Cs w:val="21"/>
                <w:highlight w:val="none"/>
              </w:rPr>
            </w:pPr>
            <w:r>
              <w:rPr>
                <w:rFonts w:hint="default"/>
                <w:color w:val="auto"/>
                <w:sz w:val="21"/>
                <w:szCs w:val="24"/>
                <w:highlight w:val="none"/>
                <w:lang w:val="zh-CN" w:eastAsia="zh-CN"/>
              </w:rPr>
              <w:t>投标人</w:t>
            </w:r>
            <w:r>
              <w:rPr>
                <w:rFonts w:hint="eastAsia"/>
                <w:color w:val="auto"/>
                <w:sz w:val="21"/>
                <w:szCs w:val="24"/>
                <w:highlight w:val="none"/>
                <w:lang w:val="en-US" w:eastAsia="zh-CN"/>
              </w:rPr>
              <w:t>在</w:t>
            </w:r>
            <w:r>
              <w:rPr>
                <w:rFonts w:hint="eastAsia" w:ascii="宋体" w:hAnsi="宋体" w:eastAsia="宋体" w:cs="宋体"/>
                <w:sz w:val="21"/>
                <w:szCs w:val="21"/>
                <w:highlight w:val="none"/>
              </w:rPr>
              <w:t>医疗责任保险</w:t>
            </w:r>
            <w:r>
              <w:rPr>
                <w:rFonts w:hint="eastAsia"/>
                <w:color w:val="auto"/>
                <w:sz w:val="21"/>
                <w:szCs w:val="24"/>
                <w:highlight w:val="none"/>
                <w:lang w:val="en-US" w:eastAsia="zh-CN"/>
              </w:rPr>
              <w:t>服务</w:t>
            </w:r>
            <w:r>
              <w:rPr>
                <w:rFonts w:hint="eastAsia"/>
                <w:color w:val="auto"/>
                <w:sz w:val="21"/>
                <w:szCs w:val="24"/>
                <w:highlight w:val="none"/>
                <w:lang w:val="zh-CN" w:eastAsia="zh-CN"/>
              </w:rPr>
              <w:t>基本内容基础上提供另外的</w:t>
            </w:r>
            <w:r>
              <w:rPr>
                <w:rFonts w:hint="eastAsia" w:ascii="宋体" w:hAnsi="宋体" w:eastAsia="宋体" w:cs="宋体"/>
                <w:color w:val="auto"/>
                <w:sz w:val="22"/>
                <w:szCs w:val="22"/>
                <w:highlight w:val="none"/>
                <w:lang w:eastAsia="zh-CN"/>
              </w:rPr>
              <w:t>增值特色服务</w:t>
            </w:r>
            <w:r>
              <w:rPr>
                <w:rFonts w:hint="default"/>
                <w:color w:val="auto"/>
                <w:sz w:val="21"/>
                <w:szCs w:val="24"/>
                <w:highlight w:val="none"/>
                <w:lang w:val="zh-CN" w:eastAsia="zh-CN"/>
              </w:rPr>
              <w:t>。</w:t>
            </w:r>
            <w:r>
              <w:rPr>
                <w:rFonts w:hint="eastAsia" w:ascii="宋体" w:hAnsi="宋体" w:cs="宋体"/>
                <w:color w:val="auto"/>
                <w:kern w:val="0"/>
                <w:szCs w:val="21"/>
                <w:highlight w:val="none"/>
              </w:rPr>
              <w:t>提供合理的、覆盖面广的保险业务告知和专业培训，确保投保人、被保险人（参保对象）充分知晓、了解本保险，理解保险、理赔流程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eastAsia="zh-CN"/>
              </w:rPr>
              <w:t>获得更好的承保、理赔等方面情况，</w:t>
            </w:r>
            <w:r>
              <w:rPr>
                <w:rFonts w:hint="eastAsia" w:ascii="宋体" w:hAnsi="宋体" w:cs="宋体"/>
                <w:color w:val="auto"/>
                <w:kern w:val="0"/>
                <w:szCs w:val="21"/>
                <w:highlight w:val="none"/>
                <w:lang w:eastAsia="zh-CN"/>
              </w:rPr>
              <w:t>每提供一项得</w:t>
            </w:r>
            <w:r>
              <w:rPr>
                <w:rFonts w:hint="eastAsia" w:ascii="宋体" w:hAnsi="宋体" w:cs="宋体"/>
                <w:color w:val="auto"/>
                <w:kern w:val="0"/>
                <w:szCs w:val="21"/>
                <w:highlight w:val="none"/>
                <w:lang w:val="en-US" w:eastAsia="zh-CN"/>
              </w:rPr>
              <w:t>2分，最高得16分，不符合不得分。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393" w:hRule="atLeast"/>
        </w:trPr>
        <w:tc>
          <w:tcPr>
            <w:tcW w:w="600" w:type="dxa"/>
            <w:vMerge w:val="continue"/>
            <w:tcBorders>
              <w:left w:val="single" w:color="auto" w:sz="4" w:space="0"/>
              <w:right w:val="single" w:color="auto" w:sz="4" w:space="0"/>
            </w:tcBorders>
            <w:noWrap w:val="0"/>
            <w:vAlign w:val="center"/>
          </w:tcPr>
          <w:p>
            <w:pPr>
              <w:spacing w:line="320" w:lineRule="exact"/>
              <w:ind w:right="-14"/>
              <w:jc w:val="center"/>
              <w:rPr>
                <w:rFonts w:hint="eastAsia" w:ascii="宋体" w:hAnsi="宋体" w:eastAsia="宋体"/>
                <w:color w:val="auto"/>
                <w:szCs w:val="21"/>
                <w:highlight w:val="none"/>
                <w:lang w:eastAsia="zh-CN"/>
              </w:rPr>
            </w:pPr>
          </w:p>
        </w:tc>
        <w:tc>
          <w:tcPr>
            <w:tcW w:w="64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Cs w:val="21"/>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60" w:beforeLines="50" w:after="160" w:afterLines="50" w:line="400" w:lineRule="exact"/>
              <w:jc w:val="center"/>
              <w:textAlignment w:val="auto"/>
              <w:rPr>
                <w:rFonts w:hint="eastAsia"/>
                <w:color w:val="auto"/>
                <w:highlight w:val="none"/>
              </w:rPr>
            </w:pPr>
            <w:r>
              <w:rPr>
                <w:rFonts w:hint="eastAsia" w:ascii="宋体" w:hAnsi="宋体" w:cs="宋体"/>
                <w:b w:val="0"/>
                <w:bCs/>
                <w:color w:val="auto"/>
                <w:kern w:val="0"/>
                <w:szCs w:val="21"/>
                <w:highlight w:val="none"/>
              </w:rPr>
              <w:t>理赔服务方案</w:t>
            </w:r>
          </w:p>
        </w:tc>
        <w:tc>
          <w:tcPr>
            <w:tcW w:w="6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8</w:t>
            </w:r>
            <w:r>
              <w:rPr>
                <w:rFonts w:hint="eastAsia" w:ascii="宋体" w:hAnsi="宋体" w:cs="宋体"/>
                <w:b w:val="0"/>
                <w:bCs/>
                <w:color w:val="auto"/>
                <w:kern w:val="0"/>
                <w:szCs w:val="21"/>
                <w:highlight w:val="none"/>
              </w:rPr>
              <w:t>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lang w:val="en-US" w:eastAsia="zh-CN"/>
              </w:rPr>
              <w:t>提供</w:t>
            </w:r>
            <w:r>
              <w:rPr>
                <w:rFonts w:hint="eastAsia" w:ascii="宋体" w:hAnsi="宋体" w:cs="宋体"/>
                <w:color w:val="auto"/>
                <w:kern w:val="0"/>
                <w:szCs w:val="21"/>
                <w:highlight w:val="none"/>
              </w:rPr>
              <w:t>理赔服务需求响应速度</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接报案及现场查勘的方案情况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单证审核及理赔程序的方案情况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专项理赔服务人员</w:t>
            </w:r>
            <w:r>
              <w:rPr>
                <w:rFonts w:hint="eastAsia" w:ascii="宋体" w:hAnsi="宋体" w:cs="宋体"/>
                <w:color w:val="auto"/>
                <w:kern w:val="0"/>
                <w:szCs w:val="21"/>
                <w:highlight w:val="none"/>
                <w:lang w:eastAsia="zh-CN"/>
              </w:rPr>
              <w:t>等理赔服务方案，符合采购需求的每项得</w:t>
            </w:r>
            <w:r>
              <w:rPr>
                <w:rFonts w:hint="eastAsia" w:ascii="宋体" w:hAnsi="宋体" w:cs="宋体"/>
                <w:color w:val="auto"/>
                <w:kern w:val="0"/>
                <w:szCs w:val="21"/>
                <w:highlight w:val="none"/>
                <w:lang w:val="en-US" w:eastAsia="zh-CN"/>
              </w:rPr>
              <w:t>2分，最高得8分，不符合不得分。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98" w:hRule="atLeast"/>
        </w:trPr>
        <w:tc>
          <w:tcPr>
            <w:tcW w:w="600" w:type="dxa"/>
            <w:tcBorders>
              <w:left w:val="single" w:color="auto" w:sz="4" w:space="0"/>
              <w:right w:val="single" w:color="auto" w:sz="4" w:space="0"/>
            </w:tcBorders>
            <w:noWrap w:val="0"/>
            <w:vAlign w:val="center"/>
          </w:tcPr>
          <w:p>
            <w:pPr>
              <w:autoSpaceDE w:val="0"/>
              <w:autoSpaceDN w:val="0"/>
              <w:spacing w:line="320" w:lineRule="exact"/>
              <w:jc w:val="center"/>
              <w:rPr>
                <w:rFonts w:hint="default" w:ascii="宋体" w:hAnsi="宋体" w:eastAsia="宋体"/>
                <w:color w:val="auto"/>
                <w:szCs w:val="21"/>
                <w:highlight w:val="none"/>
                <w:lang w:val="en-US" w:eastAsia="zh-CN"/>
              </w:rPr>
            </w:pPr>
            <w:r>
              <w:rPr>
                <w:rFonts w:hint="eastAsia" w:ascii="宋体" w:hAnsi="宋体"/>
                <w:b/>
                <w:bCs/>
                <w:color w:val="auto"/>
                <w:spacing w:val="-10"/>
                <w:szCs w:val="21"/>
                <w:highlight w:val="none"/>
                <w:lang w:val="en-US" w:eastAsia="zh-CN"/>
              </w:rPr>
              <w:t>2</w:t>
            </w: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0"/>
                <w:szCs w:val="21"/>
                <w:highlight w:val="none"/>
              </w:rPr>
            </w:pPr>
            <w:r>
              <w:rPr>
                <w:rFonts w:hint="eastAsia" w:ascii="宋体" w:hAnsi="宋体" w:eastAsia="宋体" w:cs="宋体"/>
                <w:color w:val="auto"/>
                <w:sz w:val="21"/>
                <w:szCs w:val="21"/>
                <w:highlight w:val="none"/>
                <w:lang w:val="en-US" w:eastAsia="zh-CN"/>
              </w:rPr>
              <w:t>报价分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b w:val="0"/>
                <w:bCs/>
                <w:color w:val="auto"/>
                <w:spacing w:val="-10"/>
                <w:szCs w:val="21"/>
                <w:highlight w:val="none"/>
              </w:rPr>
              <w:t>20分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满足招标文件要求且投标价格最低的投标报价为评标基准价，其价格分为满分，其他投标人的价格分统一按下列公式计算（按四舍五入取至小数点后两位）：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投标报价得分=（评标基准价/投标报价）×20。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kern w:val="0"/>
                <w:szCs w:val="21"/>
                <w:highlight w:val="none"/>
              </w:rPr>
            </w:pPr>
            <w:r>
              <w:rPr>
                <w:rFonts w:hint="eastAsia" w:ascii="宋体" w:hAnsi="宋体" w:eastAsia="宋体" w:cs="宋体"/>
                <w:color w:val="auto"/>
                <w:kern w:val="2"/>
                <w:sz w:val="21"/>
                <w:szCs w:val="21"/>
                <w:highlight w:val="none"/>
                <w:lang w:val="en-US" w:eastAsia="zh-CN" w:bidi="ar-SA"/>
              </w:rPr>
              <w:t>根据《政府采购促进中小企业发展管理办法》财库〔2020〕46号文件规定和采购人提供的面向中小企业预留采购份额确认函，在评审时对符合本办法规定的小微企业报价给予20%的扣除，取扣除后的价格作为最终投标报价（此最终投标报价仅作为价格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07" w:hRule="atLeast"/>
        </w:trPr>
        <w:tc>
          <w:tcPr>
            <w:tcW w:w="600" w:type="dxa"/>
            <w:tcBorders>
              <w:left w:val="single" w:color="auto" w:sz="4" w:space="0"/>
              <w:right w:val="single" w:color="auto" w:sz="4" w:space="0"/>
            </w:tcBorders>
            <w:noWrap w:val="0"/>
            <w:vAlign w:val="center"/>
          </w:tcPr>
          <w:p>
            <w:pPr>
              <w:autoSpaceDE w:val="0"/>
              <w:autoSpaceDN w:val="0"/>
              <w:spacing w:line="320" w:lineRule="exact"/>
              <w:jc w:val="center"/>
              <w:rPr>
                <w:rFonts w:hint="default" w:ascii="宋体" w:hAnsi="宋体"/>
                <w:b/>
                <w:bCs/>
                <w:color w:val="auto"/>
                <w:spacing w:val="-10"/>
                <w:szCs w:val="21"/>
                <w:highlight w:val="none"/>
                <w:lang w:val="en-US" w:eastAsia="zh-CN"/>
              </w:rPr>
            </w:pPr>
            <w:r>
              <w:rPr>
                <w:rFonts w:hint="eastAsia" w:ascii="宋体" w:hAnsi="宋体"/>
                <w:b/>
                <w:bCs/>
                <w:color w:val="auto"/>
                <w:spacing w:val="-10"/>
                <w:szCs w:val="21"/>
                <w:highlight w:val="none"/>
                <w:lang w:val="en-US" w:eastAsia="zh-CN"/>
              </w:rPr>
              <w:t>3</w:t>
            </w: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总得分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color w:val="auto"/>
                <w:spacing w:val="-10"/>
                <w:szCs w:val="21"/>
                <w:highlight w:val="none"/>
              </w:rPr>
            </w:pPr>
            <w:r>
              <w:rPr>
                <w:rFonts w:hint="eastAsia" w:ascii="宋体" w:hAnsi="宋体" w:eastAsia="宋体" w:cs="宋体"/>
                <w:color w:val="auto"/>
                <w:sz w:val="21"/>
                <w:szCs w:val="21"/>
                <w:highlight w:val="none"/>
                <w:lang w:val="en-US" w:eastAsia="zh-CN"/>
              </w:rPr>
              <w:t>100分</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eastAsia="zh-CN"/>
              </w:rPr>
              <w:t>总得分=技术商务得分+报价得分</w:t>
            </w:r>
          </w:p>
        </w:tc>
      </w:tr>
    </w:tbl>
    <w:p>
      <w:pPr>
        <w:spacing w:line="440" w:lineRule="exact"/>
        <w:ind w:left="-420" w:leftChars="-200" w:firstLine="481" w:firstLineChars="228"/>
        <w:rPr>
          <w:rFonts w:hint="eastAsia" w:ascii="宋体" w:hAnsi="宋体" w:cs="宋体"/>
          <w:b/>
          <w:bCs/>
          <w:color w:val="auto"/>
          <w:kern w:val="0"/>
          <w:szCs w:val="21"/>
          <w:highlight w:val="none"/>
        </w:rPr>
      </w:pPr>
      <w:r>
        <w:rPr>
          <w:rFonts w:hint="eastAsia" w:ascii="宋体" w:hAnsi="宋体" w:cs="宋体"/>
          <w:b/>
          <w:color w:val="auto"/>
          <w:spacing w:val="0"/>
          <w:sz w:val="21"/>
          <w:szCs w:val="21"/>
          <w:lang w:eastAsia="zh-CN"/>
        </w:rPr>
        <w:t>注：因落实政府采购政策进行价格调整的，以调整后的价格计算评标基准价和投标报价。</w:t>
      </w:r>
    </w:p>
    <w:p>
      <w:pPr>
        <w:widowControl/>
        <w:spacing w:line="40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27、串通投标的情形</w:t>
      </w:r>
    </w:p>
    <w:bookmarkEnd w:id="57"/>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不同投标人的投标文件由同一单位或者个人编制；</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不同投标人委托同一单位或者个人办理投标事宜；</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不同投标人的投标文件载明的项目管理成员或者联系人员为同一人；</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不同投标人的投标文件异常一致或者投标报价呈规律性差异；</w:t>
      </w:r>
    </w:p>
    <w:p>
      <w:pPr>
        <w:widowControl/>
        <w:spacing w:line="40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28、投标无效的情形</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投标文件属下列情况之一的，按照无效投标处理：</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（2）不具备招标文件中规定的资格要求的;</w:t>
      </w:r>
    </w:p>
    <w:p>
      <w:pPr>
        <w:spacing w:line="44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（3）电子投标文件未按规定要求提供电子签章的；</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）技术商务文件或资格证明文件中含报价；</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）招标文件中有▲处条款投标人未作实质性响应的；</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（6）报价超过招标文件中规定的预算金额或者最高限价的；</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（7）投标文件含有采购人不能接受的附加条件的；</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）仅提供备份投标文件的；</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）电子投标文件解密失败，且未在规定时间内提交备份投标文件的；</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）电子投标文件解密失败，虽然在规定时间内提交了备份投标文件，但是备份投标文件无法导入或者无法读取或者不符合本招标文件和电子交易平台要求的；</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w:t>
      </w:r>
      <w:r>
        <w:rPr>
          <w:rFonts w:hint="eastAsia" w:ascii="宋体" w:hAnsi="宋体" w:cs="宋体"/>
          <w:color w:val="auto"/>
          <w:szCs w:val="21"/>
          <w:highlight w:val="none"/>
        </w:rPr>
        <w:t>法律、法规和招标文件规定的其他无效情形</w:t>
      </w:r>
      <w:r>
        <w:rPr>
          <w:rFonts w:hint="eastAsia" w:ascii="宋体" w:hAnsi="宋体" w:cs="宋体"/>
          <w:color w:val="auto"/>
          <w:kern w:val="0"/>
          <w:szCs w:val="21"/>
          <w:highlight w:val="none"/>
        </w:rPr>
        <w:t>。</w:t>
      </w:r>
    </w:p>
    <w:p>
      <w:pPr>
        <w:widowControl/>
        <w:spacing w:line="40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29、废标的情形</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在招标采购中，出现下列情形之一的，应予废标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废标后，采购人将废标理由通知所有投标人：</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（1）符合专业条件的供应商或者对招标文件作实质响应的供应商不足三家的；</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pPr>
        <w:widowControl/>
        <w:tabs>
          <w:tab w:val="left" w:pos="1890"/>
        </w:tabs>
        <w:spacing w:line="400" w:lineRule="exact"/>
        <w:ind w:firstLine="420" w:firstLineChars="200"/>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（3）投标人的报价均超过了采购预算或最高限价的，采购人不能支付的；</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（4）因重大变故，采购任务取消的。</w:t>
      </w:r>
    </w:p>
    <w:p>
      <w:pPr>
        <w:widowControl/>
        <w:spacing w:line="400" w:lineRule="exact"/>
        <w:ind w:firstLine="413" w:firstLineChars="196"/>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30、确定中标人原则</w:t>
      </w:r>
    </w:p>
    <w:p>
      <w:pPr>
        <w:pStyle w:val="212"/>
        <w:spacing w:line="400" w:lineRule="exact"/>
        <w:ind w:firstLine="420" w:firstLineChars="200"/>
        <w:rPr>
          <w:rFonts w:hint="eastAsia"/>
          <w:color w:val="FF0000"/>
          <w:highlight w:val="none"/>
          <w:u w:val="single"/>
        </w:rPr>
      </w:pPr>
      <w:r>
        <w:rPr>
          <w:rFonts w:hint="eastAsia"/>
          <w:color w:val="auto"/>
          <w:highlight w:val="none"/>
        </w:rPr>
        <w:t>实质上充分响应招标文件要求且总得分最高的被评标委员会推荐为第一中标候选人</w:t>
      </w:r>
      <w:r>
        <w:rPr>
          <w:rFonts w:hint="eastAsia"/>
          <w:color w:val="auto"/>
          <w:highlight w:val="none"/>
          <w:lang w:eastAsia="zh-CN"/>
        </w:rPr>
        <w:t>，</w:t>
      </w:r>
      <w:r>
        <w:rPr>
          <w:rFonts w:hint="eastAsia"/>
          <w:color w:val="auto"/>
          <w:sz w:val="21"/>
          <w:lang w:eastAsia="zh-CN"/>
        </w:rPr>
        <w:t>得分相同的采取随机抽取方式确定。</w:t>
      </w:r>
    </w:p>
    <w:p>
      <w:pPr>
        <w:widowControl/>
        <w:spacing w:line="400" w:lineRule="exact"/>
        <w:ind w:firstLine="413" w:firstLineChars="196"/>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31、中标通知及中标公告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31.1在中标供应商确定之日起2个工作日内发布中标公告及《中标通知书》，中标公告发布网址：浙江政府采购网(http://zfcg.czt.zj.gov.cn/)和开化县人民政府网（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"http://www.kaihua.gov.cn/"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www.kaihua.gov.cn/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widowControl/>
        <w:spacing w:line="400" w:lineRule="exact"/>
        <w:ind w:firstLine="422" w:firstLineChars="200"/>
        <w:jc w:val="left"/>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kern w:val="2"/>
          <w:sz w:val="21"/>
          <w:szCs w:val="21"/>
          <w:highlight w:val="none"/>
          <w:lang w:val="en-US" w:eastAsia="zh-CN" w:bidi="ar-SA"/>
        </w:rPr>
        <w:t>1.2</w:t>
      </w:r>
      <w:r>
        <w:rPr>
          <w:rFonts w:hint="eastAsia" w:ascii="宋体" w:hAnsi="宋体" w:eastAsia="宋体" w:cs="宋体"/>
          <w:b/>
          <w:bCs/>
          <w:color w:val="auto"/>
          <w:sz w:val="21"/>
          <w:szCs w:val="21"/>
          <w:highlight w:val="none"/>
          <w:lang w:val="en-US" w:eastAsia="zh-CN"/>
        </w:rPr>
        <w:t>发布中标公告时同步公开</w:t>
      </w:r>
      <w:r>
        <w:rPr>
          <w:rFonts w:hint="eastAsia" w:ascii="宋体" w:hAnsi="宋体" w:eastAsia="宋体" w:cs="宋体"/>
          <w:b/>
          <w:bCs/>
          <w:color w:val="auto"/>
          <w:sz w:val="21"/>
          <w:szCs w:val="21"/>
          <w:highlight w:val="none"/>
          <w:lang w:eastAsia="zh-CN"/>
        </w:rPr>
        <w:t>评标委员会对每个投标人的《得分汇总表》情况；中标人提供的中小企业声明函将随中标结果同时公告。</w:t>
      </w:r>
    </w:p>
    <w:p>
      <w:pPr>
        <w:widowControl/>
        <w:spacing w:line="40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中标公告发布同时，由</w:t>
      </w:r>
      <w:r>
        <w:rPr>
          <w:rFonts w:hint="eastAsia" w:ascii="宋体" w:hAnsi="宋体" w:cs="宋体"/>
          <w:color w:val="auto"/>
          <w:szCs w:val="21"/>
          <w:highlight w:val="none"/>
          <w:lang w:eastAsia="zh-CN"/>
        </w:rPr>
        <w:t>浙江天册工程管理有限公司</w:t>
      </w:r>
      <w:r>
        <w:rPr>
          <w:rFonts w:hint="eastAsia" w:ascii="宋体" w:hAnsi="宋体" w:cs="宋体"/>
          <w:color w:val="auto"/>
          <w:szCs w:val="21"/>
          <w:highlight w:val="none"/>
        </w:rPr>
        <w:t>和采购人签发《中标通知书》。</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《中标通知书》将作为签订合同的重要依据，对采购代理机构、中标人和采购人具有法律效力。若采购代理机构无故改变中标结果、中标人放弃中标项目或采购人无正当理由拒签合同的都应承担法律责任。</w:t>
      </w:r>
    </w:p>
    <w:p>
      <w:pPr>
        <w:widowControl/>
        <w:spacing w:line="40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32、质疑与投诉</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32.1投标人认为采购过程或成交结果使自己的合法权益受到损害的，可以在中标结果公告期限届满之日起7个工作日内，以书面形式向采购人提出质疑。</w:t>
      </w:r>
    </w:p>
    <w:p>
      <w:pPr>
        <w:spacing w:line="44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31.2质疑和投诉联系人：</w:t>
      </w:r>
    </w:p>
    <w:p>
      <w:pPr>
        <w:widowControl/>
        <w:spacing w:line="400" w:lineRule="exact"/>
        <w:ind w:firstLine="420" w:firstLineChars="200"/>
        <w:jc w:val="left"/>
        <w:rPr>
          <w:rFonts w:hint="eastAsia" w:ascii="宋体" w:hAnsi="宋体" w:eastAsia="宋体" w:cs="宋体"/>
          <w:color w:val="auto"/>
          <w:szCs w:val="21"/>
          <w:highlight w:val="yellow"/>
          <w:lang w:eastAsia="zh-CN"/>
        </w:rPr>
      </w:pPr>
      <w:r>
        <w:rPr>
          <w:rFonts w:hint="eastAsia" w:ascii="宋体" w:hAnsi="宋体" w:eastAsia="宋体" w:cs="宋体"/>
          <w:color w:val="auto"/>
          <w:szCs w:val="21"/>
          <w:highlight w:val="none"/>
          <w:lang w:eastAsia="zh-CN"/>
        </w:rPr>
        <w:t>采购人联系人：</w:t>
      </w:r>
      <w:r>
        <w:rPr>
          <w:rFonts w:hint="eastAsia" w:ascii="宋体" w:hAnsi="宋体" w:eastAsia="宋体" w:cs="宋体"/>
          <w:color w:val="auto"/>
          <w:szCs w:val="21"/>
          <w:highlight w:val="none"/>
          <w:lang w:val="en-US" w:eastAsia="zh-CN"/>
        </w:rPr>
        <w:t>王仪康</w:t>
      </w:r>
      <w:r>
        <w:rPr>
          <w:rFonts w:hint="eastAsia" w:ascii="宋体" w:hAnsi="宋体" w:eastAsia="宋体" w:cs="宋体"/>
          <w:color w:val="auto"/>
          <w:szCs w:val="21"/>
          <w:highlight w:val="none"/>
          <w:lang w:eastAsia="zh-CN"/>
        </w:rPr>
        <w:t xml:space="preserve">               电话：0570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6012927</w:t>
      </w:r>
      <w:r>
        <w:rPr>
          <w:rFonts w:hint="eastAsia" w:ascii="宋体" w:hAnsi="宋体" w:eastAsia="宋体" w:cs="宋体"/>
          <w:color w:val="auto"/>
          <w:szCs w:val="21"/>
          <w:highlight w:val="none"/>
          <w:lang w:val="en-US" w:eastAsia="zh-CN"/>
        </w:rPr>
        <w:t xml:space="preserve"> </w:t>
      </w:r>
    </w:p>
    <w:p>
      <w:pPr>
        <w:widowControl/>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代理机构联系人：</w:t>
      </w:r>
      <w:r>
        <w:rPr>
          <w:rFonts w:hint="eastAsia" w:ascii="宋体" w:hAnsi="宋体" w:eastAsia="宋体" w:cs="宋体"/>
          <w:color w:val="auto"/>
          <w:szCs w:val="21"/>
          <w:highlight w:val="none"/>
          <w:lang w:val="en-US" w:eastAsia="zh-CN"/>
        </w:rPr>
        <w:t xml:space="preserve">程虹 </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电话：</w:t>
      </w:r>
      <w:r>
        <w:rPr>
          <w:rFonts w:hint="eastAsia" w:ascii="宋体" w:hAnsi="宋体" w:eastAsia="宋体" w:cs="宋体"/>
          <w:color w:val="auto"/>
          <w:szCs w:val="21"/>
          <w:highlight w:val="none"/>
          <w:lang w:val="en-US" w:eastAsia="zh-CN"/>
        </w:rPr>
        <w:t>15257000311</w:t>
      </w:r>
    </w:p>
    <w:p>
      <w:pPr>
        <w:widowControl/>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采 监 科：俞晓丰                   电话：0570-6013637 </w:t>
      </w:r>
    </w:p>
    <w:p>
      <w:pPr>
        <w:pStyle w:val="26"/>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3</w:t>
      </w:r>
      <w:r>
        <w:rPr>
          <w:rFonts w:hint="eastAsia" w:hAnsi="宋体" w:cs="宋体"/>
          <w:bCs/>
          <w:color w:val="auto"/>
          <w:szCs w:val="21"/>
          <w:highlight w:val="none"/>
          <w:lang w:val="en-US" w:eastAsia="zh-CN"/>
        </w:rPr>
        <w:t>2</w:t>
      </w:r>
      <w:r>
        <w:rPr>
          <w:rFonts w:hint="eastAsia" w:hAnsi="宋体" w:cs="宋体"/>
          <w:bCs/>
          <w:color w:val="auto"/>
          <w:szCs w:val="21"/>
          <w:highlight w:val="none"/>
        </w:rPr>
        <w:t>.3质疑材料递交方式：</w:t>
      </w:r>
    </w:p>
    <w:p>
      <w:pPr>
        <w:pStyle w:val="26"/>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①通过政采云平台在线提出质疑（政采云系统菜单路径：应用中心-项目采购-询问质疑投诉-质疑列表-新增质疑）；</w:t>
      </w:r>
    </w:p>
    <w:p>
      <w:pPr>
        <w:pStyle w:val="26"/>
        <w:spacing w:line="400" w:lineRule="exact"/>
        <w:ind w:firstLine="420" w:firstLineChars="200"/>
        <w:rPr>
          <w:rFonts w:hint="eastAsia" w:hAnsi="宋体" w:cs="宋体"/>
          <w:b/>
          <w:bCs/>
          <w:color w:val="auto"/>
          <w:kern w:val="0"/>
          <w:szCs w:val="21"/>
          <w:highlight w:val="none"/>
        </w:rPr>
      </w:pPr>
      <w:r>
        <w:rPr>
          <w:rFonts w:hint="eastAsia" w:hAnsi="宋体" w:cs="宋体"/>
          <w:bCs/>
          <w:color w:val="auto"/>
          <w:szCs w:val="21"/>
          <w:highlight w:val="none"/>
        </w:rPr>
        <w:t>②书面递交到</w:t>
      </w:r>
      <w:r>
        <w:rPr>
          <w:rFonts w:hint="eastAsia" w:hAnsi="宋体" w:cs="宋体"/>
          <w:bCs/>
          <w:color w:val="auto"/>
          <w:szCs w:val="21"/>
          <w:highlight w:val="none"/>
          <w:lang w:eastAsia="zh-CN"/>
        </w:rPr>
        <w:t>浙江天册工程管理有限公司</w:t>
      </w:r>
      <w:r>
        <w:rPr>
          <w:rFonts w:hint="eastAsia" w:ascii="宋体" w:hAnsi="宋体" w:eastAsia="宋体" w:cs="宋体"/>
          <w:color w:val="auto"/>
          <w:sz w:val="21"/>
          <w:szCs w:val="21"/>
          <w:highlight w:val="none"/>
          <w:lang w:val="en-US" w:eastAsia="zh-CN"/>
        </w:rPr>
        <w:t>（开化县金佰汇7号楼金融中心4楼410室）</w:t>
      </w:r>
      <w:r>
        <w:rPr>
          <w:rFonts w:hint="eastAsia" w:hAnsi="宋体" w:cs="宋体"/>
          <w:bCs/>
          <w:color w:val="auto"/>
          <w:szCs w:val="21"/>
          <w:highlight w:val="none"/>
        </w:rPr>
        <w:t>。</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rPr>
        <w:t>2.2质疑</w:t>
      </w:r>
      <w:r>
        <w:rPr>
          <w:rFonts w:hint="eastAsia" w:ascii="宋体" w:hAnsi="宋体" w:cs="宋体"/>
          <w:color w:val="auto"/>
          <w:szCs w:val="21"/>
          <w:highlight w:val="none"/>
          <w:lang w:val="en-US" w:eastAsia="zh-CN"/>
        </w:rPr>
        <w:t>材料</w:t>
      </w:r>
      <w:r>
        <w:rPr>
          <w:rFonts w:hint="eastAsia" w:ascii="宋体" w:hAnsi="宋体" w:cs="宋体"/>
          <w:color w:val="auto"/>
          <w:szCs w:val="21"/>
          <w:highlight w:val="none"/>
        </w:rPr>
        <w:t>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A.供应商的姓名或者名称、地址、邮编、联系人及联系电话；</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B.质疑项目的名称、编号；</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C.具体、明确的质疑事项和与质疑事项相关的请求；</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D.事实依据；</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E.必要的法律依据；</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F.提出质疑的日期。</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pPr>
        <w:pStyle w:val="6"/>
        <w:bidi w:val="0"/>
        <w:rPr>
          <w:rFonts w:hint="eastAsia"/>
        </w:rPr>
      </w:pPr>
      <w:bookmarkStart w:id="58" w:name="_Toc393201713"/>
      <w:bookmarkStart w:id="59" w:name="_Toc1630"/>
      <w:bookmarkStart w:id="60" w:name="_Toc333842550"/>
      <w:bookmarkStart w:id="61" w:name="_Toc326937536"/>
      <w:bookmarkStart w:id="62" w:name="_Toc433917266"/>
      <w:bookmarkStart w:id="63" w:name="_Toc358384694"/>
      <w:r>
        <w:rPr>
          <w:rFonts w:hint="eastAsia"/>
        </w:rPr>
        <w:t>六、合同授予</w:t>
      </w:r>
      <w:bookmarkEnd w:id="58"/>
      <w:bookmarkEnd w:id="59"/>
      <w:bookmarkEnd w:id="60"/>
      <w:bookmarkEnd w:id="61"/>
      <w:bookmarkEnd w:id="62"/>
      <w:bookmarkEnd w:id="63"/>
    </w:p>
    <w:p>
      <w:pPr>
        <w:widowControl/>
        <w:spacing w:line="400" w:lineRule="exact"/>
        <w:ind w:firstLine="413" w:firstLineChars="196"/>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33、签订合同</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33.1中标人应在《中标通知书》</w:t>
      </w:r>
      <w:r>
        <w:rPr>
          <w:rFonts w:hint="eastAsia" w:ascii="宋体" w:hAnsi="宋体" w:cs="宋体"/>
          <w:color w:val="auto"/>
          <w:szCs w:val="21"/>
          <w:highlight w:val="none"/>
        </w:rPr>
        <w:t>发出之日起</w:t>
      </w:r>
      <w:r>
        <w:rPr>
          <w:rFonts w:hint="eastAsia" w:ascii="宋体" w:hAnsi="宋体" w:cs="宋体"/>
          <w:b/>
          <w:i w:val="0"/>
          <w:iCs/>
          <w:color w:val="auto"/>
          <w:kern w:val="0"/>
          <w:szCs w:val="21"/>
          <w:highlight w:val="none"/>
          <w:u w:val="single"/>
        </w:rPr>
        <w:t>30日</w:t>
      </w:r>
      <w:r>
        <w:rPr>
          <w:rFonts w:hint="eastAsia" w:ascii="宋体" w:hAnsi="宋体" w:cs="宋体"/>
          <w:color w:val="auto"/>
          <w:kern w:val="0"/>
          <w:szCs w:val="21"/>
          <w:highlight w:val="none"/>
        </w:rPr>
        <w:t>内与采购人签订合同。</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33.2合同经双方法定代表人或授权委托人签字加盖单位公章，并经</w:t>
      </w:r>
      <w:r>
        <w:rPr>
          <w:rFonts w:hint="eastAsia" w:ascii="宋体" w:hAnsi="宋体" w:cs="宋体"/>
          <w:color w:val="auto"/>
          <w:kern w:val="0"/>
          <w:szCs w:val="21"/>
          <w:highlight w:val="none"/>
          <w:lang w:val="en-US" w:eastAsia="zh-CN"/>
        </w:rPr>
        <w:t>浙江天册工程管理有限公司</w:t>
      </w:r>
      <w:r>
        <w:rPr>
          <w:rFonts w:hint="eastAsia" w:ascii="宋体" w:hAnsi="宋体" w:cs="宋体"/>
          <w:color w:val="auto"/>
          <w:kern w:val="0"/>
          <w:szCs w:val="21"/>
          <w:highlight w:val="none"/>
        </w:rPr>
        <w:t>鉴证盖章后生效。</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bookmarkStart w:id="64" w:name="_Toc333842555"/>
      <w:bookmarkStart w:id="65" w:name="_Toc358384695"/>
      <w:bookmarkStart w:id="66" w:name="_Toc326937541"/>
      <w:r>
        <w:rPr>
          <w:rFonts w:hint="eastAsia" w:ascii="宋体" w:hAnsi="宋体" w:eastAsia="宋体" w:cs="宋体"/>
          <w:color w:val="auto"/>
          <w:kern w:val="0"/>
          <w:szCs w:val="21"/>
          <w:highlight w:val="none"/>
          <w:lang w:eastAsia="zh-CN"/>
        </w:rPr>
        <w:t>3</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.3 招标文件、投标文件及其澄清文件等，均作为签订合同的依据。所签订的合同不得对招标文件和投标文件做实质性修改。</w:t>
      </w:r>
    </w:p>
    <w:p>
      <w:pPr>
        <w:widowControl/>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33.4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
        <w:bidi w:val="0"/>
        <w:rPr>
          <w:rFonts w:hint="eastAsia" w:ascii="黑体" w:hAnsi="黑体" w:eastAsia="黑体" w:cs="黑体"/>
          <w:color w:val="auto"/>
          <w:sz w:val="36"/>
          <w:szCs w:val="36"/>
          <w:highlight w:val="none"/>
        </w:rPr>
      </w:pPr>
      <w:bookmarkStart w:id="67" w:name="_Toc5189"/>
      <w:bookmarkStart w:id="68" w:name="_Toc393201714"/>
      <w:bookmarkStart w:id="69" w:name="_Toc433917267"/>
      <w:r>
        <w:rPr>
          <w:rStyle w:val="59"/>
          <w:rFonts w:hint="eastAsia"/>
          <w:bCs/>
        </w:rPr>
        <w:br w:type="page"/>
      </w:r>
      <w:r>
        <w:rPr>
          <w:rStyle w:val="59"/>
          <w:rFonts w:hint="eastAsia"/>
          <w:bCs/>
        </w:rPr>
        <w:t>第三章  主要合同条款</w:t>
      </w:r>
      <w:bookmarkEnd w:id="67"/>
    </w:p>
    <w:bookmarkEnd w:id="64"/>
    <w:bookmarkEnd w:id="65"/>
    <w:bookmarkEnd w:id="66"/>
    <w:bookmarkEnd w:id="68"/>
    <w:bookmarkEnd w:id="69"/>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1"/>
          <w:sz w:val="21"/>
          <w:szCs w:val="21"/>
          <w:highlight w:val="none"/>
        </w:rPr>
      </w:pPr>
      <w:bookmarkStart w:id="70" w:name="_Toc15976897"/>
      <w:bookmarkStart w:id="71" w:name="_Toc31217"/>
      <w:bookmarkStart w:id="72" w:name="_Toc393201726"/>
      <w:bookmarkStart w:id="73" w:name="_Toc39208078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采购人：</w:t>
      </w:r>
      <w:r>
        <w:rPr>
          <w:rFonts w:hint="eastAsia" w:ascii="宋体" w:hAnsi="宋体" w:eastAsia="宋体" w:cs="宋体"/>
          <w:color w:val="auto"/>
          <w:sz w:val="21"/>
          <w:szCs w:val="21"/>
          <w:highlight w:val="none"/>
          <w:u w:val="single"/>
        </w:rPr>
        <w:t>                </w:t>
      </w:r>
      <w:r>
        <w:rPr>
          <w:rFonts w:hint="eastAsia" w:ascii="宋体" w:hAnsi="宋体" w:eastAsia="宋体" w:cs="宋体"/>
          <w:color w:val="auto"/>
          <w:kern w:val="1"/>
          <w:sz w:val="21"/>
          <w:szCs w:val="21"/>
          <w:highlight w:val="none"/>
        </w:rPr>
        <w:t>（以下采购人称甲方）</w:t>
      </w:r>
    </w:p>
    <w:p>
      <w:pPr>
        <w:keepNext w:val="0"/>
        <w:keepLines w:val="0"/>
        <w:pageBreakBefore w:val="0"/>
        <w:widowControl w:val="0"/>
        <w:tabs>
          <w:tab w:val="left" w:pos="6300"/>
          <w:tab w:val="left" w:pos="6480"/>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中标人：</w:t>
      </w:r>
      <w:r>
        <w:rPr>
          <w:rFonts w:hint="eastAsia" w:ascii="宋体" w:hAnsi="宋体" w:eastAsia="宋体" w:cs="宋体"/>
          <w:color w:val="auto"/>
          <w:sz w:val="21"/>
          <w:szCs w:val="21"/>
          <w:highlight w:val="none"/>
          <w:u w:val="single"/>
        </w:rPr>
        <w:t>                </w:t>
      </w:r>
      <w:r>
        <w:rPr>
          <w:rFonts w:hint="eastAsia" w:ascii="宋体" w:hAnsi="宋体" w:eastAsia="宋体" w:cs="宋体"/>
          <w:color w:val="auto"/>
          <w:kern w:val="1"/>
          <w:sz w:val="21"/>
          <w:szCs w:val="21"/>
          <w:highlight w:val="none"/>
        </w:rPr>
        <w:t>（以下中标人称乙方）</w:t>
      </w:r>
    </w:p>
    <w:p>
      <w:pPr>
        <w:pStyle w:val="42"/>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根据</w:t>
      </w:r>
      <w:r>
        <w:rPr>
          <w:rFonts w:hint="eastAsia" w:ascii="宋体" w:hAnsi="宋体" w:eastAsia="宋体" w:cs="宋体"/>
          <w:bCs/>
          <w:color w:val="auto"/>
          <w:sz w:val="21"/>
          <w:szCs w:val="21"/>
        </w:rPr>
        <w:t>《中华人民共和国政府采购法》</w:t>
      </w:r>
      <w:r>
        <w:rPr>
          <w:rFonts w:hint="eastAsia" w:ascii="宋体" w:hAnsi="宋体" w:eastAsia="宋体" w:cs="宋体"/>
          <w:bCs/>
          <w:color w:val="auto"/>
          <w:sz w:val="21"/>
          <w:szCs w:val="21"/>
          <w:lang w:eastAsia="zh-CN"/>
        </w:rPr>
        <w:t>、</w:t>
      </w:r>
      <w:r>
        <w:rPr>
          <w:rFonts w:hint="eastAsia" w:ascii="宋体" w:hAnsi="宋体" w:eastAsia="宋体" w:cs="宋体"/>
          <w:sz w:val="21"/>
          <w:szCs w:val="21"/>
        </w:rPr>
        <w:t>《中华人民共和国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w:t>
      </w:r>
      <w:r>
        <w:rPr>
          <w:rFonts w:hint="eastAsia" w:ascii="宋体" w:hAnsi="宋体" w:eastAsia="宋体" w:cs="宋体"/>
          <w:sz w:val="21"/>
          <w:szCs w:val="21"/>
          <w:lang w:val="en-US" w:eastAsia="zh-CN"/>
        </w:rPr>
        <w:t>等</w:t>
      </w:r>
      <w:r>
        <w:rPr>
          <w:rFonts w:hint="eastAsia" w:ascii="宋体" w:hAnsi="宋体" w:eastAsia="宋体" w:cs="宋体"/>
          <w:snapToGrid w:val="0"/>
          <w:kern w:val="0"/>
          <w:sz w:val="21"/>
          <w:szCs w:val="21"/>
          <w:shd w:val="clear" w:color="auto" w:fill="FFFFFF"/>
        </w:rPr>
        <w:t>有关规定</w:t>
      </w:r>
      <w:r>
        <w:rPr>
          <w:rFonts w:hint="eastAsia" w:ascii="宋体" w:hAnsi="宋体" w:eastAsia="宋体" w:cs="宋体"/>
          <w:bCs/>
          <w:color w:val="auto"/>
          <w:sz w:val="21"/>
          <w:szCs w:val="21"/>
        </w:rPr>
        <w:t>，在平等、自愿、协商一致的基础上，</w:t>
      </w:r>
      <w:r>
        <w:rPr>
          <w:rFonts w:hint="eastAsia" w:ascii="宋体" w:hAnsi="宋体" w:eastAsia="宋体" w:cs="宋体"/>
          <w:color w:val="auto"/>
          <w:sz w:val="21"/>
          <w:szCs w:val="21"/>
          <w:lang w:eastAsia="zh-CN"/>
        </w:rPr>
        <w:t>现甲乙双方协商同意签订本合同。</w:t>
      </w:r>
    </w:p>
    <w:p>
      <w:pPr>
        <w:pStyle w:val="42"/>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rPr>
        <w:t>第一条  投保险种</w:t>
      </w:r>
    </w:p>
    <w:p>
      <w:pPr>
        <w:pStyle w:val="42"/>
        <w:keepNext w:val="0"/>
        <w:keepLines w:val="0"/>
        <w:pageBreakBefore w:val="0"/>
        <w:widowControl w:val="0"/>
        <w:kinsoku/>
        <w:wordWrap/>
        <w:overflowPunct/>
        <w:topLinePunct w:val="0"/>
        <w:autoSpaceDE/>
        <w:autoSpaceDN/>
        <w:bidi w:val="0"/>
        <w:adjustRightInd w:val="0"/>
        <w:snapToGrid w:val="0"/>
        <w:spacing w:line="500" w:lineRule="exact"/>
        <w:ind w:left="239" w:leftChars="114"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rPr>
        <w:t>本协议投保险种为医疗责任保险。适用条款：医疗责任保险条款（2011版）</w:t>
      </w:r>
      <w:r>
        <w:rPr>
          <w:rFonts w:hint="eastAsia" w:ascii="宋体" w:hAnsi="宋体" w:eastAsia="宋体" w:cs="宋体"/>
          <w:sz w:val="21"/>
          <w:szCs w:val="21"/>
          <w:lang w:eastAsia="zh-CN"/>
        </w:rPr>
        <w:t>。</w:t>
      </w:r>
    </w:p>
    <w:p>
      <w:pPr>
        <w:pStyle w:val="42"/>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rPr>
        <w:t>第二条</w:t>
      </w:r>
      <w:r>
        <w:rPr>
          <w:rFonts w:hint="eastAsia" w:ascii="宋体" w:hAnsi="宋体" w:eastAsia="宋体" w:cs="宋体"/>
          <w:b/>
          <w:bCs/>
          <w:sz w:val="21"/>
          <w:szCs w:val="21"/>
        </w:rPr>
        <w:tab/>
      </w:r>
      <w:r>
        <w:rPr>
          <w:rFonts w:hint="eastAsia" w:ascii="宋体" w:hAnsi="宋体" w:eastAsia="宋体" w:cs="宋体"/>
          <w:b/>
          <w:bCs/>
          <w:sz w:val="21"/>
          <w:szCs w:val="21"/>
        </w:rPr>
        <w:t>保险责任</w:t>
      </w:r>
    </w:p>
    <w:p>
      <w:pPr>
        <w:pStyle w:val="42"/>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医疗责任保险条款（2011版）。</w:t>
      </w:r>
    </w:p>
    <w:p>
      <w:pPr>
        <w:pStyle w:val="4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lang w:val="en-US" w:eastAsia="zh-CN"/>
        </w:rPr>
        <w:t xml:space="preserve">第三条  </w:t>
      </w:r>
      <w:r>
        <w:rPr>
          <w:rFonts w:hint="eastAsia" w:ascii="宋体" w:hAnsi="宋体" w:eastAsia="宋体" w:cs="宋体"/>
          <w:b/>
          <w:bCs/>
          <w:sz w:val="21"/>
          <w:szCs w:val="21"/>
        </w:rPr>
        <w:t>被保险人、 保险金额</w:t>
      </w:r>
    </w:p>
    <w:p>
      <w:pPr>
        <w:pStyle w:val="42"/>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42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被保险人   </w:t>
      </w:r>
    </w:p>
    <w:p>
      <w:pPr>
        <w:pStyle w:val="42"/>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本保险项目被保险人为开化县人民医院、开化县第二人民医院、开化县中医院、开化县妇幼保健医院4家县级医疗机构，开化县程氏中医骨伤科医院1家民营医院，开化县芹阳中心卫生院、开化县村头镇中心卫生院、开化县林山乡卫生院、开化县中村卫生院、开化县音坑乡卫生院、开化县大溪边乡卫生院、开化县杨林镇卫生院、开化县桐村镇卫生院、开化县华埠中心卫生院、开化县马金镇中心卫生院、开化县池淮镇中心卫生院、开化县齐溪镇卫生院、开化县何田乡卫生院、开化县苏庄镇卫生院、开化县长虹乡卫生院15家乡镇卫生院，开化县血站、开化县临床检验检测中心2家县级其他卫生机构，合计22家医疗机构。合计投保床位数1237床，医务人员数1655人，手术次数约2665次。详情见下表：</w:t>
      </w:r>
    </w:p>
    <w:tbl>
      <w:tblPr>
        <w:tblStyle w:val="49"/>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6"/>
        <w:gridCol w:w="2403"/>
        <w:gridCol w:w="2801"/>
        <w:gridCol w:w="1120"/>
        <w:gridCol w:w="1204"/>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5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4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医疗机构名称</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医疗机构类别</w:t>
            </w:r>
          </w:p>
        </w:tc>
        <w:tc>
          <w:tcPr>
            <w:tcW w:w="33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投保数据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5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28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类别</w:t>
            </w:r>
          </w:p>
        </w:tc>
        <w:tc>
          <w:tcPr>
            <w:tcW w:w="11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核定床位</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医务人员数</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手术次数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5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24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28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11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开化县二院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非一级医疗机构（有床位）</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开化县妇保院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二级乙等医疗机构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开化县人民医院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二级甲级医疗机构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开化县中医院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二级甲级医疗机构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开化县程氏骨伤医院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非一级民营医疗机构（有床位）</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芹阳办事处卫生院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桐村卫生院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杨林卫生院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池淮卫生院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苏庄卫生院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11</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音坑卫生院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马金卫生院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13</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中村卫生院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何田卫生院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15</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齐溪卫生院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16</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村头卫生院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17</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大溪边卫生院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18</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林山卫生院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19</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长虹卫生院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20</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华埠中心卫生院</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21</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开化县血站</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22</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开化县临床检测检验中心</w:t>
            </w:r>
          </w:p>
        </w:tc>
        <w:tc>
          <w:tcPr>
            <w:tcW w:w="2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r>
    </w:tbl>
    <w:p>
      <w:pPr>
        <w:pStyle w:val="42"/>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（二）保险金额</w:t>
      </w:r>
    </w:p>
    <w:p>
      <w:pPr>
        <w:pStyle w:val="42"/>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每次事故医疗责任限额</w:t>
      </w:r>
      <w:r>
        <w:rPr>
          <w:rFonts w:hint="eastAsia" w:ascii="宋体" w:hAnsi="宋体" w:eastAsia="宋体" w:cs="宋体"/>
          <w:sz w:val="21"/>
          <w:szCs w:val="21"/>
          <w:highlight w:val="none"/>
        </w:rPr>
        <w:t>1，000，000.00</w:t>
      </w:r>
      <w:r>
        <w:rPr>
          <w:rFonts w:hint="eastAsia" w:ascii="宋体" w:hAnsi="宋体" w:eastAsia="宋体" w:cs="宋体"/>
          <w:sz w:val="21"/>
          <w:szCs w:val="21"/>
        </w:rPr>
        <w:t>元；每次事故每人法律费用责任限额80，000.00元；每次事故每人精神损害限额120，000.00元；每家医疗机构累计医疗责任限额5,000,000.00元；每家医疗机构累计法律责任限额300,000.00元；每家医疗机构累计精神损害限额360,000.00元。</w:t>
      </w:r>
    </w:p>
    <w:p>
      <w:pPr>
        <w:pStyle w:val="42"/>
        <w:pageBreakBefore w:val="0"/>
        <w:numPr>
          <w:ilvl w:val="0"/>
          <w:numId w:val="0"/>
        </w:numPr>
        <w:kinsoku/>
        <w:wordWrap/>
        <w:overflowPunct/>
        <w:topLinePunct w:val="0"/>
        <w:autoSpaceDE/>
        <w:autoSpaceDN/>
        <w:bidi w:val="0"/>
        <w:adjustRightInd w:val="0"/>
        <w:snapToGrid w:val="0"/>
        <w:spacing w:line="500" w:lineRule="exact"/>
        <w:ind w:firstLine="422" w:firstLineChars="200"/>
        <w:textAlignment w:val="auto"/>
        <w:rPr>
          <w:rFonts w:ascii="宋体" w:hAnsi="宋体" w:eastAsia="宋体" w:cs="宋体"/>
          <w:b/>
          <w:bCs/>
          <w:sz w:val="21"/>
          <w:szCs w:val="21"/>
        </w:rPr>
      </w:pPr>
      <w:r>
        <w:rPr>
          <w:rFonts w:hint="eastAsia" w:ascii="宋体" w:hAnsi="宋体" w:eastAsia="宋体" w:cs="宋体"/>
          <w:b/>
          <w:bCs/>
          <w:sz w:val="21"/>
          <w:szCs w:val="21"/>
        </w:rPr>
        <w:t xml:space="preserve">第四条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保险费、保险期间和运作模式</w:t>
      </w:r>
    </w:p>
    <w:p>
      <w:pPr>
        <w:pStyle w:val="42"/>
        <w:pageBreakBefore w:val="0"/>
        <w:kinsoku/>
        <w:wordWrap/>
        <w:overflowPunct/>
        <w:topLinePunct w:val="0"/>
        <w:autoSpaceDE/>
        <w:autoSpaceDN/>
        <w:bidi w:val="0"/>
        <w:adjustRightInd w:val="0"/>
        <w:snapToGrid w:val="0"/>
        <w:spacing w:line="5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（一）项目保费</w:t>
      </w:r>
    </w:p>
    <w:p>
      <w:pPr>
        <w:pStyle w:val="42"/>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期限为三年，保险合同每年签订一次。本期保险从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日零时起至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日二十四时止。本项目年度保险费为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kinsoku/>
        <w:wordWrap/>
        <w:overflowPunct/>
        <w:topLinePunct w:val="0"/>
        <w:autoSpaceDE/>
        <w:autoSpaceDN/>
        <w:bidi w:val="0"/>
        <w:adjustRightInd w:val="0"/>
        <w:snapToGrid w:val="0"/>
        <w:spacing w:line="500" w:lineRule="exact"/>
        <w:ind w:firstLine="210" w:firstLineChars="100"/>
        <w:textAlignment w:val="auto"/>
        <w:rPr>
          <w:rFonts w:ascii="宋体" w:hAnsi="宋体" w:cs="宋体"/>
        </w:rPr>
      </w:pPr>
      <w:r>
        <w:rPr>
          <w:rFonts w:hint="eastAsia" w:ascii="宋体" w:hAnsi="宋体" w:cs="宋体"/>
        </w:rPr>
        <w:t>（二）运作模式</w:t>
      </w:r>
    </w:p>
    <w:p>
      <w:pPr>
        <w:pageBreakBefore w:val="0"/>
        <w:numPr>
          <w:ilvl w:val="0"/>
          <w:numId w:val="7"/>
        </w:numPr>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当保险年度内乙方支付的赔款金额低于或等于甲方年度实收保险费的45%时，下一年度保险费甲方享受标准保费30%优惠,即：保险费=中标价×70%。若是赔付率持续介于此区间，甲方下一年度保费下浮30%，即：保险费=中标价×70%×70%。</w:t>
      </w:r>
    </w:p>
    <w:p>
      <w:pPr>
        <w:pageBreakBefore w:val="0"/>
        <w:numPr>
          <w:ilvl w:val="0"/>
          <w:numId w:val="7"/>
        </w:numPr>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当保险年度内乙方支付的赔款金额介于甲方年度实收保险费的45%---65%时（含65%），下一年度保险费甲方享受标准保费20%优惠。即：保险费=中标价×80%。若是赔付率持续介于此区间，甲方下一年度保费下浮20%，即：保险费=中标价×80%×80%。</w:t>
      </w:r>
    </w:p>
    <w:p>
      <w:pPr>
        <w:pageBreakBefore w:val="0"/>
        <w:numPr>
          <w:ilvl w:val="0"/>
          <w:numId w:val="7"/>
        </w:numPr>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当保险年度内乙方支付的赔款金额介于甲方年度实收保险费的65%---85%时（含85%），下一年度保险费甲方享受标准保费10%优惠，即：保险费=中标价×90%。若是赔付率持续介于此区间，甲方下一年度保费下浮10%。即：保险费=中标价×90%×90%。</w:t>
      </w:r>
    </w:p>
    <w:p>
      <w:pPr>
        <w:pageBreakBefore w:val="0"/>
        <w:numPr>
          <w:ilvl w:val="0"/>
          <w:numId w:val="7"/>
        </w:numPr>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当保险年度内乙方支付的赔款金额介于乙方年度实收保险费的85%－120%之间时（含120%），次年续保保费为年度实交保费。</w:t>
      </w:r>
    </w:p>
    <w:p>
      <w:pPr>
        <w:pageBreakBefore w:val="0"/>
        <w:numPr>
          <w:ilvl w:val="0"/>
          <w:numId w:val="7"/>
        </w:numPr>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当保险年度内乙方支付的赔款金额介于乙方年度实收保险费的120%—150%之间（含150%），下一年度保险费为标准保费上浮10%，即：保险费=中标价×110%。若是赔付率持续介于150%—200%之间，甲方下一年度保费为标准保费上浮20%，保险费=中标价×120%</w:t>
      </w:r>
    </w:p>
    <w:p>
      <w:pPr>
        <w:pageBreakBefore w:val="0"/>
        <w:numPr>
          <w:ilvl w:val="0"/>
          <w:numId w:val="7"/>
        </w:numPr>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当保险年度内乙方支付的赔款金额介于乙方年度实收保险费的150%—200%之间，下一年度保险费为标准保费上浮20%，保险费=中标价×120%。若是赔付率持续介于150%—200%之间，甲方下一年度保费为标准保费上浮30%。保险费=中标价×130%</w:t>
      </w:r>
    </w:p>
    <w:p>
      <w:pPr>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（7）当保险年度内乙方支付的赔款金额超出乙方年度实收保险费的200%（含）时。超出部分赔款由甲方承担。</w:t>
      </w:r>
    </w:p>
    <w:p>
      <w:pPr>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（8）</w:t>
      </w:r>
      <w:r>
        <w:rPr>
          <w:rFonts w:hint="eastAsia" w:ascii="宋体" w:hAnsi="宋体" w:cs="宋体"/>
          <w:u w:val="single"/>
        </w:rPr>
        <w:t>20</w:t>
      </w:r>
      <w:r>
        <w:rPr>
          <w:rFonts w:hint="eastAsia" w:ascii="宋体" w:hAnsi="宋体" w:cs="宋体"/>
          <w:u w:val="single"/>
          <w:lang w:val="en-US" w:eastAsia="zh-CN"/>
        </w:rPr>
        <w:t>22</w:t>
      </w:r>
      <w:r>
        <w:rPr>
          <w:rFonts w:hint="eastAsia" w:ascii="宋体" w:hAnsi="宋体" w:cs="宋体"/>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rPr>
        <w:t>以后至保单生效期之前发生且在保险有效期内首次向乙方提出索赔案件属于本保单的责任范围，其它保单生效期之前发生的案件不属于本保单的责任范围。</w:t>
      </w:r>
    </w:p>
    <w:p>
      <w:pPr>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9）赔款包含保险年度内已支付赔款、已签定赔付协议书待支付赔款以及保单责任范围内其它已报告未支付赔款的总和。如果甲乙双方在下一保险年度继续开展合作，双方同意仅将保险年度内已支付赔款、已签定赔付协议书待支付赔款计入运作方案结算，其它已报告未支付赔款计入下一年度结算；如果甲乙双方下一保险年度不继续开展合作，则保险年度内已支付赔款和保单责任范围内所有已报告未支付赔款全部计入运作方案结算。</w:t>
      </w:r>
    </w:p>
    <w:p>
      <w:pPr>
        <w:pageBreakBefore w:val="0"/>
        <w:kinsoku/>
        <w:wordWrap/>
        <w:overflowPunct/>
        <w:topLinePunct w:val="0"/>
        <w:autoSpaceDE/>
        <w:autoSpaceDN/>
        <w:bidi w:val="0"/>
        <w:adjustRightInd w:val="0"/>
        <w:snapToGrid w:val="0"/>
        <w:spacing w:line="500" w:lineRule="exact"/>
        <w:ind w:firstLine="478" w:firstLineChars="228"/>
        <w:textAlignment w:val="auto"/>
        <w:rPr>
          <w:rFonts w:hint="eastAsia" w:ascii="宋体" w:hAnsi="宋体" w:cs="宋体"/>
        </w:rPr>
      </w:pPr>
      <w:r>
        <w:rPr>
          <w:rFonts w:hint="eastAsia" w:ascii="宋体" w:hAnsi="宋体" w:cs="宋体"/>
        </w:rPr>
        <w:t>（三）在甲方向乙方出据委托授权书的前提下。</w:t>
      </w:r>
    </w:p>
    <w:p>
      <w:pPr>
        <w:pageBreakBefore w:val="0"/>
        <w:kinsoku/>
        <w:wordWrap/>
        <w:overflowPunct/>
        <w:topLinePunct w:val="0"/>
        <w:autoSpaceDE/>
        <w:autoSpaceDN/>
        <w:bidi w:val="0"/>
        <w:adjustRightInd w:val="0"/>
        <w:snapToGrid w:val="0"/>
        <w:spacing w:line="500" w:lineRule="exact"/>
        <w:ind w:firstLine="478" w:firstLineChars="228"/>
        <w:textAlignment w:val="auto"/>
        <w:rPr>
          <w:rFonts w:hint="eastAsia" w:ascii="宋体" w:hAnsi="宋体" w:cs="宋体"/>
        </w:rPr>
      </w:pPr>
      <w:r>
        <w:rPr>
          <w:rFonts w:hint="eastAsia" w:ascii="宋体" w:hAnsi="宋体" w:cs="宋体"/>
        </w:rPr>
        <w:t>（1）乙方可直接将赔款支付给甲方指定的第三方；</w:t>
      </w:r>
    </w:p>
    <w:p>
      <w:pPr>
        <w:pageBreakBefore w:val="0"/>
        <w:kinsoku/>
        <w:wordWrap/>
        <w:overflowPunct/>
        <w:topLinePunct w:val="0"/>
        <w:autoSpaceDE/>
        <w:autoSpaceDN/>
        <w:bidi w:val="0"/>
        <w:adjustRightInd w:val="0"/>
        <w:snapToGrid w:val="0"/>
        <w:spacing w:line="500" w:lineRule="exact"/>
        <w:ind w:firstLine="478" w:firstLineChars="228"/>
        <w:textAlignment w:val="auto"/>
        <w:rPr>
          <w:rFonts w:ascii="宋体" w:hAnsi="宋体" w:cs="宋体"/>
        </w:rPr>
      </w:pPr>
      <w:r>
        <w:rPr>
          <w:rFonts w:hint="eastAsia" w:ascii="宋体" w:hAnsi="宋体" w:cs="宋体"/>
        </w:rPr>
        <w:t>（2）乙方可代表甲方直接与患方协商纠纷处理事宜，或者代表甲方参与医疗纠纷人民调解委员会调解，甲方有义务协助、配合乙方处理相关事宜，并提供与案件相关的材料，对赔偿事宜，甲乙双方必须做好沟通工作。</w:t>
      </w:r>
    </w:p>
    <w:p>
      <w:pPr>
        <w:pageBreakBefore w:val="0"/>
        <w:kinsoku/>
        <w:wordWrap/>
        <w:overflowPunct/>
        <w:topLinePunct w:val="0"/>
        <w:autoSpaceDE/>
        <w:autoSpaceDN/>
        <w:bidi w:val="0"/>
        <w:adjustRightInd w:val="0"/>
        <w:snapToGrid w:val="0"/>
        <w:spacing w:line="500" w:lineRule="exact"/>
        <w:ind w:firstLine="481" w:firstLineChars="228"/>
        <w:textAlignment w:val="auto"/>
        <w:rPr>
          <w:rFonts w:ascii="宋体" w:hAnsi="宋体" w:cs="宋体"/>
          <w:b/>
          <w:bCs/>
        </w:rPr>
      </w:pPr>
      <w:r>
        <w:rPr>
          <w:rFonts w:hint="eastAsia" w:ascii="宋体" w:hAnsi="宋体" w:cs="宋体"/>
          <w:b/>
          <w:bCs/>
        </w:rPr>
        <w:t>第五条</w:t>
      </w:r>
      <w:r>
        <w:rPr>
          <w:rFonts w:hint="eastAsia" w:ascii="宋体" w:hAnsi="宋体" w:cs="宋体"/>
          <w:b/>
          <w:bCs/>
          <w:lang w:val="en-US" w:eastAsia="zh-CN"/>
        </w:rPr>
        <w:t xml:space="preserve">  </w:t>
      </w:r>
      <w:r>
        <w:rPr>
          <w:rFonts w:hint="eastAsia" w:ascii="宋体" w:hAnsi="宋体" w:cs="宋体"/>
          <w:b/>
          <w:bCs/>
        </w:rPr>
        <w:t>理赔事宜</w:t>
      </w:r>
    </w:p>
    <w:p>
      <w:pPr>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（一）为提高医疗责任险的理赔效率和服务质量。乙方须成立医疗责任险理赔处理中心（以下简称“理赔中心”）并设立医疗纠纷调解专用场所，专门负责医疗纠纷处理和医疗责任险的理赔服务工作。</w:t>
      </w:r>
      <w:r>
        <w:rPr>
          <w:rFonts w:hint="eastAsia" w:ascii="宋体" w:hAnsi="宋体" w:cs="宋体"/>
          <w:u w:val="single"/>
        </w:rPr>
        <w:t>为</w:t>
      </w:r>
      <w:r>
        <w:rPr>
          <w:rFonts w:hint="eastAsia" w:ascii="宋体" w:hAnsi="宋体" w:cs="宋体"/>
        </w:rPr>
        <w:t>方便案件调解和处理，乙方应尽快更换理赔中心工作场所，新办公场所应当设在医疗纠纷调解委员会附近，并在周围主要路口设置路标指示。理赔中心应当设置必要的监控和安全设施。理赔中心应当配备具有临床医学、药学或卫生法学等专业背景的人员以及保险、调解等专职人员，专职人员原则上不少于3人。应当聘任相关医学和法律专家组建专家库，为医疗纠纷的调查、评估和协商提供技术咨询服务。理赔中心可应甲方要求指派1名专职人员常驻甲方，协助甲方处理医患矛盾及负责医疗责任险理赔服务工作。</w:t>
      </w:r>
    </w:p>
    <w:p>
      <w:pPr>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乙方应当制定理赔中心人员考核办法，将考核结果与其全年奖金挂钩（占比不得少于40%）。考核项目至少应包括到达现场及时率、案件调解成功率以及独立处理案件（理赔中心在案件处理中处于主导角色）占比等指标，乙方根据甲方的评分结果实施考核。</w:t>
      </w:r>
    </w:p>
    <w:p>
      <w:pPr>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理赔中心的职责是在规定时间内到达现场协调处理医患矛盾；承担医疗纠纷的调查、评估、协商和赔付等具体事务；负责与医疗纠纷人民调解委员会对接，参与医疗纠纷调解；定期向甲方及其主管机关通报医疗责任险阶段性赔付情况，理赔中心应根据甲方要求于每月5日前向甲方财务部门上报上月医疗责任险赔付数据。</w:t>
      </w:r>
    </w:p>
    <w:p>
      <w:pPr>
        <w:pStyle w:val="42"/>
        <w:pageBreakBefore w:val="0"/>
        <w:kinsoku/>
        <w:wordWrap/>
        <w:overflowPunct/>
        <w:topLinePunct w:val="0"/>
        <w:autoSpaceDE/>
        <w:autoSpaceDN/>
        <w:bidi w:val="0"/>
        <w:adjustRightInd w:val="0"/>
        <w:snapToGrid w:val="0"/>
        <w:spacing w:line="500" w:lineRule="exact"/>
        <w:ind w:left="10" w:firstLine="390" w:firstLineChars="186"/>
        <w:textAlignment w:val="auto"/>
        <w:rPr>
          <w:rFonts w:ascii="宋体" w:hAnsi="宋体" w:eastAsia="宋体" w:cs="宋体"/>
          <w:sz w:val="21"/>
          <w:szCs w:val="21"/>
        </w:rPr>
      </w:pPr>
      <w:r>
        <w:rPr>
          <w:rFonts w:hint="eastAsia" w:ascii="宋体" w:hAnsi="宋体" w:eastAsia="宋体" w:cs="宋体"/>
          <w:sz w:val="21"/>
          <w:szCs w:val="21"/>
        </w:rPr>
        <w:t>（二）理赔中心应积极主动参与医疗纠纷的协商调解和处置工作。</w:t>
      </w:r>
    </w:p>
    <w:p>
      <w:pPr>
        <w:pStyle w:val="42"/>
        <w:pageBreakBefore w:val="0"/>
        <w:kinsoku/>
        <w:wordWrap/>
        <w:overflowPunct/>
        <w:topLinePunct w:val="0"/>
        <w:autoSpaceDE/>
        <w:autoSpaceDN/>
        <w:bidi w:val="0"/>
        <w:adjustRightInd w:val="0"/>
        <w:snapToGrid w:val="0"/>
        <w:spacing w:line="500" w:lineRule="exact"/>
        <w:ind w:left="10" w:firstLine="390" w:firstLineChars="186"/>
        <w:textAlignment w:val="auto"/>
        <w:rPr>
          <w:rFonts w:ascii="宋体" w:hAnsi="宋体" w:eastAsia="宋体" w:cs="宋体"/>
          <w:sz w:val="21"/>
          <w:szCs w:val="21"/>
        </w:rPr>
      </w:pPr>
      <w:r>
        <w:rPr>
          <w:rFonts w:hint="eastAsia" w:ascii="宋体" w:hAnsi="宋体" w:eastAsia="宋体" w:cs="宋体"/>
          <w:sz w:val="21"/>
          <w:szCs w:val="21"/>
        </w:rPr>
        <w:t>其中索赔金额在1万元（不含1万元）以下的案件，原则上由理赔中心与患方协商处理，也可由医患双方自行协商，乙方以协商协议书为依据进行赔付。</w:t>
      </w:r>
    </w:p>
    <w:p>
      <w:pPr>
        <w:pStyle w:val="42"/>
        <w:pageBreakBefore w:val="0"/>
        <w:kinsoku/>
        <w:wordWrap/>
        <w:overflowPunct/>
        <w:topLinePunct w:val="0"/>
        <w:autoSpaceDE/>
        <w:autoSpaceDN/>
        <w:bidi w:val="0"/>
        <w:adjustRightInd w:val="0"/>
        <w:snapToGrid w:val="0"/>
        <w:spacing w:line="500" w:lineRule="exact"/>
        <w:ind w:left="10" w:firstLine="390" w:firstLineChars="186"/>
        <w:textAlignment w:val="auto"/>
        <w:rPr>
          <w:rFonts w:ascii="宋体" w:hAnsi="宋体" w:eastAsia="宋体" w:cs="宋体"/>
          <w:sz w:val="21"/>
          <w:szCs w:val="21"/>
        </w:rPr>
      </w:pPr>
      <w:r>
        <w:rPr>
          <w:rFonts w:hint="eastAsia" w:ascii="宋体" w:hAnsi="宋体" w:eastAsia="宋体" w:cs="宋体"/>
          <w:sz w:val="21"/>
          <w:szCs w:val="21"/>
        </w:rPr>
        <w:t>索赔金额在1万元至10万元（不含10万元）的案件，由理赔中心与患方协商处理，也可向医疗纠纷人民调解委员会申请调解处理，对理赔协商或医疗纠纷人民调解委员会调解不成功的可通过其他合法途径解决。双方意见一致时，可直接签署赔偿协议。疑难复杂案件可委托专家或专业机构鉴定后再行协商处理。乙方以医疗纠纷人民调解委员会出具的调解书为依据进行赔付。</w:t>
      </w:r>
    </w:p>
    <w:p>
      <w:pPr>
        <w:pStyle w:val="42"/>
        <w:pageBreakBefore w:val="0"/>
        <w:kinsoku/>
        <w:wordWrap/>
        <w:overflowPunct/>
        <w:topLinePunct w:val="0"/>
        <w:autoSpaceDE/>
        <w:autoSpaceDN/>
        <w:bidi w:val="0"/>
        <w:adjustRightInd w:val="0"/>
        <w:snapToGrid w:val="0"/>
        <w:spacing w:line="500" w:lineRule="exact"/>
        <w:ind w:left="10" w:firstLine="390" w:firstLineChars="186"/>
        <w:textAlignment w:val="auto"/>
        <w:rPr>
          <w:rFonts w:ascii="宋体" w:hAnsi="宋体" w:eastAsia="宋体" w:cs="宋体"/>
          <w:sz w:val="21"/>
          <w:szCs w:val="21"/>
        </w:rPr>
      </w:pPr>
      <w:r>
        <w:rPr>
          <w:rFonts w:hint="eastAsia" w:ascii="宋体" w:hAnsi="宋体" w:eastAsia="宋体" w:cs="宋体"/>
          <w:sz w:val="21"/>
          <w:szCs w:val="21"/>
        </w:rPr>
        <w:t>索赔金额10万元以上的医疗纠纷，原则上应当先行共同委托医疗事故（损害）技术鉴定，责任明确后再通过调解或法院起诉等合法途径确定赔偿金额，由乙方进行赔付。特殊案件虽索赔金额超过10万元但未通过医疗鉴定的，乙方应配合甲方做好赔付工作，但全年此类案件不超过5件。</w:t>
      </w:r>
    </w:p>
    <w:p>
      <w:pPr>
        <w:pStyle w:val="42"/>
        <w:pageBreakBefore w:val="0"/>
        <w:kinsoku/>
        <w:wordWrap/>
        <w:overflowPunct/>
        <w:topLinePunct w:val="0"/>
        <w:autoSpaceDE/>
        <w:autoSpaceDN/>
        <w:bidi w:val="0"/>
        <w:adjustRightInd w:val="0"/>
        <w:snapToGrid w:val="0"/>
        <w:spacing w:line="500" w:lineRule="exact"/>
        <w:ind w:left="10" w:firstLine="390" w:firstLineChars="186"/>
        <w:textAlignment w:val="auto"/>
        <w:rPr>
          <w:rFonts w:ascii="宋体" w:hAnsi="宋体" w:eastAsia="宋体" w:cs="宋体"/>
          <w:sz w:val="21"/>
          <w:szCs w:val="21"/>
        </w:rPr>
      </w:pPr>
      <w:r>
        <w:rPr>
          <w:rFonts w:hint="eastAsia" w:ascii="宋体" w:hAnsi="宋体" w:eastAsia="宋体" w:cs="宋体"/>
          <w:sz w:val="21"/>
          <w:szCs w:val="21"/>
        </w:rPr>
        <w:t>（三）理赔流程</w:t>
      </w:r>
    </w:p>
    <w:p>
      <w:pPr>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1）受理。理赔中心接到甲方报案后，应在半小时内到达现场。了解相关情况后，理赔中心应向医患双方说明各自的权利和义务以及处理的程序和方法，同时约定协商时间及地点，双方同意后，理赔中心正式受理案件。</w:t>
      </w:r>
    </w:p>
    <w:p>
      <w:pPr>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（2）调查。理赔中心应在案件受理后的</w:t>
      </w:r>
      <w:r>
        <w:rPr>
          <w:rFonts w:hint="eastAsia" w:ascii="宋体" w:hAnsi="宋体" w:cs="宋体"/>
          <w:lang w:val="en-US" w:eastAsia="zh-CN"/>
        </w:rPr>
        <w:t>3</w:t>
      </w:r>
      <w:r>
        <w:rPr>
          <w:rFonts w:hint="eastAsia" w:ascii="宋体" w:hAnsi="宋体" w:cs="宋体"/>
        </w:rPr>
        <w:t>个工作日内组织相关人员对医疗过程进行调查，如遇疑难问题或甲乙双方对调查结果持有不同意见，理赔中心可以在医疗纠纷处置专家库中挑选专家，组织调查和讨论分析（专家鉴定相关费用由保险公司支付，支付标准由双方自行协商），最终以专家组调查和分析结果作为最终理赔依据。调查结束后（原则上在自正式受理并收齐有关材料后5个工作日内）理赔中心应出具书面调查报告，告知医患双方初步调查结果和赔偿意见，并做好相关解释工作。</w:t>
      </w:r>
    </w:p>
    <w:p>
      <w:pPr>
        <w:pageBreakBefore w:val="0"/>
        <w:kinsoku/>
        <w:wordWrap/>
        <w:overflowPunct/>
        <w:topLinePunct w:val="0"/>
        <w:autoSpaceDE/>
        <w:autoSpaceDN/>
        <w:bidi w:val="0"/>
        <w:adjustRightInd w:val="0"/>
        <w:snapToGrid w:val="0"/>
        <w:spacing w:line="500" w:lineRule="exact"/>
        <w:ind w:firstLine="315" w:firstLineChars="150"/>
        <w:textAlignment w:val="auto"/>
        <w:rPr>
          <w:rFonts w:ascii="宋体" w:hAnsi="宋体" w:cs="宋体"/>
        </w:rPr>
      </w:pPr>
      <w:r>
        <w:rPr>
          <w:rFonts w:hint="eastAsia" w:ascii="宋体" w:hAnsi="宋体" w:cs="宋体"/>
        </w:rPr>
        <w:t>（3）协商。理赔中心根据调查结果制定案件赔偿方案，详细列出具体赔偿项目和赔偿标准，并约定时间及地点进行解答。医患双方认可调查结果和赔偿意见的，应当签署赔偿协议书；</w:t>
      </w:r>
    </w:p>
    <w:p>
      <w:pPr>
        <w:pageBreakBefore w:val="0"/>
        <w:kinsoku/>
        <w:wordWrap/>
        <w:overflowPunct/>
        <w:topLinePunct w:val="0"/>
        <w:autoSpaceDE/>
        <w:autoSpaceDN/>
        <w:bidi w:val="0"/>
        <w:adjustRightInd w:val="0"/>
        <w:snapToGrid w:val="0"/>
        <w:spacing w:line="500" w:lineRule="exact"/>
        <w:textAlignment w:val="auto"/>
        <w:rPr>
          <w:rFonts w:ascii="宋体" w:hAnsi="宋体" w:cs="宋体"/>
        </w:rPr>
      </w:pPr>
      <w:r>
        <w:rPr>
          <w:rFonts w:hint="eastAsia" w:ascii="宋体" w:hAnsi="宋体" w:cs="宋体"/>
        </w:rPr>
        <w:t>　　对通过反复协商仍不能达成一致意见的（一般纠纷一个月后、疑难纠纷三个月后），可建议医患双方通过其他合法途径解决。</w:t>
      </w:r>
    </w:p>
    <w:p>
      <w:pPr>
        <w:pageBreakBefore w:val="0"/>
        <w:kinsoku/>
        <w:wordWrap/>
        <w:overflowPunct/>
        <w:topLinePunct w:val="0"/>
        <w:autoSpaceDE/>
        <w:autoSpaceDN/>
        <w:bidi w:val="0"/>
        <w:adjustRightInd w:val="0"/>
        <w:snapToGrid w:val="0"/>
        <w:spacing w:line="500" w:lineRule="exact"/>
        <w:ind w:firstLine="315" w:firstLineChars="150"/>
        <w:textAlignment w:val="auto"/>
        <w:rPr>
          <w:rFonts w:ascii="宋体" w:hAnsi="宋体" w:cs="宋体"/>
        </w:rPr>
      </w:pPr>
      <w:r>
        <w:rPr>
          <w:rFonts w:hint="eastAsia" w:ascii="宋体" w:hAnsi="宋体" w:cs="宋体"/>
        </w:rPr>
        <w:t>（4）赔偿。理赔中心根据赔偿协议书缮制赔案并支付赔款。其中赔付金额在</w:t>
      </w:r>
      <w:r>
        <w:rPr>
          <w:rFonts w:hint="eastAsia" w:ascii="宋体" w:hAnsi="宋体" w:cs="宋体"/>
          <w:lang w:val="en-US" w:eastAsia="zh-CN"/>
        </w:rPr>
        <w:t>5</w:t>
      </w:r>
      <w:r>
        <w:rPr>
          <w:rFonts w:hint="eastAsia" w:ascii="宋体" w:hAnsi="宋体" w:cs="宋体"/>
        </w:rPr>
        <w:t>万元以下的案件在资料齐全后的3个工作日内完成；其它案件在资料齐全后的</w:t>
      </w:r>
      <w:r>
        <w:rPr>
          <w:rFonts w:hint="eastAsia" w:ascii="宋体" w:hAnsi="宋体" w:cs="宋体"/>
          <w:lang w:val="en-US" w:eastAsia="zh-CN"/>
        </w:rPr>
        <w:t>6</w:t>
      </w:r>
      <w:r>
        <w:rPr>
          <w:rFonts w:hint="eastAsia" w:ascii="宋体" w:hAnsi="宋体" w:cs="宋体"/>
        </w:rPr>
        <w:t>个工作日内完成。</w:t>
      </w:r>
    </w:p>
    <w:p>
      <w:pPr>
        <w:pageBreakBefore w:val="0"/>
        <w:kinsoku/>
        <w:wordWrap/>
        <w:overflowPunct/>
        <w:topLinePunct w:val="0"/>
        <w:autoSpaceDE/>
        <w:autoSpaceDN/>
        <w:bidi w:val="0"/>
        <w:adjustRightInd w:val="0"/>
        <w:snapToGrid w:val="0"/>
        <w:spacing w:line="500" w:lineRule="exact"/>
        <w:ind w:firstLine="315" w:firstLineChars="150"/>
        <w:textAlignment w:val="auto"/>
        <w:rPr>
          <w:rFonts w:ascii="宋体" w:hAnsi="宋体" w:cs="宋体"/>
        </w:rPr>
      </w:pPr>
      <w:r>
        <w:rPr>
          <w:rFonts w:hint="eastAsia" w:ascii="宋体" w:hAnsi="宋体" w:cs="宋体"/>
        </w:rPr>
        <w:t>（5）反馈及报告。医疗纠纷处理完毕后，理赔中心应当每月出具分析报告，向甲方及其主管机关反馈有关医疗纠纷处置和赔款支付情况。</w:t>
      </w:r>
    </w:p>
    <w:p>
      <w:pPr>
        <w:pageBreakBefore w:val="0"/>
        <w:kinsoku/>
        <w:wordWrap/>
        <w:overflowPunct/>
        <w:topLinePunct w:val="0"/>
        <w:autoSpaceDE/>
        <w:autoSpaceDN/>
        <w:bidi w:val="0"/>
        <w:adjustRightInd w:val="0"/>
        <w:snapToGrid w:val="0"/>
        <w:spacing w:line="500" w:lineRule="exact"/>
        <w:ind w:firstLine="422" w:firstLineChars="200"/>
        <w:textAlignment w:val="auto"/>
        <w:rPr>
          <w:rFonts w:ascii="宋体" w:hAnsi="宋体" w:cs="宋体"/>
          <w:b/>
          <w:bCs/>
        </w:rPr>
      </w:pPr>
      <w:r>
        <w:rPr>
          <w:rFonts w:hint="eastAsia" w:ascii="宋体" w:hAnsi="宋体" w:cs="宋体"/>
          <w:b/>
          <w:bCs/>
        </w:rPr>
        <w:t>第六条　保密条款</w:t>
      </w:r>
    </w:p>
    <w:p>
      <w:pPr>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rPr>
      </w:pPr>
      <w:r>
        <w:rPr>
          <w:rFonts w:hint="eastAsia" w:ascii="宋体" w:hAnsi="宋体" w:cs="宋体"/>
        </w:rPr>
        <w:t>甲、乙双方承诺，任何一方未经对方同意不得公开、泄露、散布、宣传协议内容及执行协议过程中提供给对方的资料和信息。</w:t>
      </w:r>
    </w:p>
    <w:p>
      <w:pPr>
        <w:pageBreakBefore w:val="0"/>
        <w:kinsoku/>
        <w:wordWrap/>
        <w:overflowPunct/>
        <w:topLinePunct w:val="0"/>
        <w:autoSpaceDE/>
        <w:autoSpaceDN/>
        <w:bidi w:val="0"/>
        <w:adjustRightInd w:val="0"/>
        <w:snapToGrid w:val="0"/>
        <w:spacing w:line="500" w:lineRule="exact"/>
        <w:ind w:firstLine="422" w:firstLineChars="200"/>
        <w:textAlignment w:val="auto"/>
        <w:rPr>
          <w:rFonts w:ascii="宋体" w:hAnsi="宋体" w:cs="宋体"/>
          <w:b/>
          <w:bCs/>
          <w:sz w:val="21"/>
          <w:szCs w:val="21"/>
        </w:rPr>
      </w:pPr>
      <w:r>
        <w:rPr>
          <w:rFonts w:hint="eastAsia" w:ascii="宋体" w:hAnsi="宋体" w:cs="宋体"/>
          <w:b/>
          <w:bCs/>
          <w:sz w:val="21"/>
          <w:szCs w:val="21"/>
        </w:rPr>
        <w:t xml:space="preserve">第七条 </w:t>
      </w:r>
      <w:r>
        <w:rPr>
          <w:rFonts w:hint="eastAsia" w:ascii="宋体" w:hAnsi="宋体" w:cs="宋体"/>
          <w:b/>
          <w:bCs/>
          <w:sz w:val="21"/>
          <w:szCs w:val="21"/>
          <w:lang w:val="en-US" w:eastAsia="zh-CN"/>
        </w:rPr>
        <w:t xml:space="preserve"> </w:t>
      </w:r>
      <w:r>
        <w:rPr>
          <w:rFonts w:hint="eastAsia" w:ascii="宋体" w:hAnsi="宋体" w:cs="宋体"/>
          <w:b/>
          <w:bCs/>
          <w:sz w:val="21"/>
          <w:szCs w:val="21"/>
        </w:rPr>
        <w:t>争议处理</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1．合同在履行过程中发生争议时，甲方与乙方及时协商解决。协商不成时，提请仲裁委员会根据仲裁规则仲裁。</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2．对于因违反或终止合同而引起的损失、损害的赔偿，由甲方与乙方友好协商解决，经协商仍未能达成一致的，提交仲裁委员会仲裁。</w:t>
      </w:r>
    </w:p>
    <w:p>
      <w:pPr>
        <w:pageBreakBefore w:val="0"/>
        <w:kinsoku/>
        <w:wordWrap/>
        <w:overflowPunct/>
        <w:topLinePunct w:val="0"/>
        <w:autoSpaceDE/>
        <w:autoSpaceDN/>
        <w:bidi w:val="0"/>
        <w:adjustRightInd w:val="0"/>
        <w:snapToGrid w:val="0"/>
        <w:spacing w:line="500" w:lineRule="exact"/>
        <w:ind w:firstLine="422" w:firstLineChars="200"/>
        <w:textAlignment w:val="auto"/>
        <w:rPr>
          <w:rFonts w:ascii="宋体" w:hAnsi="宋体" w:cs="宋体"/>
          <w:b/>
          <w:bCs/>
          <w:sz w:val="21"/>
          <w:szCs w:val="21"/>
        </w:rPr>
      </w:pPr>
      <w:r>
        <w:rPr>
          <w:rFonts w:hint="eastAsia" w:ascii="宋体" w:hAnsi="宋体" w:cs="宋体"/>
          <w:b/>
          <w:bCs/>
          <w:sz w:val="21"/>
          <w:szCs w:val="21"/>
        </w:rPr>
        <w:t xml:space="preserve">第八条 </w:t>
      </w:r>
      <w:r>
        <w:rPr>
          <w:rFonts w:hint="eastAsia" w:ascii="宋体" w:hAnsi="宋体" w:cs="宋体"/>
          <w:b/>
          <w:bCs/>
          <w:sz w:val="21"/>
          <w:szCs w:val="21"/>
          <w:lang w:val="en-US" w:eastAsia="zh-CN"/>
        </w:rPr>
        <w:t xml:space="preserve"> </w:t>
      </w:r>
      <w:r>
        <w:rPr>
          <w:rFonts w:hint="eastAsia" w:ascii="宋体" w:hAnsi="宋体" w:cs="宋体"/>
          <w:b/>
          <w:bCs/>
          <w:sz w:val="21"/>
          <w:szCs w:val="21"/>
        </w:rPr>
        <w:t>其他</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1．未经过甲方的书面同意，乙方不得转让其应履行的合同项下的义务和将部分合同项下的义务分包给其他单位完成。</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2．乙方不得参与可能与合同规定的与甲方的利益相冲突的任何活动。</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3．乙方人员在甲方场地工作时，应遵守甲方相关规章、制度。</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4．本合同任何一方给另一方的通知，都应以书面或电传/传真/电报的形式发送，而另一方应以书面形式确认并发送到对方明确的地址。</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5．合同履行期内甲乙双方均不得随意变更或解除合同。合同若有未尽事宜，需经双方共同协商，订立补充协议，补充协议与本合同有同等法律效力。</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6．本合同一式</w:t>
      </w:r>
      <w:r>
        <w:rPr>
          <w:rFonts w:hint="eastAsia" w:ascii="宋体" w:hAnsi="宋体" w:eastAsia="宋体" w:cs="宋体"/>
          <w:color w:val="auto"/>
          <w:kern w:val="0"/>
          <w:sz w:val="21"/>
          <w:szCs w:val="21"/>
          <w:u w:val="none"/>
          <w:lang w:val="en-US" w:eastAsia="zh-CN"/>
        </w:rPr>
        <w:t>6</w:t>
      </w:r>
      <w:r>
        <w:rPr>
          <w:rFonts w:hint="eastAsia" w:ascii="宋体" w:hAnsi="宋体" w:eastAsia="宋体" w:cs="宋体"/>
          <w:color w:val="auto"/>
          <w:kern w:val="0"/>
          <w:sz w:val="21"/>
          <w:szCs w:val="21"/>
          <w:lang w:val="en-US" w:eastAsia="zh-CN"/>
        </w:rPr>
        <w:t>份，甲、乙双方各</w:t>
      </w:r>
      <w:r>
        <w:rPr>
          <w:rFonts w:hint="eastAsia" w:ascii="宋体" w:hAnsi="宋体" w:eastAsia="宋体" w:cs="宋体"/>
          <w:color w:val="auto"/>
          <w:kern w:val="0"/>
          <w:sz w:val="21"/>
          <w:szCs w:val="21"/>
          <w:u w:val="none"/>
          <w:lang w:val="en-US" w:eastAsia="zh-CN"/>
        </w:rPr>
        <w:t>2</w:t>
      </w:r>
      <w:r>
        <w:rPr>
          <w:rFonts w:hint="eastAsia" w:ascii="宋体" w:hAnsi="宋体" w:eastAsia="宋体" w:cs="宋体"/>
          <w:color w:val="auto"/>
          <w:kern w:val="0"/>
          <w:sz w:val="21"/>
          <w:szCs w:val="21"/>
          <w:lang w:val="en-US" w:eastAsia="zh-CN"/>
        </w:rPr>
        <w:t>份，浙江天册工程管理有限公司1份，开化县财政局采监科1份，均具同等法律效力。</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7．适用法律：本合同应按照中华人民共和国的法律进行解释。</w:t>
      </w:r>
    </w:p>
    <w:p>
      <w:pPr>
        <w:pageBreakBefore w:val="0"/>
        <w:widowControl/>
        <w:kinsoku/>
        <w:wordWrap/>
        <w:overflowPunct/>
        <w:topLinePunct w:val="0"/>
        <w:autoSpaceDE/>
        <w:autoSpaceDN/>
        <w:bidi w:val="0"/>
        <w:spacing w:line="500" w:lineRule="exact"/>
        <w:ind w:firstLine="420" w:firstLineChars="200"/>
        <w:jc w:val="left"/>
        <w:textAlignment w:val="auto"/>
        <w:rPr>
          <w:rFonts w:hint="eastAsia" w:ascii="宋体" w:hAnsi="宋体" w:cs="宋体"/>
          <w:kern w:val="0"/>
        </w:rPr>
      </w:pP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甲方（采购人） ：           乙方（中标人）：</w:t>
      </w: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 xml:space="preserve">法定代表人或授权委托人：        法定代表人或授权委托人： </w:t>
      </w: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地    址：              地    址：</w:t>
      </w: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联系电话：              联系电话：</w:t>
      </w: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开户银行：                          开户银行：</w:t>
      </w: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开户名称：                          开户名称：</w:t>
      </w: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银行账号：                          银行账号：</w:t>
      </w: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签约地址：</w:t>
      </w:r>
    </w:p>
    <w:p>
      <w:pPr>
        <w:pStyle w:val="9"/>
        <w:pageBreakBefore w:val="0"/>
        <w:kinsoku/>
        <w:wordWrap/>
        <w:overflowPunct/>
        <w:topLinePunct w:val="0"/>
        <w:autoSpaceDE/>
        <w:autoSpaceDN/>
        <w:bidi w:val="0"/>
        <w:spacing w:line="500" w:lineRule="exact"/>
        <w:textAlignment w:val="auto"/>
      </w:pPr>
    </w:p>
    <w:p>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合同鉴证方（公章）：浙江天册工程管理有限公司</w:t>
      </w:r>
    </w:p>
    <w:p>
      <w:pPr>
        <w:pageBreakBefore w:val="0"/>
        <w:widowControl/>
        <w:kinsoku/>
        <w:wordWrap/>
        <w:overflowPunct/>
        <w:topLinePunct w:val="0"/>
        <w:autoSpaceDE/>
        <w:autoSpaceDN/>
        <w:bidi w:val="0"/>
        <w:spacing w:line="500" w:lineRule="exact"/>
        <w:ind w:firstLine="420" w:firstLineChars="200"/>
        <w:jc w:val="left"/>
        <w:textAlignment w:val="auto"/>
        <w:rPr>
          <w:rFonts w:ascii="宋体" w:hAnsi="宋体" w:cs="宋体"/>
          <w:kern w:val="0"/>
        </w:rPr>
      </w:pPr>
      <w:r>
        <w:rPr>
          <w:rFonts w:hint="eastAsia" w:ascii="宋体" w:hAnsi="宋体" w:cs="宋体"/>
          <w:kern w:val="0"/>
          <w:lang w:val="en-US" w:eastAsia="zh-CN"/>
        </w:rPr>
        <w:t>鉴证</w:t>
      </w:r>
      <w:r>
        <w:rPr>
          <w:rFonts w:hint="eastAsia" w:ascii="宋体" w:hAnsi="宋体" w:cs="宋体"/>
          <w:kern w:val="0"/>
        </w:rPr>
        <w:t>日期：   年  月  日</w:t>
      </w:r>
    </w:p>
    <w:p>
      <w:pPr>
        <w:pageBreakBefore w:val="0"/>
        <w:kinsoku/>
        <w:wordWrap/>
        <w:overflowPunct/>
        <w:topLinePunct w:val="0"/>
        <w:autoSpaceDE/>
        <w:autoSpaceDN/>
        <w:bidi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tabs>
          <w:tab w:val="left" w:pos="4680"/>
        </w:tabs>
        <w:spacing w:line="460" w:lineRule="exact"/>
        <w:rPr>
          <w:rFonts w:hint="eastAsia"/>
          <w:b/>
          <w:color w:val="auto"/>
          <w:sz w:val="24"/>
          <w:highlight w:val="none"/>
        </w:rPr>
      </w:pPr>
      <w:bookmarkStart w:id="74" w:name="_Toc323735807"/>
      <w:bookmarkStart w:id="75" w:name="_Toc312334074"/>
      <w:r>
        <w:rPr>
          <w:rFonts w:hint="eastAsia"/>
          <w:b/>
          <w:color w:val="auto"/>
          <w:sz w:val="24"/>
          <w:highlight w:val="none"/>
        </w:rPr>
        <w:br w:type="page"/>
      </w:r>
      <w:r>
        <w:rPr>
          <w:rFonts w:hint="eastAsia"/>
          <w:b/>
          <w:color w:val="auto"/>
          <w:sz w:val="24"/>
          <w:highlight w:val="none"/>
        </w:rPr>
        <w:t>附件：</w:t>
      </w:r>
      <w:r>
        <w:rPr>
          <w:rFonts w:hint="eastAsia"/>
          <w:b/>
          <w:color w:val="auto"/>
          <w:sz w:val="24"/>
          <w:highlight w:val="none"/>
          <w:lang w:val="en-US" w:eastAsia="zh-CN"/>
        </w:rPr>
        <w:t>医疗责任保险</w:t>
      </w:r>
      <w:r>
        <w:rPr>
          <w:rFonts w:hint="eastAsia"/>
          <w:b/>
          <w:color w:val="auto"/>
          <w:sz w:val="24"/>
          <w:highlight w:val="none"/>
        </w:rPr>
        <w:t>条款</w:t>
      </w:r>
      <w:bookmarkEnd w:id="74"/>
      <w:bookmarkEnd w:id="75"/>
    </w:p>
    <w:p>
      <w:pPr>
        <w:keepNext w:val="0"/>
        <w:keepLines w:val="0"/>
        <w:pageBreakBefore w:val="0"/>
        <w:kinsoku/>
        <w:wordWrap/>
        <w:topLinePunct w:val="0"/>
        <w:bidi w:val="0"/>
        <w:snapToGrid w:val="0"/>
        <w:spacing w:line="500" w:lineRule="exact"/>
        <w:jc w:val="center"/>
        <w:textAlignment w:val="auto"/>
        <w:rPr>
          <w:rFonts w:hint="eastAsia" w:ascii="宋体" w:hAnsi="宋体"/>
          <w:b/>
          <w:sz w:val="32"/>
          <w:szCs w:val="32"/>
        </w:rPr>
      </w:pPr>
      <w:r>
        <w:rPr>
          <w:rFonts w:hint="eastAsia" w:ascii="宋体" w:hAnsi="宋体"/>
          <w:b/>
          <w:sz w:val="32"/>
          <w:szCs w:val="32"/>
        </w:rPr>
        <w:t>医疗责任保险条款</w:t>
      </w:r>
    </w:p>
    <w:p>
      <w:pPr>
        <w:keepNext w:val="0"/>
        <w:keepLines w:val="0"/>
        <w:pageBreakBefore w:val="0"/>
        <w:kinsoku/>
        <w:wordWrap/>
        <w:topLinePunct w:val="0"/>
        <w:bidi w:val="0"/>
        <w:spacing w:line="490" w:lineRule="exact"/>
        <w:jc w:val="center"/>
        <w:textAlignment w:val="auto"/>
        <w:rPr>
          <w:rFonts w:hint="eastAsia" w:ascii="宋体" w:hAnsi="宋体" w:eastAsia="宋体" w:cs="宋体"/>
          <w:sz w:val="21"/>
          <w:szCs w:val="21"/>
        </w:rPr>
      </w:pPr>
      <w:r>
        <w:rPr>
          <w:rFonts w:hint="eastAsia" w:ascii="宋体" w:hAnsi="宋体" w:eastAsia="宋体" w:cs="宋体"/>
          <w:b/>
          <w:sz w:val="21"/>
          <w:szCs w:val="21"/>
        </w:rPr>
        <w:t>总则</w:t>
      </w:r>
    </w:p>
    <w:p>
      <w:pPr>
        <w:keepNext w:val="0"/>
        <w:keepLines w:val="0"/>
        <w:pageBreakBefore w:val="0"/>
        <w:kinsoku/>
        <w:wordWrap/>
        <w:topLinePunct w:val="0"/>
        <w:bidi w:val="0"/>
        <w:snapToGrid w:val="0"/>
        <w:spacing w:line="490" w:lineRule="exact"/>
        <w:ind w:firstLine="422" w:firstLineChars="200"/>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 xml:space="preserve">第一条 </w:t>
      </w:r>
      <w:r>
        <w:rPr>
          <w:rFonts w:hint="eastAsia" w:ascii="宋体" w:hAnsi="宋体" w:eastAsia="宋体" w:cs="宋体"/>
          <w:color w:val="000000"/>
          <w:kern w:val="0"/>
          <w:sz w:val="21"/>
          <w:szCs w:val="21"/>
        </w:rPr>
        <w:t>本保险合同由保险条款、投保单、保险单以及批单组成。凡涉及本保险合同的约定，均应采用书面形式。</w:t>
      </w:r>
    </w:p>
    <w:p>
      <w:pPr>
        <w:keepNext w:val="0"/>
        <w:keepLines w:val="0"/>
        <w:pageBreakBefore w:val="0"/>
        <w:kinsoku/>
        <w:wordWrap/>
        <w:topLinePunct w:val="0"/>
        <w:bidi w:val="0"/>
        <w:snapToGrid w:val="0"/>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第二条</w:t>
      </w:r>
      <w:r>
        <w:rPr>
          <w:rFonts w:hint="eastAsia" w:ascii="宋体" w:hAnsi="宋体" w:eastAsia="宋体" w:cs="宋体"/>
          <w:sz w:val="21"/>
          <w:szCs w:val="21"/>
        </w:rPr>
        <w:t xml:space="preserve"> 凡</w:t>
      </w:r>
      <w:r>
        <w:rPr>
          <w:rFonts w:hint="eastAsia" w:ascii="宋体" w:hAnsi="宋体" w:eastAsia="宋体" w:cs="宋体"/>
          <w:color w:val="000000"/>
          <w:sz w:val="21"/>
          <w:szCs w:val="21"/>
        </w:rPr>
        <w:t>依照中华人民共和国法律（以下简称依法）</w:t>
      </w:r>
      <w:r>
        <w:rPr>
          <w:rFonts w:hint="eastAsia" w:ascii="宋体" w:hAnsi="宋体" w:eastAsia="宋体" w:cs="宋体"/>
          <w:sz w:val="21"/>
          <w:szCs w:val="21"/>
        </w:rPr>
        <w:t>设立、有固定场所并取得《医疗机构执业许可证》的医疗机构，可作为本保险的被保险人。</w:t>
      </w:r>
    </w:p>
    <w:p>
      <w:pPr>
        <w:keepNext w:val="0"/>
        <w:keepLines w:val="0"/>
        <w:pageBreakBefore w:val="0"/>
        <w:kinsoku/>
        <w:wordWrap/>
        <w:topLinePunct w:val="0"/>
        <w:bidi w:val="0"/>
        <w:snapToGrid w:val="0"/>
        <w:spacing w:line="49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保险责任</w:t>
      </w:r>
    </w:p>
    <w:p>
      <w:pPr>
        <w:keepNext w:val="0"/>
        <w:keepLines w:val="0"/>
        <w:pageBreakBefore w:val="0"/>
        <w:kinsoku/>
        <w:wordWrap/>
        <w:topLinePunct w:val="0"/>
        <w:bidi w:val="0"/>
        <w:spacing w:line="490" w:lineRule="exact"/>
        <w:ind w:firstLine="413" w:firstLineChars="196"/>
        <w:textAlignment w:val="auto"/>
        <w:rPr>
          <w:rFonts w:hint="eastAsia" w:ascii="宋体" w:hAnsi="宋体" w:eastAsia="宋体" w:cs="宋体"/>
          <w:sz w:val="21"/>
          <w:szCs w:val="21"/>
        </w:rPr>
      </w:pPr>
      <w:r>
        <w:rPr>
          <w:rFonts w:hint="eastAsia" w:ascii="宋体" w:hAnsi="宋体" w:eastAsia="宋体" w:cs="宋体"/>
          <w:b/>
          <w:sz w:val="21"/>
          <w:szCs w:val="21"/>
        </w:rPr>
        <w:t xml:space="preserve">第三条 </w:t>
      </w:r>
      <w:r>
        <w:rPr>
          <w:rFonts w:hint="eastAsia" w:ascii="宋体" w:hAnsi="宋体" w:eastAsia="宋体" w:cs="宋体"/>
          <w:sz w:val="21"/>
          <w:szCs w:val="21"/>
        </w:rPr>
        <w:t>在保险单列明的保险期间或追溯期及承保区域范围内，在保险单中载明的被保险人的医务人员（以下简称投保医务人员）在诊疗活动中，因执业过失造成患者人身损害，在本保险期间内，由患者或其近亲属首次向被保险人提出索赔申请，依法应由被保险人承担民事赔偿责任时，保险人按照本保险合同的约定负责赔偿。</w:t>
      </w:r>
    </w:p>
    <w:p>
      <w:pPr>
        <w:keepNext w:val="0"/>
        <w:keepLines w:val="0"/>
        <w:pageBreakBefore w:val="0"/>
        <w:kinsoku/>
        <w:wordWrap/>
        <w:topLinePunct w:val="0"/>
        <w:bidi w:val="0"/>
        <w:spacing w:line="49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本保险合同所指的追溯期是指从保险期间开始之时起向前追溯的约定的期间。追溯期的具体起止时间以保险单载明的时间为准。</w:t>
      </w:r>
    </w:p>
    <w:p>
      <w:pPr>
        <w:keepNext w:val="0"/>
        <w:keepLines w:val="0"/>
        <w:pageBreakBefore w:val="0"/>
        <w:kinsoku/>
        <w:wordWrap/>
        <w:topLinePunct w:val="0"/>
        <w:bidi w:val="0"/>
        <w:spacing w:line="490" w:lineRule="exact"/>
        <w:ind w:firstLine="411" w:firstLineChars="196"/>
        <w:textAlignment w:val="auto"/>
        <w:rPr>
          <w:rFonts w:hint="eastAsia" w:ascii="宋体" w:hAnsi="宋体" w:eastAsia="宋体" w:cs="宋体"/>
          <w:b/>
          <w:sz w:val="21"/>
          <w:szCs w:val="21"/>
        </w:rPr>
      </w:pPr>
      <w:r>
        <w:rPr>
          <w:rFonts w:hint="eastAsia" w:ascii="宋体" w:hAnsi="宋体" w:eastAsia="宋体" w:cs="宋体"/>
          <w:sz w:val="21"/>
          <w:szCs w:val="21"/>
        </w:rPr>
        <w:t>本保险合同所指的诊疗活动是指通过各种检查，使用药物、器械及手术等方法，对疾病作出判断和消除疾病、缓解病情、减轻痛苦、改善功能、延长生命、帮助患者恢复健康的活动,包括诊断、治疗、护理环节。</w:t>
      </w:r>
    </w:p>
    <w:p>
      <w:pPr>
        <w:keepNext w:val="0"/>
        <w:keepLines w:val="0"/>
        <w:pageBreakBefore w:val="0"/>
        <w:kinsoku/>
        <w:wordWrap/>
        <w:topLinePunct w:val="0"/>
        <w:bidi w:val="0"/>
        <w:spacing w:line="490" w:lineRule="exact"/>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 xml:space="preserve">第四条 </w:t>
      </w:r>
      <w:r>
        <w:rPr>
          <w:rFonts w:hint="eastAsia" w:ascii="宋体" w:hAnsi="宋体" w:eastAsia="宋体" w:cs="宋体"/>
          <w:sz w:val="21"/>
          <w:szCs w:val="21"/>
        </w:rPr>
        <w:t>保险责任范围内的事故发生后，事先经保险人书面同意的法律费用，包括事故鉴定费、查勘费、取证费、仲裁或诉讼费、案件受理费、律师费等，保险人按照本保险合同的约定也负责赔偿。</w:t>
      </w:r>
    </w:p>
    <w:p>
      <w:pPr>
        <w:keepNext w:val="0"/>
        <w:keepLines w:val="0"/>
        <w:pageBreakBefore w:val="0"/>
        <w:kinsoku/>
        <w:wordWrap/>
        <w:topLinePunct w:val="0"/>
        <w:bidi w:val="0"/>
        <w:spacing w:line="49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责任免除</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sz w:val="21"/>
          <w:szCs w:val="21"/>
        </w:rPr>
        <w:t xml:space="preserve">    </w:t>
      </w:r>
      <w:r>
        <w:rPr>
          <w:rFonts w:hint="eastAsia" w:ascii="宋体" w:hAnsi="宋体" w:eastAsia="宋体" w:cs="宋体"/>
          <w:b/>
          <w:bCs w:val="0"/>
          <w:sz w:val="21"/>
          <w:szCs w:val="21"/>
        </w:rPr>
        <w:t>第五条</w:t>
      </w:r>
      <w:r>
        <w:rPr>
          <w:rFonts w:hint="eastAsia" w:ascii="宋体" w:hAnsi="宋体" w:eastAsia="宋体" w:cs="宋体"/>
          <w:b w:val="0"/>
          <w:bCs/>
          <w:sz w:val="21"/>
          <w:szCs w:val="21"/>
        </w:rPr>
        <w:t xml:space="preserve"> 下列原因造成的损失、费用和责任，保险人不负责赔偿：</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（一）被保险人或其投保医务人员的故意行为、犯罪行为和非执业行为；</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（二）战争、敌对行为、军事行动、武装冲突、恐怖活动、罢工、骚乱、暴动、盗窃、抢劫；</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（三）核反应、核子辐射和放射性污染。但使用放射器材治疗发生的赔偿责任，不在此限；</w:t>
      </w:r>
    </w:p>
    <w:p>
      <w:pPr>
        <w:keepNext w:val="0"/>
        <w:keepLines w:val="0"/>
        <w:pageBreakBefore w:val="0"/>
        <w:kinsoku/>
        <w:wordWrap/>
        <w:topLinePunct w:val="0"/>
        <w:bidi w:val="0"/>
        <w:spacing w:line="490" w:lineRule="exact"/>
        <w:ind w:firstLine="411" w:firstLineChars="19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（四）地震、海啸、雷击、暴雨、洪水等自然灾害及火灾、爆炸等意外事故。</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eastAsia="宋体" w:cs="宋体"/>
          <w:b/>
          <w:bCs w:val="0"/>
          <w:sz w:val="21"/>
          <w:szCs w:val="21"/>
        </w:rPr>
        <w:t>第六条</w:t>
      </w:r>
      <w:r>
        <w:rPr>
          <w:rFonts w:hint="eastAsia" w:ascii="宋体" w:hAnsi="宋体" w:eastAsia="宋体" w:cs="宋体"/>
          <w:b w:val="0"/>
          <w:bCs/>
          <w:sz w:val="21"/>
          <w:szCs w:val="21"/>
        </w:rPr>
        <w:t xml:space="preserve"> 下列情形造成的损失、费用和责任，保险人不负责赔偿：</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（一）未经国家有关部门认定合格的医务人员进行的诊疗工作；</w:t>
      </w:r>
    </w:p>
    <w:p>
      <w:pPr>
        <w:keepNext w:val="0"/>
        <w:keepLines w:val="0"/>
        <w:pageBreakBefore w:val="0"/>
        <w:kinsoku/>
        <w:wordWrap/>
        <w:topLinePunct w:val="0"/>
        <w:bidi w:val="0"/>
        <w:spacing w:line="49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（二）</w:t>
      </w:r>
      <w:r>
        <w:rPr>
          <w:rFonts w:hint="eastAsia" w:ascii="宋体" w:hAnsi="宋体" w:eastAsia="宋体" w:cs="宋体"/>
          <w:b w:val="0"/>
          <w:bCs/>
          <w:sz w:val="21"/>
          <w:szCs w:val="21"/>
        </w:rPr>
        <w:t>临床试验性检查、治疗以及其它</w:t>
      </w:r>
      <w:r>
        <w:rPr>
          <w:rFonts w:hint="eastAsia" w:ascii="宋体" w:hAnsi="宋体" w:eastAsia="宋体" w:cs="宋体"/>
          <w:b w:val="0"/>
          <w:bCs/>
          <w:color w:val="000000"/>
          <w:sz w:val="21"/>
          <w:szCs w:val="21"/>
        </w:rPr>
        <w:t>不以治疗为目的的诊疗活动造成患者的人身损害，包括但不限于整形美容、体检；</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（三）被保险人或其投保医务人员从事未经国家有关部门许可的诊疗工作；</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（四）被保险人或其投保医务人员被吊销执业许可或被取消执业资格以及受停业、停职处分后仍继续进行诊疗工作；</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（五）被保险人投保医务人员在饮酒、**或药剂麻醉状态下进行诊疗工作；</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（六）因药品、消毒药剂、医疗器械的缺陷，或者输入不合格的血液，或药品不良反应造成患者损害；</w:t>
      </w:r>
    </w:p>
    <w:p>
      <w:pPr>
        <w:keepNext w:val="0"/>
        <w:keepLines w:val="0"/>
        <w:pageBreakBefore w:val="0"/>
        <w:kinsoku/>
        <w:wordWrap/>
        <w:topLinePunct w:val="0"/>
        <w:bidi w:val="0"/>
        <w:spacing w:line="49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rPr>
        <w:t xml:space="preserve">    （七）被保险人或其投保医务人员使用未经国家有关部门批准使用的药品、消毒药剂和医疗器械，</w:t>
      </w:r>
      <w:r>
        <w:rPr>
          <w:rFonts w:hint="eastAsia" w:ascii="宋体" w:hAnsi="宋体" w:eastAsia="宋体" w:cs="宋体"/>
          <w:b w:val="0"/>
          <w:bCs/>
          <w:color w:val="000000"/>
          <w:sz w:val="21"/>
          <w:szCs w:val="21"/>
        </w:rPr>
        <w:t>但经国家有关部门批准进行临床实验所使用的药品、消毒药剂、医疗器械不在此限；</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（八）被保险人或其投保医务人员在正当的诊断、治疗范围外使用麻醉药品、医疗用毒性药品、精神药品和放射性药品；</w:t>
      </w:r>
    </w:p>
    <w:p>
      <w:pPr>
        <w:keepNext w:val="0"/>
        <w:keepLines w:val="0"/>
        <w:pageBreakBefore w:val="0"/>
        <w:widowControl/>
        <w:kinsoku/>
        <w:wordWrap/>
        <w:topLinePunct w:val="0"/>
        <w:bidi w:val="0"/>
        <w:spacing w:line="490" w:lineRule="exact"/>
        <w:ind w:firstLine="411" w:firstLineChars="196"/>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（九）被保险人医务人员在抢救生命垂危的患者等紧急情况下已经尽到合理诊疗义务；</w:t>
      </w:r>
    </w:p>
    <w:p>
      <w:pPr>
        <w:keepNext w:val="0"/>
        <w:keepLines w:val="0"/>
        <w:pageBreakBefore w:val="0"/>
        <w:widowControl/>
        <w:kinsoku/>
        <w:wordWrap/>
        <w:topLinePunct w:val="0"/>
        <w:bidi w:val="0"/>
        <w:spacing w:line="490" w:lineRule="exact"/>
        <w:ind w:firstLine="411" w:firstLineChars="196"/>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（十）被保险人医务人员限于当时的医疗水平难以诊疗；</w:t>
      </w:r>
    </w:p>
    <w:p>
      <w:pPr>
        <w:keepNext w:val="0"/>
        <w:keepLines w:val="0"/>
        <w:pageBreakBefore w:val="0"/>
        <w:widowControl/>
        <w:kinsoku/>
        <w:wordWrap/>
        <w:topLinePunct w:val="0"/>
        <w:bidi w:val="0"/>
        <w:spacing w:line="49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（十一）患者或者其近亲属不配合医疗机构进行符合诊疗规范的诊疗，被保险人及其医务人员没有过错的。</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eastAsia="宋体" w:cs="宋体"/>
          <w:b/>
          <w:bCs w:val="0"/>
          <w:sz w:val="21"/>
          <w:szCs w:val="21"/>
        </w:rPr>
        <w:t>第七条</w:t>
      </w:r>
      <w:r>
        <w:rPr>
          <w:rFonts w:hint="eastAsia" w:ascii="宋体" w:hAnsi="宋体" w:eastAsia="宋体" w:cs="宋体"/>
          <w:b w:val="0"/>
          <w:bCs/>
          <w:sz w:val="21"/>
          <w:szCs w:val="21"/>
        </w:rPr>
        <w:t xml:space="preserve"> 下列损失、费用和责任，保险人不负责赔偿：</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（一）被保险人医务人员或其代表的人身伤亡；</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（二）直接或间接由于计算机2000年问题引起的损失；</w:t>
      </w:r>
    </w:p>
    <w:p>
      <w:pPr>
        <w:keepNext w:val="0"/>
        <w:keepLines w:val="0"/>
        <w:pageBreakBefore w:val="0"/>
        <w:kinsoku/>
        <w:wordWrap/>
        <w:topLinePunct w:val="0"/>
        <w:bidi w:val="0"/>
        <w:spacing w:line="49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（三）罚款、罚金或惩罚性赔偿；</w:t>
      </w:r>
    </w:p>
    <w:p>
      <w:pPr>
        <w:keepNext w:val="0"/>
        <w:keepLines w:val="0"/>
        <w:pageBreakBefore w:val="0"/>
        <w:kinsoku/>
        <w:wordWrap/>
        <w:topLinePunct w:val="0"/>
        <w:bidi w:val="0"/>
        <w:spacing w:line="490" w:lineRule="exact"/>
        <w:ind w:firstLine="411" w:firstLineChars="19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（四）本保险合同载明的免赔额；</w:t>
      </w:r>
    </w:p>
    <w:p>
      <w:pPr>
        <w:keepNext w:val="0"/>
        <w:keepLines w:val="0"/>
        <w:pageBreakBefore w:val="0"/>
        <w:kinsoku/>
        <w:wordWrap/>
        <w:topLinePunct w:val="0"/>
        <w:bidi w:val="0"/>
        <w:spacing w:line="490" w:lineRule="exact"/>
        <w:ind w:firstLine="411" w:firstLineChars="19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（五）被保险人根据与患者、其近亲属或他人签订的协议应承担的责任，但即使没有这种协议，被保险人依法仍应承担的责任不在此限；</w:t>
      </w:r>
    </w:p>
    <w:p>
      <w:pPr>
        <w:keepNext w:val="0"/>
        <w:keepLines w:val="0"/>
        <w:pageBreakBefore w:val="0"/>
        <w:kinsoku/>
        <w:wordWrap/>
        <w:topLinePunct w:val="0"/>
        <w:bidi w:val="0"/>
        <w:spacing w:line="490" w:lineRule="exact"/>
        <w:ind w:firstLine="411" w:firstLineChars="196"/>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（六）投保医务人员自终止在被保险人的营业处所内工作之后所发生的任何损失、费用和责任。</w:t>
      </w:r>
    </w:p>
    <w:p>
      <w:pPr>
        <w:keepNext w:val="0"/>
        <w:keepLines w:val="0"/>
        <w:pageBreakBefore w:val="0"/>
        <w:kinsoku/>
        <w:wordWrap/>
        <w:topLinePunct w:val="0"/>
        <w:bidi w:val="0"/>
        <w:spacing w:line="490" w:lineRule="exact"/>
        <w:ind w:firstLine="413" w:firstLineChars="196"/>
        <w:textAlignment w:val="auto"/>
        <w:rPr>
          <w:rFonts w:hint="eastAsia" w:ascii="宋体" w:hAnsi="宋体" w:eastAsia="宋体" w:cs="宋体"/>
          <w:b w:val="0"/>
          <w:bCs/>
          <w:sz w:val="21"/>
          <w:szCs w:val="21"/>
        </w:rPr>
      </w:pPr>
      <w:r>
        <w:rPr>
          <w:rFonts w:hint="eastAsia" w:ascii="宋体" w:hAnsi="宋体" w:eastAsia="宋体" w:cs="宋体"/>
          <w:b/>
          <w:bCs w:val="0"/>
          <w:sz w:val="21"/>
          <w:szCs w:val="21"/>
        </w:rPr>
        <w:t>第八条</w:t>
      </w:r>
      <w:r>
        <w:rPr>
          <w:rFonts w:hint="eastAsia" w:ascii="宋体" w:hAnsi="宋体" w:eastAsia="宋体" w:cs="宋体"/>
          <w:b w:val="0"/>
          <w:bCs/>
          <w:sz w:val="21"/>
          <w:szCs w:val="21"/>
        </w:rPr>
        <w:t xml:space="preserve"> 其他不属于本保险责任范围的损失、费用和责任，保险人不负责赔偿。</w:t>
      </w:r>
    </w:p>
    <w:p>
      <w:pPr>
        <w:keepNext w:val="0"/>
        <w:keepLines w:val="0"/>
        <w:pageBreakBefore w:val="0"/>
        <w:kinsoku/>
        <w:wordWrap/>
        <w:topLinePunct w:val="0"/>
        <w:bidi w:val="0"/>
        <w:spacing w:line="49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责任限额与免赔额</w:t>
      </w:r>
    </w:p>
    <w:p>
      <w:pPr>
        <w:keepNext w:val="0"/>
        <w:keepLines w:val="0"/>
        <w:pageBreakBefore w:val="0"/>
        <w:kinsoku/>
        <w:wordWrap/>
        <w:topLinePunct w:val="0"/>
        <w:bidi w:val="0"/>
        <w:spacing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第九条 </w:t>
      </w:r>
      <w:r>
        <w:rPr>
          <w:rFonts w:hint="eastAsia" w:ascii="宋体" w:hAnsi="宋体" w:eastAsia="宋体" w:cs="宋体"/>
          <w:sz w:val="21"/>
          <w:szCs w:val="21"/>
        </w:rPr>
        <w:t>除另有约定外，责任限额包括医疗责任每人责任限额、精神损害每人责任限额、医疗责任累计责任限额、法律费用每次事故责任限额、法律费用累计责任限额。除另有约定外，精神损害每人责任限额为医疗责任每人责任限额的30%，并包含在医疗责任每人责任限额之内。各项责任限额由投保人和保险人协商确定，并在保险合同中载明。</w:t>
      </w:r>
    </w:p>
    <w:p>
      <w:pPr>
        <w:keepNext w:val="0"/>
        <w:keepLines w:val="0"/>
        <w:pageBreakBefore w:val="0"/>
        <w:kinsoku/>
        <w:wordWrap/>
        <w:topLinePunct w:val="0"/>
        <w:bidi w:val="0"/>
        <w:spacing w:line="490" w:lineRule="exact"/>
        <w:ind w:firstLine="413" w:firstLineChars="196"/>
        <w:textAlignment w:val="auto"/>
        <w:rPr>
          <w:rFonts w:hint="eastAsia" w:ascii="宋体" w:hAnsi="宋体" w:eastAsia="宋体" w:cs="宋体"/>
          <w:sz w:val="21"/>
          <w:szCs w:val="21"/>
        </w:rPr>
      </w:pPr>
      <w:r>
        <w:rPr>
          <w:rFonts w:hint="eastAsia" w:ascii="宋体" w:hAnsi="宋体" w:eastAsia="宋体" w:cs="宋体"/>
          <w:b/>
          <w:bCs/>
          <w:sz w:val="21"/>
          <w:szCs w:val="21"/>
        </w:rPr>
        <w:t>第十条</w:t>
      </w:r>
      <w:r>
        <w:rPr>
          <w:rFonts w:hint="eastAsia" w:ascii="宋体" w:hAnsi="宋体" w:eastAsia="宋体" w:cs="宋体"/>
          <w:sz w:val="21"/>
          <w:szCs w:val="21"/>
        </w:rPr>
        <w:t xml:space="preserve"> 每次事故免赔额（率）由投保人与保险人在签订保险合同时协商确定，并在保险合同中载明。</w:t>
      </w:r>
    </w:p>
    <w:p>
      <w:pPr>
        <w:keepNext w:val="0"/>
        <w:keepLines w:val="0"/>
        <w:pageBreakBefore w:val="0"/>
        <w:kinsoku/>
        <w:wordWrap/>
        <w:topLinePunct w:val="0"/>
        <w:bidi w:val="0"/>
        <w:spacing w:line="49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保险期间</w:t>
      </w:r>
    </w:p>
    <w:p>
      <w:pPr>
        <w:keepNext w:val="0"/>
        <w:keepLines w:val="0"/>
        <w:pageBreakBefore w:val="0"/>
        <w:kinsoku/>
        <w:wordWrap/>
        <w:topLinePunct w:val="0"/>
        <w:bidi w:val="0"/>
        <w:spacing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 xml:space="preserve">第十一条 </w:t>
      </w:r>
      <w:r>
        <w:rPr>
          <w:rFonts w:hint="eastAsia" w:ascii="宋体" w:hAnsi="宋体" w:eastAsia="宋体" w:cs="宋体"/>
          <w:sz w:val="21"/>
          <w:szCs w:val="21"/>
        </w:rPr>
        <w:t>除另有约定外，保险期间为一年，以保险单载明的起讫时间为准。</w:t>
      </w:r>
    </w:p>
    <w:p>
      <w:pPr>
        <w:pStyle w:val="256"/>
        <w:keepNext w:val="0"/>
        <w:keepLines w:val="0"/>
        <w:pageBreakBefore w:val="0"/>
        <w:widowControl w:val="0"/>
        <w:kinsoku/>
        <w:wordWrap/>
        <w:topLinePunct w:val="0"/>
        <w:bidi w:val="0"/>
        <w:spacing w:line="49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保险人义务</w:t>
      </w:r>
    </w:p>
    <w:p>
      <w:pPr>
        <w:keepNext w:val="0"/>
        <w:keepLines w:val="0"/>
        <w:pageBreakBefore w:val="0"/>
        <w:kinsoku/>
        <w:wordWrap/>
        <w:topLinePunct w:val="0"/>
        <w:bidi w:val="0"/>
        <w:spacing w:line="49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第十二条 </w:t>
      </w:r>
      <w:r>
        <w:rPr>
          <w:rFonts w:hint="eastAsia" w:ascii="宋体" w:hAnsi="宋体" w:eastAsia="宋体" w:cs="宋体"/>
          <w:sz w:val="21"/>
          <w:szCs w:val="21"/>
        </w:rPr>
        <w:t>本保险合同成立后，保险人应当及时向投保人签发保险单或其他保险凭证。</w:t>
      </w:r>
    </w:p>
    <w:p>
      <w:pPr>
        <w:keepNext w:val="0"/>
        <w:keepLines w:val="0"/>
        <w:pageBreakBefore w:val="0"/>
        <w:kinsoku/>
        <w:wordWrap/>
        <w:topLinePunct w:val="0"/>
        <w:bidi w:val="0"/>
        <w:spacing w:line="490" w:lineRule="exact"/>
        <w:ind w:firstLine="422" w:firstLineChars="200"/>
        <w:textAlignment w:val="auto"/>
        <w:rPr>
          <w:rStyle w:val="255"/>
          <w:rFonts w:hint="eastAsia" w:ascii="宋体" w:hAnsi="宋体" w:eastAsia="宋体" w:cs="宋体"/>
          <w:color w:val="000000"/>
          <w:sz w:val="21"/>
          <w:szCs w:val="21"/>
        </w:rPr>
      </w:pPr>
      <w:r>
        <w:rPr>
          <w:rFonts w:hint="eastAsia" w:ascii="宋体" w:hAnsi="宋体" w:eastAsia="宋体" w:cs="宋体"/>
          <w:b/>
          <w:bCs/>
          <w:sz w:val="21"/>
          <w:szCs w:val="21"/>
        </w:rPr>
        <w:t xml:space="preserve">第十三条 </w:t>
      </w:r>
      <w:r>
        <w:rPr>
          <w:rFonts w:hint="eastAsia" w:ascii="宋体" w:hAnsi="宋体" w:eastAsia="宋体" w:cs="宋体"/>
          <w:sz w:val="21"/>
          <w:szCs w:val="21"/>
        </w:rPr>
        <w:t>保险人依本保险条款第十七条取得的合同解除权，</w:t>
      </w:r>
      <w:r>
        <w:rPr>
          <w:rStyle w:val="255"/>
          <w:rFonts w:hint="eastAsia" w:ascii="宋体" w:hAnsi="宋体" w:eastAsia="宋体" w:cs="宋体"/>
          <w:color w:val="000000"/>
          <w:sz w:val="21"/>
          <w:szCs w:val="21"/>
        </w:rPr>
        <w:t>自保险人知道有解除事由之日起，超过三十日不行使而消灭。</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sz w:val="21"/>
          <w:szCs w:val="21"/>
          <w:u w:val="single"/>
        </w:rPr>
      </w:pPr>
      <w:r>
        <w:rPr>
          <w:rStyle w:val="255"/>
          <w:rFonts w:hint="eastAsia" w:ascii="宋体" w:hAnsi="宋体" w:eastAsia="宋体" w:cs="宋体"/>
          <w:color w:val="000000"/>
          <w:sz w:val="21"/>
          <w:szCs w:val="21"/>
        </w:rPr>
        <w:t>保险人在保险合同订立时已经知道投保人未如实告知的情况的，保险人不得解除合同；发生保险事故的，保险人应当承担赔偿责任。</w:t>
      </w:r>
    </w:p>
    <w:p>
      <w:pPr>
        <w:keepNext w:val="0"/>
        <w:keepLines w:val="0"/>
        <w:pageBreakBefore w:val="0"/>
        <w:kinsoku/>
        <w:wordWrap/>
        <w:topLinePunct w:val="0"/>
        <w:bidi w:val="0"/>
        <w:spacing w:line="490" w:lineRule="exact"/>
        <w:ind w:firstLine="422" w:firstLineChars="200"/>
        <w:textAlignment w:val="auto"/>
        <w:rPr>
          <w:rStyle w:val="255"/>
          <w:rFonts w:hint="eastAsia" w:ascii="宋体" w:hAnsi="宋体" w:eastAsia="宋体" w:cs="宋体"/>
          <w:color w:val="000000"/>
          <w:sz w:val="21"/>
          <w:szCs w:val="21"/>
        </w:rPr>
      </w:pPr>
      <w:r>
        <w:rPr>
          <w:rFonts w:hint="eastAsia" w:ascii="宋体" w:hAnsi="宋体" w:eastAsia="宋体" w:cs="宋体"/>
          <w:b/>
          <w:bCs/>
          <w:sz w:val="21"/>
          <w:szCs w:val="21"/>
        </w:rPr>
        <w:t xml:space="preserve">第十四条 </w:t>
      </w:r>
      <w:r>
        <w:rPr>
          <w:rStyle w:val="255"/>
          <w:rFonts w:hint="eastAsia" w:ascii="宋体" w:hAnsi="宋体" w:eastAsia="宋体" w:cs="宋体"/>
          <w:color w:val="000000"/>
          <w:sz w:val="21"/>
          <w:szCs w:val="21"/>
        </w:rPr>
        <w:t>保险事故发生后，投保人、被保险人提供的有关索赔的证明和资料不完整的，保险人应当及时一次性通知投保人、被保险人补充提供。</w:t>
      </w:r>
    </w:p>
    <w:p>
      <w:pPr>
        <w:keepNext w:val="0"/>
        <w:keepLines w:val="0"/>
        <w:pageBreakBefore w:val="0"/>
        <w:kinsoku/>
        <w:wordWrap/>
        <w:topLinePunct w:val="0"/>
        <w:bidi w:val="0"/>
        <w:spacing w:line="490" w:lineRule="exact"/>
        <w:ind w:firstLine="422" w:firstLineChars="200"/>
        <w:textAlignment w:val="auto"/>
        <w:rPr>
          <w:rStyle w:val="255"/>
          <w:rFonts w:hint="eastAsia" w:ascii="宋体" w:hAnsi="宋体" w:eastAsia="宋体" w:cs="宋体"/>
          <w:color w:val="000000"/>
          <w:sz w:val="21"/>
          <w:szCs w:val="21"/>
        </w:rPr>
      </w:pPr>
      <w:r>
        <w:rPr>
          <w:rFonts w:hint="eastAsia" w:ascii="宋体" w:hAnsi="宋体" w:eastAsia="宋体" w:cs="宋体"/>
          <w:b/>
          <w:bCs/>
          <w:sz w:val="21"/>
          <w:szCs w:val="21"/>
        </w:rPr>
        <w:t xml:space="preserve">第十五条 </w:t>
      </w:r>
      <w:r>
        <w:rPr>
          <w:rStyle w:val="255"/>
          <w:rFonts w:hint="eastAsia" w:ascii="宋体" w:hAnsi="宋体" w:eastAsia="宋体" w:cs="宋体"/>
          <w:color w:val="000000"/>
          <w:sz w:val="21"/>
          <w:szCs w:val="21"/>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keepNext w:val="0"/>
        <w:keepLines w:val="0"/>
        <w:pageBreakBefore w:val="0"/>
        <w:kinsoku/>
        <w:wordWrap/>
        <w:topLinePunct w:val="0"/>
        <w:bidi w:val="0"/>
        <w:spacing w:line="490" w:lineRule="exact"/>
        <w:ind w:firstLine="420" w:firstLineChars="200"/>
        <w:textAlignment w:val="auto"/>
        <w:rPr>
          <w:rStyle w:val="255"/>
          <w:rFonts w:hint="eastAsia" w:ascii="宋体" w:hAnsi="宋体" w:eastAsia="宋体" w:cs="宋体"/>
          <w:color w:val="000000"/>
          <w:sz w:val="21"/>
          <w:szCs w:val="21"/>
        </w:rPr>
      </w:pPr>
      <w:r>
        <w:rPr>
          <w:rStyle w:val="255"/>
          <w:rFonts w:hint="eastAsia" w:ascii="宋体" w:hAnsi="宋体" w:eastAsia="宋体" w:cs="宋体"/>
          <w:color w:val="000000"/>
          <w:sz w:val="21"/>
          <w:szCs w:val="21"/>
        </w:rPr>
        <w:t>保险人依照前款的规定作出核定后，对不属于保险责任的，应当自作出核定之日起三日内向被保险人发出拒绝赔偿保险金通知书，并说明理由。</w:t>
      </w:r>
    </w:p>
    <w:p>
      <w:pPr>
        <w:keepNext w:val="0"/>
        <w:keepLines w:val="0"/>
        <w:pageBreakBefore w:val="0"/>
        <w:kinsoku/>
        <w:wordWrap/>
        <w:topLinePunct w:val="0"/>
        <w:bidi w:val="0"/>
        <w:spacing w:line="490" w:lineRule="exact"/>
        <w:ind w:firstLine="422" w:firstLineChars="200"/>
        <w:textAlignment w:val="auto"/>
        <w:rPr>
          <w:rStyle w:val="255"/>
          <w:rFonts w:hint="eastAsia" w:ascii="宋体" w:hAnsi="宋体" w:eastAsia="宋体" w:cs="宋体"/>
          <w:color w:val="000000"/>
          <w:sz w:val="21"/>
          <w:szCs w:val="21"/>
        </w:rPr>
      </w:pPr>
      <w:r>
        <w:rPr>
          <w:rFonts w:hint="eastAsia" w:ascii="宋体" w:hAnsi="宋体" w:eastAsia="宋体" w:cs="宋体"/>
          <w:b/>
          <w:bCs/>
          <w:sz w:val="21"/>
          <w:szCs w:val="21"/>
        </w:rPr>
        <w:t xml:space="preserve">第十六条 </w:t>
      </w:r>
      <w:r>
        <w:rPr>
          <w:rStyle w:val="255"/>
          <w:rFonts w:hint="eastAsia" w:ascii="宋体" w:hAnsi="宋体" w:eastAsia="宋体" w:cs="宋体"/>
          <w:color w:val="000000"/>
          <w:sz w:val="21"/>
          <w:szCs w:val="21"/>
        </w:rPr>
        <w:t>保险人自收到</w:t>
      </w:r>
      <w:r>
        <w:rPr>
          <w:rFonts w:hint="eastAsia" w:ascii="宋体" w:hAnsi="宋体" w:eastAsia="宋体" w:cs="宋体"/>
          <w:sz w:val="21"/>
          <w:szCs w:val="21"/>
        </w:rPr>
        <w:t>赔偿</w:t>
      </w:r>
      <w:r>
        <w:rPr>
          <w:rStyle w:val="255"/>
          <w:rFonts w:hint="eastAsia" w:ascii="宋体" w:hAnsi="宋体" w:eastAsia="宋体" w:cs="宋体"/>
          <w:color w:val="000000"/>
          <w:sz w:val="21"/>
          <w:szCs w:val="21"/>
        </w:rPr>
        <w:t>保险金的请求和有关证明、资料之日起六十日内，对其赔偿保险金的数额不能确定的，应当根据已有证明和资料可以确定的数额先予支付；保险人最终确定赔偿的数额后，应当支付相应的差额。</w:t>
      </w:r>
    </w:p>
    <w:p>
      <w:pPr>
        <w:keepNext w:val="0"/>
        <w:keepLines w:val="0"/>
        <w:pageBreakBefore w:val="0"/>
        <w:kinsoku/>
        <w:wordWrap/>
        <w:topLinePunct w:val="0"/>
        <w:bidi w:val="0"/>
        <w:spacing w:line="49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投保人、被保险人义务</w:t>
      </w:r>
    </w:p>
    <w:p>
      <w:pPr>
        <w:pStyle w:val="29"/>
        <w:keepNext w:val="0"/>
        <w:keepLines w:val="0"/>
        <w:pageBreakBefore w:val="0"/>
        <w:kinsoku/>
        <w:wordWrap/>
        <w:topLinePunct w:val="0"/>
        <w:bidi w:val="0"/>
        <w:snapToGrid/>
        <w:spacing w:beforeLines="0" w:afterLines="0"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第十七条</w:t>
      </w:r>
      <w:r>
        <w:rPr>
          <w:rFonts w:hint="eastAsia" w:ascii="宋体" w:hAnsi="宋体" w:eastAsia="宋体" w:cs="宋体"/>
          <w:sz w:val="21"/>
          <w:szCs w:val="21"/>
        </w:rPr>
        <w:t xml:space="preserve"> 投保人应履行如实告知义务，如实回答保险人就有关情况提出的询问，并如实填写投保单。</w:t>
      </w:r>
    </w:p>
    <w:p>
      <w:pPr>
        <w:keepNext w:val="0"/>
        <w:keepLines w:val="0"/>
        <w:pageBreakBefore w:val="0"/>
        <w:kinsoku/>
        <w:wordWrap/>
        <w:topLinePunct w:val="0"/>
        <w:bidi w:val="0"/>
        <w:snapToGrid/>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投保人故意或者因重大过失未履行前款规定的如实告知义务，足以影响保险人决定是否同意承保或者提高保险费率的，保险人有权解除合同。</w:t>
      </w:r>
    </w:p>
    <w:p>
      <w:pPr>
        <w:pStyle w:val="257"/>
        <w:keepNext w:val="0"/>
        <w:keepLines w:val="0"/>
        <w:pageBreakBefore w:val="0"/>
        <w:kinsoku/>
        <w:wordWrap/>
        <w:topLinePunct w:val="0"/>
        <w:bidi w:val="0"/>
        <w:snapToGrid/>
        <w:spacing w:line="490" w:lineRule="exact"/>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投保人故意不履行如实告知义务的，保险人对于合同解除前发生的保险事故，不承担赔偿责任，并不退还保险费。</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 xml:space="preserve">    投保人因重大过失未履行如实告知义务，对保险事故的发生有严重影响的，保险人对于合同解除前发生的保险事故，不承担赔偿责任，但应当退还保险费。</w:t>
      </w:r>
    </w:p>
    <w:p>
      <w:pPr>
        <w:keepNext w:val="0"/>
        <w:keepLines w:val="0"/>
        <w:pageBreakBefore w:val="0"/>
        <w:kinsoku/>
        <w:wordWrap/>
        <w:topLinePunct w:val="0"/>
        <w:bidi w:val="0"/>
        <w:snapToGrid/>
        <w:spacing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第十八条</w:t>
      </w:r>
      <w:r>
        <w:rPr>
          <w:rFonts w:hint="eastAsia" w:ascii="宋体" w:hAnsi="宋体" w:eastAsia="宋体" w:cs="宋体"/>
          <w:sz w:val="21"/>
          <w:szCs w:val="21"/>
        </w:rPr>
        <w:t xml:space="preserve"> 除另有约定外，投保人应在</w:t>
      </w:r>
      <w:r>
        <w:rPr>
          <w:rFonts w:hint="eastAsia" w:ascii="宋体" w:hAnsi="宋体" w:eastAsia="宋体" w:cs="宋体"/>
          <w:b w:val="0"/>
          <w:bCs w:val="0"/>
          <w:sz w:val="21"/>
          <w:szCs w:val="21"/>
        </w:rPr>
        <w:t>保险合同成立时交清保险费。保险费交清前发生的保险事故，保险人不承担赔偿责任。</w:t>
      </w:r>
    </w:p>
    <w:p>
      <w:pPr>
        <w:pStyle w:val="29"/>
        <w:keepNext w:val="0"/>
        <w:keepLines w:val="0"/>
        <w:pageBreakBefore w:val="0"/>
        <w:kinsoku/>
        <w:wordWrap/>
        <w:topLinePunct w:val="0"/>
        <w:bidi w:val="0"/>
        <w:snapToGrid/>
        <w:spacing w:beforeLines="0" w:afterLines="0"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第十九条</w:t>
      </w:r>
      <w:r>
        <w:rPr>
          <w:rFonts w:hint="eastAsia" w:ascii="宋体" w:hAnsi="宋体" w:eastAsia="宋体" w:cs="宋体"/>
          <w:sz w:val="21"/>
          <w:szCs w:val="21"/>
        </w:rPr>
        <w:t xml:space="preserve"> 被保险人及其医务人员在诊疗活动中，应该遵守医疗卫生管理法律、行政法规、部门规章和诊疗规范、常规，恪守医疗服务职业道德，采取合理的预防措施，尽力避免或减少责任事故的发生。保险人对被保险人及其医务人员的专业资格、使用药品和医疗器械及其他各项医疗条件进行查验时，被保险人应积极协助并提供保险人需要的用以评估有关风险的详情和资料。但上述查验并不构成保险人对被保险人的任何承诺。保险人对发现的任何缺陷或危险书面通知被保险人后，被保险人应及时采取整改措施。</w:t>
      </w:r>
    </w:p>
    <w:p>
      <w:pPr>
        <w:pStyle w:val="29"/>
        <w:keepNext w:val="0"/>
        <w:keepLines w:val="0"/>
        <w:pageBreakBefore w:val="0"/>
        <w:kinsoku/>
        <w:wordWrap/>
        <w:topLinePunct w:val="0"/>
        <w:bidi w:val="0"/>
        <w:snapToGrid/>
        <w:spacing w:beforeLines="0" w:afterLines="0" w:line="49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投保人、被保险人未遵守上述约定而导致保险事故的，保险人不承担赔偿责任；投保人、被保险人未遵守上述约定而导致损失扩大的，保险人对扩大部分的损失不承担赔偿责任。</w:t>
      </w:r>
    </w:p>
    <w:p>
      <w:pPr>
        <w:pStyle w:val="29"/>
        <w:keepNext w:val="0"/>
        <w:keepLines w:val="0"/>
        <w:pageBreakBefore w:val="0"/>
        <w:kinsoku/>
        <w:wordWrap/>
        <w:topLinePunct w:val="0"/>
        <w:bidi w:val="0"/>
        <w:snapToGrid/>
        <w:spacing w:beforeLines="0" w:afterLines="0" w:line="490" w:lineRule="exact"/>
        <w:ind w:firstLine="420" w:firstLineChars="199"/>
        <w:textAlignment w:val="auto"/>
        <w:rPr>
          <w:rFonts w:hint="eastAsia" w:ascii="宋体" w:hAnsi="宋体" w:eastAsia="宋体" w:cs="宋体"/>
          <w:sz w:val="21"/>
          <w:szCs w:val="21"/>
        </w:rPr>
      </w:pPr>
      <w:r>
        <w:rPr>
          <w:rFonts w:hint="eastAsia" w:ascii="宋体" w:hAnsi="宋体" w:eastAsia="宋体" w:cs="宋体"/>
          <w:b/>
          <w:bCs/>
          <w:sz w:val="21"/>
          <w:szCs w:val="21"/>
        </w:rPr>
        <w:t>第二十条</w:t>
      </w:r>
      <w:r>
        <w:rPr>
          <w:rFonts w:hint="eastAsia" w:ascii="宋体" w:hAnsi="宋体" w:eastAsia="宋体" w:cs="宋体"/>
          <w:sz w:val="21"/>
          <w:szCs w:val="21"/>
        </w:rPr>
        <w:t xml:space="preserve"> 在保险期间内，如发生足以影响保险人决定是否继续承保或是否增加保险费的保险合同重要事项变更，被保险人应及时书面通知保险人，保险人有权要求增加保险费或者解除合同。在保险期间内，由于医务人员发生变动，需要加保或退保，被保险人应当书面通知保险人。</w:t>
      </w:r>
    </w:p>
    <w:p>
      <w:pPr>
        <w:pStyle w:val="29"/>
        <w:keepNext w:val="0"/>
        <w:keepLines w:val="0"/>
        <w:pageBreakBefore w:val="0"/>
        <w:kinsoku/>
        <w:wordWrap/>
        <w:topLinePunct w:val="0"/>
        <w:bidi w:val="0"/>
        <w:snapToGrid/>
        <w:spacing w:beforeLines="0" w:afterLines="0" w:line="490" w:lineRule="exact"/>
        <w:ind w:firstLine="417" w:firstLineChars="199"/>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被保险人未履行通知义务，因上述保险合同重要事项变更而导致保险事故发生的，保险人不承担赔偿责任。</w:t>
      </w:r>
    </w:p>
    <w:p>
      <w:pPr>
        <w:keepNext w:val="0"/>
        <w:keepLines w:val="0"/>
        <w:pageBreakBefore w:val="0"/>
        <w:kinsoku/>
        <w:wordWrap/>
        <w:topLinePunct w:val="0"/>
        <w:bidi w:val="0"/>
        <w:snapToGrid/>
        <w:spacing w:line="490" w:lineRule="exact"/>
        <w:ind w:right="-55" w:firstLine="420" w:firstLineChars="199"/>
        <w:textAlignment w:val="auto"/>
        <w:rPr>
          <w:rFonts w:hint="eastAsia" w:ascii="宋体" w:hAnsi="宋体" w:eastAsia="宋体" w:cs="宋体"/>
          <w:sz w:val="21"/>
          <w:szCs w:val="21"/>
        </w:rPr>
      </w:pPr>
      <w:r>
        <w:rPr>
          <w:rFonts w:hint="eastAsia" w:ascii="宋体" w:hAnsi="宋体" w:eastAsia="宋体" w:cs="宋体"/>
          <w:b/>
          <w:bCs/>
          <w:sz w:val="21"/>
          <w:szCs w:val="21"/>
        </w:rPr>
        <w:t>第二十一条</w:t>
      </w:r>
      <w:r>
        <w:rPr>
          <w:rFonts w:hint="eastAsia" w:ascii="宋体" w:hAnsi="宋体" w:eastAsia="宋体" w:cs="宋体"/>
          <w:sz w:val="21"/>
          <w:szCs w:val="21"/>
        </w:rPr>
        <w:t xml:space="preserve"> 被保险人一旦知道或应当知道可能引起本保险项下索赔的患者人身损害事故发生时，应该：</w:t>
      </w:r>
    </w:p>
    <w:p>
      <w:pPr>
        <w:pStyle w:val="29"/>
        <w:keepNext w:val="0"/>
        <w:keepLines w:val="0"/>
        <w:pageBreakBefore w:val="0"/>
        <w:kinsoku/>
        <w:wordWrap/>
        <w:topLinePunct w:val="0"/>
        <w:bidi w:val="0"/>
        <w:snapToGrid/>
        <w:spacing w:beforeLines="0" w:afterLines="0" w:line="490" w:lineRule="exact"/>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（一）尽力采取必要、合理的措施，防止或减少损失，否则，对因此扩大的损失，保险人不承担赔偿责任；</w:t>
      </w:r>
    </w:p>
    <w:p>
      <w:pPr>
        <w:pStyle w:val="29"/>
        <w:keepNext w:val="0"/>
        <w:keepLines w:val="0"/>
        <w:pageBreakBefore w:val="0"/>
        <w:kinsoku/>
        <w:wordWrap/>
        <w:topLinePunct w:val="0"/>
        <w:bidi w:val="0"/>
        <w:snapToGrid/>
        <w:spacing w:beforeLines="0" w:afterLines="0" w:line="490" w:lineRule="exact"/>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二）按照规定向有关部门报告，并按照规定的程序申请或进行调查、分析、鉴定。被保险人应妥善保管有关的原始资料，并对引起不良后果的药品、医疗器械等现场实物按照有关规定进行封存并妥善保管，以备查验；</w:t>
      </w:r>
    </w:p>
    <w:p>
      <w:pPr>
        <w:pStyle w:val="29"/>
        <w:keepNext w:val="0"/>
        <w:keepLines w:val="0"/>
        <w:pageBreakBefore w:val="0"/>
        <w:kinsoku/>
        <w:wordWrap/>
        <w:topLinePunct w:val="0"/>
        <w:bidi w:val="0"/>
        <w:snapToGrid/>
        <w:spacing w:beforeLines="0" w:afterLines="0" w:line="490" w:lineRule="exact"/>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（三）立即通知保险人，并书面说明事故发生的原因、经过和损失情况；</w:t>
      </w:r>
      <w:r>
        <w:rPr>
          <w:rStyle w:val="255"/>
          <w:rFonts w:hint="eastAsia" w:ascii="宋体" w:hAnsi="宋体" w:eastAsia="宋体" w:cs="宋体"/>
          <w:b w:val="0"/>
          <w:bCs w:val="0"/>
          <w:color w:val="000000"/>
          <w:sz w:val="21"/>
          <w:szCs w:val="21"/>
        </w:rPr>
        <w:t>故意或者因重大过失未及时通知，致使保险事故的性质、原因、损失程度等难以确定的，保险人对无法确定的部分，不承担赔偿责任</w:t>
      </w:r>
      <w:r>
        <w:rPr>
          <w:rFonts w:hint="eastAsia" w:ascii="宋体" w:hAnsi="宋体" w:eastAsia="宋体" w:cs="宋体"/>
          <w:b w:val="0"/>
          <w:bCs w:val="0"/>
          <w:sz w:val="21"/>
          <w:szCs w:val="21"/>
        </w:rPr>
        <w:t>，</w:t>
      </w:r>
      <w:r>
        <w:rPr>
          <w:rStyle w:val="255"/>
          <w:rFonts w:hint="eastAsia" w:ascii="宋体" w:hAnsi="宋体" w:eastAsia="宋体" w:cs="宋体"/>
          <w:b w:val="0"/>
          <w:bCs w:val="0"/>
          <w:color w:val="000000"/>
          <w:sz w:val="21"/>
          <w:szCs w:val="21"/>
        </w:rPr>
        <w:t>但保险人通过其他途径已经及时知道或者应当及时知道保险事故发生的除外；</w:t>
      </w:r>
    </w:p>
    <w:p>
      <w:pPr>
        <w:pStyle w:val="29"/>
        <w:keepNext w:val="0"/>
        <w:keepLines w:val="0"/>
        <w:pageBreakBefore w:val="0"/>
        <w:kinsoku/>
        <w:wordWrap/>
        <w:topLinePunct w:val="0"/>
        <w:bidi w:val="0"/>
        <w:snapToGrid/>
        <w:spacing w:beforeLines="0" w:afterLines="0" w:line="490" w:lineRule="exact"/>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（四）允许并且协助保险人进行事故调查；对于拒绝或者妨碍保险人进行事故调查导致无法确定事故原因或核实损失情况的，保险人对无法确定或核实的部分不承担赔偿责任。</w:t>
      </w:r>
    </w:p>
    <w:p>
      <w:pPr>
        <w:keepNext w:val="0"/>
        <w:keepLines w:val="0"/>
        <w:pageBreakBefore w:val="0"/>
        <w:kinsoku/>
        <w:wordWrap/>
        <w:topLinePunct w:val="0"/>
        <w:bidi w:val="0"/>
        <w:snapToGrid/>
        <w:spacing w:line="490" w:lineRule="exact"/>
        <w:ind w:firstLine="420" w:firstLineChars="199"/>
        <w:textAlignment w:val="auto"/>
        <w:rPr>
          <w:rFonts w:hint="eastAsia" w:ascii="宋体" w:hAnsi="宋体" w:eastAsia="宋体" w:cs="宋体"/>
          <w:sz w:val="21"/>
          <w:szCs w:val="21"/>
        </w:rPr>
      </w:pPr>
      <w:r>
        <w:rPr>
          <w:rFonts w:hint="eastAsia" w:ascii="宋体" w:hAnsi="宋体" w:eastAsia="宋体" w:cs="宋体"/>
          <w:b/>
          <w:bCs/>
          <w:sz w:val="21"/>
          <w:szCs w:val="21"/>
        </w:rPr>
        <w:t>第二十二条</w:t>
      </w:r>
      <w:r>
        <w:rPr>
          <w:rFonts w:hint="eastAsia" w:ascii="宋体" w:hAnsi="宋体" w:eastAsia="宋体" w:cs="宋体"/>
          <w:sz w:val="21"/>
          <w:szCs w:val="21"/>
        </w:rPr>
        <w:t xml:space="preserve"> 被保险人收到患者或其近亲属的损害赔偿请求时，应立即通知保险人。未经保险人书面</w:t>
      </w:r>
      <w:r>
        <w:rPr>
          <w:rFonts w:hint="eastAsia" w:ascii="宋体" w:hAnsi="宋体" w:eastAsia="宋体" w:cs="宋体"/>
          <w:b w:val="0"/>
          <w:bCs w:val="0"/>
          <w:sz w:val="21"/>
          <w:szCs w:val="21"/>
        </w:rPr>
        <w:t>同意，被保险人对患者或其近亲属作出的任何承诺、拒绝、出价、约定、付款或赔偿，保险人不受其约束。</w:t>
      </w:r>
      <w:r>
        <w:rPr>
          <w:rStyle w:val="255"/>
          <w:rFonts w:hint="eastAsia" w:ascii="宋体" w:hAnsi="宋体" w:eastAsia="宋体" w:cs="宋体"/>
          <w:b w:val="0"/>
          <w:bCs w:val="0"/>
          <w:sz w:val="21"/>
          <w:szCs w:val="21"/>
        </w:rPr>
        <w:t>对于被保险人自行承诺或支付的赔偿金额，保险人有权重新核定，不属于本保险责任范围或超出责任限额的，保险人不承担赔偿责任。在处理索赔过程中，保险人有权自行处理由其承担最终赔偿责任的任何索赔案件，被保险人有义务向保险人提供其所能提供的资料和协助</w:t>
      </w:r>
      <w:r>
        <w:rPr>
          <w:rFonts w:hint="eastAsia" w:ascii="宋体" w:hAnsi="宋体" w:eastAsia="宋体" w:cs="宋体"/>
          <w:b/>
          <w:bCs/>
          <w:sz w:val="21"/>
          <w:szCs w:val="21"/>
        </w:rPr>
        <w:t>。</w:t>
      </w:r>
    </w:p>
    <w:p>
      <w:pPr>
        <w:keepNext w:val="0"/>
        <w:keepLines w:val="0"/>
        <w:pageBreakBefore w:val="0"/>
        <w:kinsoku/>
        <w:wordWrap/>
        <w:topLinePunct w:val="0"/>
        <w:bidi w:val="0"/>
        <w:spacing w:line="490" w:lineRule="exact"/>
        <w:ind w:firstLine="420" w:firstLineChars="199"/>
        <w:textAlignment w:val="auto"/>
        <w:rPr>
          <w:rFonts w:hint="eastAsia" w:ascii="宋体" w:hAnsi="宋体" w:eastAsia="宋体" w:cs="宋体"/>
          <w:sz w:val="21"/>
          <w:szCs w:val="21"/>
        </w:rPr>
      </w:pPr>
      <w:r>
        <w:rPr>
          <w:rFonts w:hint="eastAsia" w:ascii="宋体" w:hAnsi="宋体" w:eastAsia="宋体" w:cs="宋体"/>
          <w:b/>
          <w:bCs/>
          <w:sz w:val="21"/>
          <w:szCs w:val="21"/>
        </w:rPr>
        <w:t>第二十三条</w:t>
      </w:r>
      <w:r>
        <w:rPr>
          <w:rFonts w:hint="eastAsia" w:ascii="宋体" w:hAnsi="宋体" w:eastAsia="宋体" w:cs="宋体"/>
          <w:sz w:val="21"/>
          <w:szCs w:val="21"/>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keepNext w:val="0"/>
        <w:keepLines w:val="0"/>
        <w:pageBreakBefore w:val="0"/>
        <w:kinsoku/>
        <w:wordWrap/>
        <w:topLinePunct w:val="0"/>
        <w:bidi w:val="0"/>
        <w:spacing w:line="490" w:lineRule="exact"/>
        <w:ind w:firstLine="417" w:firstLineChars="199"/>
        <w:textAlignment w:val="auto"/>
        <w:rPr>
          <w:rFonts w:hint="eastAsia" w:ascii="宋体" w:hAnsi="宋体" w:eastAsia="宋体" w:cs="宋体"/>
          <w:b/>
          <w:sz w:val="21"/>
          <w:szCs w:val="21"/>
        </w:rPr>
      </w:pPr>
      <w:r>
        <w:rPr>
          <w:rFonts w:hint="eastAsia" w:ascii="宋体" w:hAnsi="宋体" w:eastAsia="宋体" w:cs="宋体"/>
          <w:b w:val="0"/>
          <w:bCs/>
          <w:sz w:val="21"/>
          <w:szCs w:val="21"/>
        </w:rPr>
        <w:t>对因未及时提供上述通知或必要协助引起或扩大的损失，保险人不承担赔偿责任。</w:t>
      </w:r>
    </w:p>
    <w:p>
      <w:pPr>
        <w:keepNext w:val="0"/>
        <w:keepLines w:val="0"/>
        <w:pageBreakBefore w:val="0"/>
        <w:kinsoku/>
        <w:wordWrap/>
        <w:topLinePunct w:val="0"/>
        <w:bidi w:val="0"/>
        <w:spacing w:line="490" w:lineRule="exact"/>
        <w:ind w:firstLine="420" w:firstLineChars="199"/>
        <w:textAlignment w:val="auto"/>
        <w:rPr>
          <w:rStyle w:val="255"/>
          <w:rFonts w:hint="eastAsia" w:ascii="宋体" w:hAnsi="宋体" w:eastAsia="宋体" w:cs="宋体"/>
          <w:sz w:val="21"/>
          <w:szCs w:val="21"/>
        </w:rPr>
      </w:pPr>
      <w:r>
        <w:rPr>
          <w:rFonts w:hint="eastAsia" w:ascii="宋体" w:hAnsi="宋体" w:eastAsia="宋体" w:cs="宋体"/>
          <w:b/>
          <w:bCs/>
          <w:sz w:val="21"/>
          <w:szCs w:val="21"/>
        </w:rPr>
        <w:t>第二十四条</w:t>
      </w:r>
      <w:r>
        <w:rPr>
          <w:rFonts w:hint="eastAsia" w:ascii="宋体" w:hAnsi="宋体" w:eastAsia="宋体" w:cs="宋体"/>
          <w:sz w:val="21"/>
          <w:szCs w:val="21"/>
        </w:rPr>
        <w:t xml:space="preserve"> 被保险</w:t>
      </w:r>
      <w:r>
        <w:rPr>
          <w:rStyle w:val="255"/>
          <w:rFonts w:hint="eastAsia" w:ascii="宋体" w:hAnsi="宋体" w:eastAsia="宋体" w:cs="宋体"/>
          <w:sz w:val="21"/>
          <w:szCs w:val="21"/>
        </w:rPr>
        <w:t>人向保险人请求赔偿时，应提交下列单证材料：</w:t>
      </w:r>
    </w:p>
    <w:p>
      <w:pPr>
        <w:keepNext w:val="0"/>
        <w:keepLines w:val="0"/>
        <w:pageBreakBefore w:val="0"/>
        <w:kinsoku/>
        <w:wordWrap/>
        <w:topLinePunct w:val="0"/>
        <w:bidi w:val="0"/>
        <w:spacing w:line="490" w:lineRule="exact"/>
        <w:ind w:firstLine="420" w:firstLineChars="200"/>
        <w:textAlignment w:val="auto"/>
        <w:rPr>
          <w:rStyle w:val="255"/>
          <w:rFonts w:hint="eastAsia" w:ascii="宋体" w:hAnsi="宋体" w:eastAsia="宋体" w:cs="宋体"/>
          <w:sz w:val="21"/>
          <w:szCs w:val="21"/>
        </w:rPr>
      </w:pPr>
      <w:r>
        <w:rPr>
          <w:rStyle w:val="255"/>
          <w:rFonts w:hint="eastAsia" w:ascii="宋体" w:hAnsi="宋体" w:eastAsia="宋体" w:cs="宋体"/>
          <w:sz w:val="21"/>
          <w:szCs w:val="21"/>
        </w:rPr>
        <w:t>（一）保险单正本和被保险人已经向第三者支付赔偿金的书面证明材料；</w:t>
      </w:r>
    </w:p>
    <w:p>
      <w:pPr>
        <w:keepNext w:val="0"/>
        <w:keepLines w:val="0"/>
        <w:pageBreakBefore w:val="0"/>
        <w:kinsoku/>
        <w:wordWrap/>
        <w:topLinePunct w:val="0"/>
        <w:bidi w:val="0"/>
        <w:spacing w:line="490" w:lineRule="exact"/>
        <w:ind w:firstLine="420" w:firstLineChars="200"/>
        <w:textAlignment w:val="auto"/>
        <w:rPr>
          <w:rStyle w:val="255"/>
          <w:rFonts w:hint="eastAsia" w:ascii="宋体" w:hAnsi="宋体" w:eastAsia="宋体" w:cs="宋体"/>
          <w:sz w:val="21"/>
          <w:szCs w:val="21"/>
        </w:rPr>
      </w:pPr>
      <w:r>
        <w:rPr>
          <w:rStyle w:val="255"/>
          <w:rFonts w:hint="eastAsia" w:ascii="宋体" w:hAnsi="宋体" w:eastAsia="宋体" w:cs="宋体"/>
          <w:sz w:val="21"/>
          <w:szCs w:val="21"/>
        </w:rPr>
        <w:t>（二）有关责任人的资格和执业证明、医疗机构与责任人的劳动关系证明；</w:t>
      </w:r>
      <w:r>
        <w:rPr>
          <w:rStyle w:val="255"/>
          <w:rFonts w:hint="eastAsia" w:ascii="宋体" w:hAnsi="宋体" w:eastAsia="宋体" w:cs="宋体"/>
          <w:sz w:val="21"/>
          <w:szCs w:val="21"/>
        </w:rPr>
        <w:br w:type="textWrapping"/>
      </w:r>
      <w:r>
        <w:rPr>
          <w:rStyle w:val="255"/>
          <w:rFonts w:hint="eastAsia" w:ascii="宋体" w:hAnsi="宋体" w:eastAsia="宋体" w:cs="宋体"/>
          <w:sz w:val="21"/>
          <w:szCs w:val="21"/>
        </w:rPr>
        <w:t xml:space="preserve">    （三）患者完整的病例资料；</w:t>
      </w:r>
    </w:p>
    <w:p>
      <w:pPr>
        <w:keepNext w:val="0"/>
        <w:keepLines w:val="0"/>
        <w:pageBreakBefore w:val="0"/>
        <w:kinsoku/>
        <w:wordWrap/>
        <w:topLinePunct w:val="0"/>
        <w:bidi w:val="0"/>
        <w:spacing w:line="490" w:lineRule="exact"/>
        <w:ind w:firstLine="420" w:firstLineChars="200"/>
        <w:textAlignment w:val="auto"/>
        <w:rPr>
          <w:rStyle w:val="255"/>
          <w:rFonts w:hint="eastAsia" w:ascii="宋体" w:hAnsi="宋体" w:eastAsia="宋体" w:cs="宋体"/>
          <w:sz w:val="21"/>
          <w:szCs w:val="21"/>
        </w:rPr>
      </w:pPr>
      <w:r>
        <w:rPr>
          <w:rStyle w:val="255"/>
          <w:rFonts w:hint="eastAsia" w:ascii="宋体" w:hAnsi="宋体" w:eastAsia="宋体" w:cs="宋体"/>
          <w:sz w:val="21"/>
          <w:szCs w:val="21"/>
        </w:rPr>
        <w:t>（四）患者伤残的，应当提供权威部门出具的伤残程度证明；患者死亡的，应当提供死亡证明书；</w:t>
      </w:r>
    </w:p>
    <w:p>
      <w:pPr>
        <w:keepNext w:val="0"/>
        <w:keepLines w:val="0"/>
        <w:pageBreakBefore w:val="0"/>
        <w:kinsoku/>
        <w:wordWrap/>
        <w:topLinePunct w:val="0"/>
        <w:bidi w:val="0"/>
        <w:spacing w:line="490" w:lineRule="exact"/>
        <w:ind w:firstLine="420" w:firstLineChars="200"/>
        <w:textAlignment w:val="auto"/>
        <w:rPr>
          <w:rStyle w:val="255"/>
          <w:rFonts w:hint="eastAsia" w:ascii="宋体" w:hAnsi="宋体" w:eastAsia="宋体" w:cs="宋体"/>
          <w:sz w:val="21"/>
          <w:szCs w:val="21"/>
        </w:rPr>
      </w:pPr>
      <w:r>
        <w:rPr>
          <w:rStyle w:val="255"/>
          <w:rFonts w:hint="eastAsia" w:ascii="宋体" w:hAnsi="宋体" w:eastAsia="宋体" w:cs="宋体"/>
          <w:sz w:val="21"/>
          <w:szCs w:val="21"/>
        </w:rPr>
        <w:t>（五）</w:t>
      </w:r>
      <w:r>
        <w:rPr>
          <w:rFonts w:hint="eastAsia" w:ascii="宋体" w:hAnsi="宋体" w:eastAsia="宋体" w:cs="宋体"/>
          <w:sz w:val="21"/>
          <w:szCs w:val="21"/>
        </w:rPr>
        <w:t>患者或其近亲属</w:t>
      </w:r>
      <w:r>
        <w:rPr>
          <w:rStyle w:val="255"/>
          <w:rFonts w:hint="eastAsia" w:ascii="宋体" w:hAnsi="宋体" w:eastAsia="宋体" w:cs="宋体"/>
          <w:sz w:val="21"/>
          <w:szCs w:val="21"/>
        </w:rPr>
        <w:t xml:space="preserve">的书面索赔申请；    </w:t>
      </w:r>
    </w:p>
    <w:p>
      <w:pPr>
        <w:keepNext w:val="0"/>
        <w:keepLines w:val="0"/>
        <w:pageBreakBefore w:val="0"/>
        <w:kinsoku/>
        <w:wordWrap/>
        <w:topLinePunct w:val="0"/>
        <w:bidi w:val="0"/>
        <w:spacing w:line="490" w:lineRule="exact"/>
        <w:ind w:firstLine="420" w:firstLineChars="200"/>
        <w:textAlignment w:val="auto"/>
        <w:rPr>
          <w:rStyle w:val="255"/>
          <w:rFonts w:hint="eastAsia" w:ascii="宋体" w:hAnsi="宋体" w:eastAsia="宋体" w:cs="宋体"/>
          <w:sz w:val="21"/>
          <w:szCs w:val="21"/>
        </w:rPr>
      </w:pPr>
      <w:r>
        <w:rPr>
          <w:rStyle w:val="255"/>
          <w:rFonts w:hint="eastAsia" w:ascii="宋体" w:hAnsi="宋体" w:eastAsia="宋体" w:cs="宋体"/>
          <w:sz w:val="21"/>
          <w:szCs w:val="21"/>
        </w:rPr>
        <w:t>（六）事故情况说明、赔偿项目清单；</w:t>
      </w:r>
    </w:p>
    <w:p>
      <w:pPr>
        <w:keepNext w:val="0"/>
        <w:keepLines w:val="0"/>
        <w:pageBreakBefore w:val="0"/>
        <w:kinsoku/>
        <w:wordWrap/>
        <w:topLinePunct w:val="0"/>
        <w:bidi w:val="0"/>
        <w:spacing w:line="490" w:lineRule="exact"/>
        <w:ind w:firstLine="420" w:firstLineChars="200"/>
        <w:textAlignment w:val="auto"/>
        <w:rPr>
          <w:rStyle w:val="255"/>
          <w:rFonts w:hint="eastAsia" w:ascii="宋体" w:hAnsi="宋体" w:eastAsia="宋体" w:cs="宋体"/>
          <w:sz w:val="21"/>
          <w:szCs w:val="21"/>
        </w:rPr>
      </w:pPr>
      <w:r>
        <w:rPr>
          <w:rStyle w:val="255"/>
          <w:rFonts w:hint="eastAsia" w:ascii="宋体" w:hAnsi="宋体" w:eastAsia="宋体" w:cs="宋体"/>
          <w:sz w:val="21"/>
          <w:szCs w:val="21"/>
        </w:rPr>
        <w:t>（七）经法院、仲裁机构或卫生行政部门依法判决、裁决、裁定或调解的，应当提供判决、裁定文件或调解书；</w:t>
      </w:r>
    </w:p>
    <w:p>
      <w:pPr>
        <w:keepNext w:val="0"/>
        <w:keepLines w:val="0"/>
        <w:pageBreakBefore w:val="0"/>
        <w:kinsoku/>
        <w:wordWrap/>
        <w:topLinePunct w:val="0"/>
        <w:bidi w:val="0"/>
        <w:spacing w:line="490" w:lineRule="exact"/>
        <w:ind w:firstLine="420" w:firstLineChars="200"/>
        <w:textAlignment w:val="auto"/>
        <w:rPr>
          <w:rStyle w:val="255"/>
          <w:rFonts w:hint="eastAsia" w:ascii="宋体" w:hAnsi="宋体" w:eastAsia="宋体" w:cs="宋体"/>
          <w:sz w:val="21"/>
          <w:szCs w:val="21"/>
        </w:rPr>
      </w:pPr>
      <w:r>
        <w:rPr>
          <w:rStyle w:val="255"/>
          <w:rFonts w:hint="eastAsia" w:ascii="宋体" w:hAnsi="宋体" w:eastAsia="宋体" w:cs="宋体"/>
          <w:sz w:val="21"/>
          <w:szCs w:val="21"/>
        </w:rPr>
        <w:t>（八）投保人、被保险人所能提供的其他与确认保险事故的性质、原因、损失程度等有关的证明和资料。</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投保人、被保险人未履行前款约定的单证提供义务，导致保险人无法核实损失情况的，保险人对无法核实部分不承担赔偿责任。</w:t>
      </w:r>
    </w:p>
    <w:p>
      <w:pPr>
        <w:keepNext w:val="0"/>
        <w:keepLines w:val="0"/>
        <w:pageBreakBefore w:val="0"/>
        <w:kinsoku/>
        <w:wordWrap/>
        <w:topLinePunct w:val="0"/>
        <w:bidi w:val="0"/>
        <w:spacing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第二十五条</w:t>
      </w:r>
      <w:r>
        <w:rPr>
          <w:rFonts w:hint="eastAsia" w:ascii="宋体" w:hAnsi="宋体" w:eastAsia="宋体" w:cs="宋体"/>
          <w:sz w:val="21"/>
          <w:szCs w:val="21"/>
        </w:rPr>
        <w:t xml:space="preserve"> 发生保险责任范围内的损失，应由有关责任方负责赔偿的，被保险人应行使或保留向该责任方请求赔偿的权利。</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保险事故发生后，保险人未履行赔偿义务之前，被保险人放弃对有关责任方请求赔偿的权利的，保险人不承担赔偿责任。</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保险人向被保险人赔偿保险金后，在赔偿金额范围内代位行使被保险人对有关责任方请求赔偿的权利，被保险人未经保险人同意放弃对有关责任方请求赔偿的权利的，该行为无效。</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在保险人向有关责任方行使代位请求赔偿权利时，被保险人应当向保险人提供必要的文件和其所知道的有关情况。</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由于被保险人的故意或者重大过失致使保险人不能行使代位请求赔偿的权利的，保险人可以扣减或者要求返还相应的赔偿金额。</w:t>
      </w:r>
    </w:p>
    <w:p>
      <w:pPr>
        <w:keepNext w:val="0"/>
        <w:keepLines w:val="0"/>
        <w:pageBreakBefore w:val="0"/>
        <w:kinsoku/>
        <w:wordWrap/>
        <w:topLinePunct w:val="0"/>
        <w:bidi w:val="0"/>
        <w:spacing w:line="49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赔偿处理</w:t>
      </w:r>
    </w:p>
    <w:p>
      <w:pPr>
        <w:keepNext w:val="0"/>
        <w:keepLines w:val="0"/>
        <w:pageBreakBefore w:val="0"/>
        <w:kinsoku/>
        <w:wordWrap/>
        <w:topLinePunct w:val="0"/>
        <w:bidi w:val="0"/>
        <w:spacing w:line="49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第二十六条</w:t>
      </w:r>
      <w:r>
        <w:rPr>
          <w:rFonts w:hint="eastAsia" w:ascii="宋体" w:hAnsi="宋体" w:eastAsia="宋体" w:cs="宋体"/>
          <w:sz w:val="21"/>
          <w:szCs w:val="21"/>
        </w:rPr>
        <w:t xml:space="preserve"> 保险人接到被保险人的索赔申请后，有权聘请专业技术人员参与调查、处理。</w:t>
      </w:r>
    </w:p>
    <w:p>
      <w:pPr>
        <w:keepNext w:val="0"/>
        <w:keepLines w:val="0"/>
        <w:pageBreakBefore w:val="0"/>
        <w:kinsoku/>
        <w:wordWrap/>
        <w:topLinePunct w:val="0"/>
        <w:bidi w:val="0"/>
        <w:spacing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第二十七条 </w:t>
      </w:r>
      <w:r>
        <w:rPr>
          <w:rFonts w:hint="eastAsia" w:ascii="宋体" w:hAnsi="宋体" w:eastAsia="宋体" w:cs="宋体"/>
          <w:sz w:val="21"/>
          <w:szCs w:val="21"/>
        </w:rPr>
        <w:t>保险人以下列方式之一确定的被保险人的赔偿责任为基础，按照保险合同的约定进行赔偿：</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（一）被保险人和向其提出损害赔偿请求的患者协商并经保险人确认；</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（二）仲裁机构裁决；</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（三）人民法院判决；</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（四）卫生行政部门调解；</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（五）保险人认可的其它方式。</w:t>
      </w:r>
    </w:p>
    <w:p>
      <w:pPr>
        <w:keepNext w:val="0"/>
        <w:keepLines w:val="0"/>
        <w:pageBreakBefore w:val="0"/>
        <w:kinsoku/>
        <w:wordWrap/>
        <w:topLinePunct w:val="0"/>
        <w:bidi w:val="0"/>
        <w:spacing w:line="490" w:lineRule="exact"/>
        <w:ind w:firstLine="422" w:firstLineChars="200"/>
        <w:textAlignment w:val="auto"/>
        <w:rPr>
          <w:rFonts w:hint="eastAsia" w:ascii="宋体" w:hAnsi="宋体" w:eastAsia="宋体" w:cs="宋体"/>
          <w:b w:val="0"/>
          <w:bCs/>
          <w:sz w:val="21"/>
          <w:szCs w:val="21"/>
        </w:rPr>
      </w:pPr>
      <w:r>
        <w:rPr>
          <w:rFonts w:hint="eastAsia" w:ascii="宋体" w:hAnsi="宋体" w:eastAsia="宋体" w:cs="宋体"/>
          <w:b/>
          <w:sz w:val="21"/>
          <w:szCs w:val="21"/>
        </w:rPr>
        <w:t xml:space="preserve">第二十八条 </w:t>
      </w:r>
      <w:r>
        <w:rPr>
          <w:rFonts w:hint="eastAsia" w:ascii="宋体" w:hAnsi="宋体" w:eastAsia="宋体" w:cs="宋体"/>
          <w:b w:val="0"/>
          <w:bCs/>
          <w:sz w:val="21"/>
          <w:szCs w:val="21"/>
        </w:rPr>
        <w:t>被保险人给患者造成损害，被保险人未向该患者或其近亲属赔偿的，保险人不负责向被保险人赔偿保险金。</w:t>
      </w:r>
    </w:p>
    <w:p>
      <w:pPr>
        <w:keepNext w:val="0"/>
        <w:keepLines w:val="0"/>
        <w:pageBreakBefore w:val="0"/>
        <w:kinsoku/>
        <w:wordWrap/>
        <w:topLinePunct w:val="0"/>
        <w:bidi w:val="0"/>
        <w:spacing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第二十九条</w:t>
      </w:r>
      <w:r>
        <w:rPr>
          <w:rFonts w:hint="eastAsia" w:ascii="宋体" w:hAnsi="宋体" w:eastAsia="宋体" w:cs="宋体"/>
          <w:sz w:val="21"/>
          <w:szCs w:val="21"/>
        </w:rPr>
        <w:t xml:space="preserve"> 发生保险责任范围内的损失，保险人按以下方式计算赔偿：</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（一）对于被保险人对每位患者造成的人身伤害，保险人在医疗责任每人责任限额内计算赔偿；</w:t>
      </w:r>
      <w:r>
        <w:rPr>
          <w:rFonts w:hint="eastAsia" w:ascii="宋体" w:hAnsi="宋体" w:eastAsia="宋体" w:cs="宋体"/>
          <w:color w:val="000000"/>
          <w:sz w:val="21"/>
          <w:szCs w:val="21"/>
        </w:rPr>
        <w:t>对于被保险人对每位患者依法应当承担的精神损害赔偿责任，保险人的赔偿金额以本保险单列明的精神损害每人责任限额为限，并计算在医疗责任每人责任限额之内。</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对于被保险人对每位患者人身伤害的赔偿责任和精神损害的赔偿责任，保险人在扣除保险合同列明的每次事故免赔额或按每次事故免赔率计算的免赔额后，在医疗责任每人责任限额之内进行赔偿。</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（二）在保险期间内，保险人对被保险人多次索赔的各项赔偿金额之和不超过本保险合同载明的医疗责任累计责任限额。</w:t>
      </w:r>
    </w:p>
    <w:p>
      <w:pPr>
        <w:keepNext w:val="0"/>
        <w:keepLines w:val="0"/>
        <w:pageBreakBefore w:val="0"/>
        <w:kinsoku/>
        <w:wordWrap/>
        <w:topLinePunct w:val="0"/>
        <w:bidi w:val="0"/>
        <w:spacing w:line="49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 xml:space="preserve">第三十条 </w:t>
      </w:r>
      <w:r>
        <w:rPr>
          <w:rFonts w:hint="eastAsia" w:ascii="宋体" w:hAnsi="宋体" w:eastAsia="宋体" w:cs="宋体"/>
          <w:color w:val="000000"/>
          <w:sz w:val="21"/>
          <w:szCs w:val="21"/>
        </w:rPr>
        <w:t>对于法律费用，保险人在第二十九条计算的赔偿金额以外按以下约定另行计算赔偿：</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（一）保险人对法律费用的每次事故赔偿金额以实际发生的费用金额为准，但不得超过本保险单列明的法律费用每次事故责任限额；</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（二）在保险期间内，保险人对被保险人多次索赔的法律费用累计赔偿金额不得超过本保险单列明的法律费用累计责任限额。</w:t>
      </w:r>
    </w:p>
    <w:p>
      <w:pPr>
        <w:keepNext w:val="0"/>
        <w:keepLines w:val="0"/>
        <w:pageBreakBefore w:val="0"/>
        <w:kinsoku/>
        <w:wordWrap/>
        <w:topLinePunct w:val="0"/>
        <w:bidi w:val="0"/>
        <w:spacing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第三十一条 </w:t>
      </w:r>
      <w:r>
        <w:rPr>
          <w:rFonts w:hint="eastAsia" w:ascii="宋体" w:hAnsi="宋体" w:eastAsia="宋体" w:cs="宋体"/>
          <w:sz w:val="21"/>
          <w:szCs w:val="21"/>
        </w:rPr>
        <w:t>发生保险事故时，如果被保险人的损失能够从其他相同保障的保险项下也获得赔偿，则本保险人按照本保险合同的责任限额与所有有关保险合同的责任限额总和的比例承担赔偿责任。</w:t>
      </w:r>
    </w:p>
    <w:p>
      <w:pPr>
        <w:keepNext w:val="0"/>
        <w:keepLines w:val="0"/>
        <w:pageBreakBefore w:val="0"/>
        <w:kinsoku/>
        <w:wordWrap/>
        <w:topLinePunct w:val="0"/>
        <w:bidi w:val="0"/>
        <w:spacing w:line="49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其他保险人应承担的赔偿金额，本保险人不负责垫付。若被保险人未如实告知导致保险人多支付赔偿金的，保险人有权向被保险人追回多支付的部分。</w:t>
      </w:r>
    </w:p>
    <w:p>
      <w:pPr>
        <w:keepNext w:val="0"/>
        <w:keepLines w:val="0"/>
        <w:pageBreakBefore w:val="0"/>
        <w:kinsoku/>
        <w:wordWrap/>
        <w:topLinePunct w:val="0"/>
        <w:bidi w:val="0"/>
        <w:adjustRightInd w:val="0"/>
        <w:snapToGrid w:val="0"/>
        <w:spacing w:line="490" w:lineRule="exact"/>
        <w:ind w:firstLine="422" w:firstLineChars="200"/>
        <w:textAlignment w:val="auto"/>
        <w:rPr>
          <w:rFonts w:hint="eastAsia" w:ascii="宋体" w:hAnsi="宋体" w:eastAsia="宋体" w:cs="宋体"/>
          <w:snapToGrid w:val="0"/>
          <w:kern w:val="0"/>
          <w:sz w:val="21"/>
          <w:szCs w:val="21"/>
        </w:rPr>
      </w:pPr>
      <w:r>
        <w:rPr>
          <w:rFonts w:hint="eastAsia" w:ascii="宋体" w:hAnsi="宋体" w:eastAsia="宋体" w:cs="宋体"/>
          <w:b/>
          <w:color w:val="000000"/>
          <w:sz w:val="21"/>
          <w:szCs w:val="21"/>
        </w:rPr>
        <w:t xml:space="preserve">第三十二条 </w:t>
      </w:r>
      <w:r>
        <w:rPr>
          <w:rFonts w:hint="eastAsia" w:ascii="宋体" w:hAnsi="宋体" w:eastAsia="宋体" w:cs="宋体"/>
          <w:snapToGrid w:val="0"/>
          <w:kern w:val="0"/>
          <w:sz w:val="21"/>
          <w:szCs w:val="21"/>
        </w:rPr>
        <w:t>保险人受理报案、进行现场查勘、核损定价、参与案件诉讼、向被保险人提供建议等行为，均不构成保险人对赔偿责任的承诺。</w:t>
      </w:r>
    </w:p>
    <w:p>
      <w:pPr>
        <w:keepNext w:val="0"/>
        <w:keepLines w:val="0"/>
        <w:pageBreakBefore w:val="0"/>
        <w:kinsoku/>
        <w:wordWrap/>
        <w:topLinePunct w:val="0"/>
        <w:bidi w:val="0"/>
        <w:spacing w:line="490" w:lineRule="exact"/>
        <w:ind w:firstLine="422" w:firstLineChars="200"/>
        <w:textAlignment w:val="auto"/>
        <w:rPr>
          <w:rStyle w:val="255"/>
          <w:rFonts w:hint="eastAsia" w:ascii="宋体" w:hAnsi="宋体" w:eastAsia="宋体" w:cs="宋体"/>
          <w:color w:val="000000"/>
          <w:sz w:val="21"/>
          <w:szCs w:val="21"/>
        </w:rPr>
      </w:pPr>
      <w:r>
        <w:rPr>
          <w:rStyle w:val="255"/>
          <w:rFonts w:hint="eastAsia" w:ascii="宋体" w:hAnsi="宋体" w:eastAsia="宋体" w:cs="宋体"/>
          <w:b/>
          <w:color w:val="000000"/>
          <w:sz w:val="21"/>
          <w:szCs w:val="21"/>
        </w:rPr>
        <w:t>第三十三条</w:t>
      </w:r>
      <w:r>
        <w:rPr>
          <w:rStyle w:val="255"/>
          <w:rFonts w:hint="eastAsia" w:ascii="宋体" w:hAnsi="宋体" w:eastAsia="宋体" w:cs="宋体"/>
          <w:color w:val="000000"/>
          <w:sz w:val="21"/>
          <w:szCs w:val="21"/>
        </w:rPr>
        <w:t xml:space="preserve"> 被保险人向保险人请求赔偿的诉讼时效期间为二年，自其知道或者应当知道保险事故发生之日起计算。</w:t>
      </w:r>
    </w:p>
    <w:p>
      <w:pPr>
        <w:keepNext w:val="0"/>
        <w:keepLines w:val="0"/>
        <w:pageBreakBefore w:val="0"/>
        <w:kinsoku/>
        <w:wordWrap/>
        <w:topLinePunct w:val="0"/>
        <w:bidi w:val="0"/>
        <w:spacing w:line="49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争议处理</w:t>
      </w:r>
    </w:p>
    <w:p>
      <w:pPr>
        <w:keepNext w:val="0"/>
        <w:keepLines w:val="0"/>
        <w:pageBreakBefore w:val="0"/>
        <w:kinsoku/>
        <w:wordWrap/>
        <w:topLinePunct w:val="0"/>
        <w:bidi w:val="0"/>
        <w:snapToGrid w:val="0"/>
        <w:spacing w:line="49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第三十四条 </w:t>
      </w:r>
      <w:r>
        <w:rPr>
          <w:rFonts w:hint="eastAsia" w:ascii="宋体" w:hAnsi="宋体" w:eastAsia="宋体" w:cs="宋体"/>
          <w:sz w:val="21"/>
          <w:szCs w:val="21"/>
        </w:rPr>
        <w:t>因履行本保险合同发生争议的，由当事人协商解决。协商不成的，提交保险单载明的仲裁机构仲裁；保险单未载明仲裁机构且争议发生后未达成仲裁协议的，可向中华人民共和国人民法院起诉。</w:t>
      </w:r>
    </w:p>
    <w:p>
      <w:pPr>
        <w:pStyle w:val="20"/>
        <w:keepNext w:val="0"/>
        <w:keepLines w:val="0"/>
        <w:pageBreakBefore w:val="0"/>
        <w:kinsoku/>
        <w:wordWrap/>
        <w:topLinePunct w:val="0"/>
        <w:bidi w:val="0"/>
        <w:spacing w:line="490" w:lineRule="exact"/>
        <w:ind w:firstLine="447" w:firstLineChars="212"/>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第三十五条</w:t>
      </w:r>
      <w:r>
        <w:rPr>
          <w:rFonts w:hint="eastAsia" w:ascii="宋体" w:hAnsi="宋体" w:eastAsia="宋体" w:cs="宋体"/>
          <w:color w:val="auto"/>
          <w:sz w:val="21"/>
          <w:szCs w:val="21"/>
        </w:rPr>
        <w:t xml:space="preserve"> 本保险合同的争议处理适用中华人民共和国法律</w:t>
      </w:r>
      <w:r>
        <w:rPr>
          <w:rFonts w:hint="eastAsia" w:ascii="宋体" w:hAnsi="宋体" w:eastAsia="宋体" w:cs="宋体"/>
          <w:sz w:val="21"/>
          <w:szCs w:val="21"/>
        </w:rPr>
        <w:t>（不包</w:t>
      </w:r>
      <w:r>
        <w:rPr>
          <w:rFonts w:hint="eastAsia" w:ascii="宋体" w:hAnsi="宋体" w:eastAsia="宋体" w:cs="宋体"/>
          <w:sz w:val="21"/>
          <w:szCs w:val="21"/>
          <w:lang w:val="zh-CN"/>
        </w:rPr>
        <w:t>括港澳台地区法律）</w:t>
      </w:r>
      <w:r>
        <w:rPr>
          <w:rFonts w:hint="eastAsia" w:ascii="宋体" w:hAnsi="宋体" w:eastAsia="宋体" w:cs="宋体"/>
          <w:color w:val="auto"/>
          <w:sz w:val="21"/>
          <w:szCs w:val="21"/>
        </w:rPr>
        <w:t>。</w:t>
      </w:r>
    </w:p>
    <w:p>
      <w:pPr>
        <w:keepNext w:val="0"/>
        <w:keepLines w:val="0"/>
        <w:pageBreakBefore w:val="0"/>
        <w:kinsoku/>
        <w:wordWrap/>
        <w:topLinePunct w:val="0"/>
        <w:bidi w:val="0"/>
        <w:spacing w:line="49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其他事项</w:t>
      </w:r>
    </w:p>
    <w:p>
      <w:pPr>
        <w:pStyle w:val="29"/>
        <w:keepNext w:val="0"/>
        <w:keepLines w:val="0"/>
        <w:pageBreakBefore w:val="0"/>
        <w:kinsoku/>
        <w:wordWrap/>
        <w:topLinePunct w:val="0"/>
        <w:bidi w:val="0"/>
        <w:spacing w:beforeLines="0" w:afterLines="0" w:line="490" w:lineRule="exact"/>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第三十六条</w:t>
      </w:r>
      <w:r>
        <w:rPr>
          <w:rFonts w:hint="eastAsia" w:ascii="宋体" w:hAnsi="宋体" w:eastAsia="宋体" w:cs="宋体"/>
          <w:sz w:val="21"/>
          <w:szCs w:val="21"/>
        </w:rPr>
        <w:t xml:space="preserve"> 保险责任开始前，投保人要求解除保险合同的，应当向保险人支付相当于保险费5%的退保手续费，保险人应当退还剩余部分保险费；</w:t>
      </w:r>
      <w:r>
        <w:rPr>
          <w:rFonts w:hint="eastAsia" w:ascii="宋体" w:hAnsi="宋体" w:eastAsia="宋体" w:cs="宋体"/>
          <w:bCs/>
          <w:sz w:val="21"/>
          <w:szCs w:val="21"/>
        </w:rPr>
        <w:t>保险人要求解除保险合同的，不得向投保人收取手续费并应退还已收取的保险费。</w:t>
      </w:r>
    </w:p>
    <w:p>
      <w:pPr>
        <w:pStyle w:val="29"/>
        <w:keepNext w:val="0"/>
        <w:keepLines w:val="0"/>
        <w:pageBreakBefore w:val="0"/>
        <w:kinsoku/>
        <w:wordWrap/>
        <w:topLinePunct w:val="0"/>
        <w:bidi w:val="0"/>
        <w:spacing w:beforeLines="0" w:afterLines="0" w:line="4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pacing w:line="600" w:lineRule="exact"/>
        <w:jc w:val="center"/>
        <w:rPr>
          <w:rFonts w:hint="eastAsia" w:ascii="仿宋_GB2312" w:hAnsi="宋体" w:eastAsia="仿宋_GB2312"/>
          <w:sz w:val="32"/>
          <w:szCs w:val="32"/>
        </w:rPr>
      </w:pPr>
      <w:r>
        <w:rPr>
          <w:rFonts w:hint="eastAsia" w:ascii="仿宋_GB2312" w:hAnsi="宋体" w:eastAsia="仿宋_GB2312"/>
          <w:b/>
          <w:sz w:val="32"/>
          <w:szCs w:val="32"/>
        </w:rPr>
        <w:t>附表：</w:t>
      </w:r>
      <w:r>
        <w:rPr>
          <w:rFonts w:hint="eastAsia" w:ascii="仿宋_GB2312" w:hAnsi="宋体" w:eastAsia="仿宋_GB2312"/>
          <w:b/>
          <w:bCs/>
          <w:sz w:val="32"/>
          <w:szCs w:val="32"/>
        </w:rPr>
        <w:t>短期费率表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保险</w:t>
            </w:r>
          </w:p>
          <w:p>
            <w:pPr>
              <w:spacing w:line="300" w:lineRule="exact"/>
              <w:jc w:val="center"/>
              <w:rPr>
                <w:rFonts w:ascii="仿宋_GB2312" w:hAnsi="宋体" w:eastAsia="仿宋_GB2312"/>
                <w:szCs w:val="21"/>
              </w:rPr>
            </w:pPr>
            <w:r>
              <w:rPr>
                <w:rFonts w:hint="eastAsia" w:ascii="仿宋_GB2312" w:hAnsi="宋体" w:eastAsia="仿宋_GB2312"/>
                <w:szCs w:val="21"/>
              </w:rPr>
              <w:t>期间</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一</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二</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三</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四</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五</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六</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七</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八</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九</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十</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十</w:t>
            </w:r>
          </w:p>
          <w:p>
            <w:pPr>
              <w:spacing w:line="300" w:lineRule="exact"/>
              <w:jc w:val="center"/>
              <w:rPr>
                <w:rFonts w:hint="eastAsia" w:ascii="仿宋_GB2312" w:hAnsi="宋体" w:eastAsia="仿宋_GB2312"/>
                <w:szCs w:val="21"/>
              </w:rPr>
            </w:pPr>
            <w:r>
              <w:rPr>
                <w:rFonts w:hint="eastAsia" w:ascii="仿宋_GB2312" w:hAnsi="宋体" w:eastAsia="仿宋_GB2312"/>
                <w:szCs w:val="21"/>
              </w:rPr>
              <w:t>一</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十</w:t>
            </w:r>
          </w:p>
          <w:p>
            <w:pPr>
              <w:spacing w:line="300" w:lineRule="exact"/>
              <w:jc w:val="center"/>
              <w:rPr>
                <w:rFonts w:hint="eastAsia" w:ascii="仿宋_GB2312" w:hAnsi="宋体" w:eastAsia="仿宋_GB2312"/>
                <w:szCs w:val="21"/>
              </w:rPr>
            </w:pPr>
            <w:r>
              <w:rPr>
                <w:rFonts w:hint="eastAsia" w:ascii="仿宋_GB2312" w:hAnsi="宋体" w:eastAsia="仿宋_GB2312"/>
                <w:szCs w:val="21"/>
              </w:rPr>
              <w:t>二</w:t>
            </w:r>
          </w:p>
          <w:p>
            <w:pPr>
              <w:spacing w:line="300" w:lineRule="exact"/>
              <w:jc w:val="center"/>
              <w:rPr>
                <w:rFonts w:hint="eastAsia" w:ascii="仿宋_GB2312" w:hAnsi="宋体" w:eastAsia="仿宋_GB2312"/>
                <w:szCs w:val="21"/>
              </w:rPr>
            </w:pPr>
            <w:r>
              <w:rPr>
                <w:rFonts w:hint="eastAsia" w:ascii="仿宋_GB2312" w:hAnsi="宋体" w:eastAsia="仿宋_GB2312"/>
                <w:szCs w:val="21"/>
              </w:rPr>
              <w:t>个</w:t>
            </w:r>
          </w:p>
          <w:p>
            <w:pPr>
              <w:spacing w:line="300" w:lineRule="exact"/>
              <w:jc w:val="center"/>
              <w:rPr>
                <w:rFonts w:ascii="仿宋_GB2312" w:hAnsi="宋体" w:eastAsia="仿宋_GB2312"/>
                <w:szCs w:val="21"/>
              </w:rPr>
            </w:pPr>
            <w:r>
              <w:rPr>
                <w:rFonts w:hint="eastAsia" w:ascii="仿宋_GB2312" w:hAnsi="宋体" w:eastAsia="仿宋_GB231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年费率的百分比</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10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20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30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40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50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60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70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80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85</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90</w:t>
            </w: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95</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Cs w:val="21"/>
              </w:rPr>
            </w:pPr>
            <w:r>
              <w:rPr>
                <w:rFonts w:hint="eastAsia" w:ascii="仿宋_GB2312" w:hAnsi="宋体" w:eastAsia="仿宋_GB2312"/>
                <w:szCs w:val="21"/>
              </w:rPr>
              <w:t>100</w:t>
            </w:r>
          </w:p>
        </w:tc>
      </w:tr>
    </w:tbl>
    <w:p>
      <w:pPr>
        <w:pStyle w:val="29"/>
        <w:spacing w:line="600" w:lineRule="exact"/>
        <w:ind w:firstLine="420" w:firstLineChars="200"/>
        <w:rPr>
          <w:rFonts w:hint="eastAsia" w:ascii="宋体" w:hAnsi="宋体"/>
          <w:b/>
          <w:color w:val="auto"/>
          <w:sz w:val="21"/>
          <w:szCs w:val="21"/>
          <w:highlight w:val="none"/>
        </w:rPr>
      </w:pPr>
      <w:r>
        <w:rPr>
          <w:rFonts w:hint="eastAsia"/>
          <w:sz w:val="21"/>
          <w:szCs w:val="21"/>
        </w:rPr>
        <w:t>注：保险期间不足一个月的部分按一个月计收。</w:t>
      </w:r>
    </w:p>
    <w:p>
      <w:pPr>
        <w:pStyle w:val="4"/>
        <w:bidi w:val="0"/>
        <w:rPr>
          <w:rStyle w:val="59"/>
          <w:rFonts w:hint="eastAsia" w:cs="Times New Roman"/>
          <w:b w:val="0"/>
          <w:bCs/>
          <w:lang w:eastAsia="zh-CN"/>
        </w:rPr>
      </w:pPr>
      <w:r>
        <w:rPr>
          <w:rStyle w:val="59"/>
          <w:rFonts w:hint="eastAsia"/>
          <w:bCs/>
          <w:lang w:val="en-US" w:eastAsia="zh-CN"/>
        </w:rPr>
        <w:br w:type="page"/>
      </w:r>
      <w:r>
        <w:rPr>
          <w:rStyle w:val="59"/>
          <w:rFonts w:hint="eastAsia" w:cs="Times New Roman"/>
          <w:b w:val="0"/>
          <w:bCs/>
          <w:lang w:val="en-US" w:eastAsia="zh-CN"/>
        </w:rPr>
        <w:t>第四章</w:t>
      </w:r>
      <w:r>
        <w:rPr>
          <w:rStyle w:val="59"/>
          <w:rFonts w:hint="eastAsia" w:cs="Times New Roman"/>
          <w:b w:val="0"/>
          <w:bCs/>
        </w:rPr>
        <w:t xml:space="preserve"> </w:t>
      </w:r>
      <w:bookmarkEnd w:id="70"/>
      <w:bookmarkEnd w:id="71"/>
      <w:bookmarkStart w:id="76" w:name="_Toc454873008"/>
      <w:bookmarkStart w:id="77" w:name="_Toc479236979"/>
      <w:bookmarkStart w:id="78" w:name="_Toc433917284"/>
      <w:bookmarkStart w:id="79" w:name="_Toc14377"/>
      <w:r>
        <w:rPr>
          <w:rStyle w:val="59"/>
          <w:rFonts w:hint="eastAsia" w:cs="Times New Roman"/>
          <w:b w:val="0"/>
          <w:bCs/>
        </w:rPr>
        <w:t>采购</w:t>
      </w:r>
      <w:bookmarkEnd w:id="76"/>
      <w:bookmarkStart w:id="80" w:name="_Toc340736189"/>
      <w:bookmarkStart w:id="81" w:name="_Toc397775657"/>
      <w:bookmarkStart w:id="82" w:name="_Toc333842561"/>
      <w:bookmarkStart w:id="83" w:name="_Toc369166669"/>
      <w:bookmarkStart w:id="84" w:name="_Toc375206054"/>
      <w:bookmarkStart w:id="85" w:name="_Toc386636611"/>
      <w:r>
        <w:rPr>
          <w:rStyle w:val="59"/>
          <w:rFonts w:hint="eastAsia" w:cs="Times New Roman"/>
          <w:b w:val="0"/>
          <w:bCs/>
          <w:lang w:val="en-US" w:eastAsia="zh-CN"/>
        </w:rPr>
        <w:t>需求</w:t>
      </w:r>
    </w:p>
    <w:bookmarkEnd w:id="77"/>
    <w:bookmarkEnd w:id="80"/>
    <w:bookmarkEnd w:id="81"/>
    <w:bookmarkEnd w:id="82"/>
    <w:bookmarkEnd w:id="83"/>
    <w:bookmarkEnd w:id="84"/>
    <w:bookmarkEnd w:id="85"/>
    <w:p>
      <w:pPr>
        <w:keepNext w:val="0"/>
        <w:keepLines w:val="0"/>
        <w:pageBreakBefore w:val="0"/>
        <w:widowControl/>
        <w:numPr>
          <w:ilvl w:val="0"/>
          <w:numId w:val="8"/>
        </w:numPr>
        <w:kinsoku/>
        <w:wordWrap/>
        <w:overflowPunct/>
        <w:topLinePunct w:val="0"/>
        <w:autoSpaceDE/>
        <w:autoSpaceDN/>
        <w:bidi w:val="0"/>
        <w:adjustRightInd/>
        <w:snapToGrid/>
        <w:spacing w:line="540" w:lineRule="exact"/>
        <w:ind w:left="526"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应根据各医疗机构的业务收入、投保责任限额、医疗机构等级、医务人员数量、手术次数等</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商定年度实收保险费。</w:t>
      </w:r>
    </w:p>
    <w:p>
      <w:pPr>
        <w:keepNext w:val="0"/>
        <w:keepLines w:val="0"/>
        <w:pageBreakBefore w:val="0"/>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▲二、各医疗机构实际缴纳保险费用除去管理费、赔偿款，余款全部纳入风险池。超过部份补交保费。</w:t>
      </w:r>
    </w:p>
    <w:p>
      <w:pPr>
        <w:keepNext w:val="0"/>
        <w:keepLines w:val="0"/>
        <w:pageBreakBefore w:val="0"/>
        <w:kinsoku/>
        <w:wordWrap/>
        <w:overflowPunct/>
        <w:topLinePunct w:val="0"/>
        <w:autoSpaceDE/>
        <w:autoSpaceDN/>
        <w:bidi w:val="0"/>
        <w:adjustRightInd w:val="0"/>
        <w:snapToGrid w:val="0"/>
        <w:spacing w:line="540" w:lineRule="exact"/>
        <w:ind w:firstLine="630" w:firstLineChars="3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运作模式</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当保险年度内乙方支付的赔款金额低于</w:t>
      </w:r>
      <w:r>
        <w:rPr>
          <w:rFonts w:hint="eastAsia" w:ascii="宋体" w:hAnsi="宋体" w:eastAsia="宋体" w:cs="宋体"/>
          <w:sz w:val="21"/>
          <w:szCs w:val="21"/>
          <w:lang w:eastAsia="zh-CN"/>
        </w:rPr>
        <w:t>或等于</w:t>
      </w:r>
      <w:r>
        <w:rPr>
          <w:rFonts w:hint="eastAsia" w:ascii="宋体" w:hAnsi="宋体" w:eastAsia="宋体" w:cs="宋体"/>
          <w:sz w:val="21"/>
          <w:szCs w:val="21"/>
        </w:rPr>
        <w:t>甲方年度实收保险费的</w:t>
      </w:r>
      <w:r>
        <w:rPr>
          <w:rFonts w:hint="eastAsia" w:ascii="宋体" w:hAnsi="宋体" w:eastAsia="宋体" w:cs="宋体"/>
          <w:sz w:val="21"/>
          <w:szCs w:val="21"/>
          <w:lang w:val="en-US" w:eastAsia="zh-CN"/>
        </w:rPr>
        <w:t>45</w:t>
      </w:r>
      <w:r>
        <w:rPr>
          <w:rFonts w:hint="eastAsia" w:ascii="宋体" w:hAnsi="宋体" w:eastAsia="宋体" w:cs="宋体"/>
          <w:sz w:val="21"/>
          <w:szCs w:val="21"/>
        </w:rPr>
        <w:t>%时，下一年度保险费甲方享受</w:t>
      </w:r>
      <w:r>
        <w:rPr>
          <w:rFonts w:hint="eastAsia" w:ascii="宋体" w:hAnsi="宋体" w:eastAsia="宋体" w:cs="宋体"/>
          <w:sz w:val="21"/>
          <w:szCs w:val="21"/>
          <w:lang w:eastAsia="zh-CN"/>
        </w:rPr>
        <w:t>标准保费</w:t>
      </w:r>
      <w:r>
        <w:rPr>
          <w:rFonts w:hint="eastAsia" w:ascii="宋体" w:hAnsi="宋体" w:eastAsia="宋体" w:cs="宋体"/>
          <w:sz w:val="21"/>
          <w:szCs w:val="21"/>
          <w:lang w:val="en-US" w:eastAsia="zh-CN"/>
        </w:rPr>
        <w:t>30</w:t>
      </w:r>
      <w:r>
        <w:rPr>
          <w:rFonts w:hint="eastAsia" w:ascii="宋体" w:hAnsi="宋体" w:eastAsia="宋体" w:cs="宋体"/>
          <w:sz w:val="21"/>
          <w:szCs w:val="21"/>
        </w:rPr>
        <w:t>%优惠</w:t>
      </w:r>
      <w:r>
        <w:rPr>
          <w:rFonts w:hint="eastAsia" w:ascii="宋体" w:hAnsi="宋体" w:eastAsia="宋体" w:cs="宋体"/>
          <w:sz w:val="21"/>
          <w:szCs w:val="21"/>
          <w:lang w:val="en-US" w:eastAsia="zh-CN"/>
        </w:rPr>
        <w:t>,即：保险费=</w:t>
      </w:r>
      <w:r>
        <w:rPr>
          <w:rFonts w:hint="eastAsia" w:ascii="宋体" w:hAnsi="宋体" w:eastAsia="宋体" w:cs="宋体"/>
          <w:sz w:val="21"/>
          <w:szCs w:val="21"/>
          <w:lang w:eastAsia="zh-CN"/>
        </w:rPr>
        <w:t>中标价×</w:t>
      </w:r>
      <w:r>
        <w:rPr>
          <w:rFonts w:hint="eastAsia" w:ascii="宋体" w:hAnsi="宋体" w:eastAsia="宋体" w:cs="宋体"/>
          <w:sz w:val="21"/>
          <w:szCs w:val="21"/>
          <w:lang w:val="en-US" w:eastAsia="zh-CN"/>
        </w:rPr>
        <w:t>70%。</w:t>
      </w:r>
      <w:r>
        <w:rPr>
          <w:rFonts w:hint="eastAsia" w:ascii="宋体" w:hAnsi="宋体" w:eastAsia="宋体" w:cs="宋体"/>
          <w:sz w:val="21"/>
          <w:szCs w:val="21"/>
          <w:lang w:eastAsia="zh-CN"/>
        </w:rPr>
        <w:t>若是</w:t>
      </w:r>
      <w:r>
        <w:rPr>
          <w:rFonts w:hint="eastAsia" w:ascii="宋体" w:hAnsi="宋体" w:eastAsia="宋体" w:cs="宋体"/>
          <w:sz w:val="21"/>
          <w:szCs w:val="21"/>
        </w:rPr>
        <w:t>赔付率</w:t>
      </w:r>
      <w:r>
        <w:rPr>
          <w:rFonts w:hint="eastAsia" w:ascii="宋体" w:hAnsi="宋体" w:eastAsia="宋体" w:cs="宋体"/>
          <w:sz w:val="21"/>
          <w:szCs w:val="21"/>
          <w:lang w:eastAsia="zh-CN"/>
        </w:rPr>
        <w:t>持续介于此区间</w:t>
      </w:r>
      <w:r>
        <w:rPr>
          <w:rFonts w:hint="eastAsia" w:ascii="宋体" w:hAnsi="宋体" w:eastAsia="宋体" w:cs="宋体"/>
          <w:sz w:val="21"/>
          <w:szCs w:val="21"/>
        </w:rPr>
        <w:t>，甲方下一年度保费</w:t>
      </w:r>
      <w:r>
        <w:rPr>
          <w:rFonts w:hint="eastAsia" w:ascii="宋体" w:hAnsi="宋体" w:eastAsia="宋体" w:cs="宋体"/>
          <w:sz w:val="21"/>
          <w:szCs w:val="21"/>
          <w:lang w:eastAsia="zh-CN"/>
        </w:rPr>
        <w:t>下浮</w:t>
      </w:r>
      <w:r>
        <w:rPr>
          <w:rFonts w:hint="eastAsia" w:ascii="宋体" w:hAnsi="宋体" w:eastAsia="宋体" w:cs="宋体"/>
          <w:sz w:val="21"/>
          <w:szCs w:val="21"/>
          <w:lang w:val="en-US" w:eastAsia="zh-CN"/>
        </w:rPr>
        <w:t>30</w:t>
      </w:r>
      <w:r>
        <w:rPr>
          <w:rFonts w:hint="eastAsia" w:ascii="宋体" w:hAnsi="宋体" w:eastAsia="宋体" w:cs="宋体"/>
          <w:sz w:val="21"/>
          <w:szCs w:val="21"/>
        </w:rPr>
        <w:t>%</w:t>
      </w:r>
      <w:r>
        <w:rPr>
          <w:rFonts w:hint="eastAsia" w:ascii="宋体" w:hAnsi="宋体" w:eastAsia="宋体" w:cs="宋体"/>
          <w:sz w:val="21"/>
          <w:szCs w:val="21"/>
          <w:lang w:eastAsia="zh-CN"/>
        </w:rPr>
        <w:t>，即：</w:t>
      </w:r>
      <w:r>
        <w:rPr>
          <w:rFonts w:hint="eastAsia" w:ascii="宋体" w:hAnsi="宋体" w:eastAsia="宋体" w:cs="宋体"/>
          <w:sz w:val="21"/>
          <w:szCs w:val="21"/>
          <w:lang w:val="en-US" w:eastAsia="zh-CN"/>
        </w:rPr>
        <w:t>保险费=中标价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70%</w:t>
      </w:r>
      <w:r>
        <w:rPr>
          <w:rFonts w:hint="eastAsia" w:ascii="宋体" w:hAnsi="宋体" w:eastAsia="宋体" w:cs="宋体"/>
          <w:sz w:val="21"/>
          <w:szCs w:val="21"/>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当保险年度内乙方支付的赔款金额</w:t>
      </w:r>
      <w:r>
        <w:rPr>
          <w:rFonts w:hint="eastAsia" w:ascii="宋体" w:hAnsi="宋体" w:eastAsia="宋体" w:cs="宋体"/>
          <w:sz w:val="21"/>
          <w:szCs w:val="21"/>
          <w:lang w:eastAsia="zh-CN"/>
        </w:rPr>
        <w:t>介于</w:t>
      </w:r>
      <w:r>
        <w:rPr>
          <w:rFonts w:hint="eastAsia" w:ascii="宋体" w:hAnsi="宋体" w:eastAsia="宋体" w:cs="宋体"/>
          <w:sz w:val="21"/>
          <w:szCs w:val="21"/>
        </w:rPr>
        <w:t>甲方年度实收保险费的</w:t>
      </w:r>
      <w:r>
        <w:rPr>
          <w:rFonts w:hint="eastAsia" w:ascii="宋体" w:hAnsi="宋体" w:eastAsia="宋体" w:cs="宋体"/>
          <w:sz w:val="21"/>
          <w:szCs w:val="21"/>
          <w:lang w:val="en-US" w:eastAsia="zh-CN"/>
        </w:rPr>
        <w:t>45</w:t>
      </w:r>
      <w:r>
        <w:rPr>
          <w:rFonts w:hint="eastAsia" w:ascii="宋体" w:hAnsi="宋体" w:eastAsia="宋体" w:cs="宋体"/>
          <w:sz w:val="21"/>
          <w:szCs w:val="21"/>
        </w:rPr>
        <w:t>%</w:t>
      </w:r>
      <w:r>
        <w:rPr>
          <w:rFonts w:hint="eastAsia" w:ascii="宋体" w:hAnsi="宋体" w:eastAsia="宋体" w:cs="宋体"/>
          <w:sz w:val="21"/>
          <w:szCs w:val="21"/>
          <w:lang w:val="en-US" w:eastAsia="zh-CN"/>
        </w:rPr>
        <w:t>---65%</w:t>
      </w:r>
      <w:r>
        <w:rPr>
          <w:rFonts w:hint="eastAsia" w:ascii="宋体" w:hAnsi="宋体" w:eastAsia="宋体" w:cs="宋体"/>
          <w:sz w:val="21"/>
          <w:szCs w:val="21"/>
        </w:rPr>
        <w:t>时</w:t>
      </w:r>
      <w:r>
        <w:rPr>
          <w:rFonts w:hint="eastAsia" w:ascii="宋体" w:hAnsi="宋体" w:eastAsia="宋体" w:cs="宋体"/>
          <w:sz w:val="21"/>
          <w:szCs w:val="21"/>
          <w:lang w:eastAsia="zh-CN"/>
        </w:rPr>
        <w:t>（含</w:t>
      </w:r>
      <w:r>
        <w:rPr>
          <w:rFonts w:hint="eastAsia" w:ascii="宋体" w:hAnsi="宋体" w:eastAsia="宋体" w:cs="宋体"/>
          <w:sz w:val="21"/>
          <w:szCs w:val="21"/>
          <w:lang w:val="en-US" w:eastAsia="zh-CN"/>
        </w:rPr>
        <w:t>65%）</w:t>
      </w:r>
      <w:r>
        <w:rPr>
          <w:rFonts w:hint="eastAsia" w:ascii="宋体" w:hAnsi="宋体" w:eastAsia="宋体" w:cs="宋体"/>
          <w:sz w:val="21"/>
          <w:szCs w:val="21"/>
        </w:rPr>
        <w:t>，下一年度保险费甲方享受</w:t>
      </w:r>
      <w:r>
        <w:rPr>
          <w:rFonts w:hint="eastAsia" w:ascii="宋体" w:hAnsi="宋体" w:eastAsia="宋体" w:cs="宋体"/>
          <w:sz w:val="21"/>
          <w:szCs w:val="21"/>
          <w:lang w:eastAsia="zh-CN"/>
        </w:rPr>
        <w:t>标准保费</w:t>
      </w:r>
      <w:r>
        <w:rPr>
          <w:rFonts w:hint="eastAsia" w:ascii="宋体" w:hAnsi="宋体" w:eastAsia="宋体" w:cs="宋体"/>
          <w:sz w:val="21"/>
          <w:szCs w:val="21"/>
          <w:lang w:val="en-US" w:eastAsia="zh-CN"/>
        </w:rPr>
        <w:t>2</w:t>
      </w:r>
      <w:r>
        <w:rPr>
          <w:rFonts w:hint="eastAsia" w:ascii="宋体" w:hAnsi="宋体" w:eastAsia="宋体" w:cs="宋体"/>
          <w:sz w:val="21"/>
          <w:szCs w:val="21"/>
        </w:rPr>
        <w:t>0%优惠。</w:t>
      </w:r>
      <w:r>
        <w:rPr>
          <w:rFonts w:hint="eastAsia" w:ascii="宋体" w:hAnsi="宋体" w:eastAsia="宋体" w:cs="宋体"/>
          <w:sz w:val="21"/>
          <w:szCs w:val="21"/>
          <w:lang w:eastAsia="zh-CN"/>
        </w:rPr>
        <w:t>即：</w:t>
      </w:r>
      <w:r>
        <w:rPr>
          <w:rFonts w:hint="eastAsia" w:ascii="宋体" w:hAnsi="宋体" w:eastAsia="宋体" w:cs="宋体"/>
          <w:sz w:val="21"/>
          <w:szCs w:val="21"/>
          <w:lang w:val="en-US" w:eastAsia="zh-CN"/>
        </w:rPr>
        <w:t>保险费=中标价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80%</w:t>
      </w:r>
      <w:r>
        <w:rPr>
          <w:rFonts w:hint="eastAsia" w:ascii="宋体" w:hAnsi="宋体" w:eastAsia="宋体" w:cs="宋体"/>
          <w:sz w:val="21"/>
          <w:szCs w:val="21"/>
        </w:rPr>
        <w:t>。</w:t>
      </w:r>
      <w:r>
        <w:rPr>
          <w:rFonts w:hint="eastAsia" w:ascii="宋体" w:hAnsi="宋体" w:eastAsia="宋体" w:cs="宋体"/>
          <w:sz w:val="21"/>
          <w:szCs w:val="21"/>
          <w:lang w:eastAsia="zh-CN"/>
        </w:rPr>
        <w:t>若是</w:t>
      </w:r>
      <w:r>
        <w:rPr>
          <w:rFonts w:hint="eastAsia" w:ascii="宋体" w:hAnsi="宋体" w:eastAsia="宋体" w:cs="宋体"/>
          <w:sz w:val="21"/>
          <w:szCs w:val="21"/>
        </w:rPr>
        <w:t>赔付率</w:t>
      </w:r>
      <w:r>
        <w:rPr>
          <w:rFonts w:hint="eastAsia" w:ascii="宋体" w:hAnsi="宋体" w:eastAsia="宋体" w:cs="宋体"/>
          <w:sz w:val="21"/>
          <w:szCs w:val="21"/>
          <w:lang w:eastAsia="zh-CN"/>
        </w:rPr>
        <w:t>持续介于此区间</w:t>
      </w:r>
      <w:r>
        <w:rPr>
          <w:rFonts w:hint="eastAsia" w:ascii="宋体" w:hAnsi="宋体" w:eastAsia="宋体" w:cs="宋体"/>
          <w:sz w:val="21"/>
          <w:szCs w:val="21"/>
        </w:rPr>
        <w:t>，甲方下一年度保费</w:t>
      </w:r>
      <w:r>
        <w:rPr>
          <w:rFonts w:hint="eastAsia" w:ascii="宋体" w:hAnsi="宋体" w:eastAsia="宋体" w:cs="宋体"/>
          <w:sz w:val="21"/>
          <w:szCs w:val="21"/>
          <w:lang w:eastAsia="zh-CN"/>
        </w:rPr>
        <w:t>下浮</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eastAsia="zh-CN"/>
        </w:rPr>
        <w:t>，即：</w:t>
      </w:r>
      <w:r>
        <w:rPr>
          <w:rFonts w:hint="eastAsia" w:ascii="宋体" w:hAnsi="宋体" w:eastAsia="宋体" w:cs="宋体"/>
          <w:sz w:val="21"/>
          <w:szCs w:val="21"/>
          <w:lang w:val="en-US" w:eastAsia="zh-CN"/>
        </w:rPr>
        <w:t>保险费=中标价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80%</w:t>
      </w:r>
      <w:r>
        <w:rPr>
          <w:rFonts w:hint="eastAsia" w:ascii="宋体" w:hAnsi="宋体" w:eastAsia="宋体" w:cs="宋体"/>
          <w:sz w:val="21"/>
          <w:szCs w:val="21"/>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当保险年度内乙方支付的赔款金额</w:t>
      </w:r>
      <w:r>
        <w:rPr>
          <w:rFonts w:hint="eastAsia" w:ascii="宋体" w:hAnsi="宋体" w:eastAsia="宋体" w:cs="宋体"/>
          <w:sz w:val="21"/>
          <w:szCs w:val="21"/>
          <w:lang w:eastAsia="zh-CN"/>
        </w:rPr>
        <w:t>介于</w:t>
      </w:r>
      <w:r>
        <w:rPr>
          <w:rFonts w:hint="eastAsia" w:ascii="宋体" w:hAnsi="宋体" w:eastAsia="宋体" w:cs="宋体"/>
          <w:sz w:val="21"/>
          <w:szCs w:val="21"/>
        </w:rPr>
        <w:t>甲方年度实收保险费的</w:t>
      </w:r>
      <w:r>
        <w:rPr>
          <w:rFonts w:hint="eastAsia" w:ascii="宋体" w:hAnsi="宋体" w:eastAsia="宋体" w:cs="宋体"/>
          <w:sz w:val="21"/>
          <w:szCs w:val="21"/>
          <w:lang w:val="en-US" w:eastAsia="zh-CN"/>
        </w:rPr>
        <w:t>65</w:t>
      </w:r>
      <w:r>
        <w:rPr>
          <w:rFonts w:hint="eastAsia" w:ascii="宋体" w:hAnsi="宋体" w:eastAsia="宋体" w:cs="宋体"/>
          <w:sz w:val="21"/>
          <w:szCs w:val="21"/>
        </w:rPr>
        <w:t>%</w:t>
      </w:r>
      <w:r>
        <w:rPr>
          <w:rFonts w:hint="eastAsia" w:ascii="宋体" w:hAnsi="宋体" w:eastAsia="宋体" w:cs="宋体"/>
          <w:sz w:val="21"/>
          <w:szCs w:val="21"/>
          <w:lang w:val="en-US" w:eastAsia="zh-CN"/>
        </w:rPr>
        <w:t>---85%</w:t>
      </w:r>
      <w:r>
        <w:rPr>
          <w:rFonts w:hint="eastAsia" w:ascii="宋体" w:hAnsi="宋体" w:eastAsia="宋体" w:cs="宋体"/>
          <w:sz w:val="21"/>
          <w:szCs w:val="21"/>
        </w:rPr>
        <w:t>时</w:t>
      </w:r>
      <w:r>
        <w:rPr>
          <w:rFonts w:hint="eastAsia" w:ascii="宋体" w:hAnsi="宋体" w:eastAsia="宋体" w:cs="宋体"/>
          <w:sz w:val="21"/>
          <w:szCs w:val="21"/>
          <w:lang w:eastAsia="zh-CN"/>
        </w:rPr>
        <w:t>（含</w:t>
      </w:r>
      <w:r>
        <w:rPr>
          <w:rFonts w:hint="eastAsia" w:ascii="宋体" w:hAnsi="宋体" w:eastAsia="宋体" w:cs="宋体"/>
          <w:sz w:val="21"/>
          <w:szCs w:val="21"/>
          <w:lang w:val="en-US" w:eastAsia="zh-CN"/>
        </w:rPr>
        <w:t>85%）</w:t>
      </w:r>
      <w:r>
        <w:rPr>
          <w:rFonts w:hint="eastAsia" w:ascii="宋体" w:hAnsi="宋体" w:eastAsia="宋体" w:cs="宋体"/>
          <w:sz w:val="21"/>
          <w:szCs w:val="21"/>
        </w:rPr>
        <w:t>，下一年度保险费甲方享受</w:t>
      </w:r>
      <w:r>
        <w:rPr>
          <w:rFonts w:hint="eastAsia" w:ascii="宋体" w:hAnsi="宋体" w:eastAsia="宋体" w:cs="宋体"/>
          <w:sz w:val="21"/>
          <w:szCs w:val="21"/>
          <w:lang w:eastAsia="zh-CN"/>
        </w:rPr>
        <w:t>标准保费</w:t>
      </w:r>
      <w:r>
        <w:rPr>
          <w:rFonts w:hint="eastAsia" w:ascii="宋体" w:hAnsi="宋体" w:eastAsia="宋体" w:cs="宋体"/>
          <w:sz w:val="21"/>
          <w:szCs w:val="21"/>
          <w:lang w:val="en-US" w:eastAsia="zh-CN"/>
        </w:rPr>
        <w:t>10</w:t>
      </w:r>
      <w:r>
        <w:rPr>
          <w:rFonts w:hint="eastAsia" w:ascii="宋体" w:hAnsi="宋体" w:eastAsia="宋体" w:cs="宋体"/>
          <w:sz w:val="21"/>
          <w:szCs w:val="21"/>
        </w:rPr>
        <w:t>%优惠</w:t>
      </w:r>
      <w:r>
        <w:rPr>
          <w:rFonts w:hint="eastAsia" w:ascii="宋体" w:hAnsi="宋体" w:eastAsia="宋体" w:cs="宋体"/>
          <w:sz w:val="21"/>
          <w:szCs w:val="21"/>
          <w:lang w:eastAsia="zh-CN"/>
        </w:rPr>
        <w:t>，即：</w:t>
      </w:r>
      <w:r>
        <w:rPr>
          <w:rFonts w:hint="eastAsia" w:ascii="宋体" w:hAnsi="宋体" w:eastAsia="宋体" w:cs="宋体"/>
          <w:sz w:val="21"/>
          <w:szCs w:val="21"/>
          <w:lang w:val="en-US" w:eastAsia="zh-CN"/>
        </w:rPr>
        <w:t>保险费=中标价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90%</w:t>
      </w:r>
      <w:r>
        <w:rPr>
          <w:rFonts w:hint="eastAsia" w:ascii="宋体" w:hAnsi="宋体" w:eastAsia="宋体" w:cs="宋体"/>
          <w:sz w:val="21"/>
          <w:szCs w:val="21"/>
        </w:rPr>
        <w:t>。</w:t>
      </w:r>
      <w:r>
        <w:rPr>
          <w:rFonts w:hint="eastAsia" w:ascii="宋体" w:hAnsi="宋体" w:eastAsia="宋体" w:cs="宋体"/>
          <w:sz w:val="21"/>
          <w:szCs w:val="21"/>
          <w:lang w:eastAsia="zh-CN"/>
        </w:rPr>
        <w:t>若是</w:t>
      </w:r>
      <w:r>
        <w:rPr>
          <w:rFonts w:hint="eastAsia" w:ascii="宋体" w:hAnsi="宋体" w:eastAsia="宋体" w:cs="宋体"/>
          <w:sz w:val="21"/>
          <w:szCs w:val="21"/>
        </w:rPr>
        <w:t>赔付率</w:t>
      </w:r>
      <w:r>
        <w:rPr>
          <w:rFonts w:hint="eastAsia" w:ascii="宋体" w:hAnsi="宋体" w:eastAsia="宋体" w:cs="宋体"/>
          <w:sz w:val="21"/>
          <w:szCs w:val="21"/>
          <w:lang w:eastAsia="zh-CN"/>
        </w:rPr>
        <w:t>持续介于此区间</w:t>
      </w:r>
      <w:r>
        <w:rPr>
          <w:rFonts w:hint="eastAsia" w:ascii="宋体" w:hAnsi="宋体" w:eastAsia="宋体" w:cs="宋体"/>
          <w:sz w:val="21"/>
          <w:szCs w:val="21"/>
        </w:rPr>
        <w:t>，甲方下一年度保费</w:t>
      </w:r>
      <w:r>
        <w:rPr>
          <w:rFonts w:hint="eastAsia" w:ascii="宋体" w:hAnsi="宋体" w:eastAsia="宋体" w:cs="宋体"/>
          <w:sz w:val="21"/>
          <w:szCs w:val="21"/>
          <w:lang w:eastAsia="zh-CN"/>
        </w:rPr>
        <w:t>下浮</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eastAsia="zh-CN"/>
        </w:rPr>
        <w:t>即：</w:t>
      </w:r>
      <w:r>
        <w:rPr>
          <w:rFonts w:hint="eastAsia" w:ascii="宋体" w:hAnsi="宋体" w:eastAsia="宋体" w:cs="宋体"/>
          <w:sz w:val="21"/>
          <w:szCs w:val="21"/>
          <w:lang w:val="en-US" w:eastAsia="zh-CN"/>
        </w:rPr>
        <w:t>保险费=中标价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90%</w:t>
      </w:r>
      <w:r>
        <w:rPr>
          <w:rFonts w:hint="eastAsia" w:ascii="宋体" w:hAnsi="宋体" w:eastAsia="宋体" w:cs="宋体"/>
          <w:sz w:val="21"/>
          <w:szCs w:val="21"/>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当保险年度内乙方支付的赔款金额介于乙方年度实收保险费的85%－</w:t>
      </w:r>
      <w:r>
        <w:rPr>
          <w:rFonts w:hint="eastAsia" w:ascii="宋体" w:hAnsi="宋体" w:eastAsia="宋体" w:cs="宋体"/>
          <w:sz w:val="21"/>
          <w:szCs w:val="21"/>
          <w:lang w:val="en-US" w:eastAsia="zh-CN"/>
        </w:rPr>
        <w:t>120</w:t>
      </w:r>
      <w:r>
        <w:rPr>
          <w:rFonts w:hint="eastAsia" w:ascii="宋体" w:hAnsi="宋体" w:eastAsia="宋体" w:cs="宋体"/>
          <w:sz w:val="21"/>
          <w:szCs w:val="21"/>
        </w:rPr>
        <w:t>%之间时</w:t>
      </w:r>
      <w:r>
        <w:rPr>
          <w:rFonts w:hint="eastAsia" w:ascii="宋体" w:hAnsi="宋体" w:eastAsia="宋体" w:cs="宋体"/>
          <w:sz w:val="21"/>
          <w:szCs w:val="21"/>
          <w:lang w:eastAsia="zh-CN"/>
        </w:rPr>
        <w:t>（含</w:t>
      </w:r>
      <w:r>
        <w:rPr>
          <w:rFonts w:hint="eastAsia" w:ascii="宋体" w:hAnsi="宋体" w:eastAsia="宋体" w:cs="宋体"/>
          <w:sz w:val="21"/>
          <w:szCs w:val="21"/>
          <w:lang w:val="en-US" w:eastAsia="zh-CN"/>
        </w:rPr>
        <w:t>120%）</w:t>
      </w:r>
      <w:r>
        <w:rPr>
          <w:rFonts w:hint="eastAsia" w:ascii="宋体" w:hAnsi="宋体" w:eastAsia="宋体" w:cs="宋体"/>
          <w:sz w:val="21"/>
          <w:szCs w:val="21"/>
        </w:rPr>
        <w:t>，次年续保保费</w:t>
      </w:r>
      <w:r>
        <w:rPr>
          <w:rFonts w:hint="eastAsia" w:ascii="宋体" w:hAnsi="宋体" w:eastAsia="宋体" w:cs="宋体"/>
          <w:sz w:val="21"/>
          <w:szCs w:val="21"/>
          <w:lang w:eastAsia="zh-CN"/>
        </w:rPr>
        <w:t>为年度实交保费。</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当保险年度内乙方支付的赔款金额介于乙方年度实收保险费的</w:t>
      </w:r>
      <w:r>
        <w:rPr>
          <w:rFonts w:hint="eastAsia" w:ascii="宋体" w:hAnsi="宋体" w:eastAsia="宋体" w:cs="宋体"/>
          <w:sz w:val="21"/>
          <w:szCs w:val="21"/>
          <w:lang w:val="en-US" w:eastAsia="zh-CN"/>
        </w:rPr>
        <w:t>120%—150%之间（含150%），</w:t>
      </w:r>
      <w:r>
        <w:rPr>
          <w:rFonts w:hint="eastAsia" w:ascii="宋体" w:hAnsi="宋体" w:eastAsia="宋体" w:cs="宋体"/>
          <w:sz w:val="21"/>
          <w:szCs w:val="21"/>
        </w:rPr>
        <w:t>下一年度保险费</w:t>
      </w:r>
      <w:r>
        <w:rPr>
          <w:rFonts w:hint="eastAsia" w:ascii="宋体" w:hAnsi="宋体" w:eastAsia="宋体" w:cs="宋体"/>
          <w:sz w:val="21"/>
          <w:szCs w:val="21"/>
          <w:lang w:eastAsia="zh-CN"/>
        </w:rPr>
        <w:t>为标准保费上浮</w:t>
      </w:r>
      <w:r>
        <w:rPr>
          <w:rFonts w:hint="eastAsia" w:ascii="宋体" w:hAnsi="宋体" w:eastAsia="宋体" w:cs="宋体"/>
          <w:sz w:val="21"/>
          <w:szCs w:val="21"/>
        </w:rPr>
        <w:t>10%</w:t>
      </w:r>
      <w:r>
        <w:rPr>
          <w:rFonts w:hint="eastAsia" w:ascii="宋体" w:hAnsi="宋体" w:eastAsia="宋体" w:cs="宋体"/>
          <w:sz w:val="21"/>
          <w:szCs w:val="21"/>
          <w:lang w:eastAsia="zh-CN"/>
        </w:rPr>
        <w:t>，即：</w:t>
      </w:r>
      <w:r>
        <w:rPr>
          <w:rFonts w:hint="eastAsia" w:ascii="宋体" w:hAnsi="宋体" w:eastAsia="宋体" w:cs="宋体"/>
          <w:sz w:val="21"/>
          <w:szCs w:val="21"/>
          <w:lang w:val="en-US" w:eastAsia="zh-CN"/>
        </w:rPr>
        <w:t>保险费=中标价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110%</w:t>
      </w:r>
      <w:r>
        <w:rPr>
          <w:rFonts w:hint="eastAsia" w:ascii="宋体" w:hAnsi="宋体" w:eastAsia="宋体" w:cs="宋体"/>
          <w:sz w:val="21"/>
          <w:szCs w:val="21"/>
        </w:rPr>
        <w:t>。</w:t>
      </w:r>
      <w:r>
        <w:rPr>
          <w:rFonts w:hint="eastAsia" w:ascii="宋体" w:hAnsi="宋体" w:eastAsia="宋体" w:cs="宋体"/>
          <w:sz w:val="21"/>
          <w:szCs w:val="21"/>
          <w:lang w:eastAsia="zh-CN"/>
        </w:rPr>
        <w:t>若是</w:t>
      </w:r>
      <w:r>
        <w:rPr>
          <w:rFonts w:hint="eastAsia" w:ascii="宋体" w:hAnsi="宋体" w:eastAsia="宋体" w:cs="宋体"/>
          <w:sz w:val="21"/>
          <w:szCs w:val="21"/>
        </w:rPr>
        <w:t>赔付率</w:t>
      </w:r>
      <w:r>
        <w:rPr>
          <w:rFonts w:hint="eastAsia" w:ascii="宋体" w:hAnsi="宋体" w:eastAsia="宋体" w:cs="宋体"/>
          <w:sz w:val="21"/>
          <w:szCs w:val="21"/>
          <w:lang w:eastAsia="zh-CN"/>
        </w:rPr>
        <w:t>持续介于</w:t>
      </w:r>
      <w:r>
        <w:rPr>
          <w:rFonts w:hint="eastAsia" w:ascii="宋体" w:hAnsi="宋体" w:eastAsia="宋体" w:cs="宋体"/>
          <w:sz w:val="21"/>
          <w:szCs w:val="21"/>
          <w:lang w:val="en-US" w:eastAsia="zh-CN"/>
        </w:rPr>
        <w:t>150%—200%</w:t>
      </w:r>
      <w:r>
        <w:rPr>
          <w:rFonts w:hint="eastAsia" w:ascii="宋体" w:hAnsi="宋体" w:eastAsia="宋体" w:cs="宋体"/>
          <w:sz w:val="21"/>
          <w:szCs w:val="21"/>
        </w:rPr>
        <w:t>之间，甲方下一年度保费</w:t>
      </w:r>
      <w:r>
        <w:rPr>
          <w:rFonts w:hint="eastAsia" w:ascii="宋体" w:hAnsi="宋体" w:eastAsia="宋体" w:cs="宋体"/>
          <w:sz w:val="21"/>
          <w:szCs w:val="21"/>
          <w:lang w:eastAsia="zh-CN"/>
        </w:rPr>
        <w:t>为标准保费</w:t>
      </w:r>
      <w:r>
        <w:rPr>
          <w:rFonts w:hint="eastAsia" w:ascii="宋体" w:hAnsi="宋体" w:eastAsia="宋体" w:cs="宋体"/>
          <w:sz w:val="21"/>
          <w:szCs w:val="21"/>
        </w:rPr>
        <w:t>上浮20%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保险费=中标价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当保险年度内乙方支付的赔款金额介于乙方年度实收保险费的</w:t>
      </w:r>
      <w:r>
        <w:rPr>
          <w:rFonts w:hint="eastAsia" w:ascii="宋体" w:hAnsi="宋体" w:eastAsia="宋体" w:cs="宋体"/>
          <w:sz w:val="21"/>
          <w:szCs w:val="21"/>
          <w:lang w:val="en-US" w:eastAsia="zh-CN"/>
        </w:rPr>
        <w:t>150%—200%之间，</w:t>
      </w:r>
      <w:r>
        <w:rPr>
          <w:rFonts w:hint="eastAsia" w:ascii="宋体" w:hAnsi="宋体" w:eastAsia="宋体" w:cs="宋体"/>
          <w:sz w:val="21"/>
          <w:szCs w:val="21"/>
        </w:rPr>
        <w:t>下一年度保险费</w:t>
      </w:r>
      <w:r>
        <w:rPr>
          <w:rFonts w:hint="eastAsia" w:ascii="宋体" w:hAnsi="宋体" w:eastAsia="宋体" w:cs="宋体"/>
          <w:sz w:val="21"/>
          <w:szCs w:val="21"/>
          <w:lang w:eastAsia="zh-CN"/>
        </w:rPr>
        <w:t>为标准保费上浮</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保险费=中标价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w:t>
      </w:r>
      <w:r>
        <w:rPr>
          <w:rFonts w:hint="eastAsia" w:ascii="宋体" w:hAnsi="宋体" w:eastAsia="宋体" w:cs="宋体"/>
          <w:sz w:val="21"/>
          <w:szCs w:val="21"/>
          <w:lang w:eastAsia="zh-CN"/>
        </w:rPr>
        <w:t>若是</w:t>
      </w:r>
      <w:r>
        <w:rPr>
          <w:rFonts w:hint="eastAsia" w:ascii="宋体" w:hAnsi="宋体" w:eastAsia="宋体" w:cs="宋体"/>
          <w:sz w:val="21"/>
          <w:szCs w:val="21"/>
        </w:rPr>
        <w:t>赔付率</w:t>
      </w:r>
      <w:r>
        <w:rPr>
          <w:rFonts w:hint="eastAsia" w:ascii="宋体" w:hAnsi="宋体" w:eastAsia="宋体" w:cs="宋体"/>
          <w:sz w:val="21"/>
          <w:szCs w:val="21"/>
          <w:lang w:eastAsia="zh-CN"/>
        </w:rPr>
        <w:t>持续介于</w:t>
      </w:r>
      <w:r>
        <w:rPr>
          <w:rFonts w:hint="eastAsia" w:ascii="宋体" w:hAnsi="宋体" w:eastAsia="宋体" w:cs="宋体"/>
          <w:sz w:val="21"/>
          <w:szCs w:val="21"/>
          <w:lang w:val="en-US" w:eastAsia="zh-CN"/>
        </w:rPr>
        <w:t>150%—200%</w:t>
      </w:r>
      <w:r>
        <w:rPr>
          <w:rFonts w:hint="eastAsia" w:ascii="宋体" w:hAnsi="宋体" w:eastAsia="宋体" w:cs="宋体"/>
          <w:sz w:val="21"/>
          <w:szCs w:val="21"/>
        </w:rPr>
        <w:t>之间，甲方下一年度保费</w:t>
      </w:r>
      <w:r>
        <w:rPr>
          <w:rFonts w:hint="eastAsia" w:ascii="宋体" w:hAnsi="宋体" w:eastAsia="宋体" w:cs="宋体"/>
          <w:sz w:val="21"/>
          <w:szCs w:val="21"/>
          <w:lang w:eastAsia="zh-CN"/>
        </w:rPr>
        <w:t>为标准保费</w:t>
      </w:r>
      <w:r>
        <w:rPr>
          <w:rFonts w:hint="eastAsia" w:ascii="宋体" w:hAnsi="宋体" w:eastAsia="宋体" w:cs="宋体"/>
          <w:sz w:val="21"/>
          <w:szCs w:val="21"/>
        </w:rPr>
        <w:t>上浮</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保险费=中标价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w:t>
      </w:r>
    </w:p>
    <w:p>
      <w:pPr>
        <w:keepNext w:val="0"/>
        <w:keepLines w:val="0"/>
        <w:pageBreakBefore w:val="0"/>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）当保险年度内乙方支付的赔款金额超出乙方年度实收保险费的200%</w:t>
      </w:r>
      <w:r>
        <w:rPr>
          <w:rFonts w:hint="eastAsia" w:ascii="宋体" w:hAnsi="宋体" w:eastAsia="宋体" w:cs="宋体"/>
          <w:sz w:val="21"/>
          <w:szCs w:val="21"/>
          <w:lang w:eastAsia="zh-CN"/>
        </w:rPr>
        <w:t>（含）</w:t>
      </w:r>
      <w:r>
        <w:rPr>
          <w:rFonts w:hint="eastAsia" w:ascii="宋体" w:hAnsi="宋体" w:eastAsia="宋体" w:cs="宋体"/>
          <w:sz w:val="21"/>
          <w:szCs w:val="21"/>
        </w:rPr>
        <w:t>时。超出部分赔款由甲方承担。</w:t>
      </w:r>
    </w:p>
    <w:p>
      <w:pPr>
        <w:keepNext w:val="0"/>
        <w:keepLines w:val="0"/>
        <w:pageBreakBefore w:val="0"/>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cs="宋体"/>
          <w:color w:val="auto"/>
          <w:sz w:val="21"/>
          <w:szCs w:val="21"/>
          <w:u w:val="single"/>
          <w:lang w:val="en-US" w:eastAsia="zh-CN"/>
        </w:rPr>
        <w:t xml:space="preserve"> 2022 </w:t>
      </w:r>
      <w:r>
        <w:rPr>
          <w:rFonts w:hint="eastAsia" w:ascii="宋体" w:hAnsi="宋体" w:eastAsia="宋体" w:cs="宋体"/>
          <w:color w:val="auto"/>
          <w:sz w:val="21"/>
          <w:szCs w:val="21"/>
        </w:rPr>
        <w:t>年</w:t>
      </w:r>
      <w:r>
        <w:rPr>
          <w:rFonts w:hint="eastAsia" w:ascii="宋体" w:hAnsi="宋体" w:cs="宋体"/>
          <w:color w:val="auto"/>
          <w:sz w:val="21"/>
          <w:szCs w:val="21"/>
          <w:u w:val="single"/>
          <w:lang w:val="en-US" w:eastAsia="zh-CN"/>
        </w:rPr>
        <w:t xml:space="preserve"> 8 </w:t>
      </w:r>
      <w:r>
        <w:rPr>
          <w:rFonts w:hint="eastAsia" w:ascii="宋体" w:hAnsi="宋体" w:eastAsia="宋体" w:cs="宋体"/>
          <w:color w:val="auto"/>
          <w:sz w:val="21"/>
          <w:szCs w:val="21"/>
        </w:rPr>
        <w:t>月</w:t>
      </w:r>
      <w:r>
        <w:rPr>
          <w:rFonts w:hint="eastAsia" w:ascii="宋体" w:hAnsi="宋体" w:cs="宋体"/>
          <w:color w:val="auto"/>
          <w:sz w:val="21"/>
          <w:szCs w:val="21"/>
          <w:u w:val="single"/>
          <w:lang w:val="en-US" w:eastAsia="zh-CN"/>
        </w:rPr>
        <w:t xml:space="preserve"> 1 </w:t>
      </w:r>
      <w:r>
        <w:rPr>
          <w:rFonts w:hint="eastAsia" w:ascii="宋体" w:hAnsi="宋体" w:eastAsia="宋体" w:cs="宋体"/>
          <w:color w:val="auto"/>
          <w:sz w:val="21"/>
          <w:szCs w:val="21"/>
        </w:rPr>
        <w:t>日以后至保单</w:t>
      </w:r>
      <w:r>
        <w:rPr>
          <w:rFonts w:hint="eastAsia" w:ascii="宋体" w:hAnsi="宋体" w:cs="宋体"/>
          <w:color w:val="auto"/>
          <w:sz w:val="21"/>
          <w:szCs w:val="21"/>
          <w:lang w:eastAsia="zh-CN"/>
        </w:rPr>
        <w:t>生效期内</w:t>
      </w:r>
      <w:r>
        <w:rPr>
          <w:rFonts w:hint="eastAsia" w:ascii="宋体" w:hAnsi="宋体" w:eastAsia="宋体" w:cs="宋体"/>
          <w:color w:val="auto"/>
          <w:sz w:val="21"/>
          <w:szCs w:val="21"/>
        </w:rPr>
        <w:t>发生</w:t>
      </w:r>
      <w:r>
        <w:rPr>
          <w:rFonts w:hint="eastAsia" w:ascii="宋体" w:hAnsi="宋体" w:cs="宋体"/>
          <w:color w:val="auto"/>
          <w:sz w:val="21"/>
          <w:szCs w:val="21"/>
          <w:lang w:eastAsia="zh-CN"/>
        </w:rPr>
        <w:t>和</w:t>
      </w:r>
      <w:r>
        <w:rPr>
          <w:rFonts w:hint="eastAsia" w:ascii="宋体" w:hAnsi="宋体" w:eastAsia="宋体" w:cs="宋体"/>
          <w:color w:val="auto"/>
          <w:sz w:val="21"/>
          <w:szCs w:val="21"/>
        </w:rPr>
        <w:t>在保险有效期内首次向乙方提出索赔案件属于本保单的责任范围</w:t>
      </w:r>
      <w:r>
        <w:rPr>
          <w:rFonts w:hint="eastAsia" w:ascii="宋体" w:hAnsi="宋体" w:cs="宋体"/>
          <w:color w:val="auto"/>
          <w:sz w:val="21"/>
          <w:szCs w:val="21"/>
          <w:lang w:eastAsia="zh-CN"/>
        </w:rPr>
        <w:t>。在承包期内发生的医疗行为，因处置程序或因病情特殊需要延长追溯期的，应属本保单赔偿责任范围之内，原则上以法院或医调会受理为依据</w:t>
      </w:r>
      <w:r>
        <w:rPr>
          <w:rFonts w:hint="eastAsia" w:ascii="宋体" w:hAnsi="宋体" w:eastAsia="宋体" w:cs="宋体"/>
          <w:color w:val="auto"/>
          <w:sz w:val="21"/>
          <w:szCs w:val="21"/>
        </w:rPr>
        <w:t>。</w:t>
      </w:r>
    </w:p>
    <w:p>
      <w:pPr>
        <w:keepNext w:val="0"/>
        <w:keepLines w:val="0"/>
        <w:pageBreakBefore w:val="0"/>
        <w:numPr>
          <w:ilvl w:val="0"/>
          <w:numId w:val="9"/>
        </w:numPr>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赔款包含保险年度内已支付赔款、已签定赔付协议书待支付赔款以及保单责任范围内其它已报告未支付赔款的总和。如果甲乙双方在下一保险年度继续开展合作，双方同意仅将保险年度内已支付赔款、已签定赔付协议书待支付赔款计入运作方案结算，其它已报告未支付赔款计入下一年度结算；如果甲乙双方下一保险年度不继续开展合作，则保险年度内已支付赔款和保单责任范围内所有已报告未支付赔款全部计入运作方案结算。</w:t>
      </w:r>
    </w:p>
    <w:p>
      <w:pPr>
        <w:keepNext w:val="0"/>
        <w:keepLines w:val="0"/>
        <w:pageBreakBefore w:val="0"/>
        <w:widowControl w:val="0"/>
        <w:kinsoku/>
        <w:wordWrap/>
        <w:overflowPunct/>
        <w:topLinePunct w:val="0"/>
        <w:autoSpaceDE/>
        <w:autoSpaceDN/>
        <w:bidi w:val="0"/>
        <w:adjustRightInd w:val="0"/>
        <w:snapToGrid w:val="0"/>
        <w:spacing w:line="540" w:lineRule="exact"/>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default" w:ascii="宋体" w:hAnsi="宋体" w:eastAsia="宋体" w:cs="宋体"/>
          <w:color w:val="auto"/>
          <w:kern w:val="2"/>
          <w:sz w:val="21"/>
          <w:szCs w:val="21"/>
          <w:u w:val="none"/>
          <w:lang w:val="en-US" w:eastAsia="zh-CN" w:bidi="ar-SA"/>
        </w:rPr>
        <w:t>★</w:t>
      </w:r>
      <w:r>
        <w:rPr>
          <w:rFonts w:hint="eastAsia" w:ascii="宋体" w:hAnsi="宋体" w:eastAsia="宋体" w:cs="宋体"/>
          <w:b w:val="0"/>
          <w:bCs w:val="0"/>
          <w:kern w:val="2"/>
          <w:sz w:val="21"/>
          <w:szCs w:val="21"/>
          <w:lang w:val="en-US" w:eastAsia="zh-CN" w:bidi="ar-SA"/>
        </w:rPr>
        <w:t xml:space="preserve">四、保险金额 </w:t>
      </w:r>
    </w:p>
    <w:p>
      <w:pPr>
        <w:keepNext w:val="0"/>
        <w:keepLines w:val="0"/>
        <w:pageBreakBefore w:val="0"/>
        <w:widowControl w:val="0"/>
        <w:kinsoku/>
        <w:wordWrap/>
        <w:overflowPunct/>
        <w:topLinePunct w:val="0"/>
        <w:autoSpaceDE/>
        <w:autoSpaceDN/>
        <w:bidi w:val="0"/>
        <w:adjustRightInd w:val="0"/>
        <w:snapToGrid w:val="0"/>
        <w:spacing w:line="540" w:lineRule="exact"/>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kern w:val="2"/>
          <w:sz w:val="21"/>
          <w:szCs w:val="21"/>
          <w:highlight w:val="none"/>
          <w:lang w:val="en-US" w:eastAsia="zh-CN" w:bidi="ar-SA"/>
        </w:rPr>
        <w:t>每次事故医疗责任限额1，000，000.00元；</w:t>
      </w:r>
      <w:r>
        <w:rPr>
          <w:rFonts w:hint="eastAsia" w:ascii="宋体" w:hAnsi="宋体" w:eastAsia="宋体" w:cs="宋体"/>
          <w:kern w:val="2"/>
          <w:sz w:val="21"/>
          <w:szCs w:val="21"/>
          <w:lang w:val="en-US" w:eastAsia="zh-CN" w:bidi="ar-SA"/>
        </w:rPr>
        <w:t>每次事故每人法律费用责任限额80，000.00元；每次事故每人精神损害限额120，000.00元；每家医疗机构累计医疗责任限额5,000,000.00元；每家医疗机构累计法律责任限额300,000.00元；每家医疗机构累计精神损害限额360,000.00元。</w:t>
      </w:r>
    </w:p>
    <w:p>
      <w:pPr>
        <w:keepNext w:val="0"/>
        <w:keepLines w:val="0"/>
        <w:pageBreakBefore w:val="0"/>
        <w:widowControl w:val="0"/>
        <w:kinsoku/>
        <w:wordWrap/>
        <w:overflowPunct/>
        <w:topLinePunct w:val="0"/>
        <w:autoSpaceDE/>
        <w:autoSpaceDN/>
        <w:bidi w:val="0"/>
        <w:adjustRightInd w:val="0"/>
        <w:snapToGrid w:val="0"/>
        <w:spacing w:line="540" w:lineRule="exact"/>
        <w:ind w:firstLine="420" w:firstLineChars="200"/>
        <w:jc w:val="both"/>
        <w:textAlignment w:val="auto"/>
        <w:rPr>
          <w:rFonts w:hint="eastAsia" w:ascii="Calibri" w:hAnsi="Calibri" w:eastAsia="楷体_GB2312" w:cs="Calibri"/>
          <w:color w:val="auto"/>
          <w:kern w:val="2"/>
          <w:sz w:val="28"/>
          <w:szCs w:val="20"/>
          <w:lang w:val="en-US" w:eastAsia="zh-CN" w:bidi="ar-SA"/>
        </w:rPr>
      </w:pPr>
      <w:r>
        <w:rPr>
          <w:rFonts w:hint="eastAsia" w:ascii="宋体" w:hAnsi="宋体" w:eastAsia="宋体" w:cs="宋体"/>
          <w:color w:val="auto"/>
          <w:kern w:val="2"/>
          <w:sz w:val="21"/>
          <w:szCs w:val="21"/>
          <w:u w:val="none"/>
          <w:lang w:val="en-US" w:eastAsia="zh-CN" w:bidi="ar-SA"/>
        </w:rPr>
        <w:t>▲五、医疗责任保险范围：</w:t>
      </w:r>
    </w:p>
    <w:p>
      <w:pPr>
        <w:keepNext w:val="0"/>
        <w:keepLines w:val="0"/>
        <w:pageBreakBefore w:val="0"/>
        <w:widowControl w:val="0"/>
        <w:kinsoku/>
        <w:wordWrap/>
        <w:overflowPunct/>
        <w:topLinePunct w:val="0"/>
        <w:autoSpaceDE/>
        <w:autoSpaceDN/>
        <w:bidi w:val="0"/>
        <w:adjustRightInd w:val="0"/>
        <w:snapToGrid w:val="0"/>
        <w:spacing w:line="540" w:lineRule="exact"/>
        <w:ind w:firstLine="420" w:firstLineChars="200"/>
        <w:jc w:val="both"/>
        <w:textAlignment w:val="auto"/>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被保险人为开化县人民医院、开化县第二人民医院、开化县中医院、开化县妇幼保健医院4家县级医疗机构，开化县程氏中医骨伤科医院1家民营医院，开化县芹阳中心卫生院、开化县村头镇中心卫生院、开化县林山乡卫生院、开化县中村卫生院、开化县音坑乡卫生院、开化县大溪边乡卫生院、开化县杨林镇卫生院、开化县桐村镇卫生院、开化县华埠中心卫生院、开化县马金镇中心卫生院、开化县池淮镇中心卫生院、开化县齐溪镇卫生院、开化县何田乡卫生院、开化县苏庄镇卫生院、开化县长虹乡卫生院15家乡镇卫生院，开化县血站、开化县临床检验检测中心2家县级其他卫生机构，合计22家医疗机构。合计投保床位数1237床，医务人员数1655人，手术次数约2665次。详情见下表：</w:t>
      </w:r>
    </w:p>
    <w:tbl>
      <w:tblPr>
        <w:tblStyle w:val="49"/>
        <w:tblW w:w="9160" w:type="dxa"/>
        <w:jc w:val="center"/>
        <w:tblLayout w:type="fixed"/>
        <w:tblCellMar>
          <w:top w:w="15" w:type="dxa"/>
          <w:left w:w="15" w:type="dxa"/>
          <w:bottom w:w="15" w:type="dxa"/>
          <w:right w:w="15" w:type="dxa"/>
        </w:tblCellMar>
      </w:tblPr>
      <w:tblGrid>
        <w:gridCol w:w="596"/>
        <w:gridCol w:w="2396"/>
        <w:gridCol w:w="2808"/>
        <w:gridCol w:w="1120"/>
        <w:gridCol w:w="1204"/>
        <w:gridCol w:w="1036"/>
      </w:tblGrid>
      <w:tr>
        <w:tblPrEx>
          <w:tblCellMar>
            <w:top w:w="15" w:type="dxa"/>
            <w:left w:w="15" w:type="dxa"/>
            <w:bottom w:w="15" w:type="dxa"/>
            <w:right w:w="15" w:type="dxa"/>
          </w:tblCellMar>
        </w:tblPrEx>
        <w:trPr>
          <w:trHeight w:val="38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b/>
                <w:color w:val="000000"/>
              </w:rPr>
            </w:pPr>
            <w:r>
              <w:rPr>
                <w:rFonts w:hint="eastAsia" w:ascii="宋体" w:hAnsi="宋体" w:cs="宋体"/>
                <w:b/>
                <w:color w:val="000000"/>
                <w:kern w:val="0"/>
              </w:rPr>
              <w:t>序号</w:t>
            </w:r>
          </w:p>
        </w:tc>
        <w:tc>
          <w:tcPr>
            <w:tcW w:w="2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b/>
                <w:color w:val="000000"/>
              </w:rPr>
            </w:pPr>
            <w:r>
              <w:rPr>
                <w:rFonts w:hint="eastAsia" w:ascii="宋体" w:hAnsi="宋体" w:cs="宋体"/>
                <w:b/>
                <w:color w:val="000000"/>
                <w:kern w:val="0"/>
              </w:rPr>
              <w:t>医疗机构名称</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b/>
                <w:color w:val="000000"/>
              </w:rPr>
            </w:pPr>
            <w:r>
              <w:rPr>
                <w:rFonts w:hint="eastAsia" w:ascii="宋体" w:hAnsi="宋体" w:cs="宋体"/>
                <w:b/>
                <w:color w:val="000000"/>
                <w:kern w:val="0"/>
              </w:rPr>
              <w:t>医疗机构类别</w:t>
            </w:r>
          </w:p>
        </w:tc>
        <w:tc>
          <w:tcPr>
            <w:tcW w:w="33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b/>
                <w:color w:val="000000"/>
              </w:rPr>
            </w:pPr>
            <w:r>
              <w:rPr>
                <w:rFonts w:hint="eastAsia" w:ascii="宋体" w:hAnsi="宋体" w:cs="宋体"/>
                <w:b/>
                <w:color w:val="000000"/>
                <w:kern w:val="0"/>
              </w:rPr>
              <w:t>投保数据</w:t>
            </w:r>
          </w:p>
        </w:tc>
      </w:tr>
      <w:tr>
        <w:tblPrEx>
          <w:tblCellMar>
            <w:top w:w="15" w:type="dxa"/>
            <w:left w:w="15" w:type="dxa"/>
            <w:bottom w:w="15" w:type="dxa"/>
            <w:right w:w="15" w:type="dxa"/>
          </w:tblCellMar>
        </w:tblPrEx>
        <w:trPr>
          <w:trHeight w:val="52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color w:val="000000"/>
              </w:rPr>
            </w:pPr>
          </w:p>
        </w:tc>
        <w:tc>
          <w:tcPr>
            <w:tcW w:w="23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color w:val="000000"/>
              </w:rPr>
            </w:pPr>
          </w:p>
        </w:tc>
        <w:tc>
          <w:tcPr>
            <w:tcW w:w="28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b/>
                <w:color w:val="000000"/>
              </w:rPr>
            </w:pPr>
            <w:r>
              <w:rPr>
                <w:rFonts w:hint="eastAsia" w:ascii="宋体" w:hAnsi="宋体" w:cs="宋体"/>
                <w:b/>
                <w:color w:val="000000"/>
                <w:kern w:val="0"/>
              </w:rPr>
              <w:t>类别</w:t>
            </w:r>
          </w:p>
        </w:tc>
        <w:tc>
          <w:tcPr>
            <w:tcW w:w="11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b/>
                <w:color w:val="000000"/>
              </w:rPr>
            </w:pPr>
            <w:r>
              <w:rPr>
                <w:rFonts w:hint="eastAsia" w:ascii="宋体" w:hAnsi="宋体" w:cs="宋体"/>
                <w:b/>
                <w:color w:val="000000"/>
                <w:kern w:val="0"/>
              </w:rPr>
              <w:t>核定床位</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b/>
                <w:color w:val="000000"/>
              </w:rPr>
            </w:pPr>
            <w:r>
              <w:rPr>
                <w:rFonts w:hint="eastAsia" w:ascii="宋体" w:hAnsi="宋体" w:cs="宋体"/>
                <w:b/>
                <w:color w:val="000000"/>
                <w:kern w:val="0"/>
              </w:rPr>
              <w:t>医务人员数</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b/>
                <w:color w:val="000000"/>
              </w:rPr>
            </w:pPr>
            <w:r>
              <w:rPr>
                <w:rFonts w:hint="eastAsia" w:ascii="宋体" w:hAnsi="宋体" w:cs="宋体"/>
                <w:b/>
                <w:color w:val="000000"/>
                <w:kern w:val="0"/>
              </w:rPr>
              <w:t>手术次数</w:t>
            </w:r>
          </w:p>
        </w:tc>
      </w:tr>
      <w:tr>
        <w:tblPrEx>
          <w:tblCellMar>
            <w:top w:w="15" w:type="dxa"/>
            <w:left w:w="15" w:type="dxa"/>
            <w:bottom w:w="15" w:type="dxa"/>
            <w:right w:w="15" w:type="dxa"/>
          </w:tblCellMar>
        </w:tblPrEx>
        <w:trPr>
          <w:trHeight w:val="424"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color w:val="000000"/>
              </w:rPr>
            </w:pPr>
          </w:p>
        </w:tc>
        <w:tc>
          <w:tcPr>
            <w:tcW w:w="23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color w:val="000000"/>
              </w:rPr>
            </w:pPr>
          </w:p>
        </w:tc>
        <w:tc>
          <w:tcPr>
            <w:tcW w:w="28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color w:val="000000"/>
              </w:rPr>
            </w:pPr>
          </w:p>
        </w:tc>
        <w:tc>
          <w:tcPr>
            <w:tcW w:w="11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color w:val="000000"/>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color w:val="000000"/>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color w:val="000000"/>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开化县二院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非一级医疗机构（有床位）</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2</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开化县妇保院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二级乙等医疗机构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99</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500</w:t>
            </w: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3</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开化县人民医院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二级甲级医疗机构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574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1000</w:t>
            </w: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4</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开化县中医院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二级甲级医疗机构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310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800</w:t>
            </w:r>
          </w:p>
        </w:tc>
      </w:tr>
      <w:tr>
        <w:tblPrEx>
          <w:tblCellMar>
            <w:top w:w="15" w:type="dxa"/>
            <w:left w:w="15" w:type="dxa"/>
            <w:bottom w:w="15" w:type="dxa"/>
            <w:right w:w="15" w:type="dxa"/>
          </w:tblCellMar>
        </w:tblPrEx>
        <w:trPr>
          <w:trHeight w:val="401"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5</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开化县程氏骨伤医院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非一级民营医疗机构（有床位）</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265</w:t>
            </w: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6</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芹阳办事处卫生院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7</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桐村卫生院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8</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杨林卫生院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9</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池淮卫生院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44</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10</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苏庄卫生院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11</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音坑卫生院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12</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马金卫生院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13</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中村卫生院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14</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何田卫生院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15</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齐溪卫生院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16</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村头卫生院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17</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大溪边卫生院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18</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林山卫生院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5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19</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长虹卫生院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6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20</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华埠中心卫生院</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宋体" w:hAnsi="宋体" w:cs="宋体"/>
                <w:color w:val="00000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6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宋体" w:hAnsi="宋体" w:cs="宋体"/>
                <w:color w:val="000000"/>
                <w:kern w:val="0"/>
              </w:rPr>
            </w:pPr>
            <w:r>
              <w:rPr>
                <w:rFonts w:hint="eastAsia" w:ascii="宋体" w:hAnsi="宋体" w:cs="宋体"/>
                <w:color w:val="000000"/>
                <w:kern w:val="0"/>
              </w:rPr>
              <w:t>21</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宋体" w:hAnsi="宋体" w:cs="宋体"/>
                <w:color w:val="000000"/>
                <w:kern w:val="0"/>
              </w:rPr>
            </w:pPr>
            <w:r>
              <w:rPr>
                <w:rFonts w:hint="eastAsia" w:ascii="宋体" w:hAnsi="宋体" w:cs="宋体"/>
                <w:color w:val="000000"/>
                <w:kern w:val="0"/>
              </w:rPr>
              <w:t>开化县血站</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宋体" w:hAnsi="宋体" w:cs="宋体"/>
                <w:color w:val="000000"/>
                <w:kern w:val="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r>
        <w:tblPrEx>
          <w:tblCellMar>
            <w:top w:w="15" w:type="dxa"/>
            <w:left w:w="15" w:type="dxa"/>
            <w:bottom w:w="15" w:type="dxa"/>
            <w:right w:w="15" w:type="dxa"/>
          </w:tblCellMar>
        </w:tblPrEx>
        <w:trPr>
          <w:trHeight w:val="365" w:hRule="atLeast"/>
          <w:jc w:val="center"/>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宋体" w:hAnsi="宋体" w:cs="宋体"/>
                <w:color w:val="000000"/>
                <w:kern w:val="0"/>
              </w:rPr>
            </w:pPr>
            <w:r>
              <w:rPr>
                <w:rFonts w:hint="eastAsia" w:ascii="宋体" w:hAnsi="宋体" w:cs="宋体"/>
                <w:color w:val="000000"/>
                <w:kern w:val="0"/>
              </w:rPr>
              <w:t>22</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宋体" w:hAnsi="宋体" w:cs="宋体"/>
                <w:color w:val="000000"/>
                <w:kern w:val="0"/>
              </w:rPr>
            </w:pPr>
            <w:r>
              <w:rPr>
                <w:rFonts w:hint="eastAsia" w:ascii="宋体" w:hAnsi="宋体" w:cs="宋体"/>
                <w:color w:val="000000"/>
                <w:kern w:val="0"/>
              </w:rPr>
              <w:t>开化县临床检测检验中心</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hint="eastAsia" w:ascii="宋体" w:hAnsi="宋体" w:cs="宋体"/>
                <w:color w:val="000000"/>
                <w:kern w:val="0"/>
              </w:rPr>
            </w:pPr>
            <w:r>
              <w:rPr>
                <w:rFonts w:hint="eastAsia" w:ascii="宋体" w:hAnsi="宋体" w:cs="宋体"/>
                <w:color w:val="000000"/>
                <w:kern w:val="0"/>
              </w:rPr>
              <w:t>无床位医疗机构</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color w:val="000000"/>
                <w:sz w:val="21"/>
                <w:szCs w:val="21"/>
              </w:rPr>
            </w:pPr>
            <w:r>
              <w:rPr>
                <w:rFonts w:hint="eastAsia" w:ascii="宋体" w:hAnsi="宋体" w:eastAsia="宋体" w:cs="宋体"/>
                <w:i w:val="0"/>
                <w:iCs w:val="0"/>
                <w:color w:val="000000"/>
                <w:kern w:val="0"/>
                <w:sz w:val="21"/>
                <w:szCs w:val="21"/>
                <w:u w:val="none"/>
                <w:lang w:val="en-US" w:eastAsia="zh-CN" w:bidi="ar"/>
              </w:rPr>
              <w:t>0</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57</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color w:val="000000"/>
                <w:sz w:val="21"/>
                <w:szCs w:val="21"/>
              </w:rPr>
            </w:pPr>
          </w:p>
        </w:tc>
      </w:tr>
    </w:tbl>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eastAsia="zh-CN"/>
        </w:rPr>
        <w:t>六</w:t>
      </w:r>
      <w:r>
        <w:rPr>
          <w:rFonts w:hint="eastAsia" w:ascii="宋体" w:hAnsi="宋体" w:eastAsia="宋体" w:cs="宋体"/>
          <w:color w:val="auto"/>
          <w:sz w:val="21"/>
          <w:szCs w:val="21"/>
        </w:rPr>
        <w:t>、为提高医疗责任险的理赔效率和服务质量。中标方须成立医疗责任险理赔处理中心（以下简称“理赔中心”）并设立医疗纠纷调解专用场所，专门负责医疗纠纷处理和医疗责任险的理赔服务工作。为方便案件调解和处理，乙方应尽快更换理赔中心工作场所，新办公场所应当设在医疗纠纷调解委员会附近，并在周围主要路口设置路标指示。理赔中心应当设置必要的监控和安全设施。理赔中心应当配备具有临床医学、药学或卫生法学等专业背景的人员以及保险、调解等专职人员，专职人员原则上不少于3人。应当聘任相关医学和法律专家组建专家库，为医疗纠纷的调查、评估和协商提供技术咨询服务。理赔中心可应甲方要求指派1名专职人员常驻甲方，协助甲方处理医患矛盾及负责医疗</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责任险理赔服务工作。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eastAsia="zh-CN"/>
        </w:rPr>
        <w:t>七</w:t>
      </w:r>
      <w:r>
        <w:rPr>
          <w:rFonts w:hint="eastAsia" w:ascii="宋体" w:hAnsi="宋体" w:eastAsia="宋体" w:cs="宋体"/>
          <w:color w:val="auto"/>
          <w:sz w:val="21"/>
          <w:szCs w:val="21"/>
        </w:rPr>
        <w:t>、中标方应当制定理赔中心人员考核办法，将考核结果与其全年奖金挂钩（占比不得少于40%）。考核项目至少应包括到达现场及时率、案件调解成功率以及独立处理案件（理赔中心在案件处理中处</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于主导角色）占比等指标，中标方根据甲方的评分结果实施考核。理赔中心的职责是在规定时间内到达现场协调处理医患矛盾；承担医疗纠纷的调查、评估、协商和赔付等具体事务；负责与医疗纠纷人民调解委员会对接，参与医疗纠纷调解；定期向甲方及其主管机关通报医疗责任险阶段性赔付情况，理赔中心应根据甲方要求于每月5日前向甲方财务部门上报上月医疗责任险赔付数据。</w:t>
      </w:r>
    </w:p>
    <w:p>
      <w:pPr>
        <w:keepNext w:val="0"/>
        <w:keepLines w:val="0"/>
        <w:pageBreakBefore w:val="0"/>
        <w:widowControl/>
        <w:kinsoku/>
        <w:wordWrap/>
        <w:overflowPunct/>
        <w:topLinePunct w:val="0"/>
        <w:autoSpaceDE/>
        <w:autoSpaceDN/>
        <w:bidi w:val="0"/>
        <w:adjustRightInd/>
        <w:snapToGrid/>
        <w:spacing w:line="540" w:lineRule="exact"/>
        <w:ind w:firstLine="630" w:firstLineChars="3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八</w:t>
      </w:r>
      <w:r>
        <w:rPr>
          <w:rFonts w:hint="eastAsia" w:ascii="宋体" w:hAnsi="宋体" w:eastAsia="宋体" w:cs="宋体"/>
          <w:color w:val="auto"/>
          <w:sz w:val="21"/>
          <w:szCs w:val="21"/>
        </w:rPr>
        <w:t>、理赔中心应积极主动参与医疗纠纷的协商调解和处置工作。其中索赔金额在1万元（不含1万元）以下的案件，原则上由理赔中心与患方协商处理，也可由医患双方自行协商，乙方以协商协议书为依据进行赔付。索赔金额在1万元至10万元（不含10万元）的案件，由理赔中心与患方协商处理，也可向医疗纠纷人民调解委员会申请调解处理，对理赔协商或医疗纠纷人民调解委员会调解不成功的可通过其他合法途径解决。双方意见一致时，可直接签署赔偿协议。疑难复杂案件可委托专家或专业机构鉴定后再行协商处理。乙方以医疗纠纷人民调解委员会出具的调解书为依据进行赔付。</w:t>
      </w:r>
    </w:p>
    <w:p>
      <w:pPr>
        <w:keepNext w:val="0"/>
        <w:keepLines w:val="0"/>
        <w:pageBreakBefore w:val="0"/>
        <w:widowControl/>
        <w:kinsoku/>
        <w:wordWrap/>
        <w:overflowPunct/>
        <w:topLinePunct w:val="0"/>
        <w:autoSpaceDE/>
        <w:autoSpaceDN/>
        <w:bidi w:val="0"/>
        <w:adjustRightInd/>
        <w:snapToGrid/>
        <w:spacing w:line="540" w:lineRule="exact"/>
        <w:ind w:firstLine="42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九</w:t>
      </w:r>
      <w:r>
        <w:rPr>
          <w:rFonts w:hint="eastAsia" w:ascii="宋体" w:hAnsi="宋体" w:eastAsia="宋体" w:cs="宋体"/>
          <w:color w:val="auto"/>
          <w:sz w:val="21"/>
          <w:szCs w:val="21"/>
        </w:rPr>
        <w:t>、索赔金额10万元以上的医疗纠纷，原则上应当先行共同委托医疗事故（损害）技术鉴定，责任明确后再通过调解或法院起诉等合法途径确定赔偿金额，由乙方进行赔付。特殊案件虽索赔金额超</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过10万元但未通过医疗鉴定的，乙方应配合甲方做好赔付工作，但全年此类案件不超过5件。</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理赔中心应在案件受理后的３个工作日内组织相关人员对医疗过程进行调查，如遇疑难问题或甲乙双方对调查结果持有不同意见，理赔中心可以在医疗纠纷处置专家库中挑选专家，组织调查和讨论分析（专家鉴定相关费用由保险公司支付，支付标准由双方自行协商），最终以专家组调查和分析结果作为最终理赔依据。调查结束后（原则上在自正式受理并收齐有关材料后5个工作日内）理赔</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中心应出具书面调查报告，告知医患双方初步调查结果和赔偿意见，并做好相关解释工作。</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420" w:firstLineChars="200"/>
        <w:jc w:val="both"/>
        <w:textAlignment w:val="auto"/>
        <w:rPr>
          <w:rFonts w:hint="eastAsia" w:ascii="黑体" w:hAnsi="黑体" w:eastAsia="黑体" w:cs="黑体"/>
          <w:color w:val="auto"/>
          <w:kern w:val="0"/>
          <w:sz w:val="36"/>
          <w:szCs w:val="36"/>
          <w:highlight w:val="none"/>
        </w:rPr>
      </w:pPr>
      <w:r>
        <w:rPr>
          <w:rFonts w:hint="eastAsia" w:ascii="宋体" w:hAnsi="宋体" w:cs="宋体"/>
          <w:color w:val="auto"/>
          <w:kern w:val="2"/>
          <w:sz w:val="21"/>
          <w:szCs w:val="21"/>
          <w:lang w:val="en-US" w:eastAsia="zh-CN" w:bidi="ar-SA"/>
        </w:rPr>
        <w:t>十一、</w:t>
      </w:r>
      <w:r>
        <w:rPr>
          <w:rFonts w:hint="eastAsia" w:ascii="宋体" w:hAnsi="宋体" w:eastAsia="宋体" w:cs="宋体"/>
          <w:color w:val="auto"/>
          <w:kern w:val="2"/>
          <w:sz w:val="21"/>
          <w:szCs w:val="21"/>
          <w:lang w:val="en-US" w:eastAsia="zh-CN" w:bidi="ar-SA"/>
        </w:rPr>
        <w:t>合同期限</w:t>
      </w:r>
      <w:r>
        <w:rPr>
          <w:rFonts w:hint="eastAsia" w:ascii="宋体" w:hAnsi="宋体" w:cs="宋体"/>
          <w:color w:val="auto"/>
          <w:kern w:val="2"/>
          <w:sz w:val="21"/>
          <w:szCs w:val="21"/>
          <w:lang w:val="en-US" w:eastAsia="zh-CN" w:bidi="ar-SA"/>
        </w:rPr>
        <w:t>为三</w:t>
      </w:r>
      <w:r>
        <w:rPr>
          <w:rFonts w:hint="eastAsia" w:ascii="宋体" w:hAnsi="宋体" w:eastAsia="宋体" w:cs="宋体"/>
          <w:color w:val="auto"/>
          <w:kern w:val="2"/>
          <w:sz w:val="21"/>
          <w:szCs w:val="21"/>
          <w:lang w:val="en-US" w:eastAsia="zh-CN" w:bidi="ar-SA"/>
        </w:rPr>
        <w:t>年，</w:t>
      </w:r>
      <w:r>
        <w:rPr>
          <w:rFonts w:hint="eastAsia" w:ascii="宋体" w:hAnsi="宋体" w:cs="宋体"/>
          <w:color w:val="auto"/>
          <w:kern w:val="2"/>
          <w:sz w:val="21"/>
          <w:szCs w:val="21"/>
          <w:lang w:val="en-US" w:eastAsia="zh-CN" w:bidi="ar-SA"/>
        </w:rPr>
        <w:t>保险合同每年签订一次（具体以合同签订时间为准）。</w:t>
      </w:r>
    </w:p>
    <w:p>
      <w:pPr>
        <w:pStyle w:val="4"/>
        <w:bidi w:val="0"/>
        <w:rPr>
          <w:rFonts w:hint="eastAsia"/>
        </w:rPr>
      </w:pPr>
      <w:r>
        <w:rPr>
          <w:rStyle w:val="59"/>
          <w:rFonts w:hint="eastAsia" w:cs="Times New Roman"/>
          <w:b w:val="0"/>
          <w:bCs/>
          <w:lang w:val="en-US" w:eastAsia="zh-CN"/>
        </w:rPr>
        <w:br w:type="page"/>
      </w:r>
      <w:r>
        <w:rPr>
          <w:rStyle w:val="59"/>
          <w:rFonts w:hint="eastAsia" w:cs="Times New Roman"/>
          <w:b w:val="0"/>
          <w:bCs/>
          <w:lang w:val="en-US" w:eastAsia="zh-CN"/>
        </w:rPr>
        <w:t>第五章  投标文件格式</w:t>
      </w:r>
      <w:bookmarkEnd w:id="72"/>
      <w:bookmarkEnd w:id="73"/>
      <w:bookmarkEnd w:id="78"/>
      <w:bookmarkEnd w:id="79"/>
    </w:p>
    <w:p>
      <w:pPr>
        <w:spacing w:before="320" w:beforeLines="100" w:line="440" w:lineRule="atLeast"/>
        <w:jc w:val="right"/>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4"/>
        <w:spacing w:line="240" w:lineRule="exact"/>
        <w:rPr>
          <w:rFonts w:hint="eastAsia"/>
          <w:color w:val="auto"/>
          <w:highlight w:val="none"/>
        </w:rPr>
      </w:pPr>
    </w:p>
    <w:p>
      <w:pPr>
        <w:spacing w:before="320" w:beforeLines="100" w:line="440" w:lineRule="atLeast"/>
        <w:jc w:val="center"/>
        <w:outlineLvl w:val="1"/>
        <w:rPr>
          <w:rFonts w:hint="eastAsia" w:ascii="宋体" w:hAnsi="宋体" w:cs="宋体"/>
          <w:b/>
          <w:bCs/>
          <w:color w:val="auto"/>
          <w:sz w:val="44"/>
          <w:szCs w:val="44"/>
          <w:highlight w:val="none"/>
        </w:rPr>
      </w:pPr>
      <w:bookmarkStart w:id="86" w:name="_Toc471819797"/>
      <w:bookmarkStart w:id="87" w:name="_Toc495666236"/>
      <w:bookmarkStart w:id="88" w:name="_Toc19279"/>
      <w:bookmarkStart w:id="89" w:name="_Toc476229712"/>
      <w:bookmarkStart w:id="90" w:name="_Toc435706544"/>
      <w:bookmarkStart w:id="91" w:name="_Toc471819737"/>
      <w:bookmarkStart w:id="92" w:name="_Toc476230643"/>
      <w:bookmarkStart w:id="93" w:name="_Toc437331615"/>
      <w:bookmarkStart w:id="94" w:name="_Toc476230919"/>
      <w:bookmarkStart w:id="95" w:name="_Toc463851843"/>
      <w:bookmarkStart w:id="96" w:name="_Toc424199675"/>
      <w:bookmarkStart w:id="97" w:name="_Toc433882646"/>
      <w:bookmarkStart w:id="98" w:name="_Toc387831502"/>
      <w:bookmarkStart w:id="99" w:name="_Toc470269884"/>
      <w:bookmarkStart w:id="100" w:name="_Toc392080785"/>
      <w:bookmarkStart w:id="101" w:name="_Toc336331380"/>
      <w:bookmarkStart w:id="102" w:name="_Toc30977"/>
      <w:bookmarkStart w:id="103" w:name="_Toc1082"/>
      <w:bookmarkStart w:id="104" w:name="_Toc476230507"/>
      <w:bookmarkStart w:id="105" w:name="_Toc469475468"/>
      <w:bookmarkStart w:id="106" w:name="_Toc393201727"/>
      <w:bookmarkStart w:id="107" w:name="_Toc468954251"/>
      <w:bookmarkStart w:id="108" w:name="_Toc467572533"/>
      <w:bookmarkStart w:id="109" w:name="_Toc470270000"/>
      <w:r>
        <w:rPr>
          <w:rFonts w:hint="eastAsia" w:ascii="宋体" w:hAnsi="宋体" w:cs="宋体"/>
          <w:b/>
          <w:bCs/>
          <w:color w:val="auto"/>
          <w:sz w:val="44"/>
          <w:szCs w:val="44"/>
          <w:highlight w:val="none"/>
        </w:rPr>
        <w:t>资格证明文件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440" w:lineRule="atLeast"/>
        <w:jc w:val="center"/>
        <w:outlineLvl w:val="1"/>
        <w:rPr>
          <w:rFonts w:hint="eastAsia" w:ascii="宋体" w:hAnsi="宋体" w:cs="宋体"/>
          <w:color w:val="auto"/>
          <w:kern w:val="0"/>
          <w:sz w:val="24"/>
          <w:highlight w:val="none"/>
        </w:rPr>
      </w:pPr>
      <w:bookmarkStart w:id="110" w:name="_Toc27160"/>
      <w:bookmarkStart w:id="111" w:name="_Toc27112"/>
      <w:bookmarkStart w:id="112" w:name="_Toc22050"/>
      <w:r>
        <w:rPr>
          <w:rFonts w:hint="eastAsia" w:ascii="宋体" w:hAnsi="宋体" w:cs="宋体"/>
          <w:color w:val="auto"/>
          <w:kern w:val="0"/>
          <w:sz w:val="24"/>
          <w:highlight w:val="none"/>
        </w:rPr>
        <w:t>   </w:t>
      </w:r>
      <w:bookmarkEnd w:id="110"/>
      <w:bookmarkEnd w:id="111"/>
      <w:bookmarkEnd w:id="112"/>
    </w:p>
    <w:p>
      <w:pPr>
        <w:pStyle w:val="9"/>
        <w:rPr>
          <w:rFonts w:hint="eastAsia" w:ascii="宋体" w:hAnsi="宋体" w:eastAsia="宋体" w:cs="宋体"/>
          <w:color w:val="auto"/>
          <w:highlight w:val="none"/>
        </w:rPr>
      </w:pPr>
    </w:p>
    <w:p>
      <w:pPr>
        <w:rPr>
          <w:rFonts w:hint="eastAsia"/>
          <w:color w:val="auto"/>
          <w:highlight w:val="none"/>
        </w:rPr>
      </w:pPr>
    </w:p>
    <w:p>
      <w:pPr>
        <w:snapToGrid w:val="0"/>
        <w:spacing w:line="440" w:lineRule="atLeast"/>
        <w:ind w:left="2461" w:leftChars="334" w:hanging="1760" w:hangingChars="550"/>
        <w:rPr>
          <w:rFonts w:hint="eastAsia" w:ascii="宋体" w:hAnsi="宋体" w:cs="宋体"/>
          <w:color w:val="auto"/>
          <w:sz w:val="32"/>
          <w:szCs w:val="32"/>
          <w:highlight w:val="none"/>
        </w:rPr>
      </w:pPr>
      <w:bookmarkStart w:id="113" w:name="_Toc340582347"/>
    </w:p>
    <w:p>
      <w:pPr>
        <w:spacing w:line="800" w:lineRule="exact"/>
        <w:ind w:firstLine="518" w:firstLineChars="200"/>
        <w:jc w:val="left"/>
        <w:rPr>
          <w:rFonts w:ascii="宋体" w:hAnsi="宋体" w:cs="宋体"/>
          <w:b/>
          <w:bCs/>
          <w:color w:val="auto"/>
          <w:spacing w:val="-11"/>
          <w:sz w:val="28"/>
          <w:szCs w:val="28"/>
          <w:highlight w:val="none"/>
          <w:u w:val="single"/>
        </w:rPr>
      </w:pPr>
      <w:r>
        <w:rPr>
          <w:rFonts w:hint="eastAsia" w:ascii="宋体" w:hAnsi="宋体" w:cs="宋体"/>
          <w:b/>
          <w:bCs/>
          <w:color w:val="auto"/>
          <w:spacing w:val="-11"/>
          <w:sz w:val="28"/>
          <w:szCs w:val="28"/>
          <w:highlight w:val="none"/>
        </w:rPr>
        <w:t>项目名称：</w:t>
      </w:r>
      <w:bookmarkEnd w:id="113"/>
      <w:r>
        <w:rPr>
          <w:rFonts w:hint="eastAsia" w:ascii="宋体" w:hAnsi="宋体" w:cs="宋体"/>
          <w:b/>
          <w:bCs/>
          <w:color w:val="auto"/>
          <w:spacing w:val="-11"/>
          <w:sz w:val="28"/>
          <w:szCs w:val="28"/>
          <w:highlight w:val="none"/>
          <w:u w:val="single"/>
          <w:lang w:eastAsia="zh-CN"/>
        </w:rPr>
        <w:t>开化县卫生健康局2022--2024年度医疗责任保险服务采购项目</w:t>
      </w:r>
    </w:p>
    <w:p>
      <w:pPr>
        <w:spacing w:line="800" w:lineRule="exact"/>
        <w:ind w:firstLine="703" w:firstLineChars="250"/>
        <w:rPr>
          <w:rFonts w:hint="eastAsia" w:ascii="宋体" w:hAnsi="宋体" w:cs="宋体"/>
          <w:b/>
          <w:bCs/>
          <w:color w:val="auto"/>
          <w:sz w:val="28"/>
          <w:szCs w:val="28"/>
          <w:highlight w:val="none"/>
        </w:rPr>
      </w:pPr>
      <w:bookmarkStart w:id="114" w:name="_Toc340582348"/>
    </w:p>
    <w:p>
      <w:pPr>
        <w:spacing w:line="800" w:lineRule="exact"/>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rPr>
        <w:tab/>
      </w:r>
      <w:r>
        <w:rPr>
          <w:rFonts w:hint="eastAsia" w:ascii="宋体" w:hAnsi="宋体" w:cs="宋体"/>
          <w:b/>
          <w:bCs/>
          <w:color w:val="auto"/>
          <w:sz w:val="28"/>
          <w:szCs w:val="28"/>
          <w:highlight w:val="none"/>
          <w:u w:val="single"/>
        </w:rPr>
        <w:t xml:space="preserve">    </w:t>
      </w:r>
      <w:bookmarkEnd w:id="114"/>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eastAsia="zh-CN"/>
        </w:rPr>
        <w:t>TCCG2022-YLZRBX</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xml:space="preserve">         </w:t>
      </w:r>
    </w:p>
    <w:p>
      <w:pPr>
        <w:spacing w:line="800" w:lineRule="exact"/>
        <w:ind w:firstLine="703" w:firstLineChars="250"/>
        <w:jc w:val="left"/>
        <w:rPr>
          <w:rFonts w:hint="eastAsia" w:ascii="宋体" w:hAnsi="宋体" w:cs="宋体"/>
          <w:b/>
          <w:bCs/>
          <w:color w:val="auto"/>
          <w:sz w:val="28"/>
          <w:szCs w:val="28"/>
          <w:highlight w:val="none"/>
        </w:rPr>
      </w:pPr>
    </w:p>
    <w:p>
      <w:pPr>
        <w:spacing w:line="800" w:lineRule="exact"/>
        <w:ind w:firstLine="562" w:firstLineChars="200"/>
        <w:jc w:val="left"/>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投标人名称：</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xml:space="preserve"> （电子签章） </w:t>
      </w:r>
    </w:p>
    <w:p>
      <w:pPr>
        <w:ind w:firstLine="703" w:firstLineChars="250"/>
        <w:jc w:val="left"/>
        <w:rPr>
          <w:rFonts w:hint="eastAsia" w:ascii="宋体" w:hAnsi="宋体" w:cs="宋体"/>
          <w:b/>
          <w:bCs/>
          <w:color w:val="auto"/>
          <w:sz w:val="28"/>
          <w:szCs w:val="28"/>
          <w:highlight w:val="none"/>
        </w:rPr>
      </w:pPr>
    </w:p>
    <w:p>
      <w:pPr>
        <w:ind w:firstLine="703" w:firstLineChars="250"/>
        <w:jc w:val="left"/>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 xml:space="preserve"> </w:t>
      </w:r>
    </w:p>
    <w:p>
      <w:pPr>
        <w:spacing w:line="440" w:lineRule="atLeast"/>
        <w:ind w:firstLine="562" w:firstLineChars="200"/>
        <w:jc w:val="left"/>
        <w:rPr>
          <w:rFonts w:hint="eastAsia" w:ascii="宋体" w:hAnsi="宋体" w:cs="宋体"/>
          <w:b/>
          <w:bCs/>
          <w:color w:val="auto"/>
          <w:sz w:val="28"/>
          <w:szCs w:val="28"/>
          <w:highlight w:val="none"/>
          <w:u w:val="single"/>
        </w:rPr>
      </w:pPr>
    </w:p>
    <w:p>
      <w:pPr>
        <w:spacing w:line="440" w:lineRule="atLeast"/>
        <w:ind w:firstLine="562" w:firstLineChars="200"/>
        <w:jc w:val="left"/>
        <w:rPr>
          <w:rFonts w:hint="eastAsia" w:ascii="宋体" w:hAnsi="宋体" w:cs="宋体"/>
          <w:b/>
          <w:bCs/>
          <w:color w:val="auto"/>
          <w:sz w:val="28"/>
          <w:szCs w:val="28"/>
          <w:highlight w:val="none"/>
        </w:rPr>
      </w:pPr>
    </w:p>
    <w:p>
      <w:pPr>
        <w:spacing w:line="440" w:lineRule="atLeas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pPr>
        <w:spacing w:line="440" w:lineRule="atLeast"/>
        <w:ind w:firstLine="2108" w:firstLineChars="750"/>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xml:space="preserve">  </w:t>
      </w:r>
      <w:bookmarkStart w:id="115" w:name="_Toc340582352"/>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bookmarkEnd w:id="115"/>
    </w:p>
    <w:p>
      <w:pPr>
        <w:widowControl/>
        <w:spacing w:line="54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rPr>
        <w:t>资格证明文件目录</w:t>
      </w:r>
    </w:p>
    <w:p>
      <w:pPr>
        <w:pStyle w:val="25"/>
        <w:tabs>
          <w:tab w:val="right" w:leader="dot" w:pos="9061"/>
        </w:tabs>
        <w:spacing w:line="360" w:lineRule="auto"/>
        <w:ind w:left="0" w:leftChars="0"/>
        <w:rPr>
          <w:rFonts w:hint="eastAsia" w:ascii="宋体" w:hAnsi="宋体" w:cs="宋体"/>
          <w:color w:val="auto"/>
          <w:kern w:val="0"/>
          <w:sz w:val="24"/>
          <w:highlight w:val="none"/>
        </w:rPr>
      </w:pPr>
    </w:p>
    <w:p>
      <w:pPr>
        <w:keepNext w:val="0"/>
        <w:keepLines w:val="0"/>
        <w:pageBreakBefore w:val="0"/>
        <w:widowControl/>
        <w:kinsoku/>
        <w:wordWrap/>
        <w:overflowPunct/>
        <w:topLinePunct w:val="0"/>
        <w:autoSpaceDE/>
        <w:autoSpaceDN/>
        <w:bidi w:val="0"/>
        <w:snapToGrid/>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一、投标声明书（格式附后）</w:t>
      </w:r>
    </w:p>
    <w:p>
      <w:pPr>
        <w:keepNext w:val="0"/>
        <w:keepLines w:val="0"/>
        <w:pageBreakBefore w:val="0"/>
        <w:widowControl/>
        <w:kinsoku/>
        <w:wordWrap/>
        <w:overflowPunct/>
        <w:topLinePunct w:val="0"/>
        <w:autoSpaceDE/>
        <w:autoSpaceDN/>
        <w:bidi w:val="0"/>
        <w:snapToGrid/>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、法人或者其他组织的营业执照等证明文件扫描件</w:t>
      </w:r>
    </w:p>
    <w:p>
      <w:pPr>
        <w:pStyle w:val="25"/>
        <w:keepNext w:val="0"/>
        <w:keepLines w:val="0"/>
        <w:pageBreakBefore w:val="0"/>
        <w:tabs>
          <w:tab w:val="right" w:leader="dot" w:pos="9071"/>
        </w:tabs>
        <w:kinsoku/>
        <w:wordWrap/>
        <w:overflowPunct/>
        <w:topLinePunct w:val="0"/>
        <w:autoSpaceDE/>
        <w:autoSpaceDN/>
        <w:bidi w:val="0"/>
        <w:snapToGrid/>
        <w:spacing w:line="560" w:lineRule="exact"/>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、《经营保险业务许可证》扫描件</w:t>
      </w:r>
    </w:p>
    <w:p>
      <w:pPr>
        <w:keepNext w:val="0"/>
        <w:keepLines w:val="0"/>
        <w:pageBreakBefore w:val="0"/>
        <w:kinsoku/>
        <w:wordWrap/>
        <w:overflowPunct/>
        <w:topLinePunct w:val="0"/>
        <w:autoSpaceDE/>
        <w:autoSpaceDN/>
        <w:bidi w:val="0"/>
        <w:snapToGrid/>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、法定代表人身份证扫描件（正、反面）</w:t>
      </w:r>
    </w:p>
    <w:p>
      <w:pPr>
        <w:keepNext w:val="0"/>
        <w:keepLines w:val="0"/>
        <w:pageBreakBefore w:val="0"/>
        <w:widowControl/>
        <w:kinsoku/>
        <w:wordWrap/>
        <w:overflowPunct/>
        <w:topLinePunct w:val="0"/>
        <w:autoSpaceDE/>
        <w:autoSpaceDN/>
        <w:bidi w:val="0"/>
        <w:snapToGrid/>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、法定代表人授权委托书（如为授权委托人参加投标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格式附后</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snapToGrid/>
        <w:spacing w:line="5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lang w:eastAsia="zh-CN"/>
        </w:rPr>
        <w:instrText xml:space="preserve"> HYPERLINK \l _Toc29700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、符合参加政府采购活动应当具备的一般条件的承诺函</w:t>
      </w:r>
      <w:r>
        <w:rPr>
          <w:rFonts w:hint="eastAsia" w:ascii="宋体" w:hAnsi="宋体" w:eastAsia="宋体" w:cs="宋体"/>
          <w:color w:val="auto"/>
          <w:sz w:val="21"/>
          <w:szCs w:val="21"/>
        </w:rPr>
        <w:fldChar w:fldCharType="end"/>
      </w:r>
    </w:p>
    <w:p>
      <w:pPr>
        <w:pStyle w:val="231"/>
        <w:keepNext w:val="0"/>
        <w:keepLines w:val="0"/>
        <w:pageBreakBefore w:val="0"/>
        <w:kinsoku/>
        <w:wordWrap/>
        <w:overflowPunct/>
        <w:topLinePunct w:val="0"/>
        <w:autoSpaceDE/>
        <w:autoSpaceDN/>
        <w:bidi w:val="0"/>
        <w:snapToGrid/>
        <w:spacing w:line="560" w:lineRule="exact"/>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lang w:val="en-US" w:eastAsia="zh-CN"/>
        </w:rPr>
        <w:t>①</w:t>
      </w:r>
      <w:r>
        <w:rPr>
          <w:rFonts w:hint="eastAsia" w:ascii="宋体" w:hAnsi="宋体" w:cs="宋体"/>
          <w:color w:val="auto"/>
          <w:kern w:val="2"/>
          <w:szCs w:val="21"/>
          <w:highlight w:val="none"/>
        </w:rPr>
        <w:t>最近一年度</w:t>
      </w:r>
      <w:r>
        <w:rPr>
          <w:rFonts w:hint="eastAsia" w:ascii="宋体" w:hAnsi="宋体" w:cs="宋体"/>
          <w:b/>
          <w:bCs/>
          <w:color w:val="auto"/>
          <w:szCs w:val="21"/>
          <w:highlight w:val="none"/>
        </w:rPr>
        <w:t>投标人</w:t>
      </w:r>
      <w:r>
        <w:rPr>
          <w:rFonts w:hint="eastAsia" w:ascii="宋体" w:hAnsi="宋体" w:cs="宋体"/>
          <w:color w:val="auto"/>
          <w:kern w:val="2"/>
          <w:szCs w:val="21"/>
          <w:highlight w:val="none"/>
        </w:rPr>
        <w:t>财务状况报告扫描件（投标人若是新注册成立的，无法提供财务状况报告，请提供情况说明）</w:t>
      </w:r>
    </w:p>
    <w:p>
      <w:pPr>
        <w:keepNext w:val="0"/>
        <w:keepLines w:val="0"/>
        <w:pageBreakBefore w:val="0"/>
        <w:widowControl/>
        <w:kinsoku/>
        <w:wordWrap/>
        <w:overflowPunct/>
        <w:topLinePunct w:val="0"/>
        <w:autoSpaceDE/>
        <w:autoSpaceDN/>
        <w:bidi w:val="0"/>
        <w:snapToGrid/>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截至开标前6个月内</w:t>
      </w:r>
      <w:r>
        <w:rPr>
          <w:rFonts w:hint="eastAsia" w:ascii="宋体" w:hAnsi="宋体" w:cs="宋体"/>
          <w:b/>
          <w:bCs/>
          <w:color w:val="auto"/>
          <w:szCs w:val="21"/>
          <w:highlight w:val="none"/>
        </w:rPr>
        <w:t>投标人</w:t>
      </w:r>
      <w:r>
        <w:rPr>
          <w:rFonts w:hint="eastAsia" w:ascii="宋体" w:hAnsi="宋体" w:cs="宋体"/>
          <w:color w:val="auto"/>
          <w:szCs w:val="21"/>
          <w:highlight w:val="none"/>
        </w:rPr>
        <w:t>依法缴纳税收的证明(完税凭证扫描件或税务部门出具的证明扫描件，至少提供一个月）或依法免税证明</w:t>
      </w:r>
    </w:p>
    <w:p>
      <w:pPr>
        <w:keepNext w:val="0"/>
        <w:keepLines w:val="0"/>
        <w:pageBreakBefore w:val="0"/>
        <w:widowControl/>
        <w:kinsoku/>
        <w:wordWrap/>
        <w:overflowPunct/>
        <w:topLinePunct w:val="0"/>
        <w:autoSpaceDE/>
        <w:autoSpaceDN/>
        <w:bidi w:val="0"/>
        <w:snapToGrid/>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截至开标前6个月内投标人为员工缴纳的社会保障资金证明（缴纳凭证扫描件或人社部门出具的证明扫描件，至少提供一个月；且若</w:t>
      </w:r>
      <w:r>
        <w:rPr>
          <w:rFonts w:hint="eastAsia" w:ascii="宋体" w:hAnsi="宋体" w:cs="宋体"/>
          <w:b/>
          <w:bCs/>
          <w:color w:val="auto"/>
          <w:szCs w:val="21"/>
          <w:highlight w:val="none"/>
        </w:rPr>
        <w:t>授权委托人参与投标</w:t>
      </w:r>
      <w:r>
        <w:rPr>
          <w:rFonts w:hint="eastAsia" w:ascii="宋体" w:hAnsi="宋体" w:cs="宋体"/>
          <w:color w:val="auto"/>
          <w:szCs w:val="21"/>
          <w:highlight w:val="none"/>
        </w:rPr>
        <w:t>，则提供的社会保障资金证明须体现投标人为</w:t>
      </w:r>
      <w:r>
        <w:rPr>
          <w:rFonts w:hint="eastAsia" w:ascii="宋体" w:hAnsi="宋体" w:cs="宋体"/>
          <w:b/>
          <w:bCs/>
          <w:color w:val="auto"/>
          <w:szCs w:val="21"/>
          <w:highlight w:val="none"/>
        </w:rPr>
        <w:t>授权委托人</w:t>
      </w:r>
      <w:r>
        <w:rPr>
          <w:rFonts w:hint="eastAsia" w:ascii="宋体" w:hAnsi="宋体" w:cs="宋体"/>
          <w:color w:val="auto"/>
          <w:szCs w:val="21"/>
          <w:highlight w:val="none"/>
        </w:rPr>
        <w:t>缴纳的社保情况，投标人若是新注册成立的，无法提供完税证明的，请提供情况说明）</w:t>
      </w:r>
    </w:p>
    <w:p>
      <w:pPr>
        <w:keepNext w:val="0"/>
        <w:keepLines w:val="0"/>
        <w:pageBreakBefore w:val="0"/>
        <w:widowControl/>
        <w:kinsoku/>
        <w:wordWrap/>
        <w:overflowPunct/>
        <w:topLinePunct w:val="0"/>
        <w:autoSpaceDE/>
        <w:autoSpaceDN/>
        <w:bidi w:val="0"/>
        <w:snapToGrid/>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、投标人需要说明的其他文件和说明（格式自拟）</w:t>
      </w:r>
    </w:p>
    <w:p>
      <w:pPr>
        <w:snapToGrid w:val="0"/>
        <w:spacing w:line="440" w:lineRule="exact"/>
        <w:rPr>
          <w:rFonts w:hint="eastAsia" w:ascii="宋体" w:hAnsi="宋体" w:cs="宋体"/>
          <w:b/>
          <w:i/>
          <w:color w:val="auto"/>
          <w:sz w:val="24"/>
          <w:highlight w:val="none"/>
        </w:rPr>
      </w:pPr>
    </w:p>
    <w:p>
      <w:pPr>
        <w:widowControl/>
        <w:spacing w:line="360" w:lineRule="auto"/>
        <w:jc w:val="center"/>
        <w:outlineLvl w:val="2"/>
        <w:rPr>
          <w:rFonts w:hint="eastAsia" w:ascii="宋体" w:hAnsi="宋体" w:cs="宋体"/>
          <w:b/>
          <w:color w:val="auto"/>
          <w:sz w:val="30"/>
          <w:szCs w:val="30"/>
          <w:highlight w:val="none"/>
        </w:rPr>
      </w:pPr>
    </w:p>
    <w:p>
      <w:pPr>
        <w:widowControl/>
        <w:spacing w:line="360" w:lineRule="auto"/>
        <w:jc w:val="center"/>
        <w:outlineLvl w:val="2"/>
        <w:rPr>
          <w:rFonts w:hint="eastAsia" w:ascii="宋体" w:hAnsi="宋体" w:cs="宋体"/>
          <w:b/>
          <w:color w:val="auto"/>
          <w:sz w:val="30"/>
          <w:szCs w:val="30"/>
          <w:highlight w:val="none"/>
        </w:rPr>
      </w:pPr>
    </w:p>
    <w:p>
      <w:pPr>
        <w:widowControl/>
        <w:spacing w:line="360" w:lineRule="auto"/>
        <w:jc w:val="center"/>
        <w:outlineLvl w:val="2"/>
        <w:rPr>
          <w:rFonts w:hint="eastAsia" w:ascii="宋体" w:hAnsi="宋体" w:cs="宋体"/>
          <w:b/>
          <w:color w:val="auto"/>
          <w:sz w:val="30"/>
          <w:szCs w:val="30"/>
          <w:highlight w:val="none"/>
        </w:rPr>
      </w:pPr>
    </w:p>
    <w:p>
      <w:pPr>
        <w:widowControl/>
        <w:spacing w:line="360" w:lineRule="auto"/>
        <w:jc w:val="center"/>
        <w:outlineLvl w:val="2"/>
        <w:rPr>
          <w:rFonts w:hint="eastAsia" w:ascii="宋体" w:hAnsi="宋体" w:cs="宋体"/>
          <w:b/>
          <w:color w:val="auto"/>
          <w:sz w:val="30"/>
          <w:szCs w:val="30"/>
          <w:highlight w:val="none"/>
        </w:rPr>
      </w:pPr>
    </w:p>
    <w:p>
      <w:pPr>
        <w:widowControl/>
        <w:spacing w:line="360" w:lineRule="auto"/>
        <w:jc w:val="center"/>
        <w:outlineLvl w:val="2"/>
        <w:rPr>
          <w:rFonts w:hint="eastAsia" w:ascii="宋体" w:hAnsi="宋体" w:cs="宋体"/>
          <w:b/>
          <w:color w:val="auto"/>
          <w:sz w:val="30"/>
          <w:szCs w:val="30"/>
          <w:highlight w:val="none"/>
        </w:rPr>
      </w:pPr>
    </w:p>
    <w:p>
      <w:pPr>
        <w:rPr>
          <w:rFonts w:hint="eastAsia" w:ascii="宋体" w:hAnsi="宋体" w:cs="宋体"/>
          <w:color w:val="auto"/>
          <w:highlight w:val="none"/>
        </w:rPr>
      </w:pPr>
      <w:bookmarkStart w:id="116" w:name="_Toc435706547"/>
      <w:bookmarkStart w:id="117" w:name="_Toc467572536"/>
      <w:bookmarkStart w:id="118" w:name="_Toc470270003"/>
      <w:bookmarkStart w:id="119" w:name="_Toc471819799"/>
      <w:bookmarkStart w:id="120" w:name="_Toc437509329"/>
      <w:bookmarkStart w:id="121" w:name="_Toc433882649"/>
      <w:bookmarkStart w:id="122" w:name="_Toc437331307"/>
      <w:bookmarkStart w:id="123" w:name="_Toc463851846"/>
      <w:bookmarkStart w:id="124" w:name="_Toc469475471"/>
      <w:bookmarkStart w:id="125" w:name="_Toc470269887"/>
      <w:bookmarkStart w:id="126" w:name="_Toc437331618"/>
      <w:bookmarkStart w:id="127" w:name="_Toc424199678"/>
      <w:bookmarkStart w:id="128" w:name="_Toc468954254"/>
      <w:bookmarkStart w:id="129" w:name="_Toc471819739"/>
      <w:bookmarkStart w:id="130" w:name="_Toc437504032"/>
    </w:p>
    <w:p>
      <w:pPr>
        <w:widowControl/>
        <w:spacing w:line="540" w:lineRule="exact"/>
        <w:jc w:val="center"/>
        <w:outlineLvl w:val="2"/>
        <w:rPr>
          <w:rFonts w:hint="eastAsia" w:ascii="宋体" w:hAnsi="宋体" w:cs="宋体"/>
          <w:b/>
          <w:color w:val="auto"/>
          <w:kern w:val="0"/>
          <w:sz w:val="30"/>
          <w:szCs w:val="30"/>
          <w:highlight w:val="none"/>
        </w:rPr>
      </w:pPr>
      <w:bookmarkStart w:id="131" w:name="_Toc495666239"/>
      <w:bookmarkStart w:id="132" w:name="_Toc476230510"/>
      <w:bookmarkStart w:id="133" w:name="_Toc476230646"/>
      <w:bookmarkStart w:id="134" w:name="_Toc476229715"/>
      <w:bookmarkStart w:id="135" w:name="_Toc476230922"/>
      <w:bookmarkStart w:id="136" w:name="_Toc17944"/>
      <w:bookmarkStart w:id="137" w:name="_Toc23479"/>
    </w:p>
    <w:p>
      <w:pPr>
        <w:widowControl/>
        <w:spacing w:line="540" w:lineRule="exact"/>
        <w:jc w:val="center"/>
        <w:outlineLvl w:val="2"/>
        <w:rPr>
          <w:rFonts w:hint="eastAsia" w:ascii="宋体" w:hAnsi="宋体" w:cs="宋体"/>
          <w:b/>
          <w:color w:val="auto"/>
          <w:kern w:val="0"/>
          <w:sz w:val="30"/>
          <w:szCs w:val="30"/>
          <w:highlight w:val="none"/>
        </w:rPr>
      </w:pPr>
      <w:bookmarkStart w:id="138" w:name="_Toc19904"/>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rPr>
        <w:t>一、投标声明书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26"/>
        <w:spacing w:line="520" w:lineRule="exact"/>
        <w:rPr>
          <w:rFonts w:hint="eastAsia" w:hAnsi="宋体" w:cs="宋体"/>
          <w:color w:val="auto"/>
          <w:kern w:val="0"/>
          <w:szCs w:val="21"/>
          <w:highlight w:val="none"/>
        </w:rPr>
      </w:pPr>
    </w:p>
    <w:p>
      <w:pPr>
        <w:pStyle w:val="26"/>
        <w:spacing w:line="520" w:lineRule="exact"/>
        <w:rPr>
          <w:rFonts w:hint="eastAsia" w:hAnsi="宋体" w:cs="宋体"/>
          <w:color w:val="auto"/>
          <w:kern w:val="0"/>
          <w:szCs w:val="21"/>
          <w:highlight w:val="none"/>
        </w:rPr>
      </w:pPr>
      <w:r>
        <w:rPr>
          <w:rFonts w:hint="eastAsia" w:hAnsi="宋体" w:cs="宋体"/>
          <w:color w:val="auto"/>
          <w:kern w:val="0"/>
          <w:szCs w:val="21"/>
          <w:highlight w:val="none"/>
        </w:rPr>
        <w:t>致</w:t>
      </w:r>
      <w:r>
        <w:rPr>
          <w:rFonts w:hint="eastAsia" w:hAnsi="宋体" w:cs="宋体"/>
          <w:color w:val="auto"/>
          <w:kern w:val="0"/>
          <w:szCs w:val="21"/>
          <w:highlight w:val="none"/>
          <w:u w:val="single"/>
          <w:lang w:eastAsia="zh-CN"/>
        </w:rPr>
        <w:t>浙江天册工程管理有限公司</w:t>
      </w:r>
      <w:r>
        <w:rPr>
          <w:rFonts w:hint="eastAsia" w:hAnsi="宋体" w:cs="宋体"/>
          <w:color w:val="auto"/>
          <w:kern w:val="0"/>
          <w:szCs w:val="21"/>
          <w:highlight w:val="none"/>
        </w:rPr>
        <w:t>：</w:t>
      </w:r>
    </w:p>
    <w:p>
      <w:pPr>
        <w:pStyle w:val="26"/>
        <w:spacing w:line="520" w:lineRule="exact"/>
        <w:ind w:firstLine="525" w:firstLineChars="250"/>
        <w:rPr>
          <w:rFonts w:hint="eastAsia" w:hAnsi="宋体" w:cs="宋体"/>
          <w:color w:val="auto"/>
          <w:kern w:val="0"/>
          <w:szCs w:val="21"/>
          <w:highlight w:val="none"/>
        </w:rPr>
      </w:pPr>
      <w:r>
        <w:rPr>
          <w:rFonts w:hint="eastAsia" w:hAnsi="宋体" w:cs="宋体"/>
          <w:color w:val="auto"/>
          <w:kern w:val="0"/>
          <w:szCs w:val="21"/>
          <w:highlight w:val="none"/>
          <w:u w:val="single"/>
          <w:lang w:val="en-US" w:eastAsia="zh-CN"/>
        </w:rPr>
        <w:t xml:space="preserve">          </w:t>
      </w:r>
      <w:r>
        <w:rPr>
          <w:rFonts w:hint="eastAsia" w:hAnsi="宋体" w:cs="宋体"/>
          <w:color w:val="auto"/>
          <w:kern w:val="0"/>
          <w:szCs w:val="21"/>
          <w:highlight w:val="none"/>
          <w:u w:val="single"/>
        </w:rPr>
        <w:t>（</w:t>
      </w:r>
      <w:r>
        <w:rPr>
          <w:rFonts w:hint="eastAsia" w:hAnsi="宋体" w:cs="宋体"/>
          <w:color w:val="auto"/>
          <w:kern w:val="0"/>
          <w:szCs w:val="21"/>
          <w:highlight w:val="none"/>
          <w:u w:val="single"/>
        </w:rPr>
        <w:t>投标人名称）</w:t>
      </w:r>
      <w:r>
        <w:rPr>
          <w:rFonts w:hint="eastAsia" w:hAnsi="宋体" w:cs="宋体"/>
          <w:color w:val="auto"/>
          <w:kern w:val="0"/>
          <w:szCs w:val="21"/>
          <w:highlight w:val="none"/>
        </w:rPr>
        <w:t>系中华人民共和国合法企业，经营地址</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。我</w:t>
      </w:r>
      <w:r>
        <w:rPr>
          <w:rFonts w:hint="eastAsia" w:hAnsi="宋体" w:cs="宋体"/>
          <w:color w:val="auto"/>
          <w:kern w:val="0"/>
          <w:szCs w:val="21"/>
          <w:highlight w:val="none"/>
          <w:u w:val="single"/>
        </w:rPr>
        <w:t xml:space="preserve">     （姓名）</w:t>
      </w:r>
      <w:r>
        <w:rPr>
          <w:rFonts w:hint="eastAsia" w:hAnsi="宋体" w:cs="宋体"/>
          <w:color w:val="auto"/>
          <w:kern w:val="0"/>
          <w:szCs w:val="21"/>
          <w:highlight w:val="none"/>
        </w:rPr>
        <w:t>系</w:t>
      </w:r>
      <w:r>
        <w:rPr>
          <w:rFonts w:hint="eastAsia" w:hAnsi="宋体" w:cs="宋体"/>
          <w:color w:val="auto"/>
          <w:kern w:val="0"/>
          <w:szCs w:val="21"/>
          <w:highlight w:val="none"/>
          <w:u w:val="single"/>
        </w:rPr>
        <w:t xml:space="preserve">    （投标人名称）</w:t>
      </w:r>
      <w:r>
        <w:rPr>
          <w:rFonts w:hint="eastAsia" w:hAnsi="宋体" w:cs="宋体"/>
          <w:color w:val="auto"/>
          <w:kern w:val="0"/>
          <w:szCs w:val="21"/>
          <w:highlight w:val="none"/>
        </w:rPr>
        <w:t>的法定代表人，我方愿意参加贵方组织的</w:t>
      </w:r>
      <w:r>
        <w:rPr>
          <w:rFonts w:hint="eastAsia" w:hAnsi="宋体" w:cs="宋体"/>
          <w:color w:val="auto"/>
          <w:kern w:val="0"/>
          <w:szCs w:val="21"/>
          <w:highlight w:val="none"/>
          <w:u w:val="single"/>
        </w:rPr>
        <w:t xml:space="preserve">    （采购项目名称）（项目编号为      ）</w:t>
      </w:r>
      <w:r>
        <w:rPr>
          <w:rFonts w:hint="eastAsia" w:hAnsi="宋体" w:cs="宋体"/>
          <w:color w:val="auto"/>
          <w:kern w:val="0"/>
          <w:szCs w:val="21"/>
          <w:highlight w:val="none"/>
        </w:rPr>
        <w:t>的投标，为此，我方就本次投标有关事项郑重声明如下：</w:t>
      </w:r>
    </w:p>
    <w:p>
      <w:pPr>
        <w:pStyle w:val="26"/>
        <w:spacing w:line="52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1、我方已详细审查全部招标文件，同意招标文件的各项要求。</w:t>
      </w:r>
    </w:p>
    <w:p>
      <w:pPr>
        <w:pStyle w:val="26"/>
        <w:spacing w:line="52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2、我方向贵方提交的所有投标文件、资料都是准确的和真实的。</w:t>
      </w:r>
    </w:p>
    <w:p>
      <w:pPr>
        <w:pStyle w:val="26"/>
        <w:spacing w:line="52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3、我们已详细审核全部招标文件、参考资料及有关附件，我们知道必须放弃提出含糊不清或误解问题的权利。</w:t>
      </w:r>
    </w:p>
    <w:p>
      <w:pPr>
        <w:pStyle w:val="26"/>
        <w:spacing w:line="52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4、若中标，我方将按招标文件规定履行合同责任和义务。</w:t>
      </w:r>
    </w:p>
    <w:p>
      <w:pPr>
        <w:pStyle w:val="26"/>
        <w:spacing w:line="52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5、我方不是采购人的附属机构；在获知本项目采购信息后，与采购人聘请的为此项目提供咨询服务的公司及其附属机构没有任何联系。</w:t>
      </w:r>
    </w:p>
    <w:p>
      <w:pPr>
        <w:pStyle w:val="26"/>
        <w:spacing w:line="52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6、投标文件自开标日起有效期为</w:t>
      </w:r>
      <w:r>
        <w:rPr>
          <w:rFonts w:hint="eastAsia" w:hAnsi="宋体" w:cs="宋体"/>
          <w:color w:val="auto"/>
          <w:kern w:val="0"/>
          <w:szCs w:val="21"/>
          <w:highlight w:val="none"/>
          <w:u w:val="single"/>
        </w:rPr>
        <w:t>90</w:t>
      </w:r>
      <w:r>
        <w:rPr>
          <w:rFonts w:hint="eastAsia" w:hAnsi="宋体" w:cs="宋体"/>
          <w:color w:val="auto"/>
          <w:kern w:val="0"/>
          <w:szCs w:val="21"/>
          <w:highlight w:val="none"/>
        </w:rPr>
        <w:t>日。</w:t>
      </w:r>
    </w:p>
    <w:p>
      <w:pPr>
        <w:snapToGrid w:val="0"/>
        <w:spacing w:line="52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7、我方参与本项目前3年内的经营活动中没有重大违法记录；</w:t>
      </w:r>
    </w:p>
    <w:p>
      <w:pPr>
        <w:snapToGrid w:val="0"/>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8、我方通过“信用中国”网站（www.creditchina.gov.cn）、中国政府采购网（www.ccgp.gov.cn）等查询，未被列入失信被执行人、重大税收违法案件当事人名单、政府采购严重违法失信行为记录名单。</w:t>
      </w:r>
    </w:p>
    <w:p>
      <w:pPr>
        <w:pStyle w:val="26"/>
        <w:spacing w:line="52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9.以上事项如有虚假或隐瞒，我方愿意承担一切后果，并不再寻求任何旨在减轻或免除法律责任的辩解。</w:t>
      </w:r>
    </w:p>
    <w:p>
      <w:pPr>
        <w:pStyle w:val="26"/>
        <w:spacing w:line="520" w:lineRule="exact"/>
        <w:rPr>
          <w:rFonts w:hint="eastAsia" w:hAnsi="宋体" w:cs="宋体"/>
          <w:color w:val="auto"/>
          <w:kern w:val="0"/>
          <w:szCs w:val="21"/>
          <w:highlight w:val="none"/>
        </w:rPr>
      </w:pPr>
    </w:p>
    <w:p>
      <w:pPr>
        <w:spacing w:line="500" w:lineRule="exact"/>
        <w:ind w:firstLine="4410" w:firstLineChars="2100"/>
        <w:rPr>
          <w:rFonts w:hint="eastAsia" w:ascii="宋体" w:hAnsi="宋体" w:cs="宋体"/>
          <w:color w:val="auto"/>
          <w:szCs w:val="21"/>
          <w:highlight w:val="none"/>
        </w:rPr>
      </w:pPr>
      <w:r>
        <w:rPr>
          <w:rFonts w:hint="eastAsia" w:ascii="宋体" w:hAnsi="宋体" w:cs="宋体"/>
          <w:color w:val="auto"/>
          <w:szCs w:val="21"/>
          <w:highlight w:val="none"/>
        </w:rPr>
        <w:t xml:space="preserve">投标人全称（电子签章）：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idowControl/>
        <w:snapToGrid w:val="0"/>
        <w:spacing w:line="500" w:lineRule="exact"/>
        <w:ind w:firstLine="4410" w:firstLineChars="2100"/>
        <w:textAlignment w:val="baseline"/>
        <w:rPr>
          <w:rFonts w:hint="eastAsia" w:ascii="宋体" w:hAnsi="宋体" w:cs="宋体"/>
          <w:b/>
          <w:color w:val="auto"/>
          <w:kern w:val="0"/>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pStyle w:val="231"/>
        <w:rPr>
          <w:rFonts w:hint="eastAsia" w:ascii="宋体" w:hAnsi="宋体" w:cs="宋体"/>
          <w:color w:val="auto"/>
          <w:szCs w:val="21"/>
          <w:highlight w:val="none"/>
        </w:rPr>
      </w:pPr>
    </w:p>
    <w:p>
      <w:pPr>
        <w:pStyle w:val="21"/>
        <w:ind w:firstLine="600"/>
        <w:rPr>
          <w:rFonts w:hint="eastAsia" w:ascii="宋体" w:hAnsi="宋体" w:eastAsia="宋体" w:cs="宋体"/>
          <w:color w:val="auto"/>
          <w:highlight w:val="none"/>
        </w:rPr>
      </w:pPr>
    </w:p>
    <w:p>
      <w:pPr>
        <w:spacing w:line="540" w:lineRule="exact"/>
        <w:jc w:val="center"/>
        <w:outlineLvl w:val="2"/>
        <w:rPr>
          <w:rFonts w:hint="eastAsia" w:ascii="宋体" w:hAnsi="宋体" w:cs="宋体"/>
          <w:b/>
          <w:color w:val="auto"/>
          <w:kern w:val="0"/>
          <w:sz w:val="30"/>
          <w:szCs w:val="30"/>
          <w:highlight w:val="none"/>
        </w:rPr>
      </w:pPr>
      <w:bookmarkStart w:id="139" w:name="_Toc18613"/>
      <w:bookmarkStart w:id="140" w:name="_Toc424199683"/>
      <w:bookmarkStart w:id="141" w:name="_Toc469475476"/>
      <w:bookmarkStart w:id="142" w:name="_Toc437504037"/>
      <w:bookmarkStart w:id="143" w:name="_Toc470270008"/>
      <w:bookmarkStart w:id="144" w:name="_Toc437509334"/>
      <w:bookmarkStart w:id="145" w:name="_Toc435706552"/>
      <w:bookmarkStart w:id="146" w:name="_Toc433882654"/>
      <w:bookmarkStart w:id="147" w:name="_Toc437331312"/>
      <w:bookmarkStart w:id="148" w:name="_Toc467572541"/>
      <w:bookmarkStart w:id="149" w:name="_Toc463851851"/>
      <w:bookmarkStart w:id="150" w:name="_Toc437331623"/>
      <w:bookmarkStart w:id="151" w:name="_Toc471819741"/>
      <w:bookmarkStart w:id="152" w:name="_Toc470269892"/>
      <w:bookmarkStart w:id="153" w:name="_Toc468954259"/>
      <w:bookmarkStart w:id="154" w:name="_Toc471819801"/>
    </w:p>
    <w:p>
      <w:pPr>
        <w:widowControl/>
        <w:spacing w:line="54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bookmarkEnd w:id="139"/>
      <w:bookmarkStart w:id="155" w:name="_Toc13932"/>
      <w:bookmarkStart w:id="156" w:name="_Toc5542"/>
      <w:bookmarkStart w:id="157" w:name="_Toc28421"/>
      <w:bookmarkStart w:id="158" w:name="_Toc27540"/>
      <w:bookmarkStart w:id="159" w:name="_Toc19283"/>
      <w:bookmarkStart w:id="160" w:name="_Toc20615"/>
      <w:bookmarkStart w:id="161" w:name="_Toc29640"/>
      <w:r>
        <w:rPr>
          <w:rFonts w:hint="eastAsia" w:ascii="宋体" w:hAnsi="宋体" w:cs="宋体"/>
          <w:b/>
          <w:color w:val="auto"/>
          <w:kern w:val="0"/>
          <w:sz w:val="30"/>
          <w:szCs w:val="30"/>
          <w:highlight w:val="none"/>
          <w:lang w:val="en-US" w:eastAsia="zh-CN"/>
        </w:rPr>
        <w:t>二</w:t>
      </w:r>
      <w:r>
        <w:rPr>
          <w:rFonts w:hint="eastAsia" w:ascii="宋体" w:hAnsi="宋体" w:cs="宋体"/>
          <w:b/>
          <w:color w:val="auto"/>
          <w:kern w:val="0"/>
          <w:sz w:val="30"/>
          <w:szCs w:val="30"/>
          <w:highlight w:val="none"/>
        </w:rPr>
        <w:t>、</w:t>
      </w:r>
      <w:bookmarkEnd w:id="155"/>
      <w:bookmarkEnd w:id="156"/>
      <w:bookmarkEnd w:id="157"/>
      <w:bookmarkEnd w:id="158"/>
      <w:bookmarkEnd w:id="159"/>
      <w:bookmarkEnd w:id="160"/>
      <w:bookmarkEnd w:id="161"/>
      <w:r>
        <w:rPr>
          <w:rFonts w:hint="eastAsia" w:ascii="宋体" w:hAnsi="宋体" w:cs="宋体"/>
          <w:b/>
          <w:color w:val="auto"/>
          <w:kern w:val="0"/>
          <w:sz w:val="30"/>
          <w:szCs w:val="30"/>
          <w:highlight w:val="none"/>
        </w:rPr>
        <w:t>法人或者其他组织的营业执照等证明文件扫描件</w:t>
      </w: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Pr>
        <w:spacing w:line="440" w:lineRule="atLeast"/>
        <w:jc w:val="center"/>
        <w:rPr>
          <w:rFonts w:hint="eastAsia" w:ascii="宋体" w:hAnsi="宋体" w:cs="宋体"/>
          <w:b/>
          <w:color w:val="auto"/>
          <w:sz w:val="24"/>
          <w:highlight w:val="none"/>
        </w:rPr>
      </w:pPr>
    </w:p>
    <w:p>
      <w:pPr>
        <w:widowControl/>
        <w:spacing w:line="540" w:lineRule="exact"/>
        <w:ind w:firstLine="480" w:firstLineChars="200"/>
        <w:jc w:val="left"/>
        <w:rPr>
          <w:rFonts w:hint="eastAsia" w:ascii="宋体" w:hAnsi="宋体" w:cs="宋体"/>
          <w:color w:val="auto"/>
          <w:kern w:val="0"/>
          <w:sz w:val="24"/>
          <w:highlight w:val="none"/>
        </w:rPr>
      </w:pPr>
    </w:p>
    <w:p>
      <w:pPr>
        <w:widowControl/>
        <w:spacing w:line="54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lang w:val="en-US" w:eastAsia="zh-CN"/>
        </w:rPr>
        <w:t>三</w:t>
      </w:r>
      <w:r>
        <w:rPr>
          <w:rFonts w:hint="eastAsia" w:ascii="宋体" w:hAnsi="宋体" w:cs="宋体"/>
          <w:b/>
          <w:color w:val="auto"/>
          <w:kern w:val="0"/>
          <w:sz w:val="30"/>
          <w:szCs w:val="30"/>
          <w:highlight w:val="none"/>
        </w:rPr>
        <w:t>、《经营保险业务许可证》扫描件</w:t>
      </w: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cs="宋体"/>
          <w:b/>
          <w:color w:val="auto"/>
          <w:kern w:val="0"/>
          <w:sz w:val="30"/>
          <w:szCs w:val="30"/>
          <w:highlight w:val="none"/>
        </w:rPr>
        <w:t>、法定代表人身份证扫描件（正、反面）</w:t>
      </w:r>
    </w:p>
    <w:p>
      <w:pPr>
        <w:spacing w:line="440" w:lineRule="atLeast"/>
        <w:jc w:val="center"/>
        <w:rPr>
          <w:rFonts w:hint="eastAsia" w:ascii="宋体" w:hAnsi="宋体" w:cs="宋体"/>
          <w:b/>
          <w:color w:val="auto"/>
          <w:szCs w:val="21"/>
          <w:highlight w:val="none"/>
        </w:rPr>
      </w:pPr>
    </w:p>
    <w:p>
      <w:pPr>
        <w:spacing w:line="440" w:lineRule="atLeast"/>
        <w:rPr>
          <w:rFonts w:hint="eastAsia" w:ascii="宋体" w:hAnsi="宋体" w:cs="宋体"/>
          <w:color w:val="auto"/>
          <w:szCs w:val="21"/>
          <w:highlight w:val="none"/>
        </w:rPr>
      </w:pPr>
    </w:p>
    <w:p>
      <w:pPr>
        <w:widowControl/>
        <w:spacing w:line="540" w:lineRule="exact"/>
        <w:jc w:val="center"/>
        <w:rPr>
          <w:rFonts w:hint="eastAsia" w:ascii="宋体" w:hAnsi="宋体" w:cs="宋体"/>
          <w:color w:val="auto"/>
          <w:kern w:val="0"/>
          <w:sz w:val="24"/>
          <w:highlight w:val="none"/>
        </w:rPr>
      </w:pPr>
    </w:p>
    <w:p>
      <w:pPr>
        <w:widowControl/>
        <w:spacing w:line="540" w:lineRule="exact"/>
        <w:jc w:val="center"/>
        <w:rPr>
          <w:rFonts w:hint="eastAsia" w:ascii="宋体" w:hAnsi="宋体" w:cs="宋体"/>
          <w:color w:val="auto"/>
          <w:kern w:val="0"/>
          <w:sz w:val="24"/>
          <w:highlight w:val="none"/>
        </w:rPr>
      </w:pPr>
    </w:p>
    <w:p>
      <w:pPr>
        <w:widowControl/>
        <w:spacing w:line="540" w:lineRule="exact"/>
        <w:jc w:val="center"/>
        <w:rPr>
          <w:rFonts w:hint="eastAsia" w:ascii="宋体" w:hAnsi="宋体" w:cs="宋体"/>
          <w:color w:val="auto"/>
          <w:kern w:val="0"/>
          <w:sz w:val="24"/>
          <w:highlight w:val="none"/>
        </w:rPr>
      </w:pPr>
    </w:p>
    <w:p>
      <w:pPr>
        <w:widowControl/>
        <w:spacing w:line="540" w:lineRule="exact"/>
        <w:jc w:val="center"/>
        <w:rPr>
          <w:rFonts w:hint="eastAsia" w:ascii="宋体" w:hAnsi="宋体" w:cs="宋体"/>
          <w:color w:val="auto"/>
          <w:kern w:val="0"/>
          <w:sz w:val="24"/>
          <w:highlight w:val="none"/>
        </w:rPr>
      </w:pPr>
    </w:p>
    <w:p>
      <w:pPr>
        <w:widowControl/>
        <w:spacing w:line="540" w:lineRule="exact"/>
        <w:jc w:val="center"/>
        <w:rPr>
          <w:rFonts w:hint="eastAsia" w:ascii="宋体" w:hAnsi="宋体" w:cs="宋体"/>
          <w:color w:val="auto"/>
          <w:kern w:val="0"/>
          <w:sz w:val="24"/>
          <w:highlight w:val="none"/>
        </w:rPr>
      </w:pPr>
    </w:p>
    <w:p>
      <w:pPr>
        <w:widowControl/>
        <w:spacing w:line="540" w:lineRule="exact"/>
        <w:jc w:val="center"/>
        <w:outlineLvl w:val="2"/>
        <w:rPr>
          <w:rFonts w:hint="eastAsia" w:ascii="宋体" w:hAnsi="宋体" w:cs="宋体"/>
          <w:b/>
          <w:color w:val="auto"/>
          <w:kern w:val="0"/>
          <w:sz w:val="30"/>
          <w:szCs w:val="30"/>
          <w:highlight w:val="none"/>
        </w:rPr>
      </w:pPr>
      <w:bookmarkStart w:id="162" w:name="_Toc437509335"/>
      <w:bookmarkStart w:id="163" w:name="_Toc495666243"/>
      <w:bookmarkStart w:id="164" w:name="_Toc3284"/>
      <w:bookmarkStart w:id="165" w:name="_Toc14311"/>
      <w:bookmarkStart w:id="166" w:name="_Toc471819802"/>
      <w:bookmarkStart w:id="167" w:name="_Toc437331624"/>
      <w:bookmarkStart w:id="168" w:name="_Toc435706553"/>
      <w:bookmarkStart w:id="169" w:name="_Toc424199684"/>
      <w:bookmarkStart w:id="170" w:name="_Toc467572542"/>
      <w:bookmarkStart w:id="171" w:name="_Toc476230926"/>
      <w:bookmarkStart w:id="172" w:name="_Toc437504038"/>
      <w:bookmarkStart w:id="173" w:name="_Toc437331313"/>
      <w:bookmarkStart w:id="174" w:name="_Toc476230514"/>
      <w:bookmarkStart w:id="175" w:name="_Toc476229719"/>
      <w:bookmarkStart w:id="176" w:name="_Toc476230650"/>
      <w:bookmarkStart w:id="177" w:name="_Toc469475477"/>
      <w:bookmarkStart w:id="178" w:name="_Toc471819742"/>
      <w:bookmarkStart w:id="179" w:name="_Toc470269893"/>
      <w:bookmarkStart w:id="180" w:name="_Toc433882655"/>
      <w:bookmarkStart w:id="181" w:name="_Toc463851852"/>
      <w:bookmarkStart w:id="182" w:name="_Toc470270009"/>
      <w:bookmarkStart w:id="183" w:name="_Toc468954260"/>
      <w:bookmarkStart w:id="184" w:name="_Toc19176"/>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0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cs="宋体"/>
          <w:b/>
          <w:color w:val="auto"/>
          <w:kern w:val="0"/>
          <w:sz w:val="30"/>
          <w:szCs w:val="30"/>
          <w:highlight w:val="none"/>
          <w:lang w:val="en-US" w:eastAsia="zh-CN"/>
        </w:rPr>
        <w:t>五</w:t>
      </w:r>
      <w:r>
        <w:rPr>
          <w:rFonts w:hint="eastAsia" w:ascii="宋体" w:hAnsi="宋体" w:cs="宋体"/>
          <w:b/>
          <w:color w:val="auto"/>
          <w:kern w:val="0"/>
          <w:sz w:val="30"/>
          <w:szCs w:val="30"/>
          <w:highlight w:val="none"/>
        </w:rPr>
        <w:t>、法定代表人授权委托书（如为授权委托人参加投标</w:t>
      </w:r>
      <w:r>
        <w:rPr>
          <w:rFonts w:hint="eastAsia" w:ascii="宋体" w:hAnsi="宋体" w:cs="宋体"/>
          <w:b/>
          <w:color w:val="auto"/>
          <w:kern w:val="0"/>
          <w:sz w:val="30"/>
          <w:szCs w:val="30"/>
          <w:highlight w:val="none"/>
          <w:lang w:eastAsia="zh-CN"/>
        </w:rPr>
        <w:t>，</w:t>
      </w:r>
      <w:r>
        <w:rPr>
          <w:rFonts w:hint="eastAsia" w:ascii="宋体" w:hAnsi="宋体" w:cs="宋体"/>
          <w:b/>
          <w:color w:val="auto"/>
          <w:kern w:val="0"/>
          <w:sz w:val="30"/>
          <w:szCs w:val="30"/>
          <w:highlight w:val="none"/>
          <w:lang w:val="en-US" w:eastAsia="zh-CN"/>
        </w:rPr>
        <w:t>格式附后</w:t>
      </w:r>
      <w:r>
        <w:rPr>
          <w:rFonts w:hint="eastAsia" w:ascii="宋体" w:hAnsi="宋体" w:cs="宋体"/>
          <w:b/>
          <w:color w:val="auto"/>
          <w:kern w:val="0"/>
          <w:sz w:val="30"/>
          <w:szCs w:val="30"/>
          <w:highlight w:val="none"/>
        </w:rPr>
        <w:t>）</w:t>
      </w:r>
    </w:p>
    <w:p>
      <w:pPr>
        <w:widowControl/>
        <w:spacing w:line="600" w:lineRule="exact"/>
        <w:ind w:left="120" w:leftChars="57"/>
        <w:jc w:val="left"/>
        <w:rPr>
          <w:rFonts w:hint="eastAsia" w:ascii="宋体" w:hAnsi="宋体" w:cs="宋体"/>
          <w:color w:val="auto"/>
          <w:kern w:val="0"/>
          <w:sz w:val="24"/>
          <w:highlight w:val="none"/>
        </w:rPr>
      </w:pPr>
    </w:p>
    <w:p>
      <w:pPr>
        <w:snapToGrid w:val="0"/>
        <w:spacing w:line="500" w:lineRule="exact"/>
        <w:ind w:firstLine="630" w:firstLineChars="300"/>
        <w:rPr>
          <w:rFonts w:hint="eastAsia" w:ascii="宋体" w:hAnsi="宋体" w:cs="宋体"/>
          <w:color w:val="auto"/>
          <w:szCs w:val="21"/>
          <w:highlight w:val="none"/>
        </w:rPr>
      </w:pPr>
      <w:bookmarkStart w:id="185" w:name="_Toc433882656"/>
      <w:bookmarkStart w:id="186" w:name="_Toc424199685"/>
      <w:r>
        <w:rPr>
          <w:rFonts w:hint="eastAsia" w:ascii="宋体" w:hAnsi="宋体" w:cs="宋体"/>
          <w:color w:val="auto"/>
          <w:szCs w:val="21"/>
          <w:highlight w:val="none"/>
        </w:rPr>
        <w:t>本授权书声明：我</w:t>
      </w:r>
      <w:r>
        <w:rPr>
          <w:rFonts w:hint="eastAsia" w:ascii="宋体" w:hAnsi="宋体" w:cs="宋体"/>
          <w:color w:val="auto"/>
          <w:szCs w:val="21"/>
          <w:highlight w:val="none"/>
          <w:u w:val="single"/>
        </w:rPr>
        <w:t xml:space="preserve">    （法定代表人姓名、职务）</w:t>
      </w:r>
      <w:r>
        <w:rPr>
          <w:rFonts w:hint="eastAsia" w:ascii="宋体" w:hAnsi="宋体" w:cs="宋体"/>
          <w:color w:val="auto"/>
          <w:szCs w:val="21"/>
          <w:highlight w:val="none"/>
        </w:rPr>
        <w:t>是</w:t>
      </w:r>
      <w:r>
        <w:rPr>
          <w:rFonts w:hint="eastAsia" w:ascii="宋体" w:hAnsi="宋体" w:cs="宋体"/>
          <w:color w:val="auto"/>
          <w:szCs w:val="21"/>
          <w:highlight w:val="none"/>
          <w:u w:val="single"/>
        </w:rPr>
        <w:t xml:space="preserve">            （单位名称）</w:t>
      </w:r>
      <w:r>
        <w:rPr>
          <w:rFonts w:hint="eastAsia" w:ascii="宋体" w:hAnsi="宋体" w:cs="宋体"/>
          <w:color w:val="auto"/>
          <w:szCs w:val="21"/>
          <w:highlight w:val="none"/>
        </w:rPr>
        <w:t>的法人代表，现授权委托本单位在职职工</w:t>
      </w:r>
      <w:r>
        <w:rPr>
          <w:rFonts w:hint="eastAsia" w:ascii="宋体" w:hAnsi="宋体" w:cs="宋体"/>
          <w:color w:val="auto"/>
          <w:szCs w:val="21"/>
          <w:highlight w:val="none"/>
          <w:u w:val="single"/>
        </w:rPr>
        <w:t xml:space="preserve">               （姓名，被授权人必须为本单位正式在职员工）</w:t>
      </w:r>
      <w:r>
        <w:rPr>
          <w:rFonts w:hint="eastAsia" w:ascii="宋体" w:hAnsi="宋体" w:cs="宋体"/>
          <w:color w:val="auto"/>
          <w:szCs w:val="21"/>
          <w:highlight w:val="none"/>
        </w:rPr>
        <w:t xml:space="preserve">为全权代表，以我方的名义参加 </w:t>
      </w:r>
      <w:r>
        <w:rPr>
          <w:rFonts w:hint="eastAsia" w:ascii="宋体" w:hAnsi="宋体" w:cs="宋体"/>
          <w:color w:val="auto"/>
          <w:szCs w:val="21"/>
          <w:highlight w:val="none"/>
          <w:u w:val="single"/>
        </w:rPr>
        <w:t xml:space="preserve">                           （项目名称）                （项目编号）</w:t>
      </w:r>
      <w:r>
        <w:rPr>
          <w:rFonts w:hint="eastAsia" w:ascii="宋体" w:hAnsi="宋体" w:cs="宋体"/>
          <w:color w:val="auto"/>
          <w:szCs w:val="21"/>
          <w:highlight w:val="none"/>
        </w:rPr>
        <w:t>的投标活动，并代表我方全权办理针对上述项目的投标、开标、评标、签约等具体事务和签署相关文件。我方对全权代表的签名事项负全部责任。</w:t>
      </w:r>
    </w:p>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全权代表无转委托权，特此委托。</w:t>
      </w:r>
    </w:p>
    <w:p>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日签字生效，特此声明。</w:t>
      </w:r>
    </w:p>
    <w:p>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pPr>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授权委托人（签字或盖章）：</w:t>
      </w:r>
      <w:r>
        <w:rPr>
          <w:rFonts w:hint="eastAsia" w:ascii="宋体" w:hAnsi="宋体" w:cs="宋体"/>
          <w:color w:val="auto"/>
          <w:szCs w:val="21"/>
          <w:highlight w:val="none"/>
          <w:u w:val="single"/>
        </w:rPr>
        <w:t xml:space="preserve">                            </w:t>
      </w:r>
    </w:p>
    <w:p>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投标人全称（电子签章）</w:t>
      </w:r>
      <w:r>
        <w:rPr>
          <w:rFonts w:hint="eastAsia" w:ascii="宋体" w:hAnsi="宋体" w:cs="宋体"/>
          <w:color w:val="auto"/>
          <w:szCs w:val="21"/>
          <w:highlight w:val="none"/>
          <w:u w:val="single"/>
        </w:rPr>
        <w:t xml:space="preserve">                          </w:t>
      </w:r>
    </w:p>
    <w:p>
      <w:pP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widowControl/>
        <w:spacing w:line="540" w:lineRule="exact"/>
        <w:jc w:val="center"/>
        <w:outlineLvl w:val="2"/>
        <w:rPr>
          <w:rFonts w:hint="eastAsia" w:ascii="宋体" w:hAnsi="宋体" w:cs="宋体"/>
          <w:color w:val="auto"/>
          <w:szCs w:val="21"/>
          <w:highlight w:val="none"/>
        </w:rPr>
      </w:pPr>
    </w:p>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附：授权委托人身份证（正、反面）</w:t>
      </w:r>
    </w:p>
    <w:p>
      <w:pPr>
        <w:widowControl/>
        <w:spacing w:line="540" w:lineRule="exact"/>
        <w:jc w:val="center"/>
        <w:outlineLvl w:val="2"/>
        <w:rPr>
          <w:rFonts w:hint="eastAsia" w:ascii="宋体" w:hAnsi="宋体" w:cs="宋体"/>
          <w:color w:val="auto"/>
          <w:highlight w:val="none"/>
        </w:rPr>
      </w:pPr>
    </w:p>
    <w:p>
      <w:pPr>
        <w:widowControl/>
        <w:spacing w:line="540" w:lineRule="exact"/>
        <w:jc w:val="center"/>
        <w:outlineLvl w:val="2"/>
        <w:rPr>
          <w:rFonts w:hint="eastAsia" w:ascii="宋体" w:hAnsi="宋体" w:cs="宋体"/>
          <w:color w:val="auto"/>
          <w:highlight w:val="none"/>
        </w:rPr>
      </w:pPr>
    </w:p>
    <w:p>
      <w:pPr>
        <w:widowControl/>
        <w:spacing w:line="540" w:lineRule="exact"/>
        <w:jc w:val="center"/>
        <w:outlineLvl w:val="2"/>
        <w:rPr>
          <w:rFonts w:hint="eastAsia" w:ascii="宋体" w:hAnsi="宋体" w:cs="宋体"/>
          <w:color w:val="auto"/>
          <w:highlight w:val="none"/>
        </w:rPr>
      </w:pPr>
    </w:p>
    <w:p>
      <w:pPr>
        <w:widowControl/>
        <w:spacing w:line="540" w:lineRule="exact"/>
        <w:jc w:val="center"/>
        <w:outlineLvl w:val="2"/>
        <w:rPr>
          <w:rFonts w:hint="eastAsia" w:ascii="宋体" w:hAnsi="宋体" w:cs="宋体"/>
          <w:color w:val="auto"/>
          <w:highlight w:val="none"/>
        </w:rPr>
      </w:pPr>
    </w:p>
    <w:p>
      <w:pPr>
        <w:widowControl/>
        <w:spacing w:line="540" w:lineRule="exact"/>
        <w:jc w:val="center"/>
        <w:outlineLvl w:val="2"/>
        <w:rPr>
          <w:rFonts w:hint="eastAsia" w:ascii="宋体" w:hAnsi="宋体" w:cs="宋体"/>
          <w:color w:val="auto"/>
          <w:highlight w:val="none"/>
        </w:rPr>
      </w:pPr>
    </w:p>
    <w:p>
      <w:pPr>
        <w:widowControl/>
        <w:spacing w:line="540" w:lineRule="exact"/>
        <w:jc w:val="center"/>
        <w:outlineLvl w:val="2"/>
        <w:rPr>
          <w:rFonts w:hint="eastAsia" w:ascii="宋体" w:hAnsi="宋体" w:cs="宋体"/>
          <w:color w:val="auto"/>
          <w:highlight w:val="none"/>
        </w:rPr>
      </w:pPr>
    </w:p>
    <w:p>
      <w:pPr>
        <w:pStyle w:val="9"/>
        <w:rPr>
          <w:rFonts w:hint="eastAsia" w:ascii="宋体" w:hAnsi="宋体" w:eastAsia="宋体" w:cs="宋体"/>
          <w:color w:val="auto"/>
          <w:highlight w:val="none"/>
        </w:rPr>
      </w:pPr>
    </w:p>
    <w:bookmarkEnd w:id="185"/>
    <w:bookmarkEnd w:id="186"/>
    <w:p>
      <w:pPr>
        <w:spacing w:before="320" w:beforeLines="100" w:line="440" w:lineRule="atLeast"/>
        <w:jc w:val="right"/>
        <w:rPr>
          <w:rFonts w:hint="eastAsia" w:ascii="宋体" w:hAnsi="宋体" w:cs="宋体"/>
          <w:b/>
          <w:color w:val="auto"/>
          <w:sz w:val="30"/>
          <w:szCs w:val="30"/>
          <w:highlight w:val="none"/>
        </w:rPr>
      </w:pPr>
    </w:p>
    <w:p>
      <w:pPr>
        <w:spacing w:line="540" w:lineRule="exact"/>
        <w:jc w:val="center"/>
        <w:outlineLvl w:val="2"/>
        <w:rPr>
          <w:rFonts w:hint="eastAsia" w:ascii="宋体" w:hAnsi="宋体" w:eastAsia="宋体" w:cs="宋体"/>
          <w:b/>
          <w:color w:val="auto"/>
          <w:sz w:val="30"/>
          <w:szCs w:val="30"/>
          <w:lang w:val="en-US" w:eastAsia="zh-CN"/>
        </w:rPr>
      </w:pPr>
      <w:bookmarkStart w:id="187" w:name="_Toc476230515"/>
      <w:bookmarkStart w:id="188" w:name="_Toc476230651"/>
      <w:bookmarkStart w:id="189" w:name="_Toc495666244"/>
      <w:bookmarkStart w:id="190" w:name="_Toc10392"/>
      <w:bookmarkStart w:id="191" w:name="_Toc476229720"/>
      <w:bookmarkStart w:id="192" w:name="_Toc476230927"/>
      <w:bookmarkStart w:id="193" w:name="_Toc4608"/>
      <w:bookmarkStart w:id="194" w:name="_Toc10716"/>
      <w:r>
        <w:rPr>
          <w:rFonts w:hint="eastAsia" w:ascii="宋体" w:hAnsi="宋体" w:cs="宋体"/>
          <w:b/>
          <w:color w:val="auto"/>
          <w:kern w:val="0"/>
          <w:sz w:val="30"/>
          <w:szCs w:val="30"/>
          <w:highlight w:val="none"/>
        </w:rPr>
        <w:br w:type="page"/>
      </w:r>
      <w:bookmarkEnd w:id="187"/>
      <w:bookmarkEnd w:id="188"/>
      <w:bookmarkEnd w:id="189"/>
      <w:bookmarkEnd w:id="190"/>
      <w:bookmarkEnd w:id="191"/>
      <w:bookmarkEnd w:id="192"/>
      <w:bookmarkEnd w:id="193"/>
      <w:bookmarkEnd w:id="194"/>
      <w:r>
        <w:rPr>
          <w:rFonts w:hint="eastAsia" w:ascii="宋体" w:hAnsi="宋体" w:eastAsia="宋体" w:cs="宋体"/>
          <w:b/>
          <w:color w:val="auto"/>
          <w:sz w:val="30"/>
          <w:szCs w:val="30"/>
          <w:lang w:val="en-US" w:eastAsia="zh-CN"/>
        </w:rPr>
        <w:t>六、符合参加政府采购活动应当具备的一般条件的承诺函</w:t>
      </w:r>
    </w:p>
    <w:p>
      <w:pPr>
        <w:keepNext w:val="0"/>
        <w:keepLines w:val="0"/>
        <w:pageBreakBefore w:val="0"/>
        <w:widowControl/>
        <w:kinsoku/>
        <w:wordWrap/>
        <w:overflowPunct/>
        <w:topLinePunct w:val="0"/>
        <w:autoSpaceDE/>
        <w:autoSpaceDN/>
        <w:bidi w:val="0"/>
        <w:adjustRightInd/>
        <w:spacing w:line="440" w:lineRule="exact"/>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u w:val="single"/>
        </w:rPr>
        <w:t>（采购人）、（采购代理机构）</w:t>
      </w: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autoSpaceDE/>
        <w:autoSpaceDN/>
        <w:bidi w:val="0"/>
        <w:adjustRightInd/>
        <w:snapToGrid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我方参与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u w:val="single"/>
          <w:lang w:val="en-US" w:eastAsia="zh-CN"/>
        </w:rPr>
        <w:t>项目编号</w:t>
      </w:r>
      <w:r>
        <w:rPr>
          <w:rFonts w:hint="eastAsia" w:ascii="宋体" w:hAnsi="宋体" w:eastAsia="宋体" w:cs="宋体"/>
          <w:color w:val="auto"/>
          <w:kern w:val="0"/>
          <w:sz w:val="21"/>
          <w:szCs w:val="21"/>
          <w:highlight w:val="none"/>
          <w:u w:val="single"/>
        </w:rPr>
        <w:t>为      ）</w:t>
      </w:r>
      <w:r>
        <w:rPr>
          <w:rFonts w:hint="eastAsia" w:ascii="宋体" w:hAnsi="宋体" w:eastAsia="宋体" w:cs="宋体"/>
          <w:color w:val="auto"/>
          <w:kern w:val="0"/>
          <w:sz w:val="21"/>
          <w:szCs w:val="21"/>
          <w:highlight w:val="none"/>
        </w:rPr>
        <w:t>政府采购活动，郑重承诺：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具有法律、行政法规规定的其他条件。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（三）不存在以下情况：</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为采购项目提供整体设计、规范编制或者项目管理、监理、检测等服务后再参加该采购项目的其他采购活动的。</w:t>
      </w:r>
    </w:p>
    <w:p>
      <w:pPr>
        <w:keepNext w:val="0"/>
        <w:keepLines w:val="0"/>
        <w:pageBreakBefore w:val="0"/>
        <w:kinsoku/>
        <w:wordWrap/>
        <w:overflowPunct/>
        <w:topLinePunct w:val="0"/>
        <w:autoSpaceDE/>
        <w:autoSpaceDN/>
        <w:bidi w:val="0"/>
        <w:adjustRightInd/>
        <w:snapToGrid w:val="0"/>
        <w:spacing w:line="440" w:lineRule="exact"/>
        <w:ind w:firstLine="422" w:firstLineChars="200"/>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(四）我方承诺：在开标活动结束后被推荐为中标候选人2个工作日内，提供</w:t>
      </w:r>
      <w:r>
        <w:rPr>
          <w:rFonts w:hint="eastAsia" w:ascii="宋体" w:hAnsi="宋体" w:eastAsia="宋体" w:cs="Times New Roman"/>
          <w:b/>
          <w:bCs/>
          <w:color w:val="auto"/>
          <w:sz w:val="21"/>
          <w:szCs w:val="21"/>
          <w:highlight w:val="none"/>
          <w:lang w:val="en-US" w:eastAsia="zh-CN"/>
        </w:rPr>
        <w:fldChar w:fldCharType="begin"/>
      </w:r>
      <w:r>
        <w:rPr>
          <w:rFonts w:hint="eastAsia" w:ascii="宋体" w:hAnsi="宋体" w:eastAsia="宋体" w:cs="Times New Roman"/>
          <w:b/>
          <w:bCs/>
          <w:color w:val="auto"/>
          <w:sz w:val="21"/>
          <w:szCs w:val="21"/>
          <w:highlight w:val="none"/>
          <w:lang w:val="en-US" w:eastAsia="zh-CN"/>
        </w:rPr>
        <w:instrText xml:space="preserve"> = 1 \* GB3 </w:instrText>
      </w:r>
      <w:r>
        <w:rPr>
          <w:rFonts w:hint="eastAsia" w:ascii="宋体" w:hAnsi="宋体" w:eastAsia="宋体" w:cs="Times New Roman"/>
          <w:b/>
          <w:bCs/>
          <w:color w:val="auto"/>
          <w:sz w:val="21"/>
          <w:szCs w:val="21"/>
          <w:highlight w:val="none"/>
          <w:lang w:val="en-US" w:eastAsia="zh-CN"/>
        </w:rPr>
        <w:fldChar w:fldCharType="separate"/>
      </w:r>
      <w:r>
        <w:rPr>
          <w:rFonts w:hint="eastAsia" w:ascii="宋体" w:hAnsi="宋体" w:eastAsia="宋体" w:cs="Times New Roman"/>
          <w:b/>
          <w:bCs/>
          <w:color w:val="auto"/>
          <w:sz w:val="21"/>
          <w:szCs w:val="21"/>
          <w:highlight w:val="none"/>
          <w:lang w:val="en-US" w:eastAsia="zh-CN"/>
        </w:rPr>
        <w:t>①</w:t>
      </w:r>
      <w:r>
        <w:rPr>
          <w:rFonts w:hint="eastAsia" w:ascii="宋体" w:hAnsi="宋体" w:eastAsia="宋体" w:cs="Times New Roman"/>
          <w:b/>
          <w:bCs/>
          <w:color w:val="auto"/>
          <w:sz w:val="21"/>
          <w:szCs w:val="21"/>
          <w:highlight w:val="none"/>
          <w:lang w:val="en-US" w:eastAsia="zh-CN"/>
        </w:rPr>
        <w:fldChar w:fldCharType="end"/>
      </w:r>
      <w:r>
        <w:rPr>
          <w:rFonts w:hint="eastAsia" w:ascii="宋体" w:hAnsi="宋体" w:eastAsia="宋体" w:cs="Times New Roman"/>
          <w:b/>
          <w:bCs/>
          <w:color w:val="auto"/>
          <w:sz w:val="21"/>
          <w:szCs w:val="21"/>
          <w:highlight w:val="none"/>
          <w:lang w:val="en-US" w:eastAsia="zh-CN"/>
        </w:rPr>
        <w:t>、</w:t>
      </w:r>
      <w:r>
        <w:rPr>
          <w:rFonts w:hint="eastAsia" w:ascii="宋体" w:hAnsi="宋体" w:eastAsia="宋体" w:cs="Times New Roman"/>
          <w:b/>
          <w:bCs/>
          <w:color w:val="auto"/>
          <w:sz w:val="21"/>
          <w:szCs w:val="21"/>
          <w:highlight w:val="none"/>
          <w:lang w:val="en-US" w:eastAsia="zh-CN"/>
        </w:rPr>
        <w:fldChar w:fldCharType="begin"/>
      </w:r>
      <w:r>
        <w:rPr>
          <w:rFonts w:hint="eastAsia" w:ascii="宋体" w:hAnsi="宋体" w:eastAsia="宋体" w:cs="Times New Roman"/>
          <w:b/>
          <w:bCs/>
          <w:color w:val="auto"/>
          <w:sz w:val="21"/>
          <w:szCs w:val="21"/>
          <w:highlight w:val="none"/>
          <w:lang w:val="en-US" w:eastAsia="zh-CN"/>
        </w:rPr>
        <w:instrText xml:space="preserve"> = 2 \* GB3 </w:instrText>
      </w:r>
      <w:r>
        <w:rPr>
          <w:rFonts w:hint="eastAsia" w:ascii="宋体" w:hAnsi="宋体" w:eastAsia="宋体" w:cs="Times New Roman"/>
          <w:b/>
          <w:bCs/>
          <w:color w:val="auto"/>
          <w:sz w:val="21"/>
          <w:szCs w:val="21"/>
          <w:highlight w:val="none"/>
          <w:lang w:val="en-US" w:eastAsia="zh-CN"/>
        </w:rPr>
        <w:fldChar w:fldCharType="separate"/>
      </w:r>
      <w:r>
        <w:rPr>
          <w:rFonts w:hint="eastAsia" w:ascii="宋体" w:hAnsi="宋体" w:eastAsia="宋体" w:cs="Times New Roman"/>
          <w:b/>
          <w:bCs/>
          <w:color w:val="auto"/>
          <w:sz w:val="21"/>
          <w:szCs w:val="21"/>
          <w:highlight w:val="none"/>
          <w:lang w:val="en-US" w:eastAsia="zh-CN"/>
        </w:rPr>
        <w:t>②</w:t>
      </w:r>
      <w:r>
        <w:rPr>
          <w:rFonts w:hint="eastAsia" w:ascii="宋体" w:hAnsi="宋体" w:eastAsia="宋体" w:cs="Times New Roman"/>
          <w:b/>
          <w:bCs/>
          <w:color w:val="auto"/>
          <w:sz w:val="21"/>
          <w:szCs w:val="21"/>
          <w:highlight w:val="none"/>
          <w:lang w:val="en-US" w:eastAsia="zh-CN"/>
        </w:rPr>
        <w:fldChar w:fldCharType="end"/>
      </w:r>
      <w:r>
        <w:rPr>
          <w:rFonts w:hint="eastAsia" w:ascii="宋体" w:hAnsi="宋体" w:eastAsia="宋体" w:cs="Times New Roman"/>
          <w:b/>
          <w:bCs/>
          <w:color w:val="auto"/>
          <w:sz w:val="21"/>
          <w:szCs w:val="21"/>
          <w:highlight w:val="none"/>
          <w:lang w:val="en-US" w:eastAsia="zh-CN"/>
        </w:rPr>
        <w:t>、</w:t>
      </w:r>
      <w:r>
        <w:rPr>
          <w:rFonts w:hint="default" w:ascii="宋体" w:hAnsi="宋体" w:eastAsia="宋体" w:cs="Times New Roman"/>
          <w:b/>
          <w:bCs/>
          <w:color w:val="auto"/>
          <w:sz w:val="21"/>
          <w:szCs w:val="21"/>
          <w:highlight w:val="none"/>
          <w:lang w:val="en-US" w:eastAsia="zh-CN"/>
        </w:rPr>
        <w:t>③</w:t>
      </w:r>
      <w:r>
        <w:rPr>
          <w:rFonts w:hint="eastAsia" w:ascii="宋体" w:hAnsi="宋体" w:eastAsia="宋体" w:cs="Times New Roman"/>
          <w:b/>
          <w:bCs/>
          <w:color w:val="auto"/>
          <w:sz w:val="21"/>
          <w:szCs w:val="21"/>
          <w:highlight w:val="none"/>
          <w:lang w:val="en-US" w:eastAsia="zh-CN"/>
        </w:rPr>
        <w:t>相应原件扫描件核查，否则将视同放弃中标资格；</w:t>
      </w:r>
    </w:p>
    <w:p>
      <w:pPr>
        <w:keepNext w:val="0"/>
        <w:keepLines w:val="0"/>
        <w:pageBreakBefore w:val="0"/>
        <w:kinsoku/>
        <w:wordWrap/>
        <w:overflowPunct/>
        <w:topLinePunct w:val="0"/>
        <w:autoSpaceDE/>
        <w:autoSpaceDN/>
        <w:bidi w:val="0"/>
        <w:adjustRightInd/>
        <w:snapToGrid w:val="0"/>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fldChar w:fldCharType="begin"/>
      </w:r>
      <w:r>
        <w:rPr>
          <w:rFonts w:hint="eastAsia" w:ascii="宋体" w:hAnsi="宋体" w:cs="宋体"/>
          <w:color w:val="auto"/>
          <w:sz w:val="21"/>
          <w:szCs w:val="21"/>
          <w:highlight w:val="none"/>
          <w:lang w:eastAsia="zh-CN"/>
        </w:rPr>
        <w:instrText xml:space="preserve"> = 1 \* GB3 </w:instrText>
      </w:r>
      <w:r>
        <w:rPr>
          <w:rFonts w:hint="eastAsia" w:ascii="宋体" w:hAnsi="宋体" w:cs="宋体"/>
          <w:color w:val="auto"/>
          <w:sz w:val="21"/>
          <w:szCs w:val="21"/>
          <w:highlight w:val="none"/>
          <w:lang w:eastAsia="zh-CN"/>
        </w:rPr>
        <w:fldChar w:fldCharType="separate"/>
      </w:r>
      <w:r>
        <w:rPr>
          <w:rFonts w:hint="eastAsia" w:ascii="宋体" w:hAnsi="宋体" w:cs="宋体"/>
          <w:color w:val="auto"/>
          <w:sz w:val="21"/>
          <w:szCs w:val="21"/>
          <w:highlight w:val="none"/>
          <w:lang w:eastAsia="zh-CN"/>
        </w:rPr>
        <w:t>①</w:t>
      </w:r>
      <w:r>
        <w:rPr>
          <w:rFonts w:hint="eastAsia" w:ascii="宋体" w:hAnsi="宋体" w:cs="宋体"/>
          <w:color w:val="auto"/>
          <w:sz w:val="21"/>
          <w:szCs w:val="21"/>
          <w:highlight w:val="none"/>
          <w:lang w:eastAsia="zh-CN"/>
        </w:rPr>
        <w:fldChar w:fldCharType="end"/>
      </w:r>
      <w:r>
        <w:rPr>
          <w:rFonts w:hint="eastAsia" w:ascii="宋体" w:hAnsi="宋体" w:eastAsia="宋体" w:cs="宋体"/>
          <w:color w:val="auto"/>
          <w:kern w:val="2"/>
          <w:sz w:val="21"/>
          <w:szCs w:val="21"/>
          <w:highlight w:val="none"/>
          <w:lang w:val="en-US" w:eastAsia="zh-CN" w:bidi="ar-SA"/>
        </w:rPr>
        <w:t>最近一年度投标人财务状况报告原件扫描件（投标人若是新注册成立的，无法提供财务状况报告，请提供情况说明）</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fldChar w:fldCharType="begin"/>
      </w:r>
      <w:r>
        <w:rPr>
          <w:rFonts w:hint="eastAsia" w:ascii="宋体" w:hAnsi="宋体" w:cs="宋体"/>
          <w:color w:val="auto"/>
          <w:sz w:val="21"/>
          <w:szCs w:val="21"/>
          <w:highlight w:val="none"/>
          <w:lang w:eastAsia="zh-CN"/>
        </w:rPr>
        <w:instrText xml:space="preserve"> = 2 \* GB3 </w:instrText>
      </w:r>
      <w:r>
        <w:rPr>
          <w:rFonts w:hint="eastAsia" w:ascii="宋体" w:hAnsi="宋体" w:cs="宋体"/>
          <w:color w:val="auto"/>
          <w:sz w:val="21"/>
          <w:szCs w:val="21"/>
          <w:highlight w:val="none"/>
          <w:lang w:eastAsia="zh-CN"/>
        </w:rPr>
        <w:fldChar w:fldCharType="separate"/>
      </w:r>
      <w:r>
        <w:rPr>
          <w:rFonts w:hint="eastAsia" w:ascii="宋体" w:hAnsi="宋体" w:cs="宋体"/>
          <w:color w:val="auto"/>
          <w:sz w:val="21"/>
          <w:szCs w:val="21"/>
          <w:highlight w:val="none"/>
          <w:lang w:eastAsia="zh-CN"/>
        </w:rPr>
        <w:t>②</w:t>
      </w:r>
      <w:r>
        <w:rPr>
          <w:rFonts w:hint="eastAsia" w:ascii="宋体" w:hAnsi="宋体" w:cs="宋体"/>
          <w:color w:val="auto"/>
          <w:sz w:val="21"/>
          <w:szCs w:val="21"/>
          <w:highlight w:val="none"/>
          <w:lang w:eastAsia="zh-CN"/>
        </w:rPr>
        <w:fldChar w:fldCharType="end"/>
      </w:r>
      <w:r>
        <w:rPr>
          <w:rFonts w:hint="eastAsia" w:ascii="宋体" w:hAnsi="宋体" w:cs="宋体"/>
          <w:color w:val="auto"/>
          <w:sz w:val="21"/>
          <w:szCs w:val="21"/>
          <w:highlight w:val="none"/>
          <w:lang w:eastAsia="zh-CN"/>
        </w:rPr>
        <w:t>截至开标前6个月内投标人依法缴纳税收的证明(完税凭证复印件或税务部门出具的证明复印件，至少提供一个月）或依法免税证明</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color w:val="auto"/>
        </w:rPr>
      </w:pPr>
      <w:r>
        <w:rPr>
          <w:rFonts w:hint="default" w:ascii="宋体" w:hAnsi="宋体" w:eastAsia="宋体" w:cs="宋体"/>
          <w:b w:val="0"/>
          <w:bCs w:val="0"/>
          <w:color w:val="auto"/>
          <w:sz w:val="21"/>
          <w:szCs w:val="21"/>
          <w:highlight w:val="none"/>
          <w:lang w:val="en-US" w:eastAsia="zh-CN" w:bidi="en-US"/>
        </w:rPr>
        <w:t>③</w:t>
      </w:r>
      <w:r>
        <w:rPr>
          <w:rFonts w:hint="eastAsia" w:ascii="宋体" w:hAnsi="宋体" w:cs="宋体"/>
          <w:color w:val="auto"/>
          <w:sz w:val="21"/>
          <w:szCs w:val="21"/>
          <w:highlight w:val="none"/>
          <w:lang w:eastAsia="zh-CN"/>
        </w:rPr>
        <w:t>截至开标前6个月内投标人为员工缴纳的社会保障资金证明（缴纳凭证扫描件或人社部门出具的证明原件扫描件，至少提供一个月；且若授权委托人参与投标，则提供的社会保障资金证明须体现投标人为授权委托人缴纳的社保情况）</w:t>
      </w:r>
    </w:p>
    <w:p>
      <w:pPr>
        <w:keepNext w:val="0"/>
        <w:keepLines w:val="0"/>
        <w:pageBreakBefore w:val="0"/>
        <w:kinsoku/>
        <w:wordWrap/>
        <w:overflowPunct/>
        <w:topLinePunct w:val="0"/>
        <w:autoSpaceDE/>
        <w:autoSpaceDN/>
        <w:bidi w:val="0"/>
        <w:adjustRightInd/>
        <w:spacing w:line="440" w:lineRule="exact"/>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我方保证上述信息的真实</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准确</w:t>
      </w:r>
      <w:r>
        <w:rPr>
          <w:rFonts w:hint="eastAsia" w:ascii="宋体" w:hAnsi="宋体"/>
          <w:b/>
          <w:bCs/>
          <w:color w:val="auto"/>
          <w:sz w:val="21"/>
          <w:szCs w:val="21"/>
          <w:highlight w:val="none"/>
          <w:lang w:eastAsia="zh-CN"/>
        </w:rPr>
        <w:t>、有效</w:t>
      </w:r>
      <w:r>
        <w:rPr>
          <w:rFonts w:hint="eastAsia" w:ascii="宋体" w:hAnsi="宋体"/>
          <w:b/>
          <w:bCs/>
          <w:color w:val="auto"/>
          <w:sz w:val="21"/>
          <w:szCs w:val="21"/>
          <w:highlight w:val="none"/>
        </w:rPr>
        <w:t>，如作出虚假承诺，视同“提供虚假材料谋取中标（成交</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”的违法行为。</w:t>
      </w:r>
    </w:p>
    <w:p>
      <w:pPr>
        <w:keepNext w:val="0"/>
        <w:keepLines w:val="0"/>
        <w:pageBreakBefore w:val="0"/>
        <w:kinsoku/>
        <w:wordWrap/>
        <w:overflowPunct/>
        <w:topLinePunct w:val="0"/>
        <w:autoSpaceDE/>
        <w:autoSpaceDN/>
        <w:bidi w:val="0"/>
        <w:adjustRightInd/>
        <w:spacing w:line="440" w:lineRule="exact"/>
        <w:ind w:firstLine="422" w:firstLineChars="200"/>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rPr>
        <w:t>特此承诺。</w:t>
      </w:r>
    </w:p>
    <w:p>
      <w:pPr>
        <w:spacing w:line="500" w:lineRule="exact"/>
        <w:ind w:firstLine="4410" w:firstLineChars="2100"/>
        <w:rPr>
          <w:rFonts w:hint="eastAsia" w:ascii="宋体" w:hAnsi="宋体" w:cs="宋体"/>
          <w:color w:val="auto"/>
          <w:szCs w:val="21"/>
          <w:highlight w:val="none"/>
        </w:rPr>
      </w:pPr>
      <w:r>
        <w:rPr>
          <w:rFonts w:hint="eastAsia" w:ascii="宋体" w:hAnsi="宋体" w:cs="宋体"/>
          <w:color w:val="auto"/>
          <w:szCs w:val="21"/>
          <w:highlight w:val="none"/>
        </w:rPr>
        <w:t xml:space="preserve">投标人全称（电子签章）：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idowControl/>
        <w:snapToGrid w:val="0"/>
        <w:spacing w:line="500" w:lineRule="exact"/>
        <w:ind w:firstLine="4410" w:firstLineChars="2100"/>
        <w:textAlignment w:val="baseline"/>
        <w:rPr>
          <w:rFonts w:hint="eastAsia" w:ascii="宋体" w:hAnsi="宋体" w:cs="宋体"/>
          <w:b/>
          <w:color w:val="auto"/>
          <w:kern w:val="0"/>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widowControl/>
        <w:spacing w:line="540" w:lineRule="exact"/>
        <w:jc w:val="center"/>
        <w:outlineLvl w:val="2"/>
        <w:rPr>
          <w:rFonts w:hint="eastAsia" w:ascii="宋体" w:hAnsi="宋体" w:eastAsia="宋体" w:cs="宋体"/>
          <w:b/>
          <w:color w:val="auto"/>
          <w:kern w:val="0"/>
          <w:sz w:val="30"/>
          <w:szCs w:val="30"/>
          <w:highlight w:val="none"/>
          <w:lang w:eastAsia="zh-CN"/>
        </w:rPr>
      </w:pPr>
      <w:bookmarkStart w:id="195" w:name="_Toc29275"/>
      <w:r>
        <w:rPr>
          <w:rFonts w:hint="eastAsia" w:ascii="宋体" w:hAnsi="宋体" w:cs="宋体"/>
          <w:b/>
          <w:color w:val="auto"/>
          <w:kern w:val="0"/>
          <w:sz w:val="30"/>
          <w:szCs w:val="30"/>
          <w:highlight w:val="none"/>
          <w:lang w:val="en-US" w:eastAsia="zh-CN"/>
        </w:rPr>
        <w:t>七</w:t>
      </w:r>
      <w:r>
        <w:rPr>
          <w:rFonts w:hint="eastAsia" w:ascii="宋体" w:hAnsi="宋体" w:cs="宋体"/>
          <w:b/>
          <w:color w:val="auto"/>
          <w:kern w:val="0"/>
          <w:sz w:val="30"/>
          <w:szCs w:val="30"/>
          <w:highlight w:val="none"/>
        </w:rPr>
        <w:t>、投标人需要说明的其他文件和说明</w:t>
      </w:r>
      <w:bookmarkEnd w:id="195"/>
      <w:r>
        <w:rPr>
          <w:rFonts w:hint="eastAsia" w:ascii="宋体" w:hAnsi="宋体" w:cs="宋体"/>
          <w:b/>
          <w:color w:val="auto"/>
          <w:kern w:val="0"/>
          <w:sz w:val="30"/>
          <w:szCs w:val="30"/>
          <w:highlight w:val="none"/>
          <w:lang w:eastAsia="zh-CN"/>
        </w:rPr>
        <w:t>（</w:t>
      </w:r>
      <w:r>
        <w:rPr>
          <w:rFonts w:hint="eastAsia" w:ascii="宋体" w:hAnsi="宋体" w:cs="宋体"/>
          <w:b/>
          <w:color w:val="auto"/>
          <w:kern w:val="0"/>
          <w:sz w:val="30"/>
          <w:szCs w:val="30"/>
          <w:highlight w:val="none"/>
          <w:lang w:val="en-US" w:eastAsia="zh-CN"/>
        </w:rPr>
        <w:t>格式自拟</w:t>
      </w:r>
      <w:r>
        <w:rPr>
          <w:rFonts w:hint="eastAsia" w:ascii="宋体" w:hAnsi="宋体" w:cs="宋体"/>
          <w:b/>
          <w:color w:val="auto"/>
          <w:kern w:val="0"/>
          <w:sz w:val="30"/>
          <w:szCs w:val="30"/>
          <w:highlight w:val="none"/>
          <w:lang w:eastAsia="zh-CN"/>
        </w:rPr>
        <w:t>）</w:t>
      </w: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bookmarkStart w:id="196" w:name="_Toc476230518"/>
      <w:bookmarkStart w:id="197" w:name="_Toc476229723"/>
      <w:bookmarkStart w:id="198" w:name="_Toc476230654"/>
      <w:bookmarkStart w:id="199" w:name="_Toc495666247"/>
      <w:bookmarkStart w:id="200" w:name="_Toc476230930"/>
    </w:p>
    <w:bookmarkEnd w:id="196"/>
    <w:bookmarkEnd w:id="197"/>
    <w:bookmarkEnd w:id="198"/>
    <w:bookmarkEnd w:id="199"/>
    <w:bookmarkEnd w:id="200"/>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outlineLvl w:val="2"/>
        <w:rPr>
          <w:rFonts w:hint="eastAsia" w:ascii="宋体" w:hAnsi="宋体" w:cs="宋体"/>
          <w:b/>
          <w:color w:val="auto"/>
          <w:kern w:val="0"/>
          <w:sz w:val="30"/>
          <w:szCs w:val="30"/>
          <w:highlight w:val="none"/>
        </w:rPr>
      </w:pPr>
    </w:p>
    <w:p>
      <w:pPr>
        <w:spacing w:before="320" w:beforeLines="100" w:line="440" w:lineRule="atLeast"/>
        <w:jc w:val="left"/>
        <w:rPr>
          <w:rFonts w:hint="eastAsia" w:ascii="宋体" w:hAnsi="宋体" w:cs="宋体"/>
          <w:b/>
          <w:color w:val="auto"/>
          <w:sz w:val="30"/>
          <w:szCs w:val="30"/>
          <w:highlight w:val="none"/>
        </w:rPr>
      </w:pPr>
    </w:p>
    <w:p>
      <w:pPr>
        <w:spacing w:before="320" w:beforeLines="100" w:line="440" w:lineRule="atLeast"/>
        <w:jc w:val="center"/>
        <w:outlineLvl w:val="1"/>
        <w:rPr>
          <w:rFonts w:hint="eastAsia" w:ascii="宋体" w:hAnsi="宋体" w:cs="宋体"/>
          <w:b/>
          <w:color w:val="auto"/>
          <w:sz w:val="44"/>
          <w:szCs w:val="44"/>
          <w:highlight w:val="none"/>
        </w:rPr>
      </w:pPr>
      <w:bookmarkStart w:id="201" w:name="_Toc336331381"/>
      <w:bookmarkStart w:id="202" w:name="_Toc476230520"/>
      <w:bookmarkStart w:id="203" w:name="_Toc435706557"/>
      <w:bookmarkStart w:id="204" w:name="_Toc8162"/>
      <w:bookmarkStart w:id="205" w:name="_Toc463851859"/>
      <w:bookmarkStart w:id="206" w:name="_Toc470270014"/>
      <w:bookmarkStart w:id="207" w:name="_Toc468954267"/>
      <w:bookmarkStart w:id="208" w:name="_Toc387831518"/>
      <w:bookmarkStart w:id="209" w:name="_Toc467572549"/>
      <w:bookmarkStart w:id="210" w:name="_Toc433882659"/>
      <w:bookmarkStart w:id="211" w:name="_Toc424199688"/>
      <w:bookmarkStart w:id="212" w:name="_Toc469475483"/>
      <w:bookmarkStart w:id="213" w:name="_Toc471819743"/>
      <w:bookmarkStart w:id="214" w:name="_Toc393201740"/>
      <w:bookmarkStart w:id="215" w:name="_Toc7003"/>
      <w:bookmarkStart w:id="216" w:name="_Toc471819803"/>
      <w:bookmarkStart w:id="217" w:name="_Toc476230932"/>
      <w:bookmarkStart w:id="218" w:name="_Toc470269898"/>
      <w:bookmarkStart w:id="219" w:name="_Toc495666250"/>
      <w:bookmarkStart w:id="220" w:name="_Toc476229725"/>
      <w:bookmarkStart w:id="221" w:name="_Toc6851"/>
      <w:bookmarkStart w:id="222" w:name="_Toc476230656"/>
      <w:bookmarkStart w:id="223" w:name="_Toc392080799"/>
      <w:bookmarkStart w:id="224" w:name="_Toc437331628"/>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r>
        <w:rPr>
          <w:rFonts w:hint="eastAsia" w:ascii="宋体" w:hAnsi="宋体" w:cs="宋体"/>
          <w:b/>
          <w:color w:val="auto"/>
          <w:sz w:val="44"/>
          <w:szCs w:val="44"/>
          <w:highlight w:val="none"/>
        </w:rPr>
        <w:t>技术商务文件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440" w:lineRule="atLeast"/>
        <w:jc w:val="center"/>
        <w:rPr>
          <w:rFonts w:hint="eastAsia" w:ascii="宋体" w:hAnsi="宋体" w:cs="宋体"/>
          <w:b/>
          <w:color w:val="auto"/>
          <w:sz w:val="32"/>
          <w:szCs w:val="32"/>
          <w:highlight w:val="none"/>
        </w:rPr>
      </w:pPr>
    </w:p>
    <w:p>
      <w:pPr>
        <w:spacing w:line="800" w:lineRule="exact"/>
        <w:jc w:val="center"/>
        <w:rPr>
          <w:rFonts w:hint="eastAsia" w:ascii="宋体" w:hAnsi="宋体" w:cs="宋体"/>
          <w:b/>
          <w:color w:val="auto"/>
          <w:sz w:val="32"/>
          <w:szCs w:val="32"/>
          <w:highlight w:val="none"/>
        </w:rPr>
      </w:pPr>
    </w:p>
    <w:p>
      <w:pPr>
        <w:spacing w:line="800" w:lineRule="exact"/>
        <w:ind w:firstLine="518" w:firstLineChars="200"/>
        <w:jc w:val="left"/>
        <w:rPr>
          <w:rFonts w:hint="eastAsia" w:ascii="宋体" w:hAnsi="宋体" w:cs="宋体"/>
          <w:b/>
          <w:bCs/>
          <w:color w:val="auto"/>
          <w:spacing w:val="-11"/>
          <w:sz w:val="28"/>
          <w:szCs w:val="28"/>
          <w:highlight w:val="none"/>
          <w:u w:val="single"/>
        </w:rPr>
      </w:pPr>
      <w:r>
        <w:rPr>
          <w:rFonts w:hint="eastAsia" w:ascii="宋体" w:hAnsi="宋体" w:cs="宋体"/>
          <w:b/>
          <w:bCs/>
          <w:color w:val="auto"/>
          <w:spacing w:val="-11"/>
          <w:sz w:val="28"/>
          <w:szCs w:val="28"/>
          <w:highlight w:val="none"/>
        </w:rPr>
        <w:t>项目名称：</w:t>
      </w:r>
      <w:r>
        <w:rPr>
          <w:rFonts w:hint="eastAsia" w:ascii="宋体" w:hAnsi="宋体" w:cs="宋体"/>
          <w:b/>
          <w:bCs/>
          <w:color w:val="auto"/>
          <w:spacing w:val="-11"/>
          <w:sz w:val="28"/>
          <w:szCs w:val="28"/>
          <w:highlight w:val="none"/>
          <w:u w:val="single"/>
          <w:lang w:eastAsia="zh-CN"/>
        </w:rPr>
        <w:t>开化县卫生健康局2022--2024年度医疗责任保险服务采购项目</w:t>
      </w:r>
      <w:r>
        <w:rPr>
          <w:rFonts w:hint="eastAsia" w:ascii="宋体" w:hAnsi="宋体" w:cs="宋体"/>
          <w:b/>
          <w:bCs/>
          <w:color w:val="auto"/>
          <w:spacing w:val="-11"/>
          <w:sz w:val="28"/>
          <w:szCs w:val="28"/>
          <w:highlight w:val="none"/>
          <w:u w:val="single"/>
        </w:rPr>
        <w:t xml:space="preserve"> </w:t>
      </w:r>
    </w:p>
    <w:p>
      <w:pPr>
        <w:pStyle w:val="9"/>
        <w:rPr>
          <w:rFonts w:hint="eastAsia"/>
        </w:rPr>
      </w:pPr>
    </w:p>
    <w:p>
      <w:pPr>
        <w:rPr>
          <w:rFonts w:hint="eastAsia"/>
          <w:color w:val="auto"/>
          <w:highlight w:val="none"/>
        </w:rPr>
      </w:pPr>
    </w:p>
    <w:p>
      <w:pPr>
        <w:spacing w:line="80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TCCG2022-YLZRBX</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800" w:lineRule="exact"/>
        <w:ind w:firstLine="703" w:firstLineChars="250"/>
        <w:jc w:val="left"/>
        <w:rPr>
          <w:rFonts w:hint="eastAsia" w:ascii="宋体" w:hAnsi="宋体" w:cs="宋体"/>
          <w:b/>
          <w:color w:val="auto"/>
          <w:sz w:val="28"/>
          <w:szCs w:val="28"/>
          <w:highlight w:val="none"/>
        </w:rPr>
      </w:pPr>
    </w:p>
    <w:p>
      <w:pPr>
        <w:spacing w:line="800" w:lineRule="exact"/>
        <w:ind w:firstLine="562" w:firstLineChars="200"/>
        <w:jc w:val="left"/>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 xml:space="preserve">投标人名称：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(电子签章） </w:t>
      </w:r>
    </w:p>
    <w:p>
      <w:pPr>
        <w:ind w:firstLine="703" w:firstLineChars="250"/>
        <w:jc w:val="left"/>
        <w:rPr>
          <w:rFonts w:hint="eastAsia" w:ascii="宋体" w:hAnsi="宋体" w:cs="宋体"/>
          <w:b/>
          <w:color w:val="auto"/>
          <w:sz w:val="28"/>
          <w:szCs w:val="28"/>
          <w:highlight w:val="none"/>
        </w:rPr>
      </w:pPr>
    </w:p>
    <w:p>
      <w:pPr>
        <w:spacing w:line="440" w:lineRule="atLeast"/>
        <w:jc w:val="left"/>
        <w:rPr>
          <w:rFonts w:hint="eastAsia" w:ascii="宋体" w:hAnsi="宋体" w:cs="宋体"/>
          <w:b/>
          <w:color w:val="auto"/>
          <w:sz w:val="28"/>
          <w:szCs w:val="28"/>
          <w:highlight w:val="none"/>
        </w:rPr>
      </w:pPr>
    </w:p>
    <w:p>
      <w:pPr>
        <w:spacing w:line="440" w:lineRule="atLeas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pPr>
        <w:pStyle w:val="196"/>
        <w:jc w:val="both"/>
        <w:rPr>
          <w:rFonts w:hint="eastAsia" w:ascii="宋体" w:hAnsi="宋体" w:eastAsia="宋体" w:cs="宋体"/>
          <w:color w:val="auto"/>
          <w:highlight w:val="none"/>
        </w:rPr>
      </w:pPr>
    </w:p>
    <w:p>
      <w:pPr>
        <w:spacing w:line="440" w:lineRule="atLeast"/>
        <w:ind w:firstLine="2530" w:firstLineChars="900"/>
        <w:rPr>
          <w:rFonts w:hint="eastAsia" w:ascii="宋体" w:hAnsi="宋体" w:cs="宋体"/>
          <w:b/>
          <w:color w:val="auto"/>
          <w:sz w:val="30"/>
          <w:szCs w:val="30"/>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pPr>
        <w:spacing w:line="440" w:lineRule="atLeas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技术商务文件目录</w:t>
      </w:r>
      <w:bookmarkStart w:id="225" w:name="_Toc424199689"/>
    </w:p>
    <w:p>
      <w:pPr>
        <w:pStyle w:val="9"/>
        <w:rPr>
          <w:rFonts w:hint="eastAsia" w:ascii="宋体" w:hAnsi="宋体" w:eastAsia="宋体" w:cs="宋体"/>
          <w:color w:val="auto"/>
          <w:highlight w:val="none"/>
        </w:rPr>
      </w:pPr>
    </w:p>
    <w:bookmarkEnd w:id="225"/>
    <w:p>
      <w:pPr>
        <w:pStyle w:val="25"/>
        <w:tabs>
          <w:tab w:val="right" w:leader="dot" w:pos="9071"/>
        </w:tabs>
        <w:spacing w:line="360" w:lineRule="auto"/>
        <w:ind w:left="0" w:leftChars="0" w:firstLine="420" w:firstLineChars="200"/>
        <w:rPr>
          <w:rFonts w:hint="eastAsia" w:ascii="宋体" w:hAnsi="宋体" w:cs="宋体"/>
          <w:color w:val="auto"/>
          <w:kern w:val="0"/>
          <w:szCs w:val="21"/>
          <w:highlight w:val="none"/>
        </w:rPr>
      </w:pPr>
      <w:bookmarkStart w:id="226" w:name="_Toc470269899"/>
      <w:bookmarkStart w:id="227" w:name="_Toc470270015"/>
      <w:bookmarkStart w:id="228" w:name="_Toc471819805"/>
      <w:bookmarkStart w:id="229" w:name="_Toc476230933"/>
      <w:bookmarkStart w:id="230" w:name="_Toc9688"/>
      <w:bookmarkStart w:id="231" w:name="_Toc18709"/>
      <w:bookmarkStart w:id="232" w:name="_Toc469475484"/>
      <w:bookmarkStart w:id="233" w:name="_Toc471819745"/>
      <w:bookmarkStart w:id="234" w:name="_Toc476230657"/>
      <w:bookmarkStart w:id="235" w:name="_Toc1695"/>
      <w:bookmarkStart w:id="236" w:name="_Toc495666251"/>
      <w:bookmarkStart w:id="237" w:name="_Toc476229726"/>
      <w:bookmarkStart w:id="238" w:name="_Toc476230521"/>
      <w:bookmarkStart w:id="239" w:name="_Toc437331633"/>
      <w:bookmarkStart w:id="240" w:name="_Toc424199693"/>
      <w:bookmarkStart w:id="241" w:name="_Toc437504047"/>
      <w:bookmarkStart w:id="242" w:name="_Toc467572551"/>
      <w:bookmarkStart w:id="243" w:name="_Toc463851861"/>
      <w:bookmarkStart w:id="244" w:name="_Toc468954268"/>
      <w:bookmarkStart w:id="245" w:name="_Toc437509344"/>
      <w:bookmarkStart w:id="246" w:name="_Toc437331322"/>
      <w:bookmarkStart w:id="247" w:name="_Toc433882664"/>
      <w:bookmarkStart w:id="248" w:name="_Toc435706562"/>
      <w:r>
        <w:rPr>
          <w:rFonts w:hint="eastAsia" w:ascii="宋体" w:hAnsi="宋体" w:cs="宋体"/>
          <w:color w:val="auto"/>
          <w:kern w:val="0"/>
          <w:szCs w:val="21"/>
          <w:highlight w:val="none"/>
        </w:rPr>
        <w:t>一、政府采购项目供应商技术商务评分索引表（格式附后）</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二、项目合同履行期限承诺（格式自拟）</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三、偿付能力充足率</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四、类似业绩</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五、服务能力</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六</w:t>
      </w:r>
      <w:r>
        <w:rPr>
          <w:rFonts w:hint="eastAsia" w:ascii="宋体" w:hAnsi="宋体" w:eastAsia="宋体" w:cs="宋体"/>
          <w:color w:val="auto"/>
          <w:kern w:val="0"/>
          <w:szCs w:val="21"/>
          <w:highlight w:val="none"/>
        </w:rPr>
        <w:t>、服务等级</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七</w:t>
      </w:r>
      <w:r>
        <w:rPr>
          <w:rFonts w:hint="eastAsia" w:ascii="宋体" w:hAnsi="宋体" w:eastAsia="宋体" w:cs="宋体"/>
          <w:color w:val="auto"/>
          <w:kern w:val="0"/>
          <w:szCs w:val="21"/>
          <w:highlight w:val="none"/>
        </w:rPr>
        <w:t>、市场份额</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八、保险服务方案；</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九、增值特色服务；</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十</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理赔服务方案；</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十一</w:t>
      </w:r>
      <w:r>
        <w:rPr>
          <w:rFonts w:hint="eastAsia" w:ascii="宋体" w:hAnsi="宋体" w:eastAsia="宋体" w:cs="宋体"/>
          <w:color w:val="auto"/>
          <w:kern w:val="0"/>
          <w:szCs w:val="21"/>
          <w:highlight w:val="none"/>
        </w:rPr>
        <w:t>、投标</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需要说明的其他文件和说明</w:t>
      </w:r>
    </w:p>
    <w:p>
      <w:pPr>
        <w:pStyle w:val="25"/>
        <w:tabs>
          <w:tab w:val="right" w:leader="dot" w:pos="9071"/>
        </w:tabs>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十二、</w:t>
      </w:r>
      <w:r>
        <w:rPr>
          <w:rFonts w:hint="eastAsia" w:ascii="宋体" w:hAnsi="宋体" w:eastAsia="宋体" w:cs="宋体"/>
          <w:color w:val="auto"/>
          <w:kern w:val="0"/>
          <w:szCs w:val="21"/>
          <w:highlight w:val="none"/>
        </w:rPr>
        <w:t>其他影响投标方资信评分的各类资质证明材料</w:t>
      </w:r>
    </w:p>
    <w:p>
      <w:pPr>
        <w:pStyle w:val="25"/>
        <w:tabs>
          <w:tab w:val="right" w:leader="dot" w:pos="9061"/>
        </w:tabs>
        <w:spacing w:line="400" w:lineRule="exact"/>
        <w:ind w:left="0" w:leftChars="0"/>
        <w:rPr>
          <w:rStyle w:val="57"/>
          <w:rFonts w:hint="eastAsia" w:ascii="宋体" w:hAnsi="宋体" w:cs="宋体"/>
          <w:color w:val="auto"/>
          <w:kern w:val="0"/>
          <w:highlight w:val="none"/>
          <w:u w:val="none"/>
        </w:rPr>
      </w:pPr>
    </w:p>
    <w:p>
      <w:pPr>
        <w:pStyle w:val="25"/>
        <w:tabs>
          <w:tab w:val="right" w:leader="dot" w:pos="9071"/>
        </w:tabs>
        <w:spacing w:line="360" w:lineRule="auto"/>
        <w:ind w:left="0" w:leftChars="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rPr>
        <w:t>一、政府采购项目供应商技术商务评分索引表</w:t>
      </w:r>
      <w:bookmarkEnd w:id="226"/>
      <w:bookmarkEnd w:id="227"/>
      <w:bookmarkEnd w:id="228"/>
      <w:bookmarkEnd w:id="229"/>
      <w:bookmarkEnd w:id="230"/>
      <w:bookmarkEnd w:id="231"/>
      <w:bookmarkEnd w:id="232"/>
      <w:bookmarkEnd w:id="233"/>
      <w:bookmarkEnd w:id="234"/>
      <w:bookmarkEnd w:id="235"/>
      <w:bookmarkEnd w:id="236"/>
      <w:bookmarkEnd w:id="237"/>
      <w:bookmarkEnd w:id="238"/>
    </w:p>
    <w:p>
      <w:pPr>
        <w:widowControl/>
        <w:spacing w:line="540" w:lineRule="exact"/>
        <w:jc w:val="left"/>
        <w:outlineLvl w:val="2"/>
        <w:rPr>
          <w:rFonts w:hint="eastAsia" w:ascii="宋体" w:hAnsi="宋体" w:cs="宋体"/>
          <w:color w:val="auto"/>
          <w:highlight w:val="none"/>
        </w:rPr>
      </w:pPr>
      <w:r>
        <w:rPr>
          <w:rFonts w:hint="eastAsia" w:ascii="宋体" w:hAnsi="宋体" w:cs="宋体"/>
          <w:color w:val="auto"/>
          <w:highlight w:val="none"/>
        </w:rPr>
        <w:t>投标人名称：</w:t>
      </w:r>
    </w:p>
    <w:tbl>
      <w:tblPr>
        <w:tblStyle w:val="4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1743"/>
        <w:gridCol w:w="690"/>
        <w:gridCol w:w="4792"/>
        <w:gridCol w:w="89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50"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bCs/>
                <w:color w:val="auto"/>
                <w:spacing w:val="-10"/>
                <w:highlight w:val="none"/>
              </w:rPr>
            </w:pPr>
            <w:r>
              <w:rPr>
                <w:rFonts w:hint="eastAsia" w:ascii="宋体" w:hAnsi="宋体"/>
                <w:b/>
                <w:bCs/>
                <w:color w:val="auto"/>
                <w:spacing w:val="-10"/>
                <w:highlight w:val="none"/>
              </w:rPr>
              <w:t>评分内容</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bCs/>
                <w:color w:val="auto"/>
                <w:highlight w:val="none"/>
              </w:rPr>
            </w:pPr>
            <w:r>
              <w:rPr>
                <w:rFonts w:hint="eastAsia" w:ascii="宋体" w:hAnsi="宋体"/>
                <w:b/>
                <w:bCs/>
                <w:color w:val="auto"/>
                <w:spacing w:val="-10"/>
                <w:highlight w:val="none"/>
              </w:rPr>
              <w:t>分值</w:t>
            </w:r>
          </w:p>
        </w:tc>
        <w:tc>
          <w:tcPr>
            <w:tcW w:w="47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
                <w:bCs/>
                <w:color w:val="auto"/>
                <w:highlight w:val="none"/>
              </w:rPr>
            </w:pPr>
            <w:r>
              <w:rPr>
                <w:rFonts w:hint="eastAsia" w:ascii="宋体" w:hAnsi="宋体"/>
                <w:b/>
                <w:bCs/>
                <w:color w:val="auto"/>
                <w:highlight w:val="none"/>
              </w:rPr>
              <w:t>评分标准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
                <w:bCs/>
                <w:color w:val="auto"/>
                <w:highlight w:val="none"/>
                <w:lang w:eastAsia="zh-CN"/>
              </w:rPr>
            </w:pPr>
            <w:r>
              <w:rPr>
                <w:rFonts w:hint="eastAsia" w:ascii="宋体" w:hAnsi="宋体"/>
                <w:b/>
                <w:bCs/>
                <w:color w:val="auto"/>
                <w:highlight w:val="none"/>
                <w:lang w:eastAsia="zh-CN"/>
              </w:rPr>
              <w:t>自评分</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
                <w:bCs/>
                <w:color w:val="auto"/>
                <w:highlight w:val="none"/>
                <w:lang w:eastAsia="zh-CN"/>
              </w:rPr>
            </w:pPr>
            <w:r>
              <w:rPr>
                <w:rFonts w:hint="eastAsia" w:ascii="宋体" w:hAnsi="宋体"/>
                <w:b/>
                <w:bCs/>
                <w:color w:val="auto"/>
                <w:highlight w:val="none"/>
                <w:lang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80" w:hRule="atLeast"/>
          <w:jc w:val="center"/>
        </w:trPr>
        <w:tc>
          <w:tcPr>
            <w:tcW w:w="174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60" w:beforeLines="50" w:after="160" w:afterLines="50"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偿付能力充足率</w:t>
            </w: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val="0"/>
                <w:bCs/>
                <w:color w:val="auto"/>
                <w:szCs w:val="21"/>
                <w:highlight w:val="none"/>
              </w:rPr>
            </w:pPr>
            <w:r>
              <w:rPr>
                <w:rFonts w:hint="eastAsia" w:ascii="宋体" w:hAnsi="宋体" w:cs="宋体"/>
                <w:b w:val="0"/>
                <w:bCs/>
                <w:color w:val="auto"/>
                <w:kern w:val="0"/>
                <w:szCs w:val="21"/>
                <w:highlight w:val="none"/>
                <w:lang w:val="en-US" w:eastAsia="zh-CN"/>
              </w:rPr>
              <w:t>11</w:t>
            </w:r>
            <w:r>
              <w:rPr>
                <w:rFonts w:hint="eastAsia" w:ascii="宋体" w:hAnsi="宋体" w:cs="宋体"/>
                <w:b w:val="0"/>
                <w:bCs/>
                <w:color w:val="auto"/>
                <w:kern w:val="0"/>
                <w:szCs w:val="21"/>
                <w:highlight w:val="none"/>
              </w:rPr>
              <w:t>分</w:t>
            </w:r>
          </w:p>
        </w:tc>
        <w:tc>
          <w:tcPr>
            <w:tcW w:w="4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投标人所属总公司2021年度综合偿付能力充足率≥250%的得</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分，250%﹥年度综合偿付能力充足率≥200%的得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分，200%﹥年度综合偿付能力充足率≥150%的得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分。（以各投标人总公司2021年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季度末数据为准）各投标人自行网上下载并截图，否则不得分。本项最高得1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s="宋体"/>
                <w:b/>
                <w:bCs/>
                <w:color w:val="auto"/>
                <w:sz w:val="21"/>
                <w:szCs w:val="21"/>
                <w:highlight w:val="none"/>
              </w:rPr>
              <w:t>须提供相应截图等有效证明材料，否则不得分。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cs="宋体"/>
                <w:b/>
                <w:bCs/>
                <w:color w:val="auto"/>
                <w:sz w:val="21"/>
                <w:szCs w:val="21"/>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015" w:hRule="atLeast"/>
          <w:jc w:val="center"/>
        </w:trPr>
        <w:tc>
          <w:tcPr>
            <w:tcW w:w="174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color w:val="auto"/>
                <w:szCs w:val="21"/>
                <w:highlight w:val="none"/>
                <w:lang w:eastAsia="zh-CN"/>
              </w:rPr>
            </w:pPr>
            <w:r>
              <w:rPr>
                <w:rFonts w:hint="eastAsia" w:ascii="宋体" w:hAnsi="宋体" w:cs="宋体"/>
                <w:b w:val="0"/>
                <w:bCs/>
                <w:color w:val="auto"/>
                <w:kern w:val="0"/>
                <w:szCs w:val="21"/>
                <w:highlight w:val="none"/>
                <w:lang w:eastAsia="zh-CN"/>
              </w:rPr>
              <w:t>类似业绩</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val="0"/>
                <w:bCs/>
                <w:color w:val="auto"/>
                <w:szCs w:val="21"/>
                <w:highlight w:val="none"/>
              </w:rPr>
            </w:pP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分</w:t>
            </w:r>
          </w:p>
        </w:tc>
        <w:tc>
          <w:tcPr>
            <w:tcW w:w="4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投标人自201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年1月1日以来至投标截止日（以中标通知书或协议签订时间为准），与政府部门（行政机关或事业单位）签订</w:t>
            </w:r>
            <w:r>
              <w:rPr>
                <w:rFonts w:hint="eastAsia" w:ascii="宋体" w:hAnsi="宋体" w:eastAsia="宋体" w:cs="宋体"/>
                <w:sz w:val="21"/>
                <w:szCs w:val="21"/>
                <w:highlight w:val="none"/>
              </w:rPr>
              <w:t>医疗责任保险</w:t>
            </w:r>
            <w:r>
              <w:rPr>
                <w:rFonts w:hint="eastAsia" w:ascii="宋体" w:hAnsi="宋体" w:cs="宋体"/>
                <w:color w:val="auto"/>
                <w:kern w:val="0"/>
                <w:szCs w:val="21"/>
                <w:highlight w:val="none"/>
              </w:rPr>
              <w:t>合作项目的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每提供一个</w:t>
            </w:r>
            <w:r>
              <w:rPr>
                <w:rFonts w:hint="eastAsia" w:ascii="宋体" w:hAnsi="宋体" w:cs="宋体"/>
                <w:color w:val="auto"/>
                <w:kern w:val="0"/>
                <w:szCs w:val="21"/>
                <w:highlight w:val="none"/>
              </w:rPr>
              <w:t>得1分，最高得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s="宋体"/>
                <w:b/>
                <w:bCs/>
                <w:color w:val="auto"/>
                <w:kern w:val="0"/>
                <w:szCs w:val="21"/>
                <w:highlight w:val="none"/>
              </w:rPr>
              <w:t>证明材料须提供中标通知书或协议复印件并加盖公章，否则不得分。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left"/>
              <w:rPr>
                <w:rFonts w:hint="eastAsia" w:ascii="宋体" w:hAnsi="宋体" w:cs="宋体"/>
                <w:color w:val="auto"/>
                <w:kern w:val="0"/>
                <w:szCs w:val="21"/>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405" w:hRule="atLeast"/>
          <w:jc w:val="center"/>
        </w:trPr>
        <w:tc>
          <w:tcPr>
            <w:tcW w:w="174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Style w:val="254"/>
                <w:rFonts w:hint="eastAsia" w:ascii="宋体" w:hAnsi="宋体"/>
                <w:b w:val="0"/>
                <w:bCs/>
                <w:color w:val="auto"/>
                <w:szCs w:val="21"/>
                <w:highlight w:val="none"/>
                <w:lang w:val="zh-CN" w:eastAsia="zh-TW"/>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服务能力</w:t>
            </w: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4</w:t>
            </w:r>
            <w:r>
              <w:rPr>
                <w:rFonts w:hint="eastAsia" w:ascii="宋体" w:hAnsi="宋体" w:cs="宋体"/>
                <w:b w:val="0"/>
                <w:bCs/>
                <w:color w:val="auto"/>
                <w:kern w:val="0"/>
                <w:szCs w:val="21"/>
                <w:highlight w:val="none"/>
              </w:rPr>
              <w:t>分</w:t>
            </w:r>
          </w:p>
        </w:tc>
        <w:tc>
          <w:tcPr>
            <w:tcW w:w="4792" w:type="dxa"/>
            <w:tcBorders>
              <w:top w:val="single" w:color="auto" w:sz="4" w:space="0"/>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投标人在开化县境内经保监局审批设立的服务网点数量（兼业务代理机构除外），每提供一个服务网点得1分，最高得4分。  </w:t>
            </w:r>
          </w:p>
          <w:p>
            <w:pPr>
              <w:pStyle w:val="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eastAsia="宋体" w:cs="宋体"/>
                <w:b w:val="0"/>
                <w:bCs w:val="0"/>
                <w:color w:val="auto"/>
                <w:kern w:val="0"/>
                <w:sz w:val="21"/>
                <w:szCs w:val="21"/>
                <w:highlight w:val="none"/>
                <w:lang w:val="en-US" w:eastAsia="zh-CN" w:bidi="ar-SA"/>
              </w:rPr>
              <w:t>提供相关证明材料复印件，未提供不得分。</w:t>
            </w:r>
          </w:p>
        </w:tc>
        <w:tc>
          <w:tcPr>
            <w:tcW w:w="899" w:type="dxa"/>
            <w:tcBorders>
              <w:top w:val="single" w:color="auto" w:sz="4" w:space="0"/>
              <w:left w:val="single" w:color="auto" w:sz="4" w:space="0"/>
              <w:right w:val="single" w:color="auto" w:sz="4" w:space="0"/>
            </w:tcBorders>
            <w:noWrap w:val="0"/>
            <w:vAlign w:val="center"/>
          </w:tcPr>
          <w:p>
            <w:pPr>
              <w:widowControl/>
              <w:ind w:firstLine="420" w:firstLineChars="200"/>
              <w:jc w:val="left"/>
              <w:rPr>
                <w:rFonts w:hint="eastAsia" w:ascii="宋体" w:hAnsi="宋体" w:cs="仿宋_GB2312"/>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367" w:hRule="atLeast"/>
          <w:jc w:val="center"/>
        </w:trPr>
        <w:tc>
          <w:tcPr>
            <w:tcW w:w="174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lang w:val="en-US" w:eastAsia="zh-CN"/>
              </w:rPr>
            </w:pP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3分</w:t>
            </w:r>
          </w:p>
        </w:tc>
        <w:tc>
          <w:tcPr>
            <w:tcW w:w="479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olor w:val="auto"/>
                <w:sz w:val="21"/>
                <w:szCs w:val="21"/>
                <w:highlight w:val="none"/>
                <w:lang w:val="en-US" w:eastAsia="zh-CN"/>
              </w:rPr>
            </w:pPr>
            <w:r>
              <w:rPr>
                <w:rFonts w:hint="eastAsia"/>
                <w:color w:val="auto"/>
                <w:sz w:val="21"/>
                <w:szCs w:val="21"/>
                <w:highlight w:val="none"/>
                <w:lang w:eastAsia="zh-CN"/>
              </w:rPr>
              <w:t>投标人为</w:t>
            </w:r>
            <w:r>
              <w:rPr>
                <w:rFonts w:hint="eastAsia"/>
                <w:color w:val="auto"/>
                <w:sz w:val="21"/>
                <w:szCs w:val="21"/>
                <w:highlight w:val="none"/>
              </w:rPr>
              <w:t>本项目配备专门</w:t>
            </w:r>
            <w:r>
              <w:rPr>
                <w:rFonts w:hint="eastAsia"/>
                <w:color w:val="auto"/>
                <w:sz w:val="21"/>
                <w:szCs w:val="21"/>
                <w:highlight w:val="none"/>
                <w:lang w:eastAsia="zh-CN"/>
              </w:rPr>
              <w:t>查勘</w:t>
            </w:r>
            <w:r>
              <w:rPr>
                <w:rFonts w:hint="eastAsia"/>
                <w:color w:val="auto"/>
                <w:sz w:val="21"/>
                <w:szCs w:val="21"/>
                <w:highlight w:val="none"/>
              </w:rPr>
              <w:t>车辆（投标人自有车辆）</w:t>
            </w:r>
            <w:r>
              <w:rPr>
                <w:rFonts w:hint="eastAsia"/>
                <w:color w:val="auto"/>
                <w:sz w:val="21"/>
                <w:szCs w:val="21"/>
                <w:highlight w:val="none"/>
                <w:lang w:eastAsia="zh-CN"/>
              </w:rPr>
              <w:t>，每提供一辆得</w:t>
            </w:r>
            <w:r>
              <w:rPr>
                <w:rFonts w:hint="eastAsia"/>
                <w:color w:val="auto"/>
                <w:sz w:val="21"/>
                <w:szCs w:val="21"/>
                <w:highlight w:val="none"/>
                <w:lang w:val="en-US" w:eastAsia="zh-CN"/>
              </w:rPr>
              <w:t>1分，最高得3分。</w:t>
            </w:r>
          </w:p>
          <w:p>
            <w:pPr>
              <w:pStyle w:val="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注：以投标人提供相关配备自有车辆行驶证数量为准，否则不得分。</w:t>
            </w:r>
          </w:p>
        </w:tc>
        <w:tc>
          <w:tcPr>
            <w:tcW w:w="899" w:type="dxa"/>
            <w:tcBorders>
              <w:top w:val="single" w:color="auto" w:sz="4" w:space="0"/>
              <w:left w:val="single" w:color="auto" w:sz="4" w:space="0"/>
              <w:right w:val="single" w:color="auto" w:sz="4" w:space="0"/>
            </w:tcBorders>
            <w:noWrap w:val="0"/>
            <w:vAlign w:val="center"/>
          </w:tcPr>
          <w:p>
            <w:pPr>
              <w:widowControl/>
              <w:ind w:firstLine="420" w:firstLineChars="200"/>
              <w:jc w:val="left"/>
              <w:rPr>
                <w:rFonts w:hint="eastAsia" w:ascii="宋体" w:hAnsi="宋体" w:cs="仿宋_GB2312"/>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55"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val="0"/>
                <w:bCs/>
                <w:color w:val="auto"/>
                <w:szCs w:val="21"/>
                <w:highlight w:val="none"/>
              </w:rPr>
            </w:pPr>
            <w:r>
              <w:rPr>
                <w:rFonts w:hint="eastAsia"/>
                <w:color w:val="auto"/>
                <w:highlight w:val="none"/>
              </w:rPr>
              <w:t>服务等级</w:t>
            </w: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val="0"/>
                <w:bCs/>
                <w:color w:val="auto"/>
                <w:szCs w:val="21"/>
                <w:highlight w:val="none"/>
              </w:rPr>
            </w:pPr>
            <w:r>
              <w:rPr>
                <w:rFonts w:hint="eastAsia" w:ascii="宋体" w:hAnsi="宋体" w:cs="宋体"/>
                <w:b w:val="0"/>
                <w:bCs/>
                <w:color w:val="auto"/>
                <w:kern w:val="0"/>
                <w:szCs w:val="21"/>
                <w:highlight w:val="none"/>
              </w:rPr>
              <w:t>9分</w:t>
            </w:r>
          </w:p>
        </w:tc>
        <w:tc>
          <w:tcPr>
            <w:tcW w:w="4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按照全国统一《保险公司服务评价管理办法（试行）》中的服务评级等级，投标人自</w:t>
            </w:r>
            <w:r>
              <w:rPr>
                <w:rFonts w:ascii="宋体" w:hAnsi="宋体" w:cs="宋体"/>
                <w:color w:val="auto"/>
                <w:kern w:val="0"/>
                <w:szCs w:val="21"/>
                <w:highlight w:val="none"/>
              </w:rPr>
              <w:t>201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年1月1日以来至投标截止日，获得过服务评级评分：</w:t>
            </w:r>
            <w:r>
              <w:rPr>
                <w:rFonts w:ascii="宋体" w:hAnsi="宋体" w:cs="宋体"/>
                <w:color w:val="auto"/>
                <w:kern w:val="0"/>
                <w:szCs w:val="21"/>
                <w:highlight w:val="none"/>
              </w:rPr>
              <w:t>AAA</w:t>
            </w:r>
            <w:r>
              <w:rPr>
                <w:rFonts w:hint="eastAsia" w:ascii="宋体" w:hAnsi="宋体" w:cs="宋体"/>
                <w:color w:val="auto"/>
                <w:kern w:val="0"/>
                <w:szCs w:val="21"/>
                <w:highlight w:val="none"/>
              </w:rPr>
              <w:t>级得9分，</w:t>
            </w:r>
            <w:r>
              <w:rPr>
                <w:rFonts w:ascii="宋体" w:hAnsi="宋体" w:cs="宋体"/>
                <w:color w:val="auto"/>
                <w:kern w:val="0"/>
                <w:szCs w:val="21"/>
                <w:highlight w:val="none"/>
              </w:rPr>
              <w:t>AA</w:t>
            </w:r>
            <w:r>
              <w:rPr>
                <w:rFonts w:hint="eastAsia" w:ascii="宋体" w:hAnsi="宋体" w:cs="宋体"/>
                <w:color w:val="auto"/>
                <w:kern w:val="0"/>
                <w:szCs w:val="21"/>
                <w:highlight w:val="none"/>
              </w:rPr>
              <w:t>级得</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分，A级得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分，BBB级得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分，BB级得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 B级</w:t>
            </w:r>
            <w:r>
              <w:rPr>
                <w:rFonts w:hint="eastAsia" w:ascii="宋体" w:hAnsi="宋体" w:cs="宋体"/>
                <w:color w:val="auto"/>
                <w:kern w:val="0"/>
                <w:szCs w:val="21"/>
                <w:highlight w:val="none"/>
                <w:lang w:eastAsia="zh-CN"/>
              </w:rPr>
              <w:t>及以下等级的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注：一家投标单位只记一次分，最高得9分。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s="宋体"/>
                <w:b/>
                <w:bCs/>
                <w:color w:val="auto"/>
                <w:kern w:val="0"/>
                <w:szCs w:val="21"/>
                <w:highlight w:val="none"/>
              </w:rPr>
              <w:t>证明材料须提供中保信网站公布信息截图并加盖公章，否则不得分。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55"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bookmarkStart w:id="249" w:name="_Toc9789"/>
            <w:r>
              <w:rPr>
                <w:rFonts w:hint="eastAsia" w:ascii="宋体" w:hAnsi="宋体" w:cs="宋体"/>
                <w:b/>
                <w:bCs/>
                <w:color w:val="auto"/>
                <w:kern w:val="0"/>
                <w:szCs w:val="21"/>
                <w:highlight w:val="none"/>
              </w:rPr>
              <w:t>市场份额</w:t>
            </w: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7分</w:t>
            </w:r>
          </w:p>
        </w:tc>
        <w:tc>
          <w:tcPr>
            <w:tcW w:w="4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衢州</w:t>
            </w:r>
            <w:r>
              <w:rPr>
                <w:rFonts w:hint="eastAsia" w:ascii="宋体" w:hAnsi="宋体" w:eastAsia="宋体" w:cs="宋体"/>
                <w:color w:val="auto"/>
                <w:kern w:val="0"/>
                <w:szCs w:val="21"/>
                <w:highlight w:val="none"/>
              </w:rPr>
              <w:t>保险行业协会2020年度出具的份额表为准，第一名得7分、第二名得5分、第三名得3分、第四名得2分、第五名得1分，其余不得分。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注：提供</w:t>
            </w:r>
            <w:r>
              <w:rPr>
                <w:rFonts w:hint="eastAsia" w:ascii="宋体" w:hAnsi="宋体" w:cs="宋体"/>
                <w:b/>
                <w:bCs/>
                <w:color w:val="auto"/>
                <w:kern w:val="0"/>
                <w:szCs w:val="21"/>
                <w:highlight w:val="none"/>
                <w:lang w:eastAsia="zh-CN"/>
              </w:rPr>
              <w:t>衢州</w:t>
            </w:r>
            <w:r>
              <w:rPr>
                <w:rFonts w:hint="eastAsia" w:ascii="宋体" w:hAnsi="宋体" w:cs="宋体"/>
                <w:b/>
                <w:bCs/>
                <w:color w:val="auto"/>
                <w:kern w:val="0"/>
                <w:szCs w:val="21"/>
                <w:highlight w:val="none"/>
              </w:rPr>
              <w:t>保险行业协会2020年度出具的份额表报告，否则不得分。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55"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60" w:beforeLines="50" w:after="160" w:afterLines="50" w:line="400" w:lineRule="exact"/>
              <w:jc w:val="center"/>
              <w:textAlignment w:val="auto"/>
              <w:rPr>
                <w:rFonts w:hint="eastAsia" w:ascii="宋体" w:hAnsi="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保险服务方案</w:t>
            </w: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b w:val="0"/>
                <w:bCs/>
                <w:color w:val="auto"/>
                <w:szCs w:val="21"/>
                <w:highlight w:val="none"/>
                <w:lang w:val="en-US" w:eastAsia="zh-CN"/>
              </w:rPr>
              <w:t>20分</w:t>
            </w:r>
          </w:p>
        </w:tc>
        <w:tc>
          <w:tcPr>
            <w:tcW w:w="4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根据采购</w:t>
            </w:r>
            <w:r>
              <w:rPr>
                <w:rFonts w:hint="eastAsia" w:ascii="宋体" w:hAnsi="宋体" w:eastAsia="宋体" w:cs="宋体"/>
                <w:color w:val="auto"/>
                <w:kern w:val="0"/>
                <w:szCs w:val="21"/>
                <w:highlight w:val="none"/>
                <w:lang w:eastAsia="zh-CN"/>
              </w:rPr>
              <w:t>需求中：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olor w:val="auto"/>
                <w:sz w:val="21"/>
                <w:szCs w:val="24"/>
                <w:highlight w:val="none"/>
                <w:lang w:val="en-US" w:eastAsia="zh-CN"/>
              </w:rPr>
            </w:pPr>
            <w:r>
              <w:rPr>
                <w:rFonts w:hint="eastAsia"/>
                <w:color w:val="auto"/>
                <w:sz w:val="21"/>
                <w:szCs w:val="24"/>
                <w:highlight w:val="none"/>
                <w:lang w:val="en-US" w:eastAsia="zh-CN"/>
              </w:rPr>
              <w:t>承保后的服务：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color w:val="auto"/>
                <w:sz w:val="21"/>
                <w:szCs w:val="24"/>
                <w:highlight w:val="none"/>
                <w:lang w:val="en-US" w:eastAsia="zh-CN"/>
              </w:rPr>
            </w:pPr>
            <w:r>
              <w:rPr>
                <w:rFonts w:hint="eastAsia"/>
                <w:color w:val="auto"/>
                <w:sz w:val="21"/>
                <w:szCs w:val="24"/>
                <w:highlight w:val="none"/>
                <w:lang w:val="en-US" w:eastAsia="zh-CN"/>
              </w:rPr>
              <w:t>a.理赔权限RMB800万（含）以上的，得4分；理赔权限RMB500万（含）-RMB800万（不含）的，得2分；理赔权限RMB500万（不含）以下的，不得分；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olor w:val="auto"/>
                <w:sz w:val="21"/>
                <w:szCs w:val="24"/>
                <w:highlight w:val="none"/>
                <w:lang w:val="en-US" w:eastAsia="zh-CN"/>
              </w:rPr>
            </w:pPr>
            <w:r>
              <w:rPr>
                <w:rFonts w:hint="eastAsia"/>
                <w:color w:val="auto"/>
                <w:sz w:val="21"/>
                <w:szCs w:val="24"/>
                <w:highlight w:val="none"/>
                <w:lang w:val="en-US" w:eastAsia="zh-CN"/>
              </w:rPr>
              <w:t>注：提供总公司对于本次招标项目所在地所属省级分公司关于医疗责任保险理赔权限的正规授权文件，针对本项目的临时授权文件以及总公司的理赔权限无效。原件备查，否则业绩不予认可。</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color w:val="auto"/>
                <w:sz w:val="21"/>
                <w:szCs w:val="24"/>
                <w:highlight w:val="none"/>
                <w:lang w:val="en-US" w:eastAsia="zh-CN"/>
              </w:rPr>
            </w:pPr>
            <w:r>
              <w:rPr>
                <w:rFonts w:hint="eastAsia"/>
                <w:color w:val="auto"/>
                <w:sz w:val="21"/>
                <w:szCs w:val="24"/>
                <w:highlight w:val="none"/>
                <w:lang w:val="en-US" w:eastAsia="zh-CN"/>
              </w:rPr>
              <w:t>b.根据投标人的客户维护方案，共计3项内容，提供法律服务、保险合同变更、派专人定期回访内容进行评分，每提供一项得2分，最高得6分，不符合不得分。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bCs/>
                <w:color w:val="auto"/>
                <w:kern w:val="0"/>
                <w:szCs w:val="21"/>
                <w:highlight w:val="none"/>
              </w:rPr>
            </w:pPr>
            <w:r>
              <w:rPr>
                <w:rFonts w:hint="eastAsia"/>
                <w:color w:val="auto"/>
                <w:sz w:val="21"/>
                <w:szCs w:val="24"/>
                <w:highlight w:val="none"/>
                <w:lang w:val="en-US" w:eastAsia="zh-CN"/>
              </w:rPr>
              <w:t>c.根据投标人的整体理赔服务方案，提供整体服务措施、现场查勘时效承诺、理赔时效承诺、特色服务进行评分，每提供一项得2.5分，最高得10分，不符合不得分。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55"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60" w:beforeLines="50" w:after="160" w:afterLines="50" w:line="400" w:lineRule="exact"/>
              <w:jc w:val="center"/>
              <w:textAlignment w:val="auto"/>
              <w:rPr>
                <w:rFonts w:hint="eastAsia" w:ascii="宋体" w:hAnsi="宋体" w:cs="宋体"/>
                <w:b w:val="0"/>
                <w:bCs/>
                <w:color w:val="auto"/>
                <w:kern w:val="0"/>
                <w:szCs w:val="21"/>
                <w:highlight w:val="none"/>
              </w:rPr>
            </w:pPr>
            <w:r>
              <w:rPr>
                <w:rFonts w:hint="eastAsia" w:ascii="宋体" w:hAnsi="宋体" w:eastAsia="宋体" w:cs="宋体"/>
                <w:b w:val="0"/>
                <w:bCs/>
                <w:color w:val="auto"/>
                <w:kern w:val="0"/>
                <w:szCs w:val="21"/>
                <w:highlight w:val="none"/>
                <w:lang w:eastAsia="zh-CN"/>
              </w:rPr>
              <w:t>增值特色服务</w:t>
            </w: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16分</w:t>
            </w:r>
          </w:p>
        </w:tc>
        <w:tc>
          <w:tcPr>
            <w:tcW w:w="4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Cs w:val="21"/>
                <w:highlight w:val="none"/>
              </w:rPr>
            </w:pPr>
            <w:r>
              <w:rPr>
                <w:rFonts w:hint="default"/>
                <w:color w:val="auto"/>
                <w:sz w:val="21"/>
                <w:szCs w:val="24"/>
                <w:highlight w:val="none"/>
                <w:lang w:val="zh-CN" w:eastAsia="zh-CN"/>
              </w:rPr>
              <w:t>投标人</w:t>
            </w:r>
            <w:r>
              <w:rPr>
                <w:rFonts w:hint="eastAsia"/>
                <w:color w:val="auto"/>
                <w:sz w:val="21"/>
                <w:szCs w:val="24"/>
                <w:highlight w:val="none"/>
                <w:lang w:val="en-US" w:eastAsia="zh-CN"/>
              </w:rPr>
              <w:t>在</w:t>
            </w:r>
            <w:r>
              <w:rPr>
                <w:rFonts w:hint="eastAsia" w:ascii="宋体" w:hAnsi="宋体" w:eastAsia="宋体" w:cs="宋体"/>
                <w:sz w:val="21"/>
                <w:szCs w:val="21"/>
                <w:highlight w:val="none"/>
              </w:rPr>
              <w:t>医疗责任保险</w:t>
            </w:r>
            <w:r>
              <w:rPr>
                <w:rFonts w:hint="eastAsia"/>
                <w:color w:val="auto"/>
                <w:sz w:val="21"/>
                <w:szCs w:val="24"/>
                <w:highlight w:val="none"/>
                <w:lang w:val="en-US" w:eastAsia="zh-CN"/>
              </w:rPr>
              <w:t>服务</w:t>
            </w:r>
            <w:r>
              <w:rPr>
                <w:rFonts w:hint="eastAsia"/>
                <w:color w:val="auto"/>
                <w:sz w:val="21"/>
                <w:szCs w:val="24"/>
                <w:highlight w:val="none"/>
                <w:lang w:val="zh-CN" w:eastAsia="zh-CN"/>
              </w:rPr>
              <w:t>基本内容基础上提供另外的</w:t>
            </w:r>
            <w:r>
              <w:rPr>
                <w:rFonts w:hint="eastAsia" w:ascii="宋体" w:hAnsi="宋体" w:eastAsia="宋体" w:cs="宋体"/>
                <w:color w:val="auto"/>
                <w:sz w:val="22"/>
                <w:szCs w:val="22"/>
                <w:highlight w:val="none"/>
                <w:lang w:eastAsia="zh-CN"/>
              </w:rPr>
              <w:t>增值特色服务</w:t>
            </w:r>
            <w:r>
              <w:rPr>
                <w:rFonts w:hint="default"/>
                <w:color w:val="auto"/>
                <w:sz w:val="21"/>
                <w:szCs w:val="24"/>
                <w:highlight w:val="none"/>
                <w:lang w:val="zh-CN" w:eastAsia="zh-CN"/>
              </w:rPr>
              <w:t>。</w:t>
            </w:r>
            <w:r>
              <w:rPr>
                <w:rFonts w:hint="eastAsia" w:ascii="宋体" w:hAnsi="宋体" w:cs="宋体"/>
                <w:color w:val="auto"/>
                <w:kern w:val="0"/>
                <w:szCs w:val="21"/>
                <w:highlight w:val="none"/>
              </w:rPr>
              <w:t>提供合理的、覆盖面广的保险业务告知和专业培训，确保投保人、被保险人（参保对象）充分知晓、了解本保险，理解保险、理赔流程</w:t>
            </w:r>
            <w:r>
              <w:rPr>
                <w:rFonts w:hint="eastAsia" w:ascii="宋体" w:hAnsi="宋体" w:eastAsia="宋体" w:cs="宋体"/>
                <w:color w:val="auto"/>
                <w:sz w:val="22"/>
                <w:szCs w:val="22"/>
                <w:highlight w:val="none"/>
                <w:lang w:eastAsia="zh-CN"/>
              </w:rPr>
              <w:t>，获得更好的承保、理赔等方面情况，</w:t>
            </w:r>
            <w:r>
              <w:rPr>
                <w:rFonts w:hint="eastAsia" w:ascii="宋体" w:hAnsi="宋体" w:cs="宋体"/>
                <w:color w:val="auto"/>
                <w:kern w:val="0"/>
                <w:szCs w:val="21"/>
                <w:highlight w:val="none"/>
                <w:lang w:eastAsia="zh-CN"/>
              </w:rPr>
              <w:t>每提供一项得</w:t>
            </w:r>
            <w:r>
              <w:rPr>
                <w:rFonts w:hint="eastAsia" w:ascii="宋体" w:hAnsi="宋体" w:cs="宋体"/>
                <w:color w:val="auto"/>
                <w:kern w:val="0"/>
                <w:szCs w:val="21"/>
                <w:highlight w:val="none"/>
                <w:lang w:val="en-US" w:eastAsia="zh-CN"/>
              </w:rPr>
              <w:t>2分，最高得16分，不符合不得分。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420"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60" w:beforeLines="50" w:after="160" w:afterLines="50" w:line="4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b w:val="0"/>
                <w:bCs/>
                <w:color w:val="auto"/>
                <w:kern w:val="0"/>
                <w:szCs w:val="21"/>
                <w:highlight w:val="none"/>
              </w:rPr>
              <w:t>理赔服务方案</w:t>
            </w: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8</w:t>
            </w:r>
            <w:r>
              <w:rPr>
                <w:rFonts w:hint="eastAsia" w:ascii="宋体" w:hAnsi="宋体" w:cs="宋体"/>
                <w:b w:val="0"/>
                <w:bCs/>
                <w:color w:val="auto"/>
                <w:kern w:val="0"/>
                <w:szCs w:val="21"/>
                <w:highlight w:val="none"/>
              </w:rPr>
              <w:t>分</w:t>
            </w:r>
          </w:p>
        </w:tc>
        <w:tc>
          <w:tcPr>
            <w:tcW w:w="4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olor w:val="auto"/>
                <w:sz w:val="21"/>
                <w:szCs w:val="24"/>
                <w:highlight w:val="none"/>
                <w:lang w:val="zh-CN" w:eastAsia="zh-CN"/>
              </w:rPr>
            </w:pPr>
            <w:r>
              <w:rPr>
                <w:rFonts w:hint="eastAsia" w:ascii="宋体" w:hAnsi="宋体" w:cs="宋体"/>
                <w:color w:val="auto"/>
                <w:kern w:val="0"/>
                <w:szCs w:val="21"/>
                <w:highlight w:val="none"/>
                <w:lang w:val="en-US" w:eastAsia="zh-CN"/>
              </w:rPr>
              <w:t>提供</w:t>
            </w:r>
            <w:r>
              <w:rPr>
                <w:rFonts w:hint="eastAsia" w:ascii="宋体" w:hAnsi="宋体" w:cs="宋体"/>
                <w:color w:val="auto"/>
                <w:kern w:val="0"/>
                <w:szCs w:val="21"/>
                <w:highlight w:val="none"/>
              </w:rPr>
              <w:t>理赔服务需求响应速度</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接报案及现场查勘的方案情况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单证审核及理赔程序的方案情况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专项理赔服务人员</w:t>
            </w:r>
            <w:r>
              <w:rPr>
                <w:rFonts w:hint="eastAsia" w:ascii="宋体" w:hAnsi="宋体" w:cs="宋体"/>
                <w:color w:val="auto"/>
                <w:kern w:val="0"/>
                <w:szCs w:val="21"/>
                <w:highlight w:val="none"/>
                <w:lang w:eastAsia="zh-CN"/>
              </w:rPr>
              <w:t>等理赔服务方案，符合采购需求的每项得</w:t>
            </w:r>
            <w:r>
              <w:rPr>
                <w:rFonts w:hint="eastAsia" w:ascii="宋体" w:hAnsi="宋体" w:cs="宋体"/>
                <w:color w:val="auto"/>
                <w:kern w:val="0"/>
                <w:szCs w:val="21"/>
                <w:highlight w:val="none"/>
                <w:lang w:val="en-US" w:eastAsia="zh-CN"/>
              </w:rPr>
              <w:t>2分，最高得8分，不符合不得分。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firstLineChars="20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97" w:hRule="atLeast"/>
          <w:jc w:val="center"/>
        </w:trPr>
        <w:tc>
          <w:tcPr>
            <w:tcW w:w="72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60" w:beforeLines="50" w:after="160" w:afterLines="50"/>
              <w:jc w:val="center"/>
              <w:rPr>
                <w:rFonts w:hint="eastAsia"/>
                <w:color w:val="auto"/>
                <w:sz w:val="21"/>
                <w:szCs w:val="24"/>
                <w:highlight w:val="none"/>
                <w:lang w:val="en-US" w:eastAsia="zh-CN"/>
              </w:rPr>
            </w:pPr>
            <w:r>
              <w:rPr>
                <w:rFonts w:hint="eastAsia" w:ascii="宋体" w:hAnsi="宋体" w:cs="宋体"/>
                <w:b w:val="0"/>
                <w:bCs/>
                <w:color w:val="auto"/>
                <w:kern w:val="0"/>
                <w:szCs w:val="21"/>
                <w:highlight w:val="none"/>
                <w:lang w:eastAsia="zh-CN"/>
              </w:rPr>
              <w:t>合计</w:t>
            </w:r>
            <w:r>
              <w:rPr>
                <w:rFonts w:hint="eastAsia" w:ascii="宋体" w:hAnsi="宋体" w:cs="宋体"/>
                <w:b w:val="0"/>
                <w:bCs/>
                <w:color w:val="auto"/>
                <w:kern w:val="0"/>
                <w:szCs w:val="21"/>
                <w:highlight w:val="none"/>
                <w:lang w:val="en-US" w:eastAsia="zh-CN"/>
              </w:rPr>
              <w:t>80分</w:t>
            </w: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auto"/>
                <w:sz w:val="21"/>
                <w:szCs w:val="24"/>
                <w:highlight w:val="none"/>
                <w:lang w:val="en-US" w:eastAsia="zh-CN"/>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auto"/>
                <w:sz w:val="21"/>
                <w:szCs w:val="24"/>
                <w:highlight w:val="none"/>
                <w:lang w:val="en-US" w:eastAsia="zh-CN"/>
              </w:rPr>
            </w:pPr>
          </w:p>
        </w:tc>
      </w:tr>
      <w:bookmarkEnd w:id="239"/>
      <w:bookmarkEnd w:id="240"/>
      <w:bookmarkEnd w:id="241"/>
      <w:bookmarkEnd w:id="242"/>
      <w:bookmarkEnd w:id="243"/>
      <w:bookmarkEnd w:id="244"/>
      <w:bookmarkEnd w:id="245"/>
      <w:bookmarkEnd w:id="246"/>
      <w:bookmarkEnd w:id="247"/>
      <w:bookmarkEnd w:id="248"/>
    </w:tbl>
    <w:p>
      <w:pPr>
        <w:snapToGrid w:val="0"/>
        <w:spacing w:line="520" w:lineRule="exact"/>
        <w:jc w:val="center"/>
        <w:rPr>
          <w:rFonts w:hint="eastAsia" w:ascii="宋体" w:hAnsi="宋体" w:cs="宋体"/>
          <w:b/>
          <w:color w:val="auto"/>
          <w:kern w:val="0"/>
          <w:sz w:val="30"/>
          <w:szCs w:val="30"/>
          <w:highlight w:val="none"/>
        </w:rPr>
      </w:pPr>
    </w:p>
    <w:p>
      <w:pPr>
        <w:snapToGrid w:val="0"/>
        <w:spacing w:line="520" w:lineRule="exact"/>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rPr>
        <w:t>二、项目合同履行期限承诺</w:t>
      </w:r>
    </w:p>
    <w:p>
      <w:pPr>
        <w:widowControl/>
        <w:spacing w:line="540" w:lineRule="exact"/>
        <w:jc w:val="center"/>
        <w:outlineLvl w:val="2"/>
        <w:rPr>
          <w:rFonts w:hint="eastAsia" w:ascii="宋体" w:hAnsi="宋体" w:cs="宋体"/>
          <w:b/>
          <w:color w:val="auto"/>
          <w:kern w:val="0"/>
          <w:sz w:val="30"/>
          <w:szCs w:val="30"/>
          <w:highlight w:val="none"/>
          <w:lang w:val="zh-CN"/>
        </w:rPr>
      </w:pPr>
    </w:p>
    <w:p>
      <w:pPr>
        <w:widowControl/>
        <w:spacing w:line="540" w:lineRule="exact"/>
        <w:jc w:val="center"/>
        <w:outlineLvl w:val="2"/>
        <w:rPr>
          <w:rFonts w:hint="eastAsia" w:ascii="宋体" w:hAnsi="宋体" w:cs="宋体"/>
          <w:b/>
          <w:color w:val="auto"/>
          <w:kern w:val="0"/>
          <w:sz w:val="30"/>
          <w:szCs w:val="30"/>
          <w:highlight w:val="none"/>
        </w:rPr>
      </w:pPr>
    </w:p>
    <w:p>
      <w:pPr>
        <w:pStyle w:val="5"/>
        <w:keepNext w:val="0"/>
        <w:keepLines w:val="0"/>
        <w:rPr>
          <w:rFonts w:hint="eastAsia" w:ascii="宋体" w:hAnsi="宋体" w:cs="宋体"/>
          <w:b w:val="0"/>
          <w:color w:val="auto"/>
          <w:kern w:val="0"/>
          <w:sz w:val="30"/>
          <w:szCs w:val="30"/>
          <w:highlight w:val="none"/>
        </w:rPr>
      </w:pPr>
    </w:p>
    <w:p>
      <w:pPr>
        <w:rPr>
          <w:rFonts w:hint="eastAsia" w:ascii="宋体" w:hAnsi="宋体" w:cs="宋体"/>
          <w:b/>
          <w:color w:val="auto"/>
          <w:kern w:val="0"/>
          <w:sz w:val="30"/>
          <w:szCs w:val="30"/>
          <w:highlight w:val="none"/>
        </w:rPr>
      </w:pPr>
    </w:p>
    <w:p>
      <w:pPr>
        <w:pStyle w:val="5"/>
        <w:keepNext w:val="0"/>
        <w:keepLines w:val="0"/>
        <w:rPr>
          <w:rFonts w:hint="eastAsia" w:ascii="宋体" w:hAnsi="宋体" w:cs="宋体"/>
          <w:b w:val="0"/>
          <w:color w:val="auto"/>
          <w:kern w:val="0"/>
          <w:sz w:val="30"/>
          <w:szCs w:val="30"/>
          <w:highlight w:val="none"/>
        </w:rPr>
      </w:pPr>
    </w:p>
    <w:p>
      <w:pPr>
        <w:rPr>
          <w:rFonts w:hint="eastAsia" w:ascii="宋体" w:hAnsi="宋体" w:cs="宋体"/>
          <w:b/>
          <w:color w:val="auto"/>
          <w:kern w:val="0"/>
          <w:sz w:val="30"/>
          <w:szCs w:val="30"/>
          <w:highlight w:val="none"/>
        </w:rPr>
      </w:pPr>
    </w:p>
    <w:p>
      <w:pPr>
        <w:pStyle w:val="5"/>
        <w:keepNext w:val="0"/>
        <w:keepLines w:val="0"/>
        <w:rPr>
          <w:rFonts w:hint="eastAsia" w:ascii="宋体" w:hAnsi="宋体" w:cs="宋体"/>
          <w:b w:val="0"/>
          <w:color w:val="auto"/>
          <w:kern w:val="0"/>
          <w:sz w:val="30"/>
          <w:szCs w:val="30"/>
          <w:highlight w:val="none"/>
        </w:rPr>
      </w:pPr>
    </w:p>
    <w:p>
      <w:pPr>
        <w:rPr>
          <w:rFonts w:hint="eastAsia" w:ascii="宋体" w:hAnsi="宋体" w:cs="宋体"/>
          <w:b/>
          <w:color w:val="auto"/>
          <w:kern w:val="0"/>
          <w:sz w:val="30"/>
          <w:szCs w:val="30"/>
          <w:highlight w:val="none"/>
        </w:rPr>
      </w:pPr>
    </w:p>
    <w:p>
      <w:pPr>
        <w:pStyle w:val="5"/>
        <w:keepNext w:val="0"/>
        <w:keepLines w:val="0"/>
        <w:rPr>
          <w:rFonts w:hint="eastAsia" w:ascii="宋体" w:hAnsi="宋体" w:cs="宋体"/>
          <w:b w:val="0"/>
          <w:color w:val="auto"/>
          <w:kern w:val="0"/>
          <w:sz w:val="30"/>
          <w:szCs w:val="30"/>
          <w:highlight w:val="none"/>
        </w:rPr>
      </w:pPr>
    </w:p>
    <w:p>
      <w:pPr>
        <w:rPr>
          <w:rFonts w:hint="eastAsia" w:ascii="宋体" w:hAnsi="宋体" w:cs="宋体"/>
          <w:b/>
          <w:color w:val="auto"/>
          <w:kern w:val="0"/>
          <w:sz w:val="30"/>
          <w:szCs w:val="30"/>
          <w:highlight w:val="none"/>
        </w:rPr>
      </w:pPr>
    </w:p>
    <w:p>
      <w:pPr>
        <w:pStyle w:val="5"/>
        <w:rPr>
          <w:rFonts w:hint="eastAsia" w:ascii="宋体" w:hAnsi="宋体" w:cs="宋体"/>
          <w:b w:val="0"/>
          <w:color w:val="auto"/>
          <w:kern w:val="0"/>
          <w:sz w:val="30"/>
          <w:szCs w:val="30"/>
          <w:highlight w:val="none"/>
        </w:rPr>
      </w:pPr>
      <w:r>
        <w:rPr>
          <w:rFonts w:hint="eastAsia" w:ascii="宋体" w:hAnsi="宋体" w:cs="宋体"/>
          <w:b w:val="0"/>
          <w:color w:val="auto"/>
          <w:kern w:val="0"/>
          <w:sz w:val="30"/>
          <w:szCs w:val="30"/>
          <w:highlight w:val="none"/>
        </w:rPr>
        <w:t xml:space="preserve">  </w:t>
      </w:r>
    </w:p>
    <w:p>
      <w:pPr>
        <w:rPr>
          <w:rFonts w:hint="eastAsia" w:ascii="宋体" w:hAnsi="宋体" w:cs="宋体"/>
          <w:color w:val="auto"/>
          <w:kern w:val="0"/>
          <w:sz w:val="30"/>
          <w:szCs w:val="30"/>
          <w:highlight w:val="none"/>
        </w:rPr>
      </w:pPr>
    </w:p>
    <w:p>
      <w:pPr>
        <w:pStyle w:val="196"/>
        <w:rPr>
          <w:color w:val="auto"/>
          <w:highlight w:val="none"/>
        </w:rPr>
      </w:pPr>
      <w:r>
        <w:rPr>
          <w:rFonts w:hint="eastAsia" w:ascii="宋体" w:hAnsi="宋体" w:cs="宋体"/>
          <w:b/>
          <w:color w:val="auto"/>
          <w:sz w:val="30"/>
          <w:szCs w:val="30"/>
          <w:highlight w:val="none"/>
        </w:rPr>
        <w:t xml:space="preserve"> </w:t>
      </w:r>
    </w:p>
    <w:p>
      <w:pP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 xml:space="preserve">     </w:t>
      </w:r>
    </w:p>
    <w:p>
      <w:pPr>
        <w:spacing w:line="500" w:lineRule="exact"/>
        <w:ind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投标人全称（电子签章）：</w:t>
      </w:r>
      <w:r>
        <w:rPr>
          <w:rFonts w:hint="eastAsia" w:ascii="宋体" w:hAnsi="宋体" w:cs="宋体"/>
          <w:color w:val="auto"/>
          <w:szCs w:val="21"/>
          <w:highlight w:val="none"/>
          <w:u w:val="single"/>
        </w:rPr>
        <w:t xml:space="preserve">                    </w:t>
      </w:r>
    </w:p>
    <w:p>
      <w:pPr>
        <w:widowControl/>
        <w:snapToGrid w:val="0"/>
        <w:spacing w:line="500" w:lineRule="exact"/>
        <w:ind w:firstLine="3780" w:firstLineChars="1800"/>
        <w:textAlignment w:val="baseline"/>
        <w:rPr>
          <w:rFonts w:hint="eastAsia" w:ascii="宋体" w:hAnsi="宋体" w:cs="宋体"/>
          <w:b/>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widowControl/>
        <w:spacing w:line="500" w:lineRule="exact"/>
        <w:jc w:val="center"/>
        <w:outlineLvl w:val="2"/>
        <w:rPr>
          <w:rFonts w:hint="eastAsia" w:ascii="宋体" w:hAnsi="宋体" w:cs="宋体"/>
          <w:b/>
          <w:color w:val="auto"/>
          <w:kern w:val="0"/>
          <w:szCs w:val="21"/>
          <w:highlight w:val="none"/>
        </w:rPr>
      </w:pPr>
    </w:p>
    <w:p>
      <w:pPr>
        <w:pStyle w:val="5"/>
        <w:rPr>
          <w:rFonts w:hint="eastAsia" w:ascii="宋体" w:hAnsi="宋体" w:cs="宋体"/>
          <w:b w:val="0"/>
          <w:color w:val="auto"/>
          <w:kern w:val="0"/>
          <w:sz w:val="30"/>
          <w:szCs w:val="30"/>
          <w:highlight w:val="none"/>
        </w:rPr>
      </w:pPr>
    </w:p>
    <w:p>
      <w:pPr>
        <w:rPr>
          <w:rFonts w:hint="eastAsia" w:ascii="宋体" w:hAnsi="宋体" w:cs="宋体"/>
          <w:b/>
          <w:color w:val="auto"/>
          <w:kern w:val="0"/>
          <w:sz w:val="30"/>
          <w:szCs w:val="30"/>
          <w:highlight w:val="none"/>
        </w:rPr>
      </w:pPr>
    </w:p>
    <w:p>
      <w:pPr>
        <w:pStyle w:val="5"/>
        <w:rPr>
          <w:rFonts w:hint="eastAsia" w:ascii="宋体" w:hAnsi="宋体" w:cs="宋体"/>
          <w:b w:val="0"/>
          <w:color w:val="auto"/>
          <w:kern w:val="0"/>
          <w:sz w:val="30"/>
          <w:szCs w:val="30"/>
          <w:highlight w:val="none"/>
        </w:rPr>
      </w:pPr>
    </w:p>
    <w:p>
      <w:pPr>
        <w:rPr>
          <w:rFonts w:hint="eastAsia" w:ascii="宋体" w:hAnsi="宋体" w:cs="宋体"/>
          <w:b/>
          <w:color w:val="auto"/>
          <w:kern w:val="0"/>
          <w:sz w:val="30"/>
          <w:szCs w:val="30"/>
          <w:highlight w:val="none"/>
        </w:rPr>
      </w:pPr>
    </w:p>
    <w:p>
      <w:pPr>
        <w:rPr>
          <w:rFonts w:hint="eastAsia"/>
          <w:color w:val="auto"/>
          <w:highlight w:val="none"/>
        </w:rPr>
      </w:pPr>
    </w:p>
    <w:p>
      <w:pPr>
        <w:widowControl/>
        <w:spacing w:line="54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三、偿付能力充足率</w:t>
      </w:r>
    </w:p>
    <w:p>
      <w:pPr>
        <w:widowControl/>
        <w:spacing w:line="54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rPr>
        <w:t>四、类似业绩</w:t>
      </w:r>
    </w:p>
    <w:p>
      <w:pPr>
        <w:rPr>
          <w:rFonts w:hint="eastAsia" w:ascii="宋体" w:hAnsi="宋体" w:cs="宋体"/>
          <w:bCs/>
          <w:color w:val="auto"/>
          <w:kern w:val="0"/>
          <w:szCs w:val="21"/>
          <w:highlight w:val="none"/>
          <w:lang w:val="zh-CN"/>
        </w:rPr>
      </w:pPr>
    </w:p>
    <w:p>
      <w:pPr>
        <w:widowControl/>
        <w:spacing w:line="5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                                   项目编号：</w:t>
      </w:r>
    </w:p>
    <w:tbl>
      <w:tblPr>
        <w:tblStyle w:val="49"/>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32"/>
        <w:gridCol w:w="2160"/>
        <w:gridCol w:w="282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3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采购单位</w:t>
            </w:r>
          </w:p>
          <w:p>
            <w:pPr>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216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23"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业绩类型</w:t>
            </w:r>
          </w:p>
        </w:tc>
        <w:tc>
          <w:tcPr>
            <w:tcW w:w="222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32" w:type="dxa"/>
            <w:noWrap w:val="0"/>
            <w:vAlign w:val="center"/>
          </w:tcPr>
          <w:p>
            <w:pPr>
              <w:widowControl/>
              <w:jc w:val="center"/>
              <w:rPr>
                <w:rFonts w:hint="eastAsia" w:ascii="宋体" w:hAnsi="宋体" w:cs="宋体"/>
                <w:color w:val="auto"/>
                <w:szCs w:val="21"/>
                <w:highlight w:val="none"/>
              </w:rPr>
            </w:pPr>
          </w:p>
        </w:tc>
        <w:tc>
          <w:tcPr>
            <w:tcW w:w="2160" w:type="dxa"/>
            <w:noWrap w:val="0"/>
            <w:vAlign w:val="center"/>
          </w:tcPr>
          <w:p>
            <w:pPr>
              <w:widowControl/>
              <w:jc w:val="center"/>
              <w:rPr>
                <w:rFonts w:hint="eastAsia" w:ascii="宋体" w:hAnsi="宋体" w:cs="宋体"/>
                <w:color w:val="auto"/>
                <w:szCs w:val="21"/>
                <w:highlight w:val="none"/>
              </w:rPr>
            </w:pPr>
          </w:p>
        </w:tc>
        <w:tc>
          <w:tcPr>
            <w:tcW w:w="2823" w:type="dxa"/>
            <w:noWrap w:val="0"/>
            <w:vAlign w:val="center"/>
          </w:tcPr>
          <w:p>
            <w:pPr>
              <w:widowControl/>
              <w:jc w:val="center"/>
              <w:rPr>
                <w:rFonts w:hint="eastAsia" w:ascii="宋体" w:hAnsi="宋体" w:cs="宋体"/>
                <w:color w:val="auto"/>
                <w:szCs w:val="21"/>
                <w:highlight w:val="none"/>
              </w:rPr>
            </w:pPr>
          </w:p>
        </w:tc>
        <w:tc>
          <w:tcPr>
            <w:tcW w:w="2224" w:type="dxa"/>
            <w:noWrap w:val="0"/>
            <w:vAlign w:val="center"/>
          </w:tcPr>
          <w:p>
            <w:pPr>
              <w:widowControl/>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432" w:type="dxa"/>
            <w:noWrap w:val="0"/>
            <w:vAlign w:val="center"/>
          </w:tcPr>
          <w:p>
            <w:pPr>
              <w:widowControl/>
              <w:jc w:val="center"/>
              <w:rPr>
                <w:rFonts w:hint="eastAsia" w:ascii="宋体" w:hAnsi="宋体" w:cs="宋体"/>
                <w:b/>
                <w:color w:val="auto"/>
                <w:kern w:val="0"/>
                <w:szCs w:val="21"/>
                <w:highlight w:val="none"/>
              </w:rPr>
            </w:pPr>
          </w:p>
        </w:tc>
        <w:tc>
          <w:tcPr>
            <w:tcW w:w="2160" w:type="dxa"/>
            <w:noWrap w:val="0"/>
            <w:vAlign w:val="center"/>
          </w:tcPr>
          <w:p>
            <w:pPr>
              <w:widowControl/>
              <w:jc w:val="center"/>
              <w:rPr>
                <w:rFonts w:hint="eastAsia" w:ascii="宋体" w:hAnsi="宋体" w:cs="宋体"/>
                <w:b/>
                <w:color w:val="auto"/>
                <w:kern w:val="0"/>
                <w:szCs w:val="21"/>
                <w:highlight w:val="none"/>
              </w:rPr>
            </w:pPr>
          </w:p>
        </w:tc>
        <w:tc>
          <w:tcPr>
            <w:tcW w:w="2823" w:type="dxa"/>
            <w:noWrap w:val="0"/>
            <w:vAlign w:val="center"/>
          </w:tcPr>
          <w:p>
            <w:pPr>
              <w:widowControl/>
              <w:jc w:val="center"/>
              <w:rPr>
                <w:rFonts w:hint="eastAsia" w:ascii="宋体" w:hAnsi="宋体" w:cs="宋体"/>
                <w:b/>
                <w:color w:val="auto"/>
                <w:kern w:val="0"/>
                <w:szCs w:val="21"/>
                <w:highlight w:val="none"/>
              </w:rPr>
            </w:pPr>
          </w:p>
        </w:tc>
        <w:tc>
          <w:tcPr>
            <w:tcW w:w="2224" w:type="dxa"/>
            <w:noWrap w:val="0"/>
            <w:vAlign w:val="center"/>
          </w:tcPr>
          <w:p>
            <w:pPr>
              <w:widowControl/>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432" w:type="dxa"/>
            <w:noWrap w:val="0"/>
            <w:vAlign w:val="center"/>
          </w:tcPr>
          <w:p>
            <w:pPr>
              <w:widowControl/>
              <w:jc w:val="center"/>
              <w:rPr>
                <w:rFonts w:hint="eastAsia" w:ascii="宋体" w:hAnsi="宋体" w:cs="宋体"/>
                <w:b/>
                <w:color w:val="auto"/>
                <w:kern w:val="0"/>
                <w:szCs w:val="21"/>
                <w:highlight w:val="none"/>
              </w:rPr>
            </w:pPr>
          </w:p>
        </w:tc>
        <w:tc>
          <w:tcPr>
            <w:tcW w:w="2160" w:type="dxa"/>
            <w:noWrap w:val="0"/>
            <w:vAlign w:val="center"/>
          </w:tcPr>
          <w:p>
            <w:pPr>
              <w:widowControl/>
              <w:jc w:val="center"/>
              <w:rPr>
                <w:rFonts w:hint="eastAsia" w:ascii="宋体" w:hAnsi="宋体" w:cs="宋体"/>
                <w:b/>
                <w:color w:val="auto"/>
                <w:kern w:val="0"/>
                <w:szCs w:val="21"/>
                <w:highlight w:val="none"/>
              </w:rPr>
            </w:pPr>
          </w:p>
        </w:tc>
        <w:tc>
          <w:tcPr>
            <w:tcW w:w="2823" w:type="dxa"/>
            <w:noWrap w:val="0"/>
            <w:vAlign w:val="center"/>
          </w:tcPr>
          <w:p>
            <w:pPr>
              <w:widowControl/>
              <w:jc w:val="center"/>
              <w:rPr>
                <w:rFonts w:hint="eastAsia" w:ascii="宋体" w:hAnsi="宋体" w:cs="宋体"/>
                <w:b/>
                <w:color w:val="auto"/>
                <w:kern w:val="0"/>
                <w:szCs w:val="21"/>
                <w:highlight w:val="none"/>
              </w:rPr>
            </w:pPr>
          </w:p>
        </w:tc>
        <w:tc>
          <w:tcPr>
            <w:tcW w:w="2224" w:type="dxa"/>
            <w:noWrap w:val="0"/>
            <w:vAlign w:val="center"/>
          </w:tcPr>
          <w:p>
            <w:pPr>
              <w:widowControl/>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432" w:type="dxa"/>
            <w:noWrap w:val="0"/>
            <w:vAlign w:val="center"/>
          </w:tcPr>
          <w:p>
            <w:pPr>
              <w:widowControl/>
              <w:jc w:val="center"/>
              <w:rPr>
                <w:rFonts w:hint="eastAsia" w:ascii="宋体" w:hAnsi="宋体" w:cs="宋体"/>
                <w:b/>
                <w:color w:val="auto"/>
                <w:kern w:val="0"/>
                <w:szCs w:val="21"/>
                <w:highlight w:val="none"/>
              </w:rPr>
            </w:pPr>
          </w:p>
        </w:tc>
        <w:tc>
          <w:tcPr>
            <w:tcW w:w="2160" w:type="dxa"/>
            <w:noWrap w:val="0"/>
            <w:vAlign w:val="center"/>
          </w:tcPr>
          <w:p>
            <w:pPr>
              <w:widowControl/>
              <w:jc w:val="center"/>
              <w:rPr>
                <w:rFonts w:hint="eastAsia" w:ascii="宋体" w:hAnsi="宋体" w:cs="宋体"/>
                <w:b/>
                <w:color w:val="auto"/>
                <w:kern w:val="0"/>
                <w:szCs w:val="21"/>
                <w:highlight w:val="none"/>
              </w:rPr>
            </w:pPr>
          </w:p>
        </w:tc>
        <w:tc>
          <w:tcPr>
            <w:tcW w:w="2823" w:type="dxa"/>
            <w:noWrap w:val="0"/>
            <w:vAlign w:val="center"/>
          </w:tcPr>
          <w:p>
            <w:pPr>
              <w:widowControl/>
              <w:jc w:val="center"/>
              <w:rPr>
                <w:rFonts w:hint="eastAsia" w:ascii="宋体" w:hAnsi="宋体" w:cs="宋体"/>
                <w:b/>
                <w:color w:val="auto"/>
                <w:kern w:val="0"/>
                <w:szCs w:val="21"/>
                <w:highlight w:val="none"/>
              </w:rPr>
            </w:pPr>
          </w:p>
        </w:tc>
        <w:tc>
          <w:tcPr>
            <w:tcW w:w="2224" w:type="dxa"/>
            <w:noWrap w:val="0"/>
            <w:vAlign w:val="center"/>
          </w:tcPr>
          <w:p>
            <w:pPr>
              <w:widowControl/>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432" w:type="dxa"/>
            <w:noWrap w:val="0"/>
            <w:vAlign w:val="center"/>
          </w:tcPr>
          <w:p>
            <w:pPr>
              <w:widowControl/>
              <w:jc w:val="center"/>
              <w:rPr>
                <w:rFonts w:hint="eastAsia" w:ascii="宋体" w:hAnsi="宋体" w:cs="宋体"/>
                <w:b/>
                <w:color w:val="auto"/>
                <w:kern w:val="0"/>
                <w:szCs w:val="21"/>
                <w:highlight w:val="none"/>
              </w:rPr>
            </w:pPr>
          </w:p>
        </w:tc>
        <w:tc>
          <w:tcPr>
            <w:tcW w:w="2160" w:type="dxa"/>
            <w:noWrap w:val="0"/>
            <w:vAlign w:val="center"/>
          </w:tcPr>
          <w:p>
            <w:pPr>
              <w:widowControl/>
              <w:jc w:val="center"/>
              <w:rPr>
                <w:rFonts w:hint="eastAsia" w:ascii="宋体" w:hAnsi="宋体" w:cs="宋体"/>
                <w:b/>
                <w:color w:val="auto"/>
                <w:kern w:val="0"/>
                <w:szCs w:val="21"/>
                <w:highlight w:val="none"/>
              </w:rPr>
            </w:pPr>
          </w:p>
        </w:tc>
        <w:tc>
          <w:tcPr>
            <w:tcW w:w="2823" w:type="dxa"/>
            <w:noWrap w:val="0"/>
            <w:vAlign w:val="center"/>
          </w:tcPr>
          <w:p>
            <w:pPr>
              <w:widowControl/>
              <w:jc w:val="center"/>
              <w:rPr>
                <w:rFonts w:hint="eastAsia" w:ascii="宋体" w:hAnsi="宋体" w:cs="宋体"/>
                <w:b/>
                <w:color w:val="auto"/>
                <w:kern w:val="0"/>
                <w:szCs w:val="21"/>
                <w:highlight w:val="none"/>
              </w:rPr>
            </w:pPr>
          </w:p>
        </w:tc>
        <w:tc>
          <w:tcPr>
            <w:tcW w:w="2224" w:type="dxa"/>
            <w:noWrap w:val="0"/>
            <w:vAlign w:val="center"/>
          </w:tcPr>
          <w:p>
            <w:pPr>
              <w:widowControl/>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432" w:type="dxa"/>
            <w:noWrap w:val="0"/>
            <w:vAlign w:val="center"/>
          </w:tcPr>
          <w:p>
            <w:pPr>
              <w:widowControl/>
              <w:jc w:val="center"/>
              <w:rPr>
                <w:rFonts w:hint="eastAsia" w:ascii="宋体" w:hAnsi="宋体" w:cs="宋体"/>
                <w:b/>
                <w:color w:val="auto"/>
                <w:kern w:val="0"/>
                <w:szCs w:val="21"/>
                <w:highlight w:val="none"/>
              </w:rPr>
            </w:pPr>
          </w:p>
        </w:tc>
        <w:tc>
          <w:tcPr>
            <w:tcW w:w="2160" w:type="dxa"/>
            <w:noWrap w:val="0"/>
            <w:vAlign w:val="center"/>
          </w:tcPr>
          <w:p>
            <w:pPr>
              <w:widowControl/>
              <w:jc w:val="center"/>
              <w:rPr>
                <w:rFonts w:hint="eastAsia" w:ascii="宋体" w:hAnsi="宋体" w:cs="宋体"/>
                <w:b/>
                <w:color w:val="auto"/>
                <w:kern w:val="0"/>
                <w:szCs w:val="21"/>
                <w:highlight w:val="none"/>
              </w:rPr>
            </w:pPr>
          </w:p>
        </w:tc>
        <w:tc>
          <w:tcPr>
            <w:tcW w:w="2823" w:type="dxa"/>
            <w:noWrap w:val="0"/>
            <w:vAlign w:val="center"/>
          </w:tcPr>
          <w:p>
            <w:pPr>
              <w:widowControl/>
              <w:jc w:val="center"/>
              <w:rPr>
                <w:rFonts w:hint="eastAsia" w:ascii="宋体" w:hAnsi="宋体" w:cs="宋体"/>
                <w:b/>
                <w:color w:val="auto"/>
                <w:kern w:val="0"/>
                <w:szCs w:val="21"/>
                <w:highlight w:val="none"/>
              </w:rPr>
            </w:pPr>
          </w:p>
        </w:tc>
        <w:tc>
          <w:tcPr>
            <w:tcW w:w="2224" w:type="dxa"/>
            <w:noWrap w:val="0"/>
            <w:vAlign w:val="center"/>
          </w:tcPr>
          <w:p>
            <w:pPr>
              <w:widowControl/>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6" w:type="dxa"/>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432" w:type="dxa"/>
            <w:noWrap w:val="0"/>
            <w:vAlign w:val="center"/>
          </w:tcPr>
          <w:p>
            <w:pPr>
              <w:widowControl/>
              <w:jc w:val="center"/>
              <w:rPr>
                <w:rFonts w:hint="eastAsia" w:ascii="宋体" w:hAnsi="宋体" w:cs="宋体"/>
                <w:b/>
                <w:color w:val="auto"/>
                <w:kern w:val="0"/>
                <w:szCs w:val="21"/>
                <w:highlight w:val="none"/>
              </w:rPr>
            </w:pPr>
          </w:p>
        </w:tc>
        <w:tc>
          <w:tcPr>
            <w:tcW w:w="2160" w:type="dxa"/>
            <w:noWrap w:val="0"/>
            <w:vAlign w:val="center"/>
          </w:tcPr>
          <w:p>
            <w:pPr>
              <w:widowControl/>
              <w:jc w:val="center"/>
              <w:rPr>
                <w:rFonts w:hint="eastAsia" w:ascii="宋体" w:hAnsi="宋体" w:cs="宋体"/>
                <w:b/>
                <w:color w:val="auto"/>
                <w:kern w:val="0"/>
                <w:szCs w:val="21"/>
                <w:highlight w:val="none"/>
              </w:rPr>
            </w:pPr>
          </w:p>
        </w:tc>
        <w:tc>
          <w:tcPr>
            <w:tcW w:w="2823" w:type="dxa"/>
            <w:noWrap w:val="0"/>
            <w:vAlign w:val="center"/>
          </w:tcPr>
          <w:p>
            <w:pPr>
              <w:widowControl/>
              <w:jc w:val="center"/>
              <w:rPr>
                <w:rFonts w:hint="eastAsia" w:ascii="宋体" w:hAnsi="宋体" w:cs="宋体"/>
                <w:b/>
                <w:color w:val="auto"/>
                <w:kern w:val="0"/>
                <w:szCs w:val="21"/>
                <w:highlight w:val="none"/>
              </w:rPr>
            </w:pPr>
          </w:p>
        </w:tc>
        <w:tc>
          <w:tcPr>
            <w:tcW w:w="2224" w:type="dxa"/>
            <w:noWrap w:val="0"/>
            <w:vAlign w:val="center"/>
          </w:tcPr>
          <w:p>
            <w:pPr>
              <w:widowControl/>
              <w:jc w:val="center"/>
              <w:rPr>
                <w:rFonts w:hint="eastAsia" w:ascii="宋体" w:hAnsi="宋体" w:cs="宋体"/>
                <w:b/>
                <w:color w:val="auto"/>
                <w:kern w:val="0"/>
                <w:szCs w:val="21"/>
                <w:highlight w:val="none"/>
              </w:rPr>
            </w:pPr>
          </w:p>
        </w:tc>
      </w:tr>
    </w:tbl>
    <w:p>
      <w:pPr>
        <w:snapToGrid w:val="0"/>
        <w:spacing w:line="50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注：证明材料须同时提供以下两项,否则不计分:①中标(成交)通知书；②采购合同或协议文本。</w:t>
      </w:r>
    </w:p>
    <w:p>
      <w:pPr>
        <w:widowControl/>
        <w:spacing w:line="500" w:lineRule="exact"/>
        <w:jc w:val="center"/>
        <w:outlineLvl w:val="2"/>
        <w:rPr>
          <w:rFonts w:hint="eastAsia" w:ascii="宋体" w:hAnsi="宋体" w:cs="宋体"/>
          <w:b/>
          <w:color w:val="auto"/>
          <w:kern w:val="0"/>
          <w:szCs w:val="21"/>
          <w:highlight w:val="none"/>
        </w:rPr>
      </w:pPr>
    </w:p>
    <w:p>
      <w:pPr>
        <w:widowControl/>
        <w:spacing w:line="500" w:lineRule="exact"/>
        <w:jc w:val="center"/>
        <w:outlineLvl w:val="2"/>
        <w:rPr>
          <w:rFonts w:hint="eastAsia" w:ascii="宋体" w:hAnsi="宋体" w:cs="宋体"/>
          <w:b/>
          <w:color w:val="auto"/>
          <w:kern w:val="0"/>
          <w:szCs w:val="21"/>
          <w:highlight w:val="none"/>
        </w:rPr>
      </w:pPr>
    </w:p>
    <w:p>
      <w:pPr>
        <w:spacing w:line="500" w:lineRule="exact"/>
        <w:ind w:firstLine="3360" w:firstLineChars="1600"/>
        <w:rPr>
          <w:rFonts w:hint="eastAsia" w:ascii="宋体" w:hAnsi="宋体" w:cs="宋体"/>
          <w:color w:val="auto"/>
          <w:szCs w:val="21"/>
          <w:highlight w:val="none"/>
        </w:rPr>
      </w:pPr>
    </w:p>
    <w:p>
      <w:pPr>
        <w:spacing w:line="500" w:lineRule="exact"/>
        <w:ind w:firstLine="3360" w:firstLineChars="1600"/>
        <w:rPr>
          <w:rFonts w:hint="eastAsia" w:ascii="宋体" w:hAnsi="宋体" w:cs="宋体"/>
          <w:color w:val="auto"/>
          <w:szCs w:val="21"/>
          <w:highlight w:val="none"/>
        </w:rPr>
      </w:pPr>
    </w:p>
    <w:p>
      <w:pPr>
        <w:spacing w:line="500" w:lineRule="exact"/>
        <w:ind w:firstLine="3360" w:firstLineChars="1600"/>
        <w:rPr>
          <w:rFonts w:hint="eastAsia" w:ascii="宋体" w:hAnsi="宋体" w:cs="宋体"/>
          <w:color w:val="auto"/>
          <w:szCs w:val="21"/>
          <w:highlight w:val="none"/>
        </w:rPr>
      </w:pPr>
      <w:r>
        <w:rPr>
          <w:rFonts w:hint="eastAsia" w:ascii="宋体" w:hAnsi="宋体" w:cs="宋体"/>
          <w:color w:val="auto"/>
          <w:szCs w:val="21"/>
          <w:highlight w:val="none"/>
        </w:rPr>
        <w:t>投标人全称（电子签章）：</w:t>
      </w:r>
      <w:r>
        <w:rPr>
          <w:rFonts w:hint="eastAsia" w:ascii="宋体" w:hAnsi="宋体" w:cs="宋体"/>
          <w:color w:val="auto"/>
          <w:szCs w:val="21"/>
          <w:highlight w:val="none"/>
          <w:u w:val="single"/>
        </w:rPr>
        <w:t xml:space="preserve">                    </w:t>
      </w:r>
    </w:p>
    <w:p>
      <w:pPr>
        <w:widowControl/>
        <w:snapToGrid w:val="0"/>
        <w:spacing w:line="500" w:lineRule="exact"/>
        <w:ind w:firstLine="3360" w:firstLineChars="1600"/>
        <w:textAlignment w:val="baseline"/>
        <w:rPr>
          <w:rFonts w:hint="eastAsia" w:ascii="宋体" w:hAnsi="宋体" w:cs="宋体"/>
          <w:b/>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cs="宋体"/>
          <w:b/>
          <w:color w:val="auto"/>
          <w:kern w:val="0"/>
          <w:sz w:val="30"/>
          <w:szCs w:val="30"/>
          <w:highlight w:val="none"/>
        </w:rPr>
      </w:pPr>
    </w:p>
    <w:p>
      <w:pPr>
        <w:widowControl/>
        <w:spacing w:line="540" w:lineRule="exact"/>
        <w:jc w:val="center"/>
        <w:outlineLvl w:val="2"/>
        <w:rPr>
          <w:rFonts w:hint="eastAsia" w:ascii="宋体" w:hAnsi="宋体" w:eastAsia="宋体" w:cs="宋体"/>
          <w:b/>
          <w:color w:val="auto"/>
          <w:kern w:val="0"/>
          <w:sz w:val="30"/>
          <w:szCs w:val="30"/>
          <w:highlight w:val="none"/>
          <w:lang w:eastAsia="zh-CN"/>
        </w:rPr>
      </w:pPr>
      <w:r>
        <w:rPr>
          <w:rFonts w:hint="eastAsia" w:ascii="宋体" w:hAnsi="宋体" w:cs="宋体"/>
          <w:b/>
          <w:color w:val="auto"/>
          <w:kern w:val="0"/>
          <w:sz w:val="30"/>
          <w:szCs w:val="30"/>
          <w:highlight w:val="none"/>
          <w:lang w:eastAsia="zh-CN"/>
        </w:rPr>
        <w:t>五</w:t>
      </w:r>
      <w:r>
        <w:rPr>
          <w:rFonts w:hint="eastAsia" w:ascii="宋体" w:hAnsi="宋体" w:cs="宋体"/>
          <w:b/>
          <w:color w:val="auto"/>
          <w:kern w:val="0"/>
          <w:sz w:val="30"/>
          <w:szCs w:val="30"/>
          <w:highlight w:val="none"/>
        </w:rPr>
        <w:t>、</w:t>
      </w:r>
      <w:r>
        <w:rPr>
          <w:rFonts w:hint="eastAsia" w:ascii="宋体" w:hAnsi="宋体" w:cs="宋体"/>
          <w:b/>
          <w:color w:val="auto"/>
          <w:kern w:val="0"/>
          <w:sz w:val="30"/>
          <w:szCs w:val="30"/>
          <w:highlight w:val="none"/>
          <w:lang w:eastAsia="zh-CN"/>
        </w:rPr>
        <w:t>服务能力</w:t>
      </w:r>
    </w:p>
    <w:p>
      <w:pPr>
        <w:pStyle w:val="9"/>
        <w:rPr>
          <w:rFonts w:hint="eastAsia"/>
          <w:color w:val="auto"/>
          <w:highlight w:val="none"/>
        </w:rPr>
      </w:pPr>
    </w:p>
    <w:p>
      <w:pPr>
        <w:widowControl/>
        <w:spacing w:line="54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lang w:eastAsia="zh-CN"/>
        </w:rPr>
        <w:t>六</w:t>
      </w:r>
      <w:r>
        <w:rPr>
          <w:rFonts w:hint="eastAsia" w:ascii="宋体" w:hAnsi="宋体" w:cs="宋体"/>
          <w:b/>
          <w:color w:val="auto"/>
          <w:kern w:val="0"/>
          <w:sz w:val="30"/>
          <w:szCs w:val="30"/>
          <w:highlight w:val="none"/>
        </w:rPr>
        <w:t>、服务等级</w:t>
      </w:r>
    </w:p>
    <w:p>
      <w:pPr>
        <w:widowControl/>
        <w:spacing w:line="54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lang w:eastAsia="zh-CN"/>
        </w:rPr>
        <w:t>七</w:t>
      </w:r>
      <w:r>
        <w:rPr>
          <w:rFonts w:hint="eastAsia" w:ascii="宋体" w:hAnsi="宋体" w:cs="宋体"/>
          <w:b/>
          <w:color w:val="auto"/>
          <w:kern w:val="0"/>
          <w:sz w:val="30"/>
          <w:szCs w:val="30"/>
          <w:highlight w:val="none"/>
        </w:rPr>
        <w:t>、市场份额</w:t>
      </w:r>
    </w:p>
    <w:p>
      <w:pPr>
        <w:widowControl/>
        <w:spacing w:line="540" w:lineRule="exact"/>
        <w:outlineLvl w:val="2"/>
        <w:rPr>
          <w:rFonts w:hint="eastAsia" w:ascii="宋体" w:hAnsi="宋体" w:cs="宋体"/>
          <w:b/>
          <w:color w:val="auto"/>
          <w:kern w:val="0"/>
          <w:sz w:val="30"/>
          <w:szCs w:val="30"/>
          <w:highlight w:val="none"/>
        </w:rPr>
      </w:pPr>
    </w:p>
    <w:p>
      <w:pPr>
        <w:snapToGrid w:val="0"/>
        <w:spacing w:before="160" w:beforeLines="50" w:after="50"/>
        <w:jc w:val="center"/>
        <w:rPr>
          <w:rFonts w:hint="eastAsia" w:ascii="宋体" w:hAnsi="宋体" w:cs="宋体"/>
          <w:b/>
          <w:color w:val="auto"/>
          <w:sz w:val="30"/>
          <w:szCs w:val="30"/>
          <w:highlight w:val="none"/>
        </w:rPr>
      </w:pPr>
    </w:p>
    <w:p>
      <w:pPr>
        <w:pStyle w:val="196"/>
        <w:keepNext w:val="0"/>
        <w:jc w:val="both"/>
        <w:rPr>
          <w:rFonts w:hint="eastAsia" w:ascii="宋体" w:hAnsi="宋体" w:eastAsia="宋体" w:cs="宋体"/>
          <w:color w:val="auto"/>
          <w:highlight w:val="none"/>
        </w:rPr>
      </w:pPr>
    </w:p>
    <w:p>
      <w:pPr>
        <w:spacing w:line="440" w:lineRule="atLeast"/>
        <w:jc w:val="center"/>
        <w:outlineLvl w:val="1"/>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rPr>
        <w:br w:type="page"/>
      </w:r>
      <w:r>
        <w:rPr>
          <w:rFonts w:hint="eastAsia" w:ascii="宋体" w:hAnsi="宋体" w:cs="宋体"/>
          <w:b/>
          <w:color w:val="auto"/>
          <w:kern w:val="0"/>
          <w:sz w:val="30"/>
          <w:szCs w:val="30"/>
          <w:highlight w:val="none"/>
          <w:lang w:eastAsia="zh-CN"/>
        </w:rPr>
        <w:t>八</w:t>
      </w:r>
      <w:r>
        <w:rPr>
          <w:rFonts w:hint="eastAsia" w:ascii="宋体" w:hAnsi="宋体" w:cs="宋体"/>
          <w:b/>
          <w:color w:val="auto"/>
          <w:kern w:val="0"/>
          <w:sz w:val="30"/>
          <w:szCs w:val="30"/>
          <w:highlight w:val="none"/>
        </w:rPr>
        <w:t>、</w:t>
      </w:r>
      <w:r>
        <w:rPr>
          <w:rFonts w:hint="eastAsia" w:ascii="宋体" w:hAnsi="宋体" w:cs="宋体"/>
          <w:b/>
          <w:color w:val="auto"/>
          <w:kern w:val="0"/>
          <w:sz w:val="30"/>
          <w:szCs w:val="30"/>
          <w:highlight w:val="none"/>
          <w:lang w:eastAsia="zh-CN"/>
        </w:rPr>
        <w:t>保险服务方案</w:t>
      </w:r>
    </w:p>
    <w:p>
      <w:pPr>
        <w:spacing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40" w:lineRule="atLeast"/>
        <w:jc w:val="center"/>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eastAsia="zh-CN"/>
        </w:rPr>
        <w:t>九</w:t>
      </w:r>
      <w:r>
        <w:rPr>
          <w:rFonts w:hint="eastAsia" w:ascii="宋体" w:hAnsi="宋体" w:eastAsia="宋体" w:cs="宋体"/>
          <w:b/>
          <w:color w:val="auto"/>
          <w:kern w:val="0"/>
          <w:sz w:val="30"/>
          <w:szCs w:val="30"/>
          <w:highlight w:val="none"/>
        </w:rPr>
        <w:t>、</w:t>
      </w:r>
      <w:r>
        <w:rPr>
          <w:rFonts w:hint="eastAsia" w:ascii="宋体" w:hAnsi="宋体" w:cs="宋体"/>
          <w:b/>
          <w:color w:val="auto"/>
          <w:kern w:val="0"/>
          <w:sz w:val="30"/>
          <w:szCs w:val="30"/>
          <w:highlight w:val="none"/>
          <w:lang w:eastAsia="zh-CN"/>
        </w:rPr>
        <w:t>增值特色服务</w:t>
      </w: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outlineLvl w:val="1"/>
        <w:rPr>
          <w:rFonts w:hint="eastAsia" w:ascii="宋体" w:hAnsi="宋体" w:cs="宋体"/>
          <w:b/>
          <w:color w:val="auto"/>
          <w:kern w:val="0"/>
          <w:sz w:val="30"/>
          <w:szCs w:val="30"/>
          <w:highlight w:val="none"/>
        </w:rPr>
      </w:pPr>
    </w:p>
    <w:p>
      <w:pPr>
        <w:spacing w:before="320" w:beforeLines="100" w:line="480" w:lineRule="auto"/>
        <w:jc w:val="center"/>
        <w:outlineLvl w:val="1"/>
        <w:rPr>
          <w:rFonts w:hint="eastAsia" w:ascii="宋体" w:hAnsi="宋体" w:cs="宋体"/>
          <w:b/>
          <w:color w:val="auto"/>
          <w:kern w:val="0"/>
          <w:sz w:val="30"/>
          <w:szCs w:val="30"/>
          <w:highlight w:val="none"/>
        </w:rPr>
      </w:pPr>
    </w:p>
    <w:bookmarkEnd w:id="249"/>
    <w:p>
      <w:pPr>
        <w:spacing w:before="320" w:beforeLines="100" w:line="440" w:lineRule="atLeast"/>
        <w:jc w:val="center"/>
        <w:outlineLvl w:val="1"/>
        <w:rPr>
          <w:rFonts w:hint="eastAsia" w:ascii="宋体" w:hAnsi="宋体" w:eastAsia="宋体" w:cs="宋体"/>
          <w:b/>
          <w:color w:val="auto"/>
          <w:kern w:val="0"/>
          <w:sz w:val="30"/>
          <w:szCs w:val="30"/>
          <w:highlight w:val="none"/>
          <w:lang w:eastAsia="zh-CN"/>
        </w:rPr>
      </w:pPr>
      <w:bookmarkStart w:id="250" w:name="_Toc476230568"/>
      <w:bookmarkStart w:id="251" w:name="_Toc470269910"/>
      <w:bookmarkStart w:id="252" w:name="_Toc476230704"/>
      <w:bookmarkStart w:id="253" w:name="_Toc468954275"/>
      <w:bookmarkStart w:id="254" w:name="_Toc463851873"/>
      <w:bookmarkStart w:id="255" w:name="_Toc476230980"/>
      <w:bookmarkStart w:id="256" w:name="_Toc437331646"/>
      <w:bookmarkStart w:id="257" w:name="_Toc393201763"/>
      <w:bookmarkStart w:id="258" w:name="_Toc433882681"/>
      <w:bookmarkStart w:id="259" w:name="_Toc495666259"/>
      <w:bookmarkStart w:id="260" w:name="_Toc467572563"/>
      <w:bookmarkStart w:id="261" w:name="_Toc471819814"/>
      <w:bookmarkStart w:id="262" w:name="_Toc476229739"/>
      <w:bookmarkStart w:id="263" w:name="_Toc471819754"/>
      <w:bookmarkStart w:id="264" w:name="_Toc29119"/>
      <w:bookmarkStart w:id="265" w:name="_Toc435706613"/>
      <w:bookmarkStart w:id="266" w:name="_Toc336331393"/>
      <w:bookmarkStart w:id="267" w:name="_Toc424199703"/>
      <w:bookmarkStart w:id="268" w:name="_Toc469475496"/>
      <w:bookmarkStart w:id="269" w:name="_Toc470270026"/>
      <w:bookmarkStart w:id="270" w:name="_Toc387831536"/>
      <w:bookmarkStart w:id="271" w:name="_Toc32686"/>
      <w:bookmarkStart w:id="272" w:name="_Toc14177"/>
      <w:bookmarkStart w:id="273" w:name="_Toc392080815"/>
      <w:r>
        <w:rPr>
          <w:rFonts w:hint="eastAsia" w:ascii="宋体" w:hAnsi="宋体" w:eastAsia="宋体" w:cs="宋体"/>
          <w:b/>
          <w:color w:val="auto"/>
          <w:kern w:val="0"/>
          <w:sz w:val="30"/>
          <w:szCs w:val="30"/>
          <w:highlight w:val="none"/>
          <w:lang w:eastAsia="zh-CN"/>
        </w:rPr>
        <w:t>十、</w:t>
      </w:r>
      <w:r>
        <w:rPr>
          <w:rFonts w:hint="eastAsia" w:ascii="宋体" w:hAnsi="宋体" w:eastAsia="宋体" w:cs="宋体"/>
          <w:b/>
          <w:color w:val="auto"/>
          <w:kern w:val="0"/>
          <w:sz w:val="30"/>
          <w:szCs w:val="30"/>
          <w:highlight w:val="none"/>
          <w:lang w:eastAsia="zh-CN"/>
        </w:rPr>
        <w:t>理赔服务方案</w:t>
      </w:r>
    </w:p>
    <w:p>
      <w:pPr>
        <w:spacing w:before="320" w:beforeLines="100" w:line="440" w:lineRule="atLeast"/>
        <w:jc w:val="center"/>
        <w:outlineLvl w:val="1"/>
        <w:rPr>
          <w:rFonts w:hint="eastAsia" w:ascii="宋体" w:hAnsi="宋体" w:cs="宋体"/>
          <w:b/>
          <w:color w:val="auto"/>
          <w:sz w:val="44"/>
          <w:szCs w:val="44"/>
          <w:highlight w:val="none"/>
        </w:rPr>
      </w:pPr>
    </w:p>
    <w:p>
      <w:pPr>
        <w:pStyle w:val="5"/>
        <w:rPr>
          <w:rFonts w:hint="eastAsia"/>
          <w:color w:val="auto"/>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r>
        <w:rPr>
          <w:rFonts w:hint="eastAsia" w:ascii="宋体" w:hAnsi="宋体" w:cs="宋体"/>
          <w:b/>
          <w:color w:val="auto"/>
          <w:kern w:val="0"/>
          <w:sz w:val="30"/>
          <w:szCs w:val="30"/>
          <w:highlight w:val="none"/>
          <w:lang w:eastAsia="zh-CN"/>
        </w:rPr>
        <w:t>十一、</w:t>
      </w:r>
      <w:r>
        <w:rPr>
          <w:rFonts w:hint="eastAsia" w:ascii="宋体" w:hAnsi="宋体" w:eastAsia="宋体" w:cs="宋体"/>
          <w:b/>
          <w:color w:val="auto"/>
          <w:kern w:val="0"/>
          <w:sz w:val="30"/>
          <w:szCs w:val="30"/>
          <w:highlight w:val="none"/>
          <w:lang w:eastAsia="zh-CN"/>
        </w:rPr>
        <w:t>投标</w:t>
      </w:r>
      <w:r>
        <w:rPr>
          <w:rFonts w:hint="eastAsia" w:ascii="宋体" w:hAnsi="宋体" w:eastAsia="宋体" w:cs="宋体"/>
          <w:b/>
          <w:color w:val="auto"/>
          <w:kern w:val="0"/>
          <w:sz w:val="30"/>
          <w:szCs w:val="30"/>
          <w:highlight w:val="none"/>
          <w:lang w:val="en-US" w:eastAsia="zh-CN"/>
        </w:rPr>
        <w:t>人</w:t>
      </w:r>
      <w:r>
        <w:rPr>
          <w:rFonts w:hint="eastAsia" w:ascii="宋体" w:hAnsi="宋体" w:eastAsia="宋体" w:cs="宋体"/>
          <w:b/>
          <w:color w:val="auto"/>
          <w:kern w:val="0"/>
          <w:sz w:val="30"/>
          <w:szCs w:val="30"/>
          <w:highlight w:val="none"/>
          <w:lang w:eastAsia="zh-CN"/>
        </w:rPr>
        <w:t>需要说明的其他文件和说明</w:t>
      </w: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r>
        <w:rPr>
          <w:rFonts w:hint="eastAsia" w:ascii="宋体" w:hAnsi="宋体" w:cs="宋体"/>
          <w:b/>
          <w:color w:val="auto"/>
          <w:kern w:val="0"/>
          <w:sz w:val="30"/>
          <w:szCs w:val="30"/>
          <w:highlight w:val="none"/>
          <w:lang w:eastAsia="zh-CN"/>
        </w:rPr>
        <w:t>十二、</w:t>
      </w:r>
      <w:r>
        <w:rPr>
          <w:rFonts w:hint="eastAsia" w:ascii="宋体" w:hAnsi="宋体" w:cs="宋体"/>
          <w:b/>
          <w:color w:val="auto"/>
          <w:kern w:val="0"/>
          <w:sz w:val="30"/>
          <w:szCs w:val="30"/>
          <w:highlight w:val="none"/>
        </w:rPr>
        <w:t>其他影响投标方资信评分的各类资质证明材料</w:t>
      </w: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p>
    <w:p>
      <w:pPr>
        <w:spacing w:before="320" w:beforeLines="100" w:line="440" w:lineRule="atLeast"/>
        <w:jc w:val="center"/>
        <w:outlineLvl w:val="1"/>
        <w:rPr>
          <w:rFonts w:hint="eastAsia" w:ascii="宋体" w:hAnsi="宋体" w:cs="宋体"/>
          <w:b/>
          <w:color w:val="auto"/>
          <w:sz w:val="44"/>
          <w:szCs w:val="44"/>
          <w:highlight w:val="none"/>
        </w:rPr>
      </w:pPr>
      <w:r>
        <w:rPr>
          <w:rFonts w:hint="eastAsia" w:ascii="宋体" w:hAnsi="宋体" w:cs="宋体"/>
          <w:b/>
          <w:color w:val="auto"/>
          <w:sz w:val="44"/>
          <w:szCs w:val="44"/>
          <w:highlight w:val="none"/>
        </w:rPr>
        <w:t>报价文件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spacing w:line="440" w:lineRule="atLeast"/>
        <w:jc w:val="center"/>
        <w:rPr>
          <w:rFonts w:hint="eastAsia" w:ascii="宋体" w:hAnsi="宋体" w:cs="宋体"/>
          <w:b/>
          <w:color w:val="auto"/>
          <w:sz w:val="32"/>
          <w:szCs w:val="32"/>
          <w:highlight w:val="none"/>
        </w:rPr>
      </w:pPr>
    </w:p>
    <w:p>
      <w:pPr>
        <w:pStyle w:val="196"/>
        <w:keepNext w:val="0"/>
        <w:spacing w:line="800" w:lineRule="exact"/>
        <w:jc w:val="both"/>
        <w:rPr>
          <w:rFonts w:hint="eastAsia" w:ascii="宋体" w:hAnsi="宋体" w:eastAsia="宋体" w:cs="宋体"/>
          <w:color w:val="auto"/>
          <w:highlight w:val="none"/>
        </w:rPr>
      </w:pPr>
    </w:p>
    <w:p>
      <w:pPr>
        <w:spacing w:line="800" w:lineRule="exact"/>
        <w:jc w:val="center"/>
        <w:rPr>
          <w:rFonts w:ascii="宋体" w:hAnsi="宋体" w:cs="宋体"/>
          <w:b/>
          <w:bCs/>
          <w:color w:val="auto"/>
          <w:spacing w:val="-11"/>
          <w:sz w:val="28"/>
          <w:szCs w:val="28"/>
          <w:highlight w:val="none"/>
          <w:u w:val="single"/>
        </w:rPr>
      </w:pPr>
      <w:r>
        <w:rPr>
          <w:rFonts w:hint="eastAsia" w:ascii="宋体" w:hAnsi="宋体" w:cs="宋体"/>
          <w:b/>
          <w:bCs/>
          <w:color w:val="auto"/>
          <w:spacing w:val="-11"/>
          <w:sz w:val="28"/>
          <w:szCs w:val="28"/>
          <w:highlight w:val="none"/>
          <w:lang w:val="en-US" w:eastAsia="zh-CN"/>
        </w:rPr>
        <w:t xml:space="preserve">  </w:t>
      </w:r>
      <w:r>
        <w:rPr>
          <w:rFonts w:hint="eastAsia" w:ascii="宋体" w:hAnsi="宋体" w:cs="宋体"/>
          <w:b/>
          <w:bCs/>
          <w:color w:val="auto"/>
          <w:spacing w:val="-11"/>
          <w:sz w:val="28"/>
          <w:szCs w:val="28"/>
          <w:highlight w:val="none"/>
        </w:rPr>
        <w:t>项目名称：</w:t>
      </w:r>
      <w:r>
        <w:rPr>
          <w:rFonts w:hint="eastAsia" w:ascii="宋体" w:hAnsi="宋体" w:cs="宋体"/>
          <w:b/>
          <w:color w:val="auto"/>
          <w:spacing w:val="-11"/>
          <w:sz w:val="28"/>
          <w:szCs w:val="28"/>
          <w:highlight w:val="none"/>
          <w:u w:val="single"/>
          <w:lang w:eastAsia="zh-CN"/>
        </w:rPr>
        <w:t>开化县卫生健康局2022--2024年度医疗责任保险服务采购项目</w:t>
      </w:r>
    </w:p>
    <w:p>
      <w:pPr>
        <w:pStyle w:val="9"/>
        <w:keepNext w:val="0"/>
        <w:keepLines w:val="0"/>
        <w:rPr>
          <w:rFonts w:hint="eastAsia" w:ascii="宋体" w:hAnsi="宋体" w:eastAsia="宋体" w:cs="宋体"/>
          <w:color w:val="auto"/>
          <w:sz w:val="28"/>
          <w:szCs w:val="28"/>
          <w:highlight w:val="none"/>
          <w:u w:val="single"/>
        </w:rPr>
      </w:pPr>
    </w:p>
    <w:p>
      <w:pPr>
        <w:rPr>
          <w:rFonts w:hint="eastAsia"/>
          <w:color w:val="auto"/>
          <w:highlight w:val="none"/>
        </w:rPr>
      </w:pPr>
    </w:p>
    <w:p>
      <w:pPr>
        <w:snapToGrid w:val="0"/>
        <w:spacing w:line="80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TCCG2022-YLZRBX</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800" w:lineRule="exact"/>
        <w:ind w:firstLine="562" w:firstLineChars="200"/>
        <w:rPr>
          <w:rFonts w:hint="eastAsia" w:ascii="宋体" w:hAnsi="宋体" w:cs="宋体"/>
          <w:b/>
          <w:color w:val="auto"/>
          <w:sz w:val="28"/>
          <w:szCs w:val="28"/>
          <w:highlight w:val="none"/>
        </w:rPr>
      </w:pPr>
    </w:p>
    <w:p>
      <w:pPr>
        <w:spacing w:line="800" w:lineRule="exac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投标人名称：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（电子签章） </w:t>
      </w:r>
    </w:p>
    <w:p>
      <w:pPr>
        <w:spacing w:line="440" w:lineRule="atLeast"/>
        <w:ind w:firstLine="562" w:firstLineChars="200"/>
        <w:jc w:val="left"/>
        <w:rPr>
          <w:rFonts w:hint="eastAsia" w:ascii="宋体" w:hAnsi="宋体" w:cs="宋体"/>
          <w:b/>
          <w:color w:val="auto"/>
          <w:sz w:val="28"/>
          <w:szCs w:val="28"/>
          <w:highlight w:val="none"/>
        </w:rPr>
      </w:pPr>
    </w:p>
    <w:p>
      <w:pPr>
        <w:pStyle w:val="196"/>
        <w:keepNext w:val="0"/>
        <w:jc w:val="both"/>
        <w:rPr>
          <w:rFonts w:hint="eastAsia" w:ascii="宋体" w:hAnsi="宋体" w:eastAsia="宋体" w:cs="宋体"/>
          <w:color w:val="auto"/>
          <w:highlight w:val="none"/>
        </w:rPr>
      </w:pPr>
    </w:p>
    <w:p>
      <w:pPr>
        <w:spacing w:line="440" w:lineRule="atLeas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pPr>
        <w:spacing w:line="440" w:lineRule="atLeast"/>
        <w:jc w:val="center"/>
        <w:rPr>
          <w:rFonts w:hint="eastAsia" w:ascii="宋体" w:hAnsi="宋体" w:cs="宋体"/>
          <w:b/>
          <w:color w:val="auto"/>
          <w:sz w:val="28"/>
          <w:szCs w:val="28"/>
          <w:highlight w:val="none"/>
        </w:rPr>
      </w:pPr>
    </w:p>
    <w:p>
      <w:pPr>
        <w:spacing w:line="44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pPr>
        <w:spacing w:before="320" w:beforeLines="100" w:after="320" w:afterLines="100" w:line="440" w:lineRule="atLeas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报价文件目录</w:t>
      </w:r>
    </w:p>
    <w:p>
      <w:pPr>
        <w:pStyle w:val="25"/>
        <w:tabs>
          <w:tab w:val="right" w:leader="dot" w:pos="8730"/>
        </w:tabs>
        <w:spacing w:line="500" w:lineRule="exact"/>
        <w:ind w:left="0" w:leftChars="0"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_Toc4655 </w:instrText>
      </w:r>
      <w:r>
        <w:rPr>
          <w:rFonts w:hint="eastAsia" w:ascii="宋体" w:hAnsi="宋体" w:cs="宋体"/>
          <w:color w:val="auto"/>
          <w:szCs w:val="21"/>
          <w:highlight w:val="none"/>
        </w:rPr>
        <w:fldChar w:fldCharType="separate"/>
      </w:r>
      <w:r>
        <w:rPr>
          <w:rFonts w:hint="eastAsia" w:ascii="宋体" w:hAnsi="宋体" w:cs="宋体"/>
          <w:color w:val="auto"/>
          <w:kern w:val="0"/>
          <w:szCs w:val="21"/>
          <w:highlight w:val="none"/>
        </w:rPr>
        <w:t>一、投标函</w:t>
      </w:r>
    </w:p>
    <w:p>
      <w:pPr>
        <w:pStyle w:val="25"/>
        <w:tabs>
          <w:tab w:val="right" w:leader="dot" w:pos="8730"/>
        </w:tabs>
        <w:spacing w:line="500" w:lineRule="exact"/>
        <w:ind w:left="0" w:leftChars="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fldChar w:fldCharType="end"/>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_Toc11829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二、开标一览表</w:t>
      </w:r>
      <w:r>
        <w:rPr>
          <w:rFonts w:hint="eastAsia" w:ascii="宋体" w:hAnsi="宋体" w:eastAsia="宋体" w:cs="宋体"/>
          <w:color w:val="auto"/>
          <w:szCs w:val="21"/>
          <w:highlight w:val="none"/>
        </w:rPr>
        <w:fldChar w:fldCharType="end"/>
      </w:r>
    </w:p>
    <w:p>
      <w:pPr>
        <w:pStyle w:val="25"/>
        <w:tabs>
          <w:tab w:val="right" w:leader="dot" w:pos="8730"/>
        </w:tabs>
        <w:spacing w:line="5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_Toc14961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三、中小企业声明函</w:t>
      </w:r>
      <w:r>
        <w:rPr>
          <w:rFonts w:hint="eastAsia" w:ascii="宋体" w:hAnsi="宋体" w:eastAsia="宋体" w:cs="宋体"/>
          <w:color w:val="auto"/>
          <w:szCs w:val="21"/>
          <w:highlight w:val="none"/>
        </w:rPr>
        <w:fldChar w:fldCharType="end"/>
      </w:r>
    </w:p>
    <w:p>
      <w:pPr>
        <w:pStyle w:val="25"/>
        <w:tabs>
          <w:tab w:val="right" w:leader="dot" w:pos="8730"/>
        </w:tabs>
        <w:spacing w:line="5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四、残疾人福利性单位声明函</w:t>
      </w:r>
      <w:r>
        <w:rPr>
          <w:rFonts w:hint="eastAsia" w:ascii="宋体" w:hAnsi="宋体" w:eastAsia="宋体" w:cs="宋体"/>
          <w:color w:val="auto"/>
          <w:szCs w:val="21"/>
          <w:highlight w:val="none"/>
        </w:rPr>
        <w:fldChar w:fldCharType="end"/>
      </w:r>
    </w:p>
    <w:p>
      <w:pPr>
        <w:pStyle w:val="25"/>
        <w:tabs>
          <w:tab w:val="right" w:leader="dot" w:pos="8730"/>
        </w:tabs>
        <w:spacing w:line="500" w:lineRule="exact"/>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_Toc1096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五、省级以上监狱管理局、戒毒管理局（含新疆生产建设兵团）出具的属于监狱企业的证明文件扫描件</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若有</w:t>
      </w:r>
      <w:r>
        <w:rPr>
          <w:rFonts w:hint="eastAsia" w:ascii="宋体" w:hAnsi="宋体" w:eastAsia="宋体" w:cs="宋体"/>
          <w:color w:val="auto"/>
          <w:szCs w:val="21"/>
          <w:highlight w:val="none"/>
          <w:lang w:eastAsia="zh-CN"/>
        </w:rPr>
        <w:t>）</w:t>
      </w:r>
    </w:p>
    <w:p>
      <w:pPr>
        <w:pStyle w:val="25"/>
        <w:tabs>
          <w:tab w:val="right" w:leader="dot" w:pos="8730"/>
        </w:tabs>
        <w:spacing w:line="5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_Toc19383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六、投标人需要说明的其他文件和说明</w:t>
      </w:r>
      <w:r>
        <w:rPr>
          <w:rFonts w:hint="eastAsia" w:ascii="宋体" w:hAnsi="宋体" w:eastAsia="宋体" w:cs="宋体"/>
          <w:color w:val="auto"/>
          <w:szCs w:val="21"/>
          <w:highlight w:val="none"/>
        </w:rPr>
        <w:fldChar w:fldCharType="end"/>
      </w:r>
    </w:p>
    <w:p>
      <w:pPr>
        <w:spacing w:line="500" w:lineRule="exact"/>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 w:val="30"/>
          <w:szCs w:val="30"/>
          <w:highlight w:val="none"/>
        </w:rPr>
      </w:pPr>
    </w:p>
    <w:p>
      <w:pPr>
        <w:spacing w:before="320" w:beforeLines="100" w:after="320" w:afterLines="100" w:line="440" w:lineRule="atLeast"/>
        <w:jc w:val="center"/>
        <w:rPr>
          <w:rFonts w:hint="eastAsia" w:ascii="宋体" w:hAnsi="宋体" w:cs="宋体"/>
          <w:b/>
          <w:color w:val="auto"/>
          <w:sz w:val="30"/>
          <w:szCs w:val="30"/>
          <w:highlight w:val="none"/>
        </w:rPr>
      </w:pPr>
    </w:p>
    <w:p>
      <w:pPr>
        <w:spacing w:before="320" w:beforeLines="100" w:after="320" w:afterLines="100" w:line="440" w:lineRule="atLeast"/>
        <w:jc w:val="center"/>
        <w:rPr>
          <w:rFonts w:hint="eastAsia" w:ascii="宋体" w:hAnsi="宋体" w:cs="宋体"/>
          <w:b/>
          <w:color w:val="auto"/>
          <w:sz w:val="30"/>
          <w:szCs w:val="30"/>
          <w:highlight w:val="none"/>
        </w:rPr>
      </w:pPr>
    </w:p>
    <w:p>
      <w:pPr>
        <w:spacing w:before="320" w:beforeLines="100" w:after="320" w:afterLines="100" w:line="440" w:lineRule="atLeast"/>
        <w:jc w:val="center"/>
        <w:rPr>
          <w:rFonts w:hint="eastAsia" w:ascii="宋体" w:hAnsi="宋体" w:cs="宋体"/>
          <w:b/>
          <w:color w:val="auto"/>
          <w:sz w:val="30"/>
          <w:szCs w:val="30"/>
          <w:highlight w:val="none"/>
        </w:rPr>
      </w:pPr>
    </w:p>
    <w:p>
      <w:pPr>
        <w:spacing w:before="320" w:beforeLines="100" w:after="320" w:afterLines="100" w:line="440" w:lineRule="atLeast"/>
        <w:jc w:val="center"/>
        <w:rPr>
          <w:rFonts w:hint="eastAsia" w:ascii="宋体" w:hAnsi="宋体" w:cs="宋体"/>
          <w:b/>
          <w:color w:val="auto"/>
          <w:sz w:val="30"/>
          <w:szCs w:val="30"/>
          <w:highlight w:val="none"/>
        </w:rPr>
      </w:pPr>
    </w:p>
    <w:p>
      <w:pPr>
        <w:pStyle w:val="21"/>
        <w:ind w:firstLine="602"/>
        <w:rPr>
          <w:rFonts w:hint="eastAsia" w:ascii="宋体" w:hAnsi="宋体" w:eastAsia="宋体" w:cs="宋体"/>
          <w:b/>
          <w:bCs w:val="0"/>
          <w:color w:val="auto"/>
          <w:szCs w:val="30"/>
          <w:highlight w:val="none"/>
        </w:rPr>
      </w:pPr>
    </w:p>
    <w:p>
      <w:pPr>
        <w:pStyle w:val="21"/>
        <w:ind w:firstLine="602"/>
        <w:rPr>
          <w:rFonts w:hint="eastAsia" w:ascii="宋体" w:hAnsi="宋体" w:eastAsia="宋体" w:cs="宋体"/>
          <w:b/>
          <w:bCs w:val="0"/>
          <w:color w:val="auto"/>
          <w:szCs w:val="30"/>
          <w:highlight w:val="none"/>
        </w:rPr>
      </w:pPr>
    </w:p>
    <w:p>
      <w:pPr>
        <w:pStyle w:val="21"/>
        <w:ind w:firstLine="602"/>
        <w:rPr>
          <w:rFonts w:hint="eastAsia" w:ascii="宋体" w:hAnsi="宋体" w:eastAsia="宋体" w:cs="宋体"/>
          <w:b/>
          <w:bCs w:val="0"/>
          <w:color w:val="auto"/>
          <w:szCs w:val="30"/>
          <w:highlight w:val="none"/>
        </w:rPr>
      </w:pPr>
    </w:p>
    <w:p>
      <w:pPr>
        <w:pStyle w:val="21"/>
        <w:ind w:firstLine="602"/>
        <w:rPr>
          <w:rFonts w:hint="eastAsia" w:ascii="宋体" w:hAnsi="宋体" w:eastAsia="宋体" w:cs="宋体"/>
          <w:b/>
          <w:bCs w:val="0"/>
          <w:color w:val="auto"/>
          <w:szCs w:val="30"/>
          <w:highlight w:val="none"/>
        </w:rPr>
      </w:pPr>
    </w:p>
    <w:p>
      <w:pPr>
        <w:pStyle w:val="21"/>
        <w:ind w:firstLine="0" w:firstLineChars="0"/>
        <w:rPr>
          <w:rFonts w:hint="eastAsia" w:ascii="宋体" w:hAnsi="宋体" w:eastAsia="宋体" w:cs="宋体"/>
          <w:color w:val="auto"/>
          <w:highlight w:val="none"/>
        </w:rPr>
      </w:pPr>
    </w:p>
    <w:p>
      <w:pPr>
        <w:snapToGrid w:val="0"/>
        <w:spacing w:line="400" w:lineRule="exact"/>
        <w:jc w:val="center"/>
        <w:outlineLvl w:val="1"/>
        <w:rPr>
          <w:rFonts w:hint="eastAsia" w:ascii="宋体" w:hAnsi="宋体" w:cs="宋体"/>
          <w:b/>
          <w:color w:val="auto"/>
          <w:kern w:val="0"/>
          <w:sz w:val="30"/>
          <w:szCs w:val="30"/>
          <w:highlight w:val="none"/>
        </w:rPr>
      </w:pPr>
      <w:bookmarkStart w:id="274" w:name="_Toc335294211"/>
      <w:bookmarkStart w:id="275" w:name="_Toc470269911"/>
      <w:bookmarkStart w:id="276" w:name="_Toc336671805"/>
      <w:bookmarkStart w:id="277" w:name="_Toc437504069"/>
      <w:bookmarkStart w:id="278" w:name="_Toc393201764"/>
      <w:bookmarkStart w:id="279" w:name="_Toc471819756"/>
      <w:bookmarkStart w:id="280" w:name="_Toc437331647"/>
      <w:bookmarkStart w:id="281" w:name="_Toc335295011"/>
      <w:bookmarkStart w:id="282" w:name="_Toc463851874"/>
      <w:bookmarkStart w:id="283" w:name="_Toc387831537"/>
      <w:bookmarkStart w:id="284" w:name="_Toc28503"/>
      <w:bookmarkStart w:id="285" w:name="_Toc468954276"/>
      <w:bookmarkStart w:id="286" w:name="_Toc392080816"/>
      <w:bookmarkStart w:id="287" w:name="_Toc437509366"/>
      <w:bookmarkStart w:id="288" w:name="_Toc335298321"/>
      <w:bookmarkStart w:id="289" w:name="_Toc470270027"/>
      <w:bookmarkStart w:id="290" w:name="_Toc335297853"/>
      <w:bookmarkStart w:id="291" w:name="_Toc1893"/>
      <w:bookmarkStart w:id="292" w:name="_Toc424199704"/>
      <w:bookmarkStart w:id="293" w:name="_Toc476230981"/>
      <w:bookmarkStart w:id="294" w:name="_Toc467572564"/>
      <w:bookmarkStart w:id="295" w:name="_Toc476229740"/>
      <w:bookmarkStart w:id="296" w:name="_Toc476230705"/>
      <w:bookmarkStart w:id="297" w:name="_Toc495666260"/>
      <w:bookmarkStart w:id="298" w:name="_Toc9958"/>
      <w:bookmarkStart w:id="299" w:name="_Toc435706614"/>
      <w:bookmarkStart w:id="300" w:name="_Toc469475497"/>
      <w:bookmarkStart w:id="301" w:name="_Toc476230569"/>
      <w:bookmarkStart w:id="302" w:name="_Toc433882682"/>
      <w:bookmarkStart w:id="303" w:name="_Toc471819816"/>
      <w:bookmarkStart w:id="304" w:name="_Toc437331336"/>
    </w:p>
    <w:p>
      <w:pPr>
        <w:snapToGrid w:val="0"/>
        <w:spacing w:line="400" w:lineRule="exact"/>
        <w:jc w:val="center"/>
        <w:outlineLvl w:val="1"/>
        <w:rPr>
          <w:rFonts w:hint="eastAsia" w:ascii="宋体" w:hAnsi="宋体" w:cs="宋体"/>
          <w:b/>
          <w:color w:val="auto"/>
          <w:kern w:val="0"/>
          <w:sz w:val="30"/>
          <w:szCs w:val="30"/>
          <w:highlight w:val="none"/>
        </w:rPr>
      </w:pPr>
    </w:p>
    <w:p>
      <w:pPr>
        <w:snapToGrid w:val="0"/>
        <w:spacing w:line="400" w:lineRule="exact"/>
        <w:jc w:val="center"/>
        <w:outlineLvl w:val="1"/>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一、投  标  函</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widowControl/>
        <w:spacing w:line="500" w:lineRule="exact"/>
        <w:jc w:val="left"/>
        <w:rPr>
          <w:rFonts w:hint="eastAsia" w:ascii="宋体" w:hAnsi="宋体" w:cs="宋体"/>
          <w:color w:val="auto"/>
          <w:kern w:val="0"/>
          <w:szCs w:val="21"/>
          <w:highlight w:val="none"/>
        </w:rPr>
      </w:pPr>
      <w:bookmarkStart w:id="305" w:name="_Toc437331648"/>
      <w:bookmarkStart w:id="306" w:name="_Toc393201765"/>
      <w:bookmarkStart w:id="307" w:name="_Toc476230706"/>
      <w:bookmarkStart w:id="308" w:name="_Toc3930"/>
      <w:bookmarkStart w:id="309" w:name="_Toc476230982"/>
      <w:bookmarkStart w:id="310" w:name="_Toc28301"/>
      <w:bookmarkStart w:id="311" w:name="_Toc471819758"/>
      <w:bookmarkStart w:id="312" w:name="_Toc476230570"/>
      <w:bookmarkStart w:id="313" w:name="_Toc387831538"/>
      <w:bookmarkStart w:id="314" w:name="_Toc437331337"/>
      <w:bookmarkStart w:id="315" w:name="_Toc437509367"/>
      <w:bookmarkStart w:id="316" w:name="_Toc469475498"/>
      <w:bookmarkStart w:id="317" w:name="_Toc476229741"/>
      <w:bookmarkStart w:id="318" w:name="_Toc392080817"/>
      <w:bookmarkStart w:id="319" w:name="_Toc424199705"/>
      <w:bookmarkStart w:id="320" w:name="_Toc340736225"/>
      <w:bookmarkStart w:id="321" w:name="_Toc467572565"/>
      <w:bookmarkStart w:id="322" w:name="_Toc463851875"/>
      <w:bookmarkStart w:id="323" w:name="_Toc435706615"/>
      <w:bookmarkStart w:id="324" w:name="_Toc468954277"/>
      <w:bookmarkStart w:id="325" w:name="_Toc470270028"/>
      <w:bookmarkStart w:id="326" w:name="_Toc15876"/>
      <w:bookmarkStart w:id="327" w:name="_Toc437504070"/>
      <w:bookmarkStart w:id="328" w:name="_Toc433882683"/>
      <w:bookmarkStart w:id="329" w:name="_Toc470269912"/>
      <w:bookmarkStart w:id="330" w:name="_Toc495666261"/>
      <w:bookmarkStart w:id="331" w:name="_Toc471819818"/>
      <w:bookmarkStart w:id="332" w:name="_Toc335297854"/>
      <w:bookmarkStart w:id="333" w:name="_Toc336671806"/>
      <w:bookmarkStart w:id="334" w:name="_Toc335298322"/>
      <w:bookmarkStart w:id="335" w:name="_Toc335295012"/>
      <w:bookmarkStart w:id="336" w:name="_Toc335294212"/>
    </w:p>
    <w:p>
      <w:pPr>
        <w:widowControl/>
        <w:spacing w:line="5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根据贵方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项目的招标文件（项目编号：</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），正式授权下述签字人</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姓名</w:t>
      </w:r>
      <w:r>
        <w:rPr>
          <w:rFonts w:hint="eastAsia" w:ascii="宋体" w:hAnsi="宋体" w:cs="宋体"/>
          <w:color w:val="auto"/>
          <w:kern w:val="0"/>
          <w:szCs w:val="21"/>
          <w:highlight w:val="none"/>
        </w:rPr>
        <w:t>和</w:t>
      </w:r>
      <w:r>
        <w:rPr>
          <w:rFonts w:hint="eastAsia" w:ascii="宋体" w:hAnsi="宋体" w:cs="宋体"/>
          <w:color w:val="auto"/>
          <w:kern w:val="0"/>
          <w:szCs w:val="21"/>
          <w:highlight w:val="none"/>
          <w:u w:val="single"/>
        </w:rPr>
        <w:t>职务</w:t>
      </w:r>
      <w:r>
        <w:rPr>
          <w:rFonts w:hint="eastAsia" w:ascii="宋体" w:hAnsi="宋体" w:cs="宋体"/>
          <w:color w:val="auto"/>
          <w:kern w:val="0"/>
          <w:szCs w:val="21"/>
          <w:highlight w:val="none"/>
        </w:rPr>
        <w:t>）代表</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（投标人的名称），提交的投标文件包含以下内容：</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（1）资格证明文件；</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（2）技术商务文件；</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（3）报价文件；</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据此函，签字人兹宣布同意如下：</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1、我方向贵方提交的所有投标文件、资料都是准确的和真实的。</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2、我们承担根据招标文件的规定，完成合同的责任和义务。</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3、我们已详细阅读全部招标文件，参考资料及有关附件，我们完全理解并同意放弃对这方面有不明或误解的权利。</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4、我们同意在投标人须知规定的截止日期起遵循本投标文件，并在投标人须知规定的有效期满之前均具有约束力，并有可能中标。</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5、同意向贵方提供贵方可能要求的与本投标有关的任何数据或资料。</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与本次投标有关的正式通讯地址为：</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邮编：</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pPr>
        <w:widowControl/>
        <w:spacing w:line="50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投标人全称（电子签章）： </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pPr>
        <w:widowControl/>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日</w:t>
      </w:r>
    </w:p>
    <w:p>
      <w:pPr>
        <w:snapToGrid w:val="0"/>
        <w:spacing w:line="500" w:lineRule="exact"/>
        <w:outlineLvl w:val="1"/>
        <w:rPr>
          <w:rFonts w:hint="eastAsia" w:ascii="宋体" w:hAnsi="宋体" w:cs="宋体"/>
          <w:b/>
          <w:color w:val="auto"/>
          <w:kern w:val="0"/>
          <w:szCs w:val="21"/>
          <w:highlight w:val="none"/>
        </w:rPr>
      </w:pPr>
    </w:p>
    <w:p>
      <w:pPr>
        <w:snapToGrid w:val="0"/>
        <w:spacing w:line="400" w:lineRule="exact"/>
        <w:jc w:val="center"/>
        <w:outlineLvl w:val="1"/>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rPr>
        <w:t>二、开标一览表</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bookmarkEnd w:id="332"/>
    <w:bookmarkEnd w:id="333"/>
    <w:bookmarkEnd w:id="334"/>
    <w:bookmarkEnd w:id="335"/>
    <w:bookmarkEnd w:id="336"/>
    <w:p>
      <w:pPr>
        <w:snapToGrid w:val="0"/>
        <w:spacing w:line="540" w:lineRule="exact"/>
        <w:rPr>
          <w:rFonts w:hint="eastAsia" w:ascii="宋体" w:hAnsi="宋体" w:cs="宋体"/>
          <w:color w:val="auto"/>
          <w:szCs w:val="21"/>
          <w:highlight w:val="none"/>
        </w:rPr>
      </w:pPr>
      <w:bookmarkStart w:id="337" w:name="_Toc393201766"/>
      <w:bookmarkStart w:id="338" w:name="_Toc336671807"/>
      <w:bookmarkStart w:id="339" w:name="_Toc335294213"/>
      <w:bookmarkStart w:id="340" w:name="_Toc335295013"/>
      <w:bookmarkStart w:id="341" w:name="_Toc392080818"/>
      <w:bookmarkStart w:id="342" w:name="_Toc424199706"/>
      <w:bookmarkStart w:id="343" w:name="_Toc340736224"/>
      <w:bookmarkStart w:id="344" w:name="_Toc433882684"/>
      <w:bookmarkStart w:id="345" w:name="_Toc387831539"/>
      <w:bookmarkStart w:id="346" w:name="_Toc335298323"/>
      <w:bookmarkStart w:id="347" w:name="_Toc335297855"/>
    </w:p>
    <w:p>
      <w:pPr>
        <w:snapToGrid w:val="0"/>
        <w:spacing w:line="540" w:lineRule="exact"/>
        <w:rPr>
          <w:rFonts w:hint="eastAsia" w:ascii="宋体" w:hAnsi="宋体" w:cs="宋体"/>
          <w:color w:val="auto"/>
          <w:szCs w:val="21"/>
          <w:highlight w:val="none"/>
        </w:rPr>
      </w:pPr>
      <w:r>
        <w:rPr>
          <w:rFonts w:hint="eastAsia" w:ascii="宋体" w:hAnsi="宋体" w:cs="宋体"/>
          <w:color w:val="auto"/>
          <w:szCs w:val="21"/>
          <w:highlight w:val="none"/>
        </w:rPr>
        <w:t>项目编号：                                                 金额单位：元</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25" w:type="dxa"/>
            <w:noWrap w:val="0"/>
            <w:vAlign w:val="center"/>
          </w:tcPr>
          <w:p>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763" w:type="dxa"/>
            <w:noWrap w:val="0"/>
            <w:vAlign w:val="center"/>
          </w:tcPr>
          <w:p>
            <w:pPr>
              <w:snapToGrid w:val="0"/>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825" w:type="dxa"/>
            <w:noWrap w:val="0"/>
            <w:vAlign w:val="center"/>
          </w:tcPr>
          <w:p>
            <w:pPr>
              <w:snapToGrid w:val="0"/>
              <w:spacing w:line="360" w:lineRule="exact"/>
              <w:jc w:val="center"/>
              <w:rPr>
                <w:rFonts w:hint="eastAsia" w:ascii="宋体" w:hAnsi="宋体" w:cs="宋体"/>
                <w:color w:val="auto"/>
                <w:szCs w:val="21"/>
                <w:highlight w:val="none"/>
              </w:rPr>
            </w:pPr>
            <w:r>
              <w:rPr>
                <w:rFonts w:hint="eastAsia" w:ascii="宋体" w:hAnsi="宋体" w:eastAsia="宋体" w:cs="宋体"/>
                <w:color w:val="auto"/>
                <w:sz w:val="21"/>
                <w:szCs w:val="21"/>
              </w:rPr>
              <w:t>每年度报价</w:t>
            </w:r>
          </w:p>
        </w:tc>
        <w:tc>
          <w:tcPr>
            <w:tcW w:w="7763" w:type="dxa"/>
            <w:noWrap w:val="0"/>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大写：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（小写：</w:t>
            </w:r>
            <w:r>
              <w:rPr>
                <w:rFonts w:hint="default" w:ascii="Arial" w:hAnsi="Arial" w:cs="Arial"/>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825" w:type="dxa"/>
            <w:noWrap w:val="0"/>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rPr>
              <w:t>投标总价=每年度报价*</w:t>
            </w:r>
            <w:r>
              <w:rPr>
                <w:rFonts w:hint="eastAsia" w:ascii="宋体" w:eastAsia="宋体" w:cs="宋体"/>
                <w:color w:val="auto"/>
                <w:sz w:val="21"/>
                <w:szCs w:val="21"/>
                <w:lang w:val="en-US" w:eastAsia="zh-CN"/>
              </w:rPr>
              <w:t>3</w:t>
            </w:r>
          </w:p>
        </w:tc>
        <w:tc>
          <w:tcPr>
            <w:tcW w:w="7763" w:type="dxa"/>
            <w:noWrap w:val="0"/>
            <w:vAlign w:val="center"/>
          </w:tcPr>
          <w:p>
            <w:pPr>
              <w:wordWrap w:val="0"/>
              <w:overflowPunct w:val="0"/>
              <w:autoSpaceDE w:val="0"/>
              <w:autoSpaceDN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大写：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（小写：</w:t>
            </w:r>
            <w:r>
              <w:rPr>
                <w:rFonts w:hint="default" w:ascii="Arial" w:hAnsi="Arial" w:cs="Arial"/>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tc>
      </w:tr>
    </w:tbl>
    <w:p>
      <w:pPr>
        <w:snapToGrid w:val="0"/>
        <w:spacing w:before="50" w:after="50"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注: </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1、报价一经涂改，应在涂改处加盖单位公章或者由法定代表人或授权委托人签字或盖章，否则其投标作无效标处理。</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报价应包括完成该项目所涉及的全部费用，应包括</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为完成</w:t>
      </w:r>
      <w:r>
        <w:rPr>
          <w:rFonts w:hint="eastAsia" w:ascii="宋体" w:hAnsi="宋体" w:cs="宋体"/>
          <w:color w:val="auto"/>
          <w:szCs w:val="21"/>
          <w:highlight w:val="none"/>
          <w:lang w:eastAsia="zh-CN"/>
        </w:rPr>
        <w:t>开化县卫生健康局2022--2024年度医疗责任保险服务采购项目</w:t>
      </w:r>
      <w:r>
        <w:rPr>
          <w:rFonts w:hint="eastAsia" w:ascii="宋体" w:hAnsi="宋体" w:cs="宋体"/>
          <w:color w:val="auto"/>
          <w:szCs w:val="21"/>
          <w:highlight w:val="none"/>
        </w:rPr>
        <w:t>需实际发生的各类成本费用。</w:t>
      </w:r>
    </w:p>
    <w:p>
      <w:pPr>
        <w:snapToGrid w:val="0"/>
        <w:spacing w:line="400" w:lineRule="exact"/>
        <w:jc w:val="center"/>
        <w:outlineLvl w:val="1"/>
        <w:rPr>
          <w:rFonts w:hint="eastAsia" w:ascii="宋体" w:hAnsi="宋体" w:cs="宋体"/>
          <w:b/>
          <w:color w:val="auto"/>
          <w:kern w:val="0"/>
          <w:szCs w:val="21"/>
          <w:highlight w:val="none"/>
        </w:rPr>
      </w:pPr>
    </w:p>
    <w:p>
      <w:pPr>
        <w:pStyle w:val="5"/>
        <w:keepNext w:val="0"/>
        <w:keepLines w:val="0"/>
        <w:rPr>
          <w:rFonts w:hint="eastAsia" w:ascii="宋体" w:hAnsi="宋体" w:cs="宋体"/>
          <w:b w:val="0"/>
          <w:color w:val="auto"/>
          <w:kern w:val="0"/>
          <w:szCs w:val="21"/>
          <w:highlight w:val="none"/>
        </w:rPr>
      </w:pPr>
    </w:p>
    <w:p>
      <w:pPr>
        <w:rPr>
          <w:rFonts w:hint="eastAsia" w:ascii="宋体" w:hAnsi="宋体" w:cs="宋体"/>
          <w:b/>
          <w:color w:val="auto"/>
          <w:kern w:val="0"/>
          <w:szCs w:val="21"/>
          <w:highlight w:val="none"/>
        </w:rPr>
      </w:pPr>
    </w:p>
    <w:p>
      <w:pPr>
        <w:pStyle w:val="5"/>
        <w:keepNext w:val="0"/>
        <w:keepLines w:val="0"/>
        <w:rPr>
          <w:rFonts w:hint="eastAsia" w:ascii="宋体" w:hAnsi="宋体" w:cs="宋体"/>
          <w:b w:val="0"/>
          <w:color w:val="auto"/>
          <w:kern w:val="0"/>
          <w:szCs w:val="21"/>
          <w:highlight w:val="none"/>
        </w:rPr>
      </w:pPr>
    </w:p>
    <w:p>
      <w:pPr>
        <w:rPr>
          <w:rFonts w:hint="eastAsia"/>
          <w:color w:val="auto"/>
          <w:highlight w:val="none"/>
        </w:rPr>
      </w:pPr>
    </w:p>
    <w:p>
      <w:pPr>
        <w:spacing w:line="500" w:lineRule="exact"/>
        <w:ind w:firstLine="3360" w:firstLineChars="1600"/>
        <w:rPr>
          <w:rFonts w:hint="eastAsia" w:ascii="宋体" w:hAnsi="宋体" w:cs="宋体"/>
          <w:color w:val="auto"/>
          <w:szCs w:val="21"/>
          <w:highlight w:val="none"/>
        </w:rPr>
      </w:pPr>
      <w:bookmarkStart w:id="348" w:name="_Toc470269913"/>
      <w:bookmarkStart w:id="349" w:name="_Toc437509368"/>
      <w:bookmarkStart w:id="350" w:name="_Toc476230707"/>
      <w:bookmarkStart w:id="351" w:name="_Toc463851876"/>
      <w:bookmarkStart w:id="352" w:name="_Toc17506"/>
      <w:bookmarkStart w:id="353" w:name="_Toc470270029"/>
      <w:bookmarkStart w:id="354" w:name="_Toc467572566"/>
      <w:bookmarkStart w:id="355" w:name="_Toc476229742"/>
      <w:bookmarkStart w:id="356" w:name="_Toc469475499"/>
      <w:bookmarkStart w:id="357" w:name="_Toc437504071"/>
      <w:bookmarkStart w:id="358" w:name="_Toc471819820"/>
      <w:bookmarkStart w:id="359" w:name="_Toc476230571"/>
      <w:bookmarkStart w:id="360" w:name="_Toc437331649"/>
      <w:bookmarkStart w:id="361" w:name="_Toc31436"/>
      <w:bookmarkStart w:id="362" w:name="_Toc435706616"/>
      <w:bookmarkStart w:id="363" w:name="_Toc476230983"/>
      <w:bookmarkStart w:id="364" w:name="_Toc27300"/>
      <w:bookmarkStart w:id="365" w:name="_Toc471819760"/>
      <w:bookmarkStart w:id="366" w:name="_Toc437331338"/>
      <w:bookmarkStart w:id="367" w:name="_Toc468954278"/>
      <w:bookmarkStart w:id="368" w:name="_Toc495666262"/>
      <w:r>
        <w:rPr>
          <w:rFonts w:hint="eastAsia" w:ascii="宋体" w:hAnsi="宋体" w:cs="宋体"/>
          <w:color w:val="auto"/>
          <w:szCs w:val="21"/>
          <w:highlight w:val="none"/>
        </w:rPr>
        <w:t>投标人全称（电子签章）：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idowControl/>
        <w:snapToGrid w:val="0"/>
        <w:spacing w:line="500" w:lineRule="exact"/>
        <w:ind w:firstLine="3360" w:firstLineChars="1600"/>
        <w:textAlignment w:val="baseline"/>
        <w:rPr>
          <w:rFonts w:hint="eastAsia" w:ascii="宋体" w:hAnsi="宋体" w:cs="宋体"/>
          <w:b/>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widowControl/>
        <w:snapToGrid w:val="0"/>
        <w:spacing w:line="500" w:lineRule="exact"/>
        <w:jc w:val="center"/>
        <w:textAlignment w:val="baseline"/>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495666263"/>
      <w:bookmarkStart w:id="370" w:name="_Toc11711"/>
      <w:bookmarkStart w:id="371" w:name="_Toc20076"/>
      <w:bookmarkStart w:id="372" w:name="_Toc3195"/>
      <w:bookmarkStart w:id="373" w:name="_Toc435706618"/>
      <w:bookmarkStart w:id="374" w:name="_Toc469475501"/>
      <w:bookmarkStart w:id="375" w:name="_Toc476230708"/>
      <w:bookmarkStart w:id="376" w:name="_Toc433882686"/>
      <w:bookmarkStart w:id="377" w:name="_Toc471819821"/>
      <w:bookmarkStart w:id="378" w:name="_Toc470270031"/>
      <w:bookmarkStart w:id="379" w:name="_Toc470269915"/>
      <w:bookmarkStart w:id="380" w:name="_Toc468954280"/>
      <w:bookmarkStart w:id="381" w:name="_Toc476230984"/>
      <w:bookmarkStart w:id="382" w:name="_Toc467572568"/>
      <w:bookmarkStart w:id="383" w:name="_Toc476229743"/>
      <w:bookmarkStart w:id="384" w:name="_Toc437331651"/>
      <w:bookmarkStart w:id="385" w:name="_Toc476230572"/>
      <w:bookmarkStart w:id="386" w:name="_Toc424199708"/>
      <w:bookmarkStart w:id="387" w:name="_Toc463851878"/>
      <w:bookmarkStart w:id="388" w:name="_Toc471819761"/>
      <w:r>
        <w:rPr>
          <w:rFonts w:hint="eastAsia" w:ascii="宋体" w:hAnsi="宋体" w:cs="宋体"/>
          <w:b/>
          <w:color w:val="auto"/>
          <w:kern w:val="0"/>
          <w:sz w:val="30"/>
          <w:szCs w:val="30"/>
          <w:highlight w:val="none"/>
        </w:rPr>
        <w:t>三、中小企业声明函</w:t>
      </w:r>
      <w:bookmarkEnd w:id="369"/>
      <w:bookmarkEnd w:id="370"/>
      <w:bookmarkEnd w:id="371"/>
      <w:bookmarkEnd w:id="372"/>
    </w:p>
    <w:p>
      <w:pPr>
        <w:widowControl/>
        <w:spacing w:line="440" w:lineRule="exact"/>
        <w:ind w:firstLine="480" w:firstLineChars="200"/>
        <w:jc w:val="left"/>
        <w:rPr>
          <w:rFonts w:hint="eastAsia" w:ascii="宋体" w:hAnsi="宋体" w:cs="宋体"/>
          <w:color w:val="auto"/>
          <w:kern w:val="0"/>
          <w:sz w:val="24"/>
          <w:highlight w:val="none"/>
        </w:rPr>
      </w:pPr>
    </w:p>
    <w:p>
      <w:pPr>
        <w:spacing w:line="500" w:lineRule="exact"/>
        <w:ind w:firstLine="420" w:firstLineChars="200"/>
        <w:rPr>
          <w:rFonts w:hint="eastAsia" w:ascii="宋体" w:hAnsi="宋体" w:cs="宋体"/>
          <w:color w:val="auto"/>
          <w:szCs w:val="21"/>
          <w:highlight w:val="none"/>
        </w:rPr>
      </w:pPr>
      <w:bookmarkStart w:id="389" w:name="_Toc495666264"/>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行业；承接企业为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万元，属于（□中型企业、□小型企业、□微型企业）； </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500" w:lineRule="exact"/>
        <w:rPr>
          <w:rFonts w:hint="eastAsia" w:ascii="宋体" w:hAnsi="宋体" w:cs="宋体"/>
          <w:color w:val="auto"/>
          <w:szCs w:val="21"/>
          <w:highlight w:val="none"/>
        </w:rPr>
      </w:pPr>
    </w:p>
    <w:p>
      <w:pPr>
        <w:spacing w:line="500" w:lineRule="exact"/>
        <w:ind w:firstLine="3360" w:firstLineChars="1600"/>
        <w:rPr>
          <w:rFonts w:hint="eastAsia" w:ascii="宋体" w:hAnsi="宋体" w:cs="宋体"/>
          <w:color w:val="auto"/>
          <w:szCs w:val="21"/>
          <w:highlight w:val="none"/>
        </w:rPr>
      </w:pPr>
      <w:r>
        <w:rPr>
          <w:rFonts w:hint="eastAsia" w:ascii="宋体" w:hAnsi="宋体" w:cs="宋体"/>
          <w:color w:val="auto"/>
          <w:szCs w:val="21"/>
          <w:highlight w:val="none"/>
        </w:rPr>
        <w:t>投标人全称（电子签章）：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500" w:lineRule="exact"/>
        <w:ind w:firstLine="3360" w:firstLineChars="1600"/>
        <w:jc w:val="left"/>
        <w:rPr>
          <w:rFonts w:hint="eastAsia" w:ascii="宋体" w:hAnsi="宋体" w:cs="宋体"/>
          <w:b/>
          <w:color w:val="auto"/>
          <w:spacing w:val="6"/>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widowControl/>
        <w:spacing w:line="500" w:lineRule="exact"/>
        <w:ind w:firstLine="420" w:firstLineChars="200"/>
        <w:jc w:val="left"/>
        <w:rPr>
          <w:rFonts w:hint="eastAsia" w:ascii="宋体" w:hAnsi="宋体"/>
          <w:color w:val="auto"/>
          <w:kern w:val="0"/>
          <w:highlight w:val="none"/>
        </w:rPr>
      </w:pPr>
    </w:p>
    <w:p>
      <w:pPr>
        <w:widowControl/>
        <w:spacing w:line="500" w:lineRule="exact"/>
        <w:ind w:firstLine="420" w:firstLineChars="200"/>
        <w:jc w:val="left"/>
        <w:rPr>
          <w:rFonts w:hint="eastAsia" w:ascii="宋体" w:hAnsi="宋体"/>
          <w:color w:val="auto"/>
          <w:kern w:val="0"/>
          <w:highlight w:val="none"/>
        </w:rPr>
      </w:pPr>
    </w:p>
    <w:p>
      <w:pPr>
        <w:widowControl/>
        <w:spacing w:line="500" w:lineRule="exact"/>
        <w:ind w:firstLine="420" w:firstLineChars="200"/>
        <w:jc w:val="left"/>
        <w:rPr>
          <w:rFonts w:hint="eastAsia" w:ascii="宋体" w:hAnsi="宋体"/>
          <w:color w:val="auto"/>
          <w:kern w:val="0"/>
          <w:highlight w:val="none"/>
        </w:rPr>
      </w:pPr>
    </w:p>
    <w:p>
      <w:pPr>
        <w:spacing w:beforeLines="0" w:afterLines="0" w:line="360" w:lineRule="auto"/>
        <w:ind w:right="420" w:firstLine="422" w:firstLineChars="200"/>
        <w:rPr>
          <w:rFonts w:hint="default" w:ascii="宋体" w:hAnsi="宋体" w:eastAsia="宋体" w:cs="宋体"/>
          <w:b/>
          <w:color w:val="auto"/>
          <w:kern w:val="0"/>
          <w:sz w:val="21"/>
          <w:szCs w:val="21"/>
          <w:highlight w:val="none"/>
        </w:rPr>
      </w:pPr>
      <w:r>
        <w:rPr>
          <w:rFonts w:hint="default" w:ascii="宋体" w:hAnsi="宋体" w:eastAsia="宋体" w:cs="宋体"/>
          <w:b/>
          <w:color w:val="auto"/>
          <w:kern w:val="0"/>
          <w:sz w:val="21"/>
          <w:szCs w:val="21"/>
          <w:highlight w:val="none"/>
          <w:lang w:bidi="ar"/>
        </w:rPr>
        <w:t>注：</w:t>
      </w:r>
      <w:r>
        <w:rPr>
          <w:rFonts w:hint="eastAsia" w:ascii="宋体" w:hAnsi="宋体" w:eastAsia="宋体" w:cs="宋体"/>
          <w:b/>
          <w:color w:val="auto"/>
          <w:kern w:val="0"/>
          <w:sz w:val="21"/>
          <w:szCs w:val="21"/>
          <w:highlight w:val="none"/>
          <w:lang w:bidi="ar"/>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color w:val="auto"/>
          <w:sz w:val="24"/>
          <w:szCs w:val="24"/>
          <w:highlight w:val="none"/>
        </w:rPr>
        <w:t>。</w:t>
      </w:r>
    </w:p>
    <w:p>
      <w:pPr>
        <w:widowControl/>
        <w:spacing w:line="500" w:lineRule="exact"/>
        <w:jc w:val="left"/>
        <w:rPr>
          <w:rFonts w:hint="eastAsia" w:ascii="宋体" w:hAnsi="宋体"/>
          <w:color w:val="auto"/>
          <w:kern w:val="0"/>
          <w:highlight w:val="none"/>
        </w:rPr>
      </w:pPr>
    </w:p>
    <w:p>
      <w:pPr>
        <w:pStyle w:val="21"/>
        <w:rPr>
          <w:rFonts w:hint="eastAsia"/>
        </w:rPr>
      </w:pPr>
    </w:p>
    <w:p>
      <w:pPr>
        <w:widowControl/>
        <w:spacing w:line="540" w:lineRule="exact"/>
        <w:jc w:val="center"/>
        <w:outlineLvl w:val="2"/>
        <w:rPr>
          <w:rFonts w:hint="eastAsia" w:ascii="宋体" w:hAnsi="宋体" w:cs="宋体"/>
          <w:b/>
          <w:color w:val="auto"/>
          <w:kern w:val="0"/>
          <w:sz w:val="30"/>
          <w:szCs w:val="30"/>
          <w:highlight w:val="none"/>
        </w:rPr>
      </w:pPr>
    </w:p>
    <w:bookmarkEnd w:id="389"/>
    <w:p>
      <w:pPr>
        <w:autoSpaceDE w:val="0"/>
        <w:autoSpaceDN w:val="0"/>
        <w:adjustRightInd w:val="0"/>
        <w:spacing w:line="50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四、残疾人福利性单位声明函</w:t>
      </w:r>
    </w:p>
    <w:p>
      <w:pPr>
        <w:spacing w:line="500" w:lineRule="exact"/>
        <w:rPr>
          <w:rFonts w:hint="eastAsia" w:ascii="宋体" w:hAnsi="宋体" w:cs="宋体"/>
          <w:b/>
          <w:color w:val="auto"/>
          <w:spacing w:val="6"/>
          <w:szCs w:val="21"/>
          <w:highlight w:val="none"/>
        </w:rPr>
      </w:pPr>
    </w:p>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napToGrid w:val="0"/>
        <w:spacing w:line="500" w:lineRule="exact"/>
        <w:ind w:firstLine="420" w:firstLineChars="200"/>
        <w:rPr>
          <w:rFonts w:hint="eastAsia" w:ascii="宋体" w:hAnsi="宋体" w:cs="宋体"/>
          <w:color w:val="auto"/>
          <w:szCs w:val="21"/>
          <w:highlight w:val="none"/>
        </w:rPr>
      </w:pPr>
    </w:p>
    <w:p>
      <w:pPr>
        <w:snapToGrid w:val="0"/>
        <w:spacing w:line="500" w:lineRule="exact"/>
        <w:ind w:firstLine="420" w:firstLineChars="200"/>
        <w:rPr>
          <w:rFonts w:hint="eastAsia" w:ascii="宋体" w:hAnsi="宋体" w:cs="宋体"/>
          <w:color w:val="auto"/>
          <w:szCs w:val="21"/>
          <w:highlight w:val="none"/>
        </w:rPr>
      </w:pPr>
    </w:p>
    <w:p>
      <w:pPr>
        <w:spacing w:line="500" w:lineRule="exact"/>
        <w:ind w:firstLine="3360" w:firstLineChars="1600"/>
        <w:rPr>
          <w:rFonts w:hint="eastAsia" w:ascii="宋体" w:hAnsi="宋体" w:cs="宋体"/>
          <w:color w:val="auto"/>
          <w:szCs w:val="21"/>
          <w:highlight w:val="none"/>
        </w:rPr>
      </w:pPr>
      <w:r>
        <w:rPr>
          <w:rFonts w:hint="eastAsia" w:ascii="宋体" w:hAnsi="宋体" w:cs="宋体"/>
          <w:color w:val="auto"/>
          <w:szCs w:val="21"/>
          <w:highlight w:val="none"/>
        </w:rPr>
        <w:t>投标人全称（电子签章）：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idowControl/>
        <w:snapToGrid w:val="0"/>
        <w:spacing w:line="500" w:lineRule="exact"/>
        <w:ind w:firstLine="3360" w:firstLineChars="1600"/>
        <w:textAlignment w:val="baseline"/>
        <w:rPr>
          <w:rFonts w:hint="eastAsia" w:ascii="宋体" w:hAnsi="宋体" w:cs="宋体"/>
          <w:b/>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snapToGrid w:val="0"/>
        <w:spacing w:line="500" w:lineRule="exact"/>
        <w:jc w:val="center"/>
        <w:outlineLvl w:val="2"/>
        <w:rPr>
          <w:rFonts w:hint="eastAsia" w:ascii="宋体" w:hAnsi="宋体" w:cs="宋体"/>
          <w:b/>
          <w:color w:val="auto"/>
          <w:sz w:val="24"/>
          <w:highlight w:val="none"/>
        </w:rPr>
      </w:pPr>
    </w:p>
    <w:p>
      <w:pPr>
        <w:snapToGrid w:val="0"/>
        <w:spacing w:line="500" w:lineRule="exact"/>
        <w:jc w:val="center"/>
        <w:outlineLvl w:val="2"/>
        <w:rPr>
          <w:rFonts w:hint="eastAsia" w:ascii="宋体" w:hAnsi="宋体" w:cs="宋体"/>
          <w:b/>
          <w:color w:val="auto"/>
          <w:sz w:val="24"/>
          <w:highlight w:val="none"/>
        </w:rPr>
      </w:pPr>
    </w:p>
    <w:p>
      <w:pPr>
        <w:snapToGrid w:val="0"/>
        <w:spacing w:line="500" w:lineRule="exact"/>
        <w:jc w:val="center"/>
        <w:outlineLvl w:val="2"/>
        <w:rPr>
          <w:rFonts w:hint="eastAsia" w:ascii="宋体" w:hAnsi="宋体" w:eastAsia="宋体" w:cs="宋体"/>
          <w:b/>
          <w:color w:val="auto"/>
          <w:kern w:val="0"/>
          <w:sz w:val="30"/>
          <w:szCs w:val="30"/>
          <w:highlight w:val="none"/>
          <w:lang w:eastAsia="zh-CN"/>
        </w:rPr>
      </w:pPr>
      <w:r>
        <w:rPr>
          <w:rFonts w:hint="eastAsia" w:ascii="宋体" w:hAnsi="宋体" w:cs="宋体"/>
          <w:b/>
          <w:color w:val="auto"/>
          <w:sz w:val="24"/>
          <w:highlight w:val="none"/>
        </w:rPr>
        <w:br w:type="page"/>
      </w:r>
      <w:r>
        <w:rPr>
          <w:rFonts w:hint="eastAsia" w:ascii="宋体" w:hAnsi="宋体" w:cs="宋体"/>
          <w:b/>
          <w:color w:val="auto"/>
          <w:kern w:val="0"/>
          <w:sz w:val="30"/>
          <w:szCs w:val="30"/>
          <w:highlight w:val="none"/>
        </w:rPr>
        <w:t>五、省级以上监狱管理局、戒毒管理局（含新疆生产建设兵团）出具的属于监狱企业的证明文件扫描件</w:t>
      </w:r>
      <w:r>
        <w:rPr>
          <w:rFonts w:hint="eastAsia" w:ascii="宋体" w:hAnsi="宋体" w:cs="宋体"/>
          <w:b/>
          <w:color w:val="auto"/>
          <w:kern w:val="0"/>
          <w:sz w:val="30"/>
          <w:szCs w:val="30"/>
          <w:highlight w:val="none"/>
          <w:lang w:eastAsia="zh-CN"/>
        </w:rPr>
        <w:t>（</w:t>
      </w:r>
      <w:r>
        <w:rPr>
          <w:rFonts w:hint="eastAsia" w:ascii="宋体" w:hAnsi="宋体" w:cs="宋体"/>
          <w:b/>
          <w:color w:val="auto"/>
          <w:kern w:val="0"/>
          <w:sz w:val="30"/>
          <w:szCs w:val="30"/>
          <w:highlight w:val="none"/>
          <w:lang w:val="en-US" w:eastAsia="zh-CN"/>
        </w:rPr>
        <w:t>若有</w:t>
      </w:r>
      <w:r>
        <w:rPr>
          <w:rFonts w:hint="eastAsia" w:ascii="宋体" w:hAnsi="宋体" w:cs="宋体"/>
          <w:b/>
          <w:color w:val="auto"/>
          <w:kern w:val="0"/>
          <w:sz w:val="30"/>
          <w:szCs w:val="30"/>
          <w:highlight w:val="none"/>
          <w:lang w:eastAsia="zh-CN"/>
        </w:rPr>
        <w:t>）</w:t>
      </w:r>
    </w:p>
    <w:p>
      <w:pPr>
        <w:spacing w:line="500" w:lineRule="exact"/>
        <w:jc w:val="center"/>
        <w:outlineLvl w:val="1"/>
        <w:rPr>
          <w:rFonts w:hint="eastAsia" w:ascii="宋体" w:hAnsi="宋体" w:cs="宋体"/>
          <w:b/>
          <w:color w:val="auto"/>
          <w:kern w:val="0"/>
          <w:szCs w:val="21"/>
          <w:highlight w:val="none"/>
        </w:rPr>
      </w:pPr>
    </w:p>
    <w:p>
      <w:pPr>
        <w:spacing w:line="500" w:lineRule="exact"/>
        <w:jc w:val="center"/>
        <w:outlineLvl w:val="1"/>
        <w:rPr>
          <w:rFonts w:hint="eastAsia" w:ascii="宋体" w:hAnsi="宋体" w:cs="宋体"/>
          <w:b/>
          <w:color w:val="auto"/>
          <w:kern w:val="0"/>
          <w:szCs w:val="21"/>
          <w:highlight w:val="none"/>
        </w:rPr>
      </w:pPr>
    </w:p>
    <w:p>
      <w:pPr>
        <w:spacing w:line="500" w:lineRule="exact"/>
        <w:jc w:val="center"/>
        <w:outlineLvl w:val="1"/>
        <w:rPr>
          <w:rFonts w:hint="eastAsia" w:ascii="宋体" w:hAnsi="宋体" w:cs="宋体"/>
          <w:b/>
          <w:color w:val="auto"/>
          <w:kern w:val="0"/>
          <w:szCs w:val="21"/>
          <w:highlight w:val="none"/>
        </w:rPr>
      </w:pPr>
    </w:p>
    <w:p>
      <w:pPr>
        <w:spacing w:line="500" w:lineRule="exact"/>
        <w:jc w:val="center"/>
        <w:outlineLvl w:val="1"/>
        <w:rPr>
          <w:rFonts w:hint="eastAsia" w:ascii="宋体" w:hAnsi="宋体" w:cs="宋体"/>
          <w:b/>
          <w:color w:val="auto"/>
          <w:kern w:val="0"/>
          <w:sz w:val="30"/>
          <w:szCs w:val="30"/>
          <w:highlight w:val="none"/>
        </w:rPr>
      </w:pPr>
    </w:p>
    <w:p>
      <w:pPr>
        <w:spacing w:line="500" w:lineRule="exact"/>
        <w:jc w:val="center"/>
        <w:outlineLvl w:val="1"/>
        <w:rPr>
          <w:rFonts w:hint="eastAsia" w:ascii="宋体" w:hAnsi="宋体" w:cs="宋体"/>
          <w:b/>
          <w:color w:val="auto"/>
          <w:kern w:val="0"/>
          <w:sz w:val="30"/>
          <w:szCs w:val="30"/>
          <w:highlight w:val="none"/>
        </w:rPr>
      </w:pPr>
    </w:p>
    <w:p>
      <w:pPr>
        <w:spacing w:line="500" w:lineRule="exact"/>
        <w:jc w:val="center"/>
        <w:outlineLvl w:val="1"/>
        <w:rPr>
          <w:rFonts w:hint="eastAsia" w:ascii="宋体" w:hAnsi="宋体" w:cs="宋体"/>
          <w:b/>
          <w:color w:val="auto"/>
          <w:kern w:val="0"/>
          <w:sz w:val="30"/>
          <w:szCs w:val="30"/>
          <w:highlight w:val="none"/>
        </w:rPr>
      </w:pPr>
    </w:p>
    <w:p>
      <w:pPr>
        <w:spacing w:line="500" w:lineRule="exact"/>
        <w:jc w:val="center"/>
        <w:outlineLvl w:val="1"/>
        <w:rPr>
          <w:rFonts w:hint="eastAsia" w:ascii="宋体" w:hAnsi="宋体" w:cs="宋体"/>
          <w:b/>
          <w:color w:val="auto"/>
          <w:kern w:val="0"/>
          <w:sz w:val="30"/>
          <w:szCs w:val="30"/>
          <w:highlight w:val="none"/>
        </w:rPr>
      </w:pPr>
    </w:p>
    <w:p>
      <w:pPr>
        <w:spacing w:line="500" w:lineRule="exact"/>
        <w:jc w:val="center"/>
        <w:outlineLvl w:val="1"/>
        <w:rPr>
          <w:rFonts w:hint="eastAsia" w:ascii="宋体" w:hAnsi="宋体" w:cs="宋体"/>
          <w:b/>
          <w:color w:val="auto"/>
          <w:kern w:val="0"/>
          <w:sz w:val="30"/>
          <w:szCs w:val="30"/>
          <w:highlight w:val="none"/>
        </w:rPr>
      </w:pPr>
    </w:p>
    <w:p>
      <w:pPr>
        <w:snapToGrid w:val="0"/>
        <w:spacing w:before="50" w:after="50"/>
        <w:ind w:firstLine="602" w:firstLineChars="200"/>
        <w:jc w:val="center"/>
        <w:rPr>
          <w:rFonts w:hint="eastAsia" w:ascii="宋体" w:hAnsi="宋体" w:cs="宋体"/>
          <w:b/>
          <w:color w:val="auto"/>
          <w:kern w:val="0"/>
          <w:sz w:val="30"/>
          <w:szCs w:val="30"/>
          <w:highlight w:val="none"/>
        </w:rPr>
      </w:pPr>
    </w:p>
    <w:p>
      <w:pPr>
        <w:snapToGrid w:val="0"/>
        <w:spacing w:before="50" w:after="50"/>
        <w:ind w:firstLine="602" w:firstLineChars="200"/>
        <w:jc w:val="center"/>
        <w:rPr>
          <w:rFonts w:hint="eastAsia" w:ascii="宋体" w:hAnsi="宋体" w:cs="宋体"/>
          <w:b/>
          <w:color w:val="auto"/>
          <w:kern w:val="0"/>
          <w:sz w:val="30"/>
          <w:szCs w:val="30"/>
          <w:highlight w:val="none"/>
        </w:rPr>
      </w:pPr>
    </w:p>
    <w:p>
      <w:pPr>
        <w:snapToGrid w:val="0"/>
        <w:spacing w:before="50" w:after="50"/>
        <w:ind w:firstLine="602" w:firstLineChars="200"/>
        <w:jc w:val="center"/>
        <w:rPr>
          <w:rFonts w:hint="eastAsia" w:ascii="宋体" w:hAnsi="宋体" w:cs="宋体"/>
          <w:b/>
          <w:color w:val="auto"/>
          <w:kern w:val="0"/>
          <w:sz w:val="30"/>
          <w:szCs w:val="30"/>
          <w:highlight w:val="none"/>
        </w:rPr>
      </w:pPr>
    </w:p>
    <w:p>
      <w:pPr>
        <w:snapToGrid w:val="0"/>
        <w:spacing w:before="50" w:after="50"/>
        <w:ind w:firstLine="602" w:firstLineChars="200"/>
        <w:jc w:val="center"/>
        <w:rPr>
          <w:rFonts w:hint="eastAsia" w:ascii="宋体" w:hAnsi="宋体" w:cs="宋体"/>
          <w:b/>
          <w:color w:val="auto"/>
          <w:kern w:val="0"/>
          <w:sz w:val="30"/>
          <w:szCs w:val="30"/>
          <w:highlight w:val="none"/>
        </w:rPr>
      </w:pPr>
    </w:p>
    <w:p>
      <w:pPr>
        <w:snapToGrid w:val="0"/>
        <w:spacing w:before="50" w:after="50"/>
        <w:ind w:firstLine="602" w:firstLineChars="200"/>
        <w:jc w:val="center"/>
        <w:rPr>
          <w:rFonts w:hint="eastAsia" w:ascii="宋体" w:hAnsi="宋体" w:cs="宋体"/>
          <w:b/>
          <w:color w:val="auto"/>
          <w:kern w:val="0"/>
          <w:sz w:val="30"/>
          <w:szCs w:val="30"/>
          <w:highlight w:val="none"/>
        </w:rPr>
      </w:pPr>
    </w:p>
    <w:p>
      <w:pPr>
        <w:snapToGrid w:val="0"/>
        <w:spacing w:before="50" w:after="50"/>
        <w:ind w:firstLine="602" w:firstLineChars="200"/>
        <w:jc w:val="center"/>
        <w:rPr>
          <w:rFonts w:hint="eastAsia" w:ascii="宋体" w:hAnsi="宋体" w:cs="宋体"/>
          <w:b/>
          <w:color w:val="auto"/>
          <w:kern w:val="0"/>
          <w:sz w:val="30"/>
          <w:szCs w:val="30"/>
          <w:highlight w:val="none"/>
        </w:rPr>
      </w:pPr>
    </w:p>
    <w:p>
      <w:pPr>
        <w:snapToGrid w:val="0"/>
        <w:spacing w:before="50" w:after="50"/>
        <w:ind w:firstLine="602" w:firstLineChars="200"/>
        <w:jc w:val="center"/>
        <w:rPr>
          <w:rFonts w:hint="eastAsia" w:ascii="宋体" w:hAnsi="宋体" w:cs="宋体"/>
          <w:b/>
          <w:color w:val="auto"/>
          <w:kern w:val="0"/>
          <w:sz w:val="30"/>
          <w:szCs w:val="30"/>
          <w:highlight w:val="none"/>
        </w:rPr>
      </w:pPr>
    </w:p>
    <w:p>
      <w:pPr>
        <w:pStyle w:val="20"/>
        <w:rPr>
          <w:rFonts w:hint="eastAsia" w:ascii="宋体" w:hAnsi="宋体" w:cs="宋体"/>
          <w:b/>
          <w:color w:val="auto"/>
          <w:kern w:val="0"/>
          <w:sz w:val="30"/>
          <w:szCs w:val="30"/>
          <w:highlight w:val="none"/>
        </w:rPr>
      </w:pPr>
    </w:p>
    <w:p>
      <w:pPr>
        <w:snapToGrid w:val="0"/>
        <w:spacing w:line="400" w:lineRule="exact"/>
        <w:outlineLvl w:val="1"/>
        <w:rPr>
          <w:rFonts w:hint="eastAsia" w:ascii="宋体" w:hAnsi="宋体" w:cs="宋体"/>
          <w:b/>
          <w:color w:val="auto"/>
          <w:kern w:val="0"/>
          <w:sz w:val="30"/>
          <w:szCs w:val="30"/>
          <w:highlight w:val="none"/>
        </w:rPr>
      </w:pPr>
      <w:bookmarkStart w:id="390" w:name="_Toc16741"/>
      <w:bookmarkStart w:id="391" w:name="_Toc30475"/>
    </w:p>
    <w:p>
      <w:pPr>
        <w:pStyle w:val="20"/>
        <w:rPr>
          <w:rFonts w:hint="eastAsia" w:ascii="宋体" w:hAnsi="宋体" w:cs="宋体"/>
          <w:b/>
          <w:color w:val="auto"/>
          <w:kern w:val="0"/>
          <w:sz w:val="30"/>
          <w:szCs w:val="30"/>
          <w:highlight w:val="none"/>
        </w:rPr>
      </w:pPr>
    </w:p>
    <w:p>
      <w:pPr>
        <w:pStyle w:val="21"/>
        <w:ind w:firstLine="602"/>
        <w:rPr>
          <w:rFonts w:hint="eastAsia" w:ascii="宋体" w:hAnsi="宋体" w:cs="宋体"/>
          <w:b/>
          <w:color w:val="auto"/>
          <w:kern w:val="0"/>
          <w:szCs w:val="30"/>
          <w:highlight w:val="none"/>
        </w:rPr>
      </w:pPr>
    </w:p>
    <w:p>
      <w:pPr>
        <w:pStyle w:val="21"/>
        <w:ind w:firstLine="602"/>
        <w:rPr>
          <w:rFonts w:hint="eastAsia" w:ascii="宋体" w:hAnsi="宋体" w:cs="宋体"/>
          <w:b/>
          <w:color w:val="auto"/>
          <w:kern w:val="0"/>
          <w:szCs w:val="30"/>
          <w:highlight w:val="none"/>
        </w:rPr>
      </w:pPr>
    </w:p>
    <w:p>
      <w:pPr>
        <w:pStyle w:val="21"/>
        <w:ind w:firstLine="602"/>
        <w:rPr>
          <w:rFonts w:hint="eastAsia" w:ascii="宋体" w:hAnsi="宋体" w:cs="宋体"/>
          <w:b/>
          <w:color w:val="auto"/>
          <w:kern w:val="0"/>
          <w:szCs w:val="30"/>
          <w:highlight w:val="none"/>
        </w:rPr>
      </w:pPr>
    </w:p>
    <w:p>
      <w:pPr>
        <w:pStyle w:val="21"/>
        <w:ind w:firstLine="602"/>
        <w:rPr>
          <w:rFonts w:hint="eastAsia" w:ascii="宋体" w:hAnsi="宋体" w:cs="宋体"/>
          <w:b/>
          <w:color w:val="auto"/>
          <w:kern w:val="0"/>
          <w:szCs w:val="30"/>
          <w:highlight w:val="none"/>
        </w:rPr>
      </w:pPr>
    </w:p>
    <w:p>
      <w:pPr>
        <w:pStyle w:val="21"/>
        <w:ind w:firstLine="602"/>
        <w:rPr>
          <w:rFonts w:hint="eastAsia" w:ascii="宋体" w:hAnsi="宋体" w:cs="宋体"/>
          <w:b/>
          <w:color w:val="auto"/>
          <w:kern w:val="0"/>
          <w:szCs w:val="30"/>
          <w:highlight w:val="none"/>
        </w:rPr>
      </w:pPr>
    </w:p>
    <w:p>
      <w:pPr>
        <w:pStyle w:val="21"/>
        <w:ind w:firstLine="602"/>
        <w:rPr>
          <w:rFonts w:hint="eastAsia" w:ascii="宋体" w:hAnsi="宋体" w:cs="宋体"/>
          <w:b/>
          <w:color w:val="auto"/>
          <w:kern w:val="0"/>
          <w:szCs w:val="30"/>
          <w:highlight w:val="none"/>
        </w:rPr>
      </w:pPr>
    </w:p>
    <w:p>
      <w:pPr>
        <w:rPr>
          <w:rFonts w:hint="eastAsia"/>
          <w:color w:val="auto"/>
          <w:highlight w:val="none"/>
        </w:rPr>
      </w:pPr>
    </w:p>
    <w:bookmarkEnd w:id="390"/>
    <w:bookmarkEnd w:id="391"/>
    <w:p>
      <w:pPr>
        <w:snapToGrid w:val="0"/>
        <w:spacing w:line="500" w:lineRule="exact"/>
        <w:jc w:val="center"/>
        <w:outlineLvl w:val="2"/>
        <w:rPr>
          <w:rFonts w:hint="eastAsia" w:ascii="宋体" w:hAnsi="宋体" w:cs="宋体"/>
          <w:b/>
          <w:color w:val="auto"/>
          <w:kern w:val="0"/>
          <w:sz w:val="30"/>
          <w:szCs w:val="30"/>
          <w:highlight w:val="none"/>
        </w:rPr>
      </w:pPr>
      <w:bookmarkStart w:id="392" w:name="_Toc27735"/>
      <w:r>
        <w:rPr>
          <w:rFonts w:hint="eastAsia" w:ascii="宋体" w:hAnsi="宋体" w:cs="宋体"/>
          <w:b/>
          <w:color w:val="auto"/>
          <w:kern w:val="0"/>
          <w:sz w:val="30"/>
          <w:szCs w:val="30"/>
          <w:highlight w:val="none"/>
        </w:rPr>
        <w:t>六、投标人需要说明的其他文件和说明</w:t>
      </w:r>
      <w:bookmarkEnd w:id="392"/>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p>
      <w:pPr>
        <w:pStyle w:val="9"/>
        <w:keepNext w:val="0"/>
        <w:keepLines w:val="0"/>
        <w:rPr>
          <w:rFonts w:hint="eastAsia" w:ascii="宋体" w:hAnsi="宋体" w:eastAsia="宋体" w:cs="宋体"/>
          <w:color w:val="auto"/>
          <w:highlight w:val="none"/>
        </w:rPr>
      </w:pPr>
    </w:p>
    <w:p>
      <w:pPr>
        <w:rPr>
          <w:rFonts w:hint="eastAsia" w:ascii="宋体" w:hAnsi="宋体" w:cs="宋体"/>
          <w:color w:val="auto"/>
          <w:highlight w:val="none"/>
        </w:rPr>
      </w:pP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Pr>
        <w:pStyle w:val="9"/>
        <w:keepNext w:val="0"/>
        <w:keepLines w:val="0"/>
        <w:rPr>
          <w:rFonts w:hint="eastAsia" w:ascii="宋体" w:hAnsi="宋体" w:eastAsia="宋体" w:cs="宋体"/>
          <w:color w:val="auto"/>
          <w:highlight w:val="none"/>
        </w:rPr>
      </w:pPr>
    </w:p>
    <w:sectPr>
      <w:headerReference r:id="rId3" w:type="default"/>
      <w:footerReference r:id="rId4" w:type="default"/>
      <w:pgSz w:w="11906" w:h="16838"/>
      <w:pgMar w:top="1361" w:right="1304" w:bottom="1191" w:left="1304" w:header="539" w:footer="850" w:gutter="0"/>
      <w:pgNumType w:fmt="decimal" w:start="1"/>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modern"/>
    <w:pitch w:val="default"/>
    <w:sig w:usb0="00000000" w:usb1="00000000" w:usb2="00000000" w:usb3="00000000" w:csb0="00000001" w:csb1="00000000"/>
  </w:font>
  <w:font w:name="文鼎小标宋简">
    <w:altName w:val="Times New Roman"/>
    <w:panose1 w:val="02020603050405020304"/>
    <w:charset w:val="01"/>
    <w:family w:val="roman"/>
    <w:pitch w:val="default"/>
    <w:sig w:usb0="20003A87" w:usb1="00000000" w:usb2="00000000"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HP Simplified Hans Light">
    <w:altName w:val="宋体"/>
    <w:panose1 w:val="00000000000000000000"/>
    <w:charset w:val="86"/>
    <w:family w:val="swiss"/>
    <w:pitch w:val="default"/>
    <w:sig w:usb0="00000000" w:usb1="080E0000" w:usb2="00000010" w:usb3="00000000" w:csb0="00040000" w:csb1="00000000"/>
  </w:font>
  <w:font w:name="???|CS?o｡ﾀ?">
    <w:altName w:val="MS PGothic"/>
    <w:panose1 w:val="00000000000000000000"/>
    <w:charset w:val="80"/>
    <w:family w:val="modern"/>
    <w:pitch w:val="default"/>
    <w:sig w:usb0="00000001" w:usb1="08070000" w:usb2="00000010" w:usb3="00000000" w:csb0="0002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ibl0d0BAAC+AwAADgAAAGRycy9lMm9Eb2MueG1srVPNjtMwEL4j8Q6W 7zRpD6iKmq6AahESAqSFB3Adp7HkP42nTcoDwBtw4sKd5+pzMHaS7rJc9sAlGc+Mv5nvm/HmZrCG nRRE7V3Nl4uSM+Wkb7Q71PzL59sXa84iCtcI452q+VlFfrN9/mzTh0qtfOdNo4ARiItVH2reIYaq KKLslBVx4YNyFGw9WIF0hEPRgOgJ3ZpiVZYvi95DE8BLFSN5d2OQT4jwFEDftlqqnZdHqxyOqKCM QKIUOx0i3+Zu21ZJ/Ni2USEzNSemmL9UhOx9+hbbjagOIEKn5dSCeEoLjzhZoR0VvULtBAp2BP0P lNUSfPQtLqS3xUgkK0IsluUjbe46EVTmQlLHcBU9/j9Y+eH0CZhuar7izAlLA7/8+H75+fvy6xtb Jnn6ECvKuguUh8NrP9DSzP5IzsR6aMGmP/FhFCdxz1dx1YBMpkvr1XpdUkhSbD4QfnF/PUDEt8pb loyaA00viypO7yOOqXNKqub8rTYmT9C4vxyEmTxF6n3sMVk47IeJ0N43Z+JDz4DqdB6+ctbTEtTc 0c5zZt450jjty2zAbOxnQzhJF2uOnI3mGxz36hhAH7q8aampGF4dkTrNBFIbY+2pOxprlmBawbQ3 D8856/7Zbf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Jom5dHdAQAAvgMAAA4AAAAAAAAA AQAgAAAAHgEAAGRycy9lMm9Eb2MueG1sUEsFBgAAAAAGAAYAWQEAAG0FAAAAAA== ">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hint="eastAsia" w:ascii="楷体" w:hAnsi="楷体" w:eastAsia="楷体" w:cs="楷体"/>
        <w:lang w:eastAsia="zh-CN"/>
      </w:rPr>
    </w:pPr>
  </w:p>
  <w:p>
    <w:pPr>
      <w:pStyle w:val="33"/>
      <w:jc w:val="center"/>
      <w:rPr>
        <w:rFonts w:hint="eastAsia" w:ascii="楷体" w:hAnsi="楷体" w:eastAsia="楷体" w:cs="楷体"/>
      </w:rPr>
    </w:pPr>
    <w:r>
      <w:rPr>
        <w:rFonts w:hint="eastAsia" w:ascii="楷体" w:hAnsi="楷体" w:eastAsia="楷体" w:cs="楷体"/>
        <w:lang w:eastAsia="zh-CN"/>
      </w:rPr>
      <w:t>开化县卫生健康局2022--2024年度医疗责任保险服务采购项目</w:t>
    </w:r>
    <w:r>
      <w:rPr>
        <w:rFonts w:hint="eastAsia" w:ascii="楷体" w:hAnsi="楷体" w:eastAsia="楷体" w:cs="楷体"/>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3CAD8"/>
    <w:multiLevelType w:val="singleLevel"/>
    <w:tmpl w:val="B813CAD8"/>
    <w:lvl w:ilvl="0" w:tentative="0">
      <w:start w:val="9"/>
      <w:numFmt w:val="decimal"/>
      <w:suff w:val="nothing"/>
      <w:lvlText w:val="（%1）"/>
      <w:lvlJc w:val="left"/>
    </w:lvl>
  </w:abstractNum>
  <w:abstractNum w:abstractNumId="1">
    <w:nsid w:val="00000015"/>
    <w:multiLevelType w:val="multilevel"/>
    <w:tmpl w:val="00000015"/>
    <w:lvl w:ilvl="0" w:tentative="0">
      <w:start w:val="1"/>
      <w:numFmt w:val="decimal"/>
      <w:lvlText w:val="%1)"/>
      <w:lvlJc w:val="left"/>
      <w:rPr>
        <w:sz w:val="24"/>
        <w:szCs w:val="24"/>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2">
    <w:nsid w:val="11244743"/>
    <w:multiLevelType w:val="multilevel"/>
    <w:tmpl w:val="11244743"/>
    <w:lvl w:ilvl="0" w:tentative="0">
      <w:start w:val="3"/>
      <w:numFmt w:val="decimal"/>
      <w:pStyle w:val="230"/>
      <w:lvlText w:val="%1"/>
      <w:lvlJc w:val="left"/>
      <w:pPr>
        <w:tabs>
          <w:tab w:val="left" w:pos="360"/>
        </w:tabs>
        <w:ind w:left="360" w:hanging="360"/>
      </w:pPr>
      <w:rPr>
        <w:rFonts w:hint="eastAsia"/>
      </w:rPr>
    </w:lvl>
    <w:lvl w:ilvl="1" w:tentative="0">
      <w:start w:val="2"/>
      <w:numFmt w:val="decimal"/>
      <w:lvlText w:val="%1.%2"/>
      <w:lvlJc w:val="left"/>
      <w:pPr>
        <w:tabs>
          <w:tab w:val="left" w:pos="1310"/>
        </w:tabs>
        <w:ind w:left="1310" w:hanging="720"/>
      </w:pPr>
      <w:rPr>
        <w:rFonts w:hint="eastAsia"/>
      </w:rPr>
    </w:lvl>
    <w:lvl w:ilvl="2" w:tentative="0">
      <w:start w:val="1"/>
      <w:numFmt w:val="decimal"/>
      <w:lvlText w:val="%1.%2.%3"/>
      <w:lvlJc w:val="left"/>
      <w:pPr>
        <w:tabs>
          <w:tab w:val="left" w:pos="1900"/>
        </w:tabs>
        <w:ind w:left="1900" w:hanging="720"/>
      </w:pPr>
      <w:rPr>
        <w:rFonts w:hint="eastAsia"/>
      </w:rPr>
    </w:lvl>
    <w:lvl w:ilvl="3" w:tentative="0">
      <w:start w:val="1"/>
      <w:numFmt w:val="decimal"/>
      <w:lvlText w:val="%1.%2.%3.%4"/>
      <w:lvlJc w:val="left"/>
      <w:pPr>
        <w:tabs>
          <w:tab w:val="left" w:pos="2850"/>
        </w:tabs>
        <w:ind w:left="2850" w:hanging="1080"/>
      </w:pPr>
      <w:rPr>
        <w:rFonts w:hint="eastAsia"/>
      </w:rPr>
    </w:lvl>
    <w:lvl w:ilvl="4" w:tentative="0">
      <w:start w:val="1"/>
      <w:numFmt w:val="decimal"/>
      <w:lvlText w:val="%1.%2.%3.%4.%5"/>
      <w:lvlJc w:val="left"/>
      <w:pPr>
        <w:tabs>
          <w:tab w:val="left" w:pos="3800"/>
        </w:tabs>
        <w:ind w:left="3800" w:hanging="1440"/>
      </w:pPr>
      <w:rPr>
        <w:rFonts w:hint="eastAsia"/>
      </w:rPr>
    </w:lvl>
    <w:lvl w:ilvl="5" w:tentative="0">
      <w:start w:val="1"/>
      <w:numFmt w:val="decimal"/>
      <w:lvlText w:val="%1.%2.%3.%4.%5.%6"/>
      <w:lvlJc w:val="left"/>
      <w:pPr>
        <w:tabs>
          <w:tab w:val="left" w:pos="4390"/>
        </w:tabs>
        <w:ind w:left="4390" w:hanging="1440"/>
      </w:pPr>
      <w:rPr>
        <w:rFonts w:hint="eastAsia"/>
      </w:rPr>
    </w:lvl>
    <w:lvl w:ilvl="6" w:tentative="0">
      <w:start w:val="1"/>
      <w:numFmt w:val="decimal"/>
      <w:lvlText w:val="%1.%2.%3.%4.%5.%6.%7"/>
      <w:lvlJc w:val="left"/>
      <w:pPr>
        <w:tabs>
          <w:tab w:val="left" w:pos="5340"/>
        </w:tabs>
        <w:ind w:left="5340" w:hanging="1800"/>
      </w:pPr>
      <w:rPr>
        <w:rFonts w:hint="eastAsia"/>
      </w:rPr>
    </w:lvl>
    <w:lvl w:ilvl="7" w:tentative="0">
      <w:start w:val="1"/>
      <w:numFmt w:val="decimal"/>
      <w:lvlText w:val="%1.%2.%3.%4.%5.%6.%7.%8"/>
      <w:lvlJc w:val="left"/>
      <w:pPr>
        <w:tabs>
          <w:tab w:val="left" w:pos="6290"/>
        </w:tabs>
        <w:ind w:left="6290" w:hanging="2160"/>
      </w:pPr>
      <w:rPr>
        <w:rFonts w:hint="eastAsia"/>
      </w:rPr>
    </w:lvl>
    <w:lvl w:ilvl="8" w:tentative="0">
      <w:start w:val="1"/>
      <w:numFmt w:val="decimal"/>
      <w:lvlText w:val="%1.%2.%3.%4.%5.%6.%7.%8.%9"/>
      <w:lvlJc w:val="left"/>
      <w:pPr>
        <w:tabs>
          <w:tab w:val="left" w:pos="6880"/>
        </w:tabs>
        <w:ind w:left="6880" w:hanging="2160"/>
      </w:pPr>
      <w:rPr>
        <w:rFonts w:hint="eastAsia"/>
      </w:rPr>
    </w:lvl>
  </w:abstractNum>
  <w:abstractNum w:abstractNumId="3">
    <w:nsid w:val="1213164D"/>
    <w:multiLevelType w:val="multilevel"/>
    <w:tmpl w:val="1213164D"/>
    <w:lvl w:ilvl="0" w:tentative="0">
      <w:start w:val="1"/>
      <w:numFmt w:val="decimal"/>
      <w:pStyle w:val="202"/>
      <w:lvlText w:val="%1、"/>
      <w:lvlJc w:val="left"/>
      <w:pPr>
        <w:ind w:left="620" w:hanging="420"/>
      </w:pPr>
      <w:rPr>
        <w:rFonts w:hint="eastAsia" w:ascii="宋体" w:eastAsia="宋体" w:cs="Times New Roman"/>
        <w:b w:val="0"/>
        <w:bCs w:val="0"/>
        <w:i w:val="0"/>
        <w:iCs w:val="0"/>
        <w:caps w:val="0"/>
        <w:smallCaps w:val="0"/>
        <w:strike w:val="0"/>
        <w:dstrike w:val="0"/>
        <w:outline w:val="0"/>
        <w:shadow w:val="0"/>
        <w:emboss w:val="0"/>
        <w:imprint w:val="0"/>
        <w:vanish w:val="0"/>
        <w:spacing w:val="0"/>
        <w:position w:val="0"/>
        <w:sz w:val="24"/>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1D2E1C7D"/>
    <w:multiLevelType w:val="multilevel"/>
    <w:tmpl w:val="1D2E1C7D"/>
    <w:lvl w:ilvl="0" w:tentative="0">
      <w:start w:val="1"/>
      <w:numFmt w:val="decimal"/>
      <w:pStyle w:val="242"/>
      <w:lvlText w:val="%1."/>
      <w:lvlJc w:val="left"/>
      <w:pPr>
        <w:ind w:left="1140" w:hanging="720"/>
      </w:pPr>
      <w:rPr>
        <w:rFonts w:hint="default"/>
      </w:rPr>
    </w:lvl>
    <w:lvl w:ilvl="1" w:tentative="0">
      <w:start w:val="3"/>
      <w:numFmt w:val="decimal"/>
      <w:pStyle w:val="241"/>
      <w:isLgl/>
      <w:lvlText w:val="%1.%2"/>
      <w:lvlJc w:val="left"/>
      <w:pPr>
        <w:ind w:left="1140" w:hanging="720"/>
      </w:pPr>
      <w:rPr>
        <w:rFonts w:hint="default"/>
      </w:rPr>
    </w:lvl>
    <w:lvl w:ilvl="2" w:tentative="0">
      <w:start w:val="1"/>
      <w:numFmt w:val="decimal"/>
      <w:isLgl/>
      <w:lvlText w:val="%1.%2.%3"/>
      <w:lvlJc w:val="left"/>
      <w:pPr>
        <w:ind w:left="1500" w:hanging="1080"/>
      </w:pPr>
      <w:rPr>
        <w:rFonts w:hint="default"/>
      </w:rPr>
    </w:lvl>
    <w:lvl w:ilvl="3" w:tentative="0">
      <w:start w:val="1"/>
      <w:numFmt w:val="decimal"/>
      <w:isLgl/>
      <w:lvlText w:val="%1.%2.%3.%4"/>
      <w:lvlJc w:val="left"/>
      <w:pPr>
        <w:ind w:left="1860" w:hanging="1440"/>
      </w:pPr>
      <w:rPr>
        <w:rFonts w:hint="default"/>
      </w:rPr>
    </w:lvl>
    <w:lvl w:ilvl="4" w:tentative="0">
      <w:start w:val="1"/>
      <w:numFmt w:val="decimal"/>
      <w:isLgl/>
      <w:lvlText w:val="%1.%2.%3.%4.%5"/>
      <w:lvlJc w:val="left"/>
      <w:pPr>
        <w:ind w:left="2220" w:hanging="1800"/>
      </w:pPr>
      <w:rPr>
        <w:rFonts w:hint="default"/>
      </w:rPr>
    </w:lvl>
    <w:lvl w:ilvl="5" w:tentative="0">
      <w:start w:val="1"/>
      <w:numFmt w:val="decimal"/>
      <w:isLgl/>
      <w:lvlText w:val="%1.%2.%3.%4.%5.%6"/>
      <w:lvlJc w:val="left"/>
      <w:pPr>
        <w:ind w:left="2220" w:hanging="1800"/>
      </w:pPr>
      <w:rPr>
        <w:rFonts w:hint="default"/>
      </w:rPr>
    </w:lvl>
    <w:lvl w:ilvl="6" w:tentative="0">
      <w:start w:val="1"/>
      <w:numFmt w:val="decimal"/>
      <w:isLgl/>
      <w:lvlText w:val="%1.%2.%3.%4.%5.%6.%7"/>
      <w:lvlJc w:val="left"/>
      <w:pPr>
        <w:ind w:left="2580" w:hanging="2160"/>
      </w:pPr>
      <w:rPr>
        <w:rFonts w:hint="default"/>
      </w:rPr>
    </w:lvl>
    <w:lvl w:ilvl="7" w:tentative="0">
      <w:start w:val="1"/>
      <w:numFmt w:val="decimal"/>
      <w:isLgl/>
      <w:lvlText w:val="%1.%2.%3.%4.%5.%6.%7.%8"/>
      <w:lvlJc w:val="left"/>
      <w:pPr>
        <w:ind w:left="2940" w:hanging="2520"/>
      </w:pPr>
      <w:rPr>
        <w:rFonts w:hint="default"/>
      </w:rPr>
    </w:lvl>
    <w:lvl w:ilvl="8" w:tentative="0">
      <w:start w:val="1"/>
      <w:numFmt w:val="decimal"/>
      <w:isLgl/>
      <w:lvlText w:val="%1.%2.%3.%4.%5.%6.%7.%8.%9"/>
      <w:lvlJc w:val="left"/>
      <w:pPr>
        <w:ind w:left="3300" w:hanging="2880"/>
      </w:pPr>
      <w:rPr>
        <w:rFonts w:hint="default"/>
      </w:rPr>
    </w:lvl>
  </w:abstractNum>
  <w:abstractNum w:abstractNumId="5">
    <w:nsid w:val="21C02A3F"/>
    <w:multiLevelType w:val="singleLevel"/>
    <w:tmpl w:val="21C02A3F"/>
    <w:lvl w:ilvl="0" w:tentative="0">
      <w:start w:val="1"/>
      <w:numFmt w:val="lowerLetter"/>
      <w:suff w:val="space"/>
      <w:lvlText w:val="%1."/>
      <w:lvlJc w:val="left"/>
    </w:lvl>
  </w:abstractNum>
  <w:abstractNum w:abstractNumId="6">
    <w:nsid w:val="44604408"/>
    <w:multiLevelType w:val="singleLevel"/>
    <w:tmpl w:val="44604408"/>
    <w:lvl w:ilvl="0" w:tentative="0">
      <w:start w:val="1"/>
      <w:numFmt w:val="chineseCounting"/>
      <w:suff w:val="nothing"/>
      <w:lvlText w:val="%1、"/>
      <w:lvlJc w:val="left"/>
      <w:pPr>
        <w:ind w:left="526" w:firstLine="0"/>
      </w:pPr>
      <w:rPr>
        <w:rFonts w:hint="eastAsia"/>
      </w:rPr>
    </w:lvl>
  </w:abstractNum>
  <w:abstractNum w:abstractNumId="7">
    <w:nsid w:val="4EBB3468"/>
    <w:multiLevelType w:val="singleLevel"/>
    <w:tmpl w:val="4EBB3468"/>
    <w:lvl w:ilvl="0" w:tentative="0">
      <w:start w:val="1"/>
      <w:numFmt w:val="chineseCounting"/>
      <w:suff w:val="nothing"/>
      <w:lvlText w:val="（%1）"/>
      <w:lvlJc w:val="left"/>
      <w:pPr>
        <w:ind w:left="1470" w:firstLine="0"/>
      </w:pPr>
      <w:rPr>
        <w:rFonts w:hint="eastAsia"/>
      </w:rPr>
    </w:lvl>
  </w:abstractNum>
  <w:abstractNum w:abstractNumId="8">
    <w:nsid w:val="5C908B6A"/>
    <w:multiLevelType w:val="singleLevel"/>
    <w:tmpl w:val="5C908B6A"/>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5"/>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NzdlODJlNmVjNjJhZTcyODQzMzk3NjFmMDYwOWEifQ=="/>
  </w:docVars>
  <w:rsids>
    <w:rsidRoot w:val="00172A27"/>
    <w:rsid w:val="00003544"/>
    <w:rsid w:val="00003C2B"/>
    <w:rsid w:val="00004620"/>
    <w:rsid w:val="00010A0B"/>
    <w:rsid w:val="00010BD2"/>
    <w:rsid w:val="0001178E"/>
    <w:rsid w:val="00011DBC"/>
    <w:rsid w:val="000126A9"/>
    <w:rsid w:val="00012AC9"/>
    <w:rsid w:val="00013927"/>
    <w:rsid w:val="00014128"/>
    <w:rsid w:val="00014EF4"/>
    <w:rsid w:val="00016E7E"/>
    <w:rsid w:val="00016EBC"/>
    <w:rsid w:val="00020945"/>
    <w:rsid w:val="00021098"/>
    <w:rsid w:val="00024B15"/>
    <w:rsid w:val="00025374"/>
    <w:rsid w:val="00031233"/>
    <w:rsid w:val="00031955"/>
    <w:rsid w:val="000366BD"/>
    <w:rsid w:val="000374A7"/>
    <w:rsid w:val="000402B2"/>
    <w:rsid w:val="00043787"/>
    <w:rsid w:val="00044889"/>
    <w:rsid w:val="00047168"/>
    <w:rsid w:val="0004735F"/>
    <w:rsid w:val="00050FFC"/>
    <w:rsid w:val="0005121E"/>
    <w:rsid w:val="00053590"/>
    <w:rsid w:val="00056115"/>
    <w:rsid w:val="00056D4A"/>
    <w:rsid w:val="00060B0D"/>
    <w:rsid w:val="00061572"/>
    <w:rsid w:val="000633EB"/>
    <w:rsid w:val="00065196"/>
    <w:rsid w:val="000651F8"/>
    <w:rsid w:val="00066536"/>
    <w:rsid w:val="00067044"/>
    <w:rsid w:val="000674FF"/>
    <w:rsid w:val="00067B5C"/>
    <w:rsid w:val="00071906"/>
    <w:rsid w:val="000745BC"/>
    <w:rsid w:val="0007516E"/>
    <w:rsid w:val="000760EC"/>
    <w:rsid w:val="000761ED"/>
    <w:rsid w:val="000808AF"/>
    <w:rsid w:val="00081280"/>
    <w:rsid w:val="000817A6"/>
    <w:rsid w:val="00081F6E"/>
    <w:rsid w:val="0008356A"/>
    <w:rsid w:val="00085468"/>
    <w:rsid w:val="0009026D"/>
    <w:rsid w:val="00091A8F"/>
    <w:rsid w:val="00091B39"/>
    <w:rsid w:val="00091E46"/>
    <w:rsid w:val="000931D4"/>
    <w:rsid w:val="00094427"/>
    <w:rsid w:val="00094D43"/>
    <w:rsid w:val="000956BF"/>
    <w:rsid w:val="00095BE2"/>
    <w:rsid w:val="0009622A"/>
    <w:rsid w:val="00097228"/>
    <w:rsid w:val="000A19BC"/>
    <w:rsid w:val="000A28D4"/>
    <w:rsid w:val="000A3094"/>
    <w:rsid w:val="000A3367"/>
    <w:rsid w:val="000A3BFC"/>
    <w:rsid w:val="000A4CD4"/>
    <w:rsid w:val="000A5228"/>
    <w:rsid w:val="000A5AAD"/>
    <w:rsid w:val="000A6354"/>
    <w:rsid w:val="000A64BF"/>
    <w:rsid w:val="000A6B8E"/>
    <w:rsid w:val="000A6F71"/>
    <w:rsid w:val="000B56C2"/>
    <w:rsid w:val="000C1D0F"/>
    <w:rsid w:val="000C32B3"/>
    <w:rsid w:val="000C4037"/>
    <w:rsid w:val="000C43C6"/>
    <w:rsid w:val="000C4EE6"/>
    <w:rsid w:val="000D0BBD"/>
    <w:rsid w:val="000D1BB7"/>
    <w:rsid w:val="000D45CA"/>
    <w:rsid w:val="000D52DA"/>
    <w:rsid w:val="000D5536"/>
    <w:rsid w:val="000D56AA"/>
    <w:rsid w:val="000D6ADA"/>
    <w:rsid w:val="000E01FE"/>
    <w:rsid w:val="000E1732"/>
    <w:rsid w:val="000E1D8F"/>
    <w:rsid w:val="000E23F4"/>
    <w:rsid w:val="000E40A8"/>
    <w:rsid w:val="000E4EAD"/>
    <w:rsid w:val="000E5299"/>
    <w:rsid w:val="000E5FE2"/>
    <w:rsid w:val="000E6B8A"/>
    <w:rsid w:val="000E6DAF"/>
    <w:rsid w:val="000F083C"/>
    <w:rsid w:val="000F4FCA"/>
    <w:rsid w:val="000F5BC7"/>
    <w:rsid w:val="000F7027"/>
    <w:rsid w:val="000F7BE7"/>
    <w:rsid w:val="00100067"/>
    <w:rsid w:val="00101A7A"/>
    <w:rsid w:val="0010282E"/>
    <w:rsid w:val="001032A2"/>
    <w:rsid w:val="001047E5"/>
    <w:rsid w:val="001059CC"/>
    <w:rsid w:val="00106125"/>
    <w:rsid w:val="001077E6"/>
    <w:rsid w:val="00110D0B"/>
    <w:rsid w:val="001119BC"/>
    <w:rsid w:val="0011496E"/>
    <w:rsid w:val="00115307"/>
    <w:rsid w:val="0011618D"/>
    <w:rsid w:val="00117982"/>
    <w:rsid w:val="0012201C"/>
    <w:rsid w:val="001248C1"/>
    <w:rsid w:val="0012523B"/>
    <w:rsid w:val="00126181"/>
    <w:rsid w:val="00127547"/>
    <w:rsid w:val="00130E3C"/>
    <w:rsid w:val="00131B22"/>
    <w:rsid w:val="00131C10"/>
    <w:rsid w:val="00132281"/>
    <w:rsid w:val="00133927"/>
    <w:rsid w:val="00134A95"/>
    <w:rsid w:val="00135B87"/>
    <w:rsid w:val="00136144"/>
    <w:rsid w:val="00136CC6"/>
    <w:rsid w:val="00137A87"/>
    <w:rsid w:val="001402EF"/>
    <w:rsid w:val="001408BC"/>
    <w:rsid w:val="00140C4C"/>
    <w:rsid w:val="00140DE2"/>
    <w:rsid w:val="00142588"/>
    <w:rsid w:val="001431B6"/>
    <w:rsid w:val="00143EEE"/>
    <w:rsid w:val="00144AFE"/>
    <w:rsid w:val="00144B8A"/>
    <w:rsid w:val="0014514A"/>
    <w:rsid w:val="00150336"/>
    <w:rsid w:val="00150966"/>
    <w:rsid w:val="00151042"/>
    <w:rsid w:val="0015129F"/>
    <w:rsid w:val="001520CD"/>
    <w:rsid w:val="00152457"/>
    <w:rsid w:val="00153F73"/>
    <w:rsid w:val="001575D6"/>
    <w:rsid w:val="001623C8"/>
    <w:rsid w:val="00162B0C"/>
    <w:rsid w:val="0016428D"/>
    <w:rsid w:val="0016469E"/>
    <w:rsid w:val="00164ECE"/>
    <w:rsid w:val="001662EF"/>
    <w:rsid w:val="00167881"/>
    <w:rsid w:val="00167AC5"/>
    <w:rsid w:val="00167EC2"/>
    <w:rsid w:val="00170058"/>
    <w:rsid w:val="0017006A"/>
    <w:rsid w:val="0017174B"/>
    <w:rsid w:val="001717F1"/>
    <w:rsid w:val="00172A27"/>
    <w:rsid w:val="00174F1C"/>
    <w:rsid w:val="001766E3"/>
    <w:rsid w:val="00176BC1"/>
    <w:rsid w:val="00180B93"/>
    <w:rsid w:val="00180E90"/>
    <w:rsid w:val="0018158F"/>
    <w:rsid w:val="001836D3"/>
    <w:rsid w:val="00185DE8"/>
    <w:rsid w:val="001920A6"/>
    <w:rsid w:val="00192C32"/>
    <w:rsid w:val="00193070"/>
    <w:rsid w:val="00193ABB"/>
    <w:rsid w:val="00195C60"/>
    <w:rsid w:val="00195FA4"/>
    <w:rsid w:val="00197BEE"/>
    <w:rsid w:val="001A00D2"/>
    <w:rsid w:val="001A157D"/>
    <w:rsid w:val="001A215E"/>
    <w:rsid w:val="001A2639"/>
    <w:rsid w:val="001A43B9"/>
    <w:rsid w:val="001A4530"/>
    <w:rsid w:val="001A60FF"/>
    <w:rsid w:val="001A6400"/>
    <w:rsid w:val="001A6487"/>
    <w:rsid w:val="001A68C5"/>
    <w:rsid w:val="001A7D41"/>
    <w:rsid w:val="001B0ED5"/>
    <w:rsid w:val="001B40BB"/>
    <w:rsid w:val="001B46F3"/>
    <w:rsid w:val="001B4B13"/>
    <w:rsid w:val="001B4BD4"/>
    <w:rsid w:val="001B6DB6"/>
    <w:rsid w:val="001B772D"/>
    <w:rsid w:val="001C0D64"/>
    <w:rsid w:val="001C13D6"/>
    <w:rsid w:val="001C2993"/>
    <w:rsid w:val="001C29B1"/>
    <w:rsid w:val="001C2C22"/>
    <w:rsid w:val="001C31BA"/>
    <w:rsid w:val="001C34C9"/>
    <w:rsid w:val="001C36B7"/>
    <w:rsid w:val="001C66A6"/>
    <w:rsid w:val="001C77DE"/>
    <w:rsid w:val="001D0F33"/>
    <w:rsid w:val="001D4F4F"/>
    <w:rsid w:val="001D5259"/>
    <w:rsid w:val="001D7460"/>
    <w:rsid w:val="001E0612"/>
    <w:rsid w:val="001E1B4C"/>
    <w:rsid w:val="001E24BB"/>
    <w:rsid w:val="001E3261"/>
    <w:rsid w:val="001E4540"/>
    <w:rsid w:val="001E7D03"/>
    <w:rsid w:val="001F13B8"/>
    <w:rsid w:val="001F36E5"/>
    <w:rsid w:val="001F4AD5"/>
    <w:rsid w:val="001F6C49"/>
    <w:rsid w:val="002003E6"/>
    <w:rsid w:val="002021CB"/>
    <w:rsid w:val="00203825"/>
    <w:rsid w:val="00205FA1"/>
    <w:rsid w:val="00206DBB"/>
    <w:rsid w:val="002130A5"/>
    <w:rsid w:val="00214855"/>
    <w:rsid w:val="00220136"/>
    <w:rsid w:val="00220472"/>
    <w:rsid w:val="002216AC"/>
    <w:rsid w:val="00221A0B"/>
    <w:rsid w:val="00221E18"/>
    <w:rsid w:val="00222830"/>
    <w:rsid w:val="00226E48"/>
    <w:rsid w:val="002271F5"/>
    <w:rsid w:val="00227234"/>
    <w:rsid w:val="0022778F"/>
    <w:rsid w:val="00231F33"/>
    <w:rsid w:val="00237CF2"/>
    <w:rsid w:val="0024053C"/>
    <w:rsid w:val="00243E27"/>
    <w:rsid w:val="002449AE"/>
    <w:rsid w:val="00244B90"/>
    <w:rsid w:val="00250B68"/>
    <w:rsid w:val="002536AE"/>
    <w:rsid w:val="00255DC3"/>
    <w:rsid w:val="0026164A"/>
    <w:rsid w:val="00262D43"/>
    <w:rsid w:val="00262FF2"/>
    <w:rsid w:val="002638C8"/>
    <w:rsid w:val="002641C3"/>
    <w:rsid w:val="002641EE"/>
    <w:rsid w:val="002651A1"/>
    <w:rsid w:val="00265D36"/>
    <w:rsid w:val="0026747E"/>
    <w:rsid w:val="00271701"/>
    <w:rsid w:val="0027264B"/>
    <w:rsid w:val="00274F0A"/>
    <w:rsid w:val="00275377"/>
    <w:rsid w:val="00276FA3"/>
    <w:rsid w:val="00277105"/>
    <w:rsid w:val="00286DFD"/>
    <w:rsid w:val="0028733C"/>
    <w:rsid w:val="0028755C"/>
    <w:rsid w:val="00290DF8"/>
    <w:rsid w:val="00291489"/>
    <w:rsid w:val="00291F48"/>
    <w:rsid w:val="00293804"/>
    <w:rsid w:val="002939D0"/>
    <w:rsid w:val="00294054"/>
    <w:rsid w:val="00295816"/>
    <w:rsid w:val="00296193"/>
    <w:rsid w:val="00296926"/>
    <w:rsid w:val="0029723A"/>
    <w:rsid w:val="002A0032"/>
    <w:rsid w:val="002A1CCA"/>
    <w:rsid w:val="002A3CCD"/>
    <w:rsid w:val="002A402C"/>
    <w:rsid w:val="002A7367"/>
    <w:rsid w:val="002A77B2"/>
    <w:rsid w:val="002B146C"/>
    <w:rsid w:val="002B22D3"/>
    <w:rsid w:val="002C1804"/>
    <w:rsid w:val="002C1F28"/>
    <w:rsid w:val="002C573A"/>
    <w:rsid w:val="002C6BB8"/>
    <w:rsid w:val="002D0ACF"/>
    <w:rsid w:val="002D2FA5"/>
    <w:rsid w:val="002D5B8E"/>
    <w:rsid w:val="002D677A"/>
    <w:rsid w:val="002D7797"/>
    <w:rsid w:val="002E03EF"/>
    <w:rsid w:val="002E127D"/>
    <w:rsid w:val="002E215B"/>
    <w:rsid w:val="002E26DB"/>
    <w:rsid w:val="002E320E"/>
    <w:rsid w:val="002E326A"/>
    <w:rsid w:val="002E4E6A"/>
    <w:rsid w:val="002E5A80"/>
    <w:rsid w:val="002E65A5"/>
    <w:rsid w:val="002F0746"/>
    <w:rsid w:val="002F27A9"/>
    <w:rsid w:val="002F27E5"/>
    <w:rsid w:val="002F32FF"/>
    <w:rsid w:val="002F4F3E"/>
    <w:rsid w:val="0030244E"/>
    <w:rsid w:val="003028BF"/>
    <w:rsid w:val="00303B20"/>
    <w:rsid w:val="00304202"/>
    <w:rsid w:val="0030464B"/>
    <w:rsid w:val="00305191"/>
    <w:rsid w:val="00306A4E"/>
    <w:rsid w:val="00310193"/>
    <w:rsid w:val="0031175D"/>
    <w:rsid w:val="003139DE"/>
    <w:rsid w:val="00313AF3"/>
    <w:rsid w:val="00313AF9"/>
    <w:rsid w:val="00313D54"/>
    <w:rsid w:val="00314B72"/>
    <w:rsid w:val="003176FA"/>
    <w:rsid w:val="003203C9"/>
    <w:rsid w:val="003221D7"/>
    <w:rsid w:val="00325CBA"/>
    <w:rsid w:val="0033019B"/>
    <w:rsid w:val="00331D94"/>
    <w:rsid w:val="00332D9F"/>
    <w:rsid w:val="003332E8"/>
    <w:rsid w:val="00334B9B"/>
    <w:rsid w:val="00334CB6"/>
    <w:rsid w:val="003368EE"/>
    <w:rsid w:val="003406EE"/>
    <w:rsid w:val="00340B5E"/>
    <w:rsid w:val="003417E2"/>
    <w:rsid w:val="003429C1"/>
    <w:rsid w:val="00347A25"/>
    <w:rsid w:val="0035123D"/>
    <w:rsid w:val="00351719"/>
    <w:rsid w:val="00351B73"/>
    <w:rsid w:val="00352C9B"/>
    <w:rsid w:val="00353B4E"/>
    <w:rsid w:val="00354787"/>
    <w:rsid w:val="0035569E"/>
    <w:rsid w:val="0036040A"/>
    <w:rsid w:val="003609FA"/>
    <w:rsid w:val="00361113"/>
    <w:rsid w:val="00362EFB"/>
    <w:rsid w:val="00364947"/>
    <w:rsid w:val="00364F50"/>
    <w:rsid w:val="003662DF"/>
    <w:rsid w:val="00366700"/>
    <w:rsid w:val="00367257"/>
    <w:rsid w:val="00367BEF"/>
    <w:rsid w:val="00372317"/>
    <w:rsid w:val="003723BA"/>
    <w:rsid w:val="00372A54"/>
    <w:rsid w:val="00373193"/>
    <w:rsid w:val="003735A9"/>
    <w:rsid w:val="00373F7A"/>
    <w:rsid w:val="00374986"/>
    <w:rsid w:val="00376D2B"/>
    <w:rsid w:val="00376DF4"/>
    <w:rsid w:val="00380C5A"/>
    <w:rsid w:val="00381740"/>
    <w:rsid w:val="00381BAE"/>
    <w:rsid w:val="00381BE6"/>
    <w:rsid w:val="00382533"/>
    <w:rsid w:val="00384F15"/>
    <w:rsid w:val="003851D6"/>
    <w:rsid w:val="00385C39"/>
    <w:rsid w:val="003875A2"/>
    <w:rsid w:val="00391A6E"/>
    <w:rsid w:val="00394A86"/>
    <w:rsid w:val="0039599A"/>
    <w:rsid w:val="00396C00"/>
    <w:rsid w:val="00396D1A"/>
    <w:rsid w:val="00396FFE"/>
    <w:rsid w:val="00397208"/>
    <w:rsid w:val="00397E9F"/>
    <w:rsid w:val="003A1108"/>
    <w:rsid w:val="003A1F26"/>
    <w:rsid w:val="003A2975"/>
    <w:rsid w:val="003A4BCD"/>
    <w:rsid w:val="003A4EF3"/>
    <w:rsid w:val="003A54D1"/>
    <w:rsid w:val="003A60E6"/>
    <w:rsid w:val="003A77DB"/>
    <w:rsid w:val="003A7EA5"/>
    <w:rsid w:val="003B47C0"/>
    <w:rsid w:val="003B51ED"/>
    <w:rsid w:val="003B5923"/>
    <w:rsid w:val="003B6712"/>
    <w:rsid w:val="003B675C"/>
    <w:rsid w:val="003B7D44"/>
    <w:rsid w:val="003B7E42"/>
    <w:rsid w:val="003C40AE"/>
    <w:rsid w:val="003C5F96"/>
    <w:rsid w:val="003C7C30"/>
    <w:rsid w:val="003D114C"/>
    <w:rsid w:val="003D4E78"/>
    <w:rsid w:val="003D4FBE"/>
    <w:rsid w:val="003D723F"/>
    <w:rsid w:val="003E259E"/>
    <w:rsid w:val="003E2861"/>
    <w:rsid w:val="003E290C"/>
    <w:rsid w:val="003E3B43"/>
    <w:rsid w:val="003E4DE8"/>
    <w:rsid w:val="003E557A"/>
    <w:rsid w:val="003E5F02"/>
    <w:rsid w:val="003E613D"/>
    <w:rsid w:val="003F1E97"/>
    <w:rsid w:val="003F242C"/>
    <w:rsid w:val="003F321E"/>
    <w:rsid w:val="003F38BB"/>
    <w:rsid w:val="003F4221"/>
    <w:rsid w:val="003F658A"/>
    <w:rsid w:val="003F7F1E"/>
    <w:rsid w:val="004013C2"/>
    <w:rsid w:val="004024C2"/>
    <w:rsid w:val="00402F9F"/>
    <w:rsid w:val="00403D36"/>
    <w:rsid w:val="004041F0"/>
    <w:rsid w:val="00406168"/>
    <w:rsid w:val="00406F4F"/>
    <w:rsid w:val="0040700B"/>
    <w:rsid w:val="00410406"/>
    <w:rsid w:val="00410757"/>
    <w:rsid w:val="004110A5"/>
    <w:rsid w:val="00411BA1"/>
    <w:rsid w:val="00413845"/>
    <w:rsid w:val="00415874"/>
    <w:rsid w:val="00415BEA"/>
    <w:rsid w:val="00415FBE"/>
    <w:rsid w:val="00416034"/>
    <w:rsid w:val="00417190"/>
    <w:rsid w:val="00420B89"/>
    <w:rsid w:val="00420D58"/>
    <w:rsid w:val="00421376"/>
    <w:rsid w:val="00421BEB"/>
    <w:rsid w:val="00422B59"/>
    <w:rsid w:val="00422F0E"/>
    <w:rsid w:val="004231DA"/>
    <w:rsid w:val="004235B3"/>
    <w:rsid w:val="00423AD3"/>
    <w:rsid w:val="00423D0F"/>
    <w:rsid w:val="00425585"/>
    <w:rsid w:val="0042660D"/>
    <w:rsid w:val="004267FA"/>
    <w:rsid w:val="00430C4F"/>
    <w:rsid w:val="00431D56"/>
    <w:rsid w:val="00432425"/>
    <w:rsid w:val="00432606"/>
    <w:rsid w:val="00432D7A"/>
    <w:rsid w:val="00432E5D"/>
    <w:rsid w:val="004346CE"/>
    <w:rsid w:val="00436374"/>
    <w:rsid w:val="00436717"/>
    <w:rsid w:val="00437C35"/>
    <w:rsid w:val="00441133"/>
    <w:rsid w:val="00442463"/>
    <w:rsid w:val="004428C2"/>
    <w:rsid w:val="004457A2"/>
    <w:rsid w:val="004505BB"/>
    <w:rsid w:val="00452674"/>
    <w:rsid w:val="00452B95"/>
    <w:rsid w:val="00453992"/>
    <w:rsid w:val="00455B10"/>
    <w:rsid w:val="0045609D"/>
    <w:rsid w:val="00456D0A"/>
    <w:rsid w:val="00456DBB"/>
    <w:rsid w:val="00457AD4"/>
    <w:rsid w:val="004605F9"/>
    <w:rsid w:val="00460814"/>
    <w:rsid w:val="00460EBC"/>
    <w:rsid w:val="004614FF"/>
    <w:rsid w:val="00462A85"/>
    <w:rsid w:val="00463137"/>
    <w:rsid w:val="00463781"/>
    <w:rsid w:val="00463BF6"/>
    <w:rsid w:val="0046516A"/>
    <w:rsid w:val="00465541"/>
    <w:rsid w:val="004669C7"/>
    <w:rsid w:val="00466A66"/>
    <w:rsid w:val="00466F3C"/>
    <w:rsid w:val="00467881"/>
    <w:rsid w:val="004706AC"/>
    <w:rsid w:val="004707D9"/>
    <w:rsid w:val="00470861"/>
    <w:rsid w:val="00470D60"/>
    <w:rsid w:val="004718AF"/>
    <w:rsid w:val="00472121"/>
    <w:rsid w:val="00475B21"/>
    <w:rsid w:val="00476FC8"/>
    <w:rsid w:val="00480631"/>
    <w:rsid w:val="00480E06"/>
    <w:rsid w:val="00480FE4"/>
    <w:rsid w:val="00482148"/>
    <w:rsid w:val="004825DF"/>
    <w:rsid w:val="004825E0"/>
    <w:rsid w:val="004829C4"/>
    <w:rsid w:val="00484DC7"/>
    <w:rsid w:val="00486AE9"/>
    <w:rsid w:val="00487E69"/>
    <w:rsid w:val="00493939"/>
    <w:rsid w:val="00494D52"/>
    <w:rsid w:val="0049560A"/>
    <w:rsid w:val="00496DF1"/>
    <w:rsid w:val="004A0585"/>
    <w:rsid w:val="004A32B4"/>
    <w:rsid w:val="004A60D9"/>
    <w:rsid w:val="004A7A3D"/>
    <w:rsid w:val="004B376C"/>
    <w:rsid w:val="004B4B82"/>
    <w:rsid w:val="004B5F6E"/>
    <w:rsid w:val="004B7DD6"/>
    <w:rsid w:val="004C076D"/>
    <w:rsid w:val="004C0C00"/>
    <w:rsid w:val="004C2036"/>
    <w:rsid w:val="004C4E04"/>
    <w:rsid w:val="004C507E"/>
    <w:rsid w:val="004C526C"/>
    <w:rsid w:val="004C7C92"/>
    <w:rsid w:val="004D1041"/>
    <w:rsid w:val="004D2745"/>
    <w:rsid w:val="004D3248"/>
    <w:rsid w:val="004D36A0"/>
    <w:rsid w:val="004D4C5D"/>
    <w:rsid w:val="004D533E"/>
    <w:rsid w:val="004D78A5"/>
    <w:rsid w:val="004E1D03"/>
    <w:rsid w:val="004E1FEC"/>
    <w:rsid w:val="004E2BBB"/>
    <w:rsid w:val="004E67DB"/>
    <w:rsid w:val="004F0850"/>
    <w:rsid w:val="004F18E3"/>
    <w:rsid w:val="004F1D70"/>
    <w:rsid w:val="004F261D"/>
    <w:rsid w:val="004F5913"/>
    <w:rsid w:val="004F5BE5"/>
    <w:rsid w:val="0050217A"/>
    <w:rsid w:val="005042A6"/>
    <w:rsid w:val="00504722"/>
    <w:rsid w:val="005060CB"/>
    <w:rsid w:val="005075C0"/>
    <w:rsid w:val="0051054A"/>
    <w:rsid w:val="00511ABE"/>
    <w:rsid w:val="00511B93"/>
    <w:rsid w:val="0051246D"/>
    <w:rsid w:val="005125ED"/>
    <w:rsid w:val="00512974"/>
    <w:rsid w:val="005140B7"/>
    <w:rsid w:val="00517C10"/>
    <w:rsid w:val="00517E4B"/>
    <w:rsid w:val="00520408"/>
    <w:rsid w:val="0052096F"/>
    <w:rsid w:val="0052144D"/>
    <w:rsid w:val="00521B0D"/>
    <w:rsid w:val="0052244A"/>
    <w:rsid w:val="00522E20"/>
    <w:rsid w:val="00524DA6"/>
    <w:rsid w:val="005260A8"/>
    <w:rsid w:val="00527F6D"/>
    <w:rsid w:val="005314DA"/>
    <w:rsid w:val="00531A01"/>
    <w:rsid w:val="00532106"/>
    <w:rsid w:val="00532D00"/>
    <w:rsid w:val="00536C64"/>
    <w:rsid w:val="005444B9"/>
    <w:rsid w:val="005464D0"/>
    <w:rsid w:val="005469FC"/>
    <w:rsid w:val="00547A92"/>
    <w:rsid w:val="00547C15"/>
    <w:rsid w:val="0055043E"/>
    <w:rsid w:val="00550447"/>
    <w:rsid w:val="005511F5"/>
    <w:rsid w:val="005516C7"/>
    <w:rsid w:val="00552BC4"/>
    <w:rsid w:val="00553635"/>
    <w:rsid w:val="005545E1"/>
    <w:rsid w:val="00557E73"/>
    <w:rsid w:val="00562292"/>
    <w:rsid w:val="00564614"/>
    <w:rsid w:val="00564BDA"/>
    <w:rsid w:val="0056504B"/>
    <w:rsid w:val="00565505"/>
    <w:rsid w:val="00565FC4"/>
    <w:rsid w:val="00567815"/>
    <w:rsid w:val="00567B09"/>
    <w:rsid w:val="00570C5E"/>
    <w:rsid w:val="00571A8B"/>
    <w:rsid w:val="00571EFA"/>
    <w:rsid w:val="00572606"/>
    <w:rsid w:val="005728D1"/>
    <w:rsid w:val="0057294E"/>
    <w:rsid w:val="00574E8A"/>
    <w:rsid w:val="0057594D"/>
    <w:rsid w:val="00575B1D"/>
    <w:rsid w:val="005824D7"/>
    <w:rsid w:val="005845E8"/>
    <w:rsid w:val="00584A1F"/>
    <w:rsid w:val="00584A6A"/>
    <w:rsid w:val="00584DB3"/>
    <w:rsid w:val="005853E6"/>
    <w:rsid w:val="00585B40"/>
    <w:rsid w:val="00585C35"/>
    <w:rsid w:val="00587352"/>
    <w:rsid w:val="005903ED"/>
    <w:rsid w:val="0059045A"/>
    <w:rsid w:val="005920BD"/>
    <w:rsid w:val="00592AF0"/>
    <w:rsid w:val="0059392A"/>
    <w:rsid w:val="00595111"/>
    <w:rsid w:val="00595D16"/>
    <w:rsid w:val="00597E6B"/>
    <w:rsid w:val="005A0E66"/>
    <w:rsid w:val="005A0E75"/>
    <w:rsid w:val="005A1FA9"/>
    <w:rsid w:val="005A5FF3"/>
    <w:rsid w:val="005B0484"/>
    <w:rsid w:val="005B05BE"/>
    <w:rsid w:val="005B21E3"/>
    <w:rsid w:val="005B4901"/>
    <w:rsid w:val="005B4DD5"/>
    <w:rsid w:val="005B6B20"/>
    <w:rsid w:val="005B7C5A"/>
    <w:rsid w:val="005B7C9B"/>
    <w:rsid w:val="005C2473"/>
    <w:rsid w:val="005C2F68"/>
    <w:rsid w:val="005C32F4"/>
    <w:rsid w:val="005C5969"/>
    <w:rsid w:val="005C5BDF"/>
    <w:rsid w:val="005C71A7"/>
    <w:rsid w:val="005C77BD"/>
    <w:rsid w:val="005C7944"/>
    <w:rsid w:val="005C79DD"/>
    <w:rsid w:val="005C7FDF"/>
    <w:rsid w:val="005D28A5"/>
    <w:rsid w:val="005D305F"/>
    <w:rsid w:val="005D3E11"/>
    <w:rsid w:val="005D4D8E"/>
    <w:rsid w:val="005D4E71"/>
    <w:rsid w:val="005D66DF"/>
    <w:rsid w:val="005E117B"/>
    <w:rsid w:val="005E140A"/>
    <w:rsid w:val="005E1DE9"/>
    <w:rsid w:val="005E1E2E"/>
    <w:rsid w:val="005E37A6"/>
    <w:rsid w:val="005E4752"/>
    <w:rsid w:val="005E5BE6"/>
    <w:rsid w:val="005E5E11"/>
    <w:rsid w:val="005F04E8"/>
    <w:rsid w:val="005F0D13"/>
    <w:rsid w:val="005F1DDE"/>
    <w:rsid w:val="005F21B9"/>
    <w:rsid w:val="005F2711"/>
    <w:rsid w:val="005F2D24"/>
    <w:rsid w:val="005F3679"/>
    <w:rsid w:val="005F370F"/>
    <w:rsid w:val="005F478A"/>
    <w:rsid w:val="00601D5B"/>
    <w:rsid w:val="00603D35"/>
    <w:rsid w:val="00604642"/>
    <w:rsid w:val="00604874"/>
    <w:rsid w:val="00606249"/>
    <w:rsid w:val="00606E3C"/>
    <w:rsid w:val="0060719E"/>
    <w:rsid w:val="006071D6"/>
    <w:rsid w:val="006112D5"/>
    <w:rsid w:val="00611C52"/>
    <w:rsid w:val="006147E0"/>
    <w:rsid w:val="00615384"/>
    <w:rsid w:val="0061541A"/>
    <w:rsid w:val="006154DB"/>
    <w:rsid w:val="0061556A"/>
    <w:rsid w:val="006155B1"/>
    <w:rsid w:val="0062068B"/>
    <w:rsid w:val="00620CA7"/>
    <w:rsid w:val="00621020"/>
    <w:rsid w:val="00622112"/>
    <w:rsid w:val="006244D9"/>
    <w:rsid w:val="00627559"/>
    <w:rsid w:val="00627F77"/>
    <w:rsid w:val="00632FD5"/>
    <w:rsid w:val="00633D03"/>
    <w:rsid w:val="006343EB"/>
    <w:rsid w:val="00634488"/>
    <w:rsid w:val="00637215"/>
    <w:rsid w:val="00640642"/>
    <w:rsid w:val="006416D4"/>
    <w:rsid w:val="00646069"/>
    <w:rsid w:val="0065080E"/>
    <w:rsid w:val="00650814"/>
    <w:rsid w:val="0065183B"/>
    <w:rsid w:val="006523BB"/>
    <w:rsid w:val="006538EB"/>
    <w:rsid w:val="0065511C"/>
    <w:rsid w:val="0066059E"/>
    <w:rsid w:val="00661957"/>
    <w:rsid w:val="006630CF"/>
    <w:rsid w:val="0066416B"/>
    <w:rsid w:val="00666A5B"/>
    <w:rsid w:val="0067172B"/>
    <w:rsid w:val="00671B57"/>
    <w:rsid w:val="00671C21"/>
    <w:rsid w:val="006726A4"/>
    <w:rsid w:val="00672813"/>
    <w:rsid w:val="00673A84"/>
    <w:rsid w:val="00674666"/>
    <w:rsid w:val="00675A2B"/>
    <w:rsid w:val="00676149"/>
    <w:rsid w:val="00676D89"/>
    <w:rsid w:val="00682333"/>
    <w:rsid w:val="00683622"/>
    <w:rsid w:val="00685663"/>
    <w:rsid w:val="00686A3D"/>
    <w:rsid w:val="00690516"/>
    <w:rsid w:val="006912E4"/>
    <w:rsid w:val="00691372"/>
    <w:rsid w:val="0069169A"/>
    <w:rsid w:val="00691BEB"/>
    <w:rsid w:val="0069227F"/>
    <w:rsid w:val="00693142"/>
    <w:rsid w:val="00693A92"/>
    <w:rsid w:val="00695721"/>
    <w:rsid w:val="00695B05"/>
    <w:rsid w:val="00695E29"/>
    <w:rsid w:val="006979A8"/>
    <w:rsid w:val="006A03A5"/>
    <w:rsid w:val="006A216B"/>
    <w:rsid w:val="006A5693"/>
    <w:rsid w:val="006A5A2D"/>
    <w:rsid w:val="006A6C71"/>
    <w:rsid w:val="006A775C"/>
    <w:rsid w:val="006A7873"/>
    <w:rsid w:val="006B142D"/>
    <w:rsid w:val="006B1BCC"/>
    <w:rsid w:val="006B6F9A"/>
    <w:rsid w:val="006C0485"/>
    <w:rsid w:val="006C0ACB"/>
    <w:rsid w:val="006C332C"/>
    <w:rsid w:val="006C5AB4"/>
    <w:rsid w:val="006C6A09"/>
    <w:rsid w:val="006D018F"/>
    <w:rsid w:val="006D05DD"/>
    <w:rsid w:val="006D084D"/>
    <w:rsid w:val="006D2C5B"/>
    <w:rsid w:val="006D4512"/>
    <w:rsid w:val="006D46E0"/>
    <w:rsid w:val="006D528B"/>
    <w:rsid w:val="006D64B7"/>
    <w:rsid w:val="006D78CF"/>
    <w:rsid w:val="006E586F"/>
    <w:rsid w:val="006E5F76"/>
    <w:rsid w:val="006F1615"/>
    <w:rsid w:val="006F279F"/>
    <w:rsid w:val="006F2E5A"/>
    <w:rsid w:val="006F4034"/>
    <w:rsid w:val="006F42C5"/>
    <w:rsid w:val="006F4417"/>
    <w:rsid w:val="006F4D65"/>
    <w:rsid w:val="006F5F11"/>
    <w:rsid w:val="00703796"/>
    <w:rsid w:val="007052F8"/>
    <w:rsid w:val="007061CF"/>
    <w:rsid w:val="00706870"/>
    <w:rsid w:val="007111CC"/>
    <w:rsid w:val="007111F6"/>
    <w:rsid w:val="00713095"/>
    <w:rsid w:val="0071423E"/>
    <w:rsid w:val="00714E03"/>
    <w:rsid w:val="007160E6"/>
    <w:rsid w:val="00716DC7"/>
    <w:rsid w:val="007174F1"/>
    <w:rsid w:val="00717575"/>
    <w:rsid w:val="007177E0"/>
    <w:rsid w:val="00721349"/>
    <w:rsid w:val="00721AD3"/>
    <w:rsid w:val="00722C64"/>
    <w:rsid w:val="00724DE3"/>
    <w:rsid w:val="00724E19"/>
    <w:rsid w:val="00724E5E"/>
    <w:rsid w:val="007251C5"/>
    <w:rsid w:val="00727ADD"/>
    <w:rsid w:val="00727EDE"/>
    <w:rsid w:val="00731A99"/>
    <w:rsid w:val="007330D2"/>
    <w:rsid w:val="00734542"/>
    <w:rsid w:val="00735E1A"/>
    <w:rsid w:val="00736729"/>
    <w:rsid w:val="00736EC4"/>
    <w:rsid w:val="00737B9A"/>
    <w:rsid w:val="00737E41"/>
    <w:rsid w:val="00740840"/>
    <w:rsid w:val="007408BE"/>
    <w:rsid w:val="00742CEE"/>
    <w:rsid w:val="00744970"/>
    <w:rsid w:val="007459B8"/>
    <w:rsid w:val="0075134E"/>
    <w:rsid w:val="00752D58"/>
    <w:rsid w:val="0075491A"/>
    <w:rsid w:val="00754979"/>
    <w:rsid w:val="00755254"/>
    <w:rsid w:val="007568DA"/>
    <w:rsid w:val="00757E78"/>
    <w:rsid w:val="00761A10"/>
    <w:rsid w:val="007624A0"/>
    <w:rsid w:val="0076494F"/>
    <w:rsid w:val="00767BC8"/>
    <w:rsid w:val="00770BC0"/>
    <w:rsid w:val="00771703"/>
    <w:rsid w:val="007729FE"/>
    <w:rsid w:val="00772E67"/>
    <w:rsid w:val="00775CC2"/>
    <w:rsid w:val="00780E77"/>
    <w:rsid w:val="007833B1"/>
    <w:rsid w:val="0078389D"/>
    <w:rsid w:val="00783A9C"/>
    <w:rsid w:val="00785062"/>
    <w:rsid w:val="00790737"/>
    <w:rsid w:val="00790FFE"/>
    <w:rsid w:val="00793B16"/>
    <w:rsid w:val="007947B7"/>
    <w:rsid w:val="00794F15"/>
    <w:rsid w:val="007A0460"/>
    <w:rsid w:val="007A09FF"/>
    <w:rsid w:val="007A0C3D"/>
    <w:rsid w:val="007A3DAD"/>
    <w:rsid w:val="007A3ECB"/>
    <w:rsid w:val="007A48E3"/>
    <w:rsid w:val="007A5B72"/>
    <w:rsid w:val="007A7DB4"/>
    <w:rsid w:val="007B17A1"/>
    <w:rsid w:val="007B1DE9"/>
    <w:rsid w:val="007B214A"/>
    <w:rsid w:val="007B2BF2"/>
    <w:rsid w:val="007B3C8B"/>
    <w:rsid w:val="007B6E8E"/>
    <w:rsid w:val="007C2477"/>
    <w:rsid w:val="007C73CA"/>
    <w:rsid w:val="007D0668"/>
    <w:rsid w:val="007D09EB"/>
    <w:rsid w:val="007D4C95"/>
    <w:rsid w:val="007D5166"/>
    <w:rsid w:val="007D5649"/>
    <w:rsid w:val="007D6255"/>
    <w:rsid w:val="007D7752"/>
    <w:rsid w:val="007E15FE"/>
    <w:rsid w:val="007E1E77"/>
    <w:rsid w:val="007E3618"/>
    <w:rsid w:val="007E373B"/>
    <w:rsid w:val="007F1716"/>
    <w:rsid w:val="007F2EE5"/>
    <w:rsid w:val="007F3BAB"/>
    <w:rsid w:val="007F4071"/>
    <w:rsid w:val="007F6062"/>
    <w:rsid w:val="007F6F3C"/>
    <w:rsid w:val="0080023A"/>
    <w:rsid w:val="00800D7A"/>
    <w:rsid w:val="008018BD"/>
    <w:rsid w:val="00801AC3"/>
    <w:rsid w:val="00802A41"/>
    <w:rsid w:val="0080356A"/>
    <w:rsid w:val="0080526A"/>
    <w:rsid w:val="00805E0E"/>
    <w:rsid w:val="00806445"/>
    <w:rsid w:val="00806E74"/>
    <w:rsid w:val="0081056B"/>
    <w:rsid w:val="008109DF"/>
    <w:rsid w:val="00810E46"/>
    <w:rsid w:val="00815991"/>
    <w:rsid w:val="00815C61"/>
    <w:rsid w:val="00816082"/>
    <w:rsid w:val="008178D3"/>
    <w:rsid w:val="00820FFE"/>
    <w:rsid w:val="008230AE"/>
    <w:rsid w:val="00824326"/>
    <w:rsid w:val="00827038"/>
    <w:rsid w:val="00827144"/>
    <w:rsid w:val="0083023F"/>
    <w:rsid w:val="0083319B"/>
    <w:rsid w:val="00833FBE"/>
    <w:rsid w:val="0083473E"/>
    <w:rsid w:val="0083489E"/>
    <w:rsid w:val="008405A4"/>
    <w:rsid w:val="00840A15"/>
    <w:rsid w:val="0084338E"/>
    <w:rsid w:val="008456C2"/>
    <w:rsid w:val="00846649"/>
    <w:rsid w:val="00847D82"/>
    <w:rsid w:val="0085011A"/>
    <w:rsid w:val="0085083A"/>
    <w:rsid w:val="00851FF0"/>
    <w:rsid w:val="008524A7"/>
    <w:rsid w:val="00852D75"/>
    <w:rsid w:val="008540BE"/>
    <w:rsid w:val="00855DC5"/>
    <w:rsid w:val="00856739"/>
    <w:rsid w:val="0085677B"/>
    <w:rsid w:val="00857437"/>
    <w:rsid w:val="0086118D"/>
    <w:rsid w:val="00866878"/>
    <w:rsid w:val="00871CE8"/>
    <w:rsid w:val="00877EE2"/>
    <w:rsid w:val="00880435"/>
    <w:rsid w:val="00880657"/>
    <w:rsid w:val="00883D7D"/>
    <w:rsid w:val="00884D0C"/>
    <w:rsid w:val="00884E12"/>
    <w:rsid w:val="00886056"/>
    <w:rsid w:val="00887FC2"/>
    <w:rsid w:val="008922C8"/>
    <w:rsid w:val="00892BA9"/>
    <w:rsid w:val="00892CFA"/>
    <w:rsid w:val="00892DA7"/>
    <w:rsid w:val="0089396A"/>
    <w:rsid w:val="0089396D"/>
    <w:rsid w:val="00893A8F"/>
    <w:rsid w:val="00894395"/>
    <w:rsid w:val="00895C75"/>
    <w:rsid w:val="00897C10"/>
    <w:rsid w:val="00897C34"/>
    <w:rsid w:val="00897E92"/>
    <w:rsid w:val="008A5139"/>
    <w:rsid w:val="008A5824"/>
    <w:rsid w:val="008A7FB5"/>
    <w:rsid w:val="008B0236"/>
    <w:rsid w:val="008B1B12"/>
    <w:rsid w:val="008B2DBA"/>
    <w:rsid w:val="008B3581"/>
    <w:rsid w:val="008B3ADF"/>
    <w:rsid w:val="008B5006"/>
    <w:rsid w:val="008B5675"/>
    <w:rsid w:val="008C03D6"/>
    <w:rsid w:val="008C2B0F"/>
    <w:rsid w:val="008C637E"/>
    <w:rsid w:val="008C6762"/>
    <w:rsid w:val="008C6E02"/>
    <w:rsid w:val="008D263D"/>
    <w:rsid w:val="008D2F36"/>
    <w:rsid w:val="008D4394"/>
    <w:rsid w:val="008D5074"/>
    <w:rsid w:val="008D545D"/>
    <w:rsid w:val="008D65F7"/>
    <w:rsid w:val="008E082D"/>
    <w:rsid w:val="008E1B97"/>
    <w:rsid w:val="008E3130"/>
    <w:rsid w:val="008E3655"/>
    <w:rsid w:val="008E39DE"/>
    <w:rsid w:val="008E5CEE"/>
    <w:rsid w:val="008E5F4A"/>
    <w:rsid w:val="008E6699"/>
    <w:rsid w:val="008E6B86"/>
    <w:rsid w:val="008E7902"/>
    <w:rsid w:val="008E7A5A"/>
    <w:rsid w:val="008F0261"/>
    <w:rsid w:val="008F0D7A"/>
    <w:rsid w:val="008F11E1"/>
    <w:rsid w:val="008F27FD"/>
    <w:rsid w:val="008F3521"/>
    <w:rsid w:val="008F3CA3"/>
    <w:rsid w:val="008F584E"/>
    <w:rsid w:val="008F6266"/>
    <w:rsid w:val="008F69BD"/>
    <w:rsid w:val="009009AC"/>
    <w:rsid w:val="00901CD7"/>
    <w:rsid w:val="00903FB0"/>
    <w:rsid w:val="00906251"/>
    <w:rsid w:val="00906E62"/>
    <w:rsid w:val="00907122"/>
    <w:rsid w:val="00910AE9"/>
    <w:rsid w:val="00912CFA"/>
    <w:rsid w:val="00913540"/>
    <w:rsid w:val="009139B7"/>
    <w:rsid w:val="00915152"/>
    <w:rsid w:val="0091630F"/>
    <w:rsid w:val="0092047A"/>
    <w:rsid w:val="0092060A"/>
    <w:rsid w:val="009218F3"/>
    <w:rsid w:val="00921962"/>
    <w:rsid w:val="009232B4"/>
    <w:rsid w:val="0092338B"/>
    <w:rsid w:val="00933039"/>
    <w:rsid w:val="00933469"/>
    <w:rsid w:val="009352CC"/>
    <w:rsid w:val="00935B43"/>
    <w:rsid w:val="00944146"/>
    <w:rsid w:val="009441F6"/>
    <w:rsid w:val="00944408"/>
    <w:rsid w:val="00944C0A"/>
    <w:rsid w:val="00946260"/>
    <w:rsid w:val="00947120"/>
    <w:rsid w:val="00950129"/>
    <w:rsid w:val="00950AB7"/>
    <w:rsid w:val="0095191C"/>
    <w:rsid w:val="00952A3D"/>
    <w:rsid w:val="0095364D"/>
    <w:rsid w:val="00953FA3"/>
    <w:rsid w:val="00954224"/>
    <w:rsid w:val="00955568"/>
    <w:rsid w:val="00956C7E"/>
    <w:rsid w:val="00956D1F"/>
    <w:rsid w:val="009574AE"/>
    <w:rsid w:val="00960B3F"/>
    <w:rsid w:val="0096129D"/>
    <w:rsid w:val="009615F6"/>
    <w:rsid w:val="00962699"/>
    <w:rsid w:val="00963550"/>
    <w:rsid w:val="00963789"/>
    <w:rsid w:val="00964420"/>
    <w:rsid w:val="00965F0A"/>
    <w:rsid w:val="00965F0C"/>
    <w:rsid w:val="0096611F"/>
    <w:rsid w:val="00966B10"/>
    <w:rsid w:val="00966F26"/>
    <w:rsid w:val="0096798A"/>
    <w:rsid w:val="00967A79"/>
    <w:rsid w:val="00970422"/>
    <w:rsid w:val="00971257"/>
    <w:rsid w:val="00971C5A"/>
    <w:rsid w:val="00973695"/>
    <w:rsid w:val="009738DC"/>
    <w:rsid w:val="009754D0"/>
    <w:rsid w:val="00975DB4"/>
    <w:rsid w:val="0097653E"/>
    <w:rsid w:val="00977EBC"/>
    <w:rsid w:val="009803A1"/>
    <w:rsid w:val="0099043C"/>
    <w:rsid w:val="0099386A"/>
    <w:rsid w:val="00993BA6"/>
    <w:rsid w:val="00993CD6"/>
    <w:rsid w:val="0099741C"/>
    <w:rsid w:val="009A0D05"/>
    <w:rsid w:val="009A25E3"/>
    <w:rsid w:val="009A38D4"/>
    <w:rsid w:val="009A46D1"/>
    <w:rsid w:val="009B2380"/>
    <w:rsid w:val="009B3CA5"/>
    <w:rsid w:val="009B3CD9"/>
    <w:rsid w:val="009B4B36"/>
    <w:rsid w:val="009B5B06"/>
    <w:rsid w:val="009B6773"/>
    <w:rsid w:val="009B77D8"/>
    <w:rsid w:val="009B7C53"/>
    <w:rsid w:val="009C1D4E"/>
    <w:rsid w:val="009C222D"/>
    <w:rsid w:val="009C3370"/>
    <w:rsid w:val="009C33C1"/>
    <w:rsid w:val="009C35A6"/>
    <w:rsid w:val="009C7B7F"/>
    <w:rsid w:val="009D11DB"/>
    <w:rsid w:val="009D121E"/>
    <w:rsid w:val="009D28A4"/>
    <w:rsid w:val="009D3AAC"/>
    <w:rsid w:val="009D78F8"/>
    <w:rsid w:val="009E21C5"/>
    <w:rsid w:val="009E48C6"/>
    <w:rsid w:val="009E5061"/>
    <w:rsid w:val="009E5B8E"/>
    <w:rsid w:val="009E6E8E"/>
    <w:rsid w:val="009F045D"/>
    <w:rsid w:val="009F0697"/>
    <w:rsid w:val="009F0C9B"/>
    <w:rsid w:val="00A0167C"/>
    <w:rsid w:val="00A04010"/>
    <w:rsid w:val="00A0674C"/>
    <w:rsid w:val="00A07DBD"/>
    <w:rsid w:val="00A1225B"/>
    <w:rsid w:val="00A12323"/>
    <w:rsid w:val="00A125F3"/>
    <w:rsid w:val="00A1573A"/>
    <w:rsid w:val="00A165BA"/>
    <w:rsid w:val="00A2254A"/>
    <w:rsid w:val="00A240C9"/>
    <w:rsid w:val="00A2418E"/>
    <w:rsid w:val="00A327CD"/>
    <w:rsid w:val="00A34274"/>
    <w:rsid w:val="00A34C30"/>
    <w:rsid w:val="00A37DA4"/>
    <w:rsid w:val="00A40B93"/>
    <w:rsid w:val="00A4256E"/>
    <w:rsid w:val="00A4293D"/>
    <w:rsid w:val="00A42EE7"/>
    <w:rsid w:val="00A43522"/>
    <w:rsid w:val="00A43D8D"/>
    <w:rsid w:val="00A44646"/>
    <w:rsid w:val="00A44FC6"/>
    <w:rsid w:val="00A46353"/>
    <w:rsid w:val="00A46DAB"/>
    <w:rsid w:val="00A477F8"/>
    <w:rsid w:val="00A47C81"/>
    <w:rsid w:val="00A53176"/>
    <w:rsid w:val="00A537CA"/>
    <w:rsid w:val="00A5429E"/>
    <w:rsid w:val="00A544FC"/>
    <w:rsid w:val="00A54FC6"/>
    <w:rsid w:val="00A56BB9"/>
    <w:rsid w:val="00A57E88"/>
    <w:rsid w:val="00A60F8A"/>
    <w:rsid w:val="00A61620"/>
    <w:rsid w:val="00A63EE5"/>
    <w:rsid w:val="00A674FB"/>
    <w:rsid w:val="00A70F34"/>
    <w:rsid w:val="00A71BA7"/>
    <w:rsid w:val="00A77C93"/>
    <w:rsid w:val="00A77CF0"/>
    <w:rsid w:val="00A8297C"/>
    <w:rsid w:val="00A82C71"/>
    <w:rsid w:val="00A83C88"/>
    <w:rsid w:val="00A861B6"/>
    <w:rsid w:val="00A86E09"/>
    <w:rsid w:val="00A86E2C"/>
    <w:rsid w:val="00A939C8"/>
    <w:rsid w:val="00A976BF"/>
    <w:rsid w:val="00AA07C0"/>
    <w:rsid w:val="00AA2672"/>
    <w:rsid w:val="00AA6268"/>
    <w:rsid w:val="00AA6875"/>
    <w:rsid w:val="00AA763F"/>
    <w:rsid w:val="00AB06AC"/>
    <w:rsid w:val="00AB13C9"/>
    <w:rsid w:val="00AB2278"/>
    <w:rsid w:val="00AB35FC"/>
    <w:rsid w:val="00AB4710"/>
    <w:rsid w:val="00AB50D0"/>
    <w:rsid w:val="00AB51B2"/>
    <w:rsid w:val="00AB5C40"/>
    <w:rsid w:val="00AB738B"/>
    <w:rsid w:val="00AB7BFB"/>
    <w:rsid w:val="00AC053E"/>
    <w:rsid w:val="00AC0687"/>
    <w:rsid w:val="00AC3979"/>
    <w:rsid w:val="00AC3CE4"/>
    <w:rsid w:val="00AC484A"/>
    <w:rsid w:val="00AC6682"/>
    <w:rsid w:val="00AD14D2"/>
    <w:rsid w:val="00AD288D"/>
    <w:rsid w:val="00AD32CB"/>
    <w:rsid w:val="00AD4406"/>
    <w:rsid w:val="00AD7B82"/>
    <w:rsid w:val="00AE1856"/>
    <w:rsid w:val="00AE3FC1"/>
    <w:rsid w:val="00AE773D"/>
    <w:rsid w:val="00AF083B"/>
    <w:rsid w:val="00AF218F"/>
    <w:rsid w:val="00AF27E5"/>
    <w:rsid w:val="00AF5005"/>
    <w:rsid w:val="00AF5782"/>
    <w:rsid w:val="00AF6799"/>
    <w:rsid w:val="00AF7C59"/>
    <w:rsid w:val="00B029D6"/>
    <w:rsid w:val="00B10CE0"/>
    <w:rsid w:val="00B11F06"/>
    <w:rsid w:val="00B13E75"/>
    <w:rsid w:val="00B17CA8"/>
    <w:rsid w:val="00B17CBA"/>
    <w:rsid w:val="00B21594"/>
    <w:rsid w:val="00B22522"/>
    <w:rsid w:val="00B275E0"/>
    <w:rsid w:val="00B27C44"/>
    <w:rsid w:val="00B30138"/>
    <w:rsid w:val="00B30963"/>
    <w:rsid w:val="00B32687"/>
    <w:rsid w:val="00B34A0E"/>
    <w:rsid w:val="00B35D01"/>
    <w:rsid w:val="00B37CF9"/>
    <w:rsid w:val="00B37D13"/>
    <w:rsid w:val="00B37DAF"/>
    <w:rsid w:val="00B40687"/>
    <w:rsid w:val="00B41DB0"/>
    <w:rsid w:val="00B42589"/>
    <w:rsid w:val="00B55867"/>
    <w:rsid w:val="00B560AB"/>
    <w:rsid w:val="00B56A54"/>
    <w:rsid w:val="00B56FDA"/>
    <w:rsid w:val="00B57534"/>
    <w:rsid w:val="00B57F10"/>
    <w:rsid w:val="00B615B1"/>
    <w:rsid w:val="00B61AC1"/>
    <w:rsid w:val="00B61CCD"/>
    <w:rsid w:val="00B62574"/>
    <w:rsid w:val="00B62B35"/>
    <w:rsid w:val="00B67B90"/>
    <w:rsid w:val="00B703B1"/>
    <w:rsid w:val="00B71827"/>
    <w:rsid w:val="00B73F9E"/>
    <w:rsid w:val="00B74359"/>
    <w:rsid w:val="00B74A76"/>
    <w:rsid w:val="00B76291"/>
    <w:rsid w:val="00B76A42"/>
    <w:rsid w:val="00B81A52"/>
    <w:rsid w:val="00B82921"/>
    <w:rsid w:val="00B82D26"/>
    <w:rsid w:val="00B8365A"/>
    <w:rsid w:val="00B8368E"/>
    <w:rsid w:val="00B837B5"/>
    <w:rsid w:val="00B83D8D"/>
    <w:rsid w:val="00B856BB"/>
    <w:rsid w:val="00B864C6"/>
    <w:rsid w:val="00B90083"/>
    <w:rsid w:val="00B900DF"/>
    <w:rsid w:val="00B90A21"/>
    <w:rsid w:val="00B911D2"/>
    <w:rsid w:val="00B91B20"/>
    <w:rsid w:val="00B91D49"/>
    <w:rsid w:val="00B92EA5"/>
    <w:rsid w:val="00B92F42"/>
    <w:rsid w:val="00B93B13"/>
    <w:rsid w:val="00B93F16"/>
    <w:rsid w:val="00B93F53"/>
    <w:rsid w:val="00B946D8"/>
    <w:rsid w:val="00B94994"/>
    <w:rsid w:val="00B9505B"/>
    <w:rsid w:val="00B95CB1"/>
    <w:rsid w:val="00B9696A"/>
    <w:rsid w:val="00B97BDE"/>
    <w:rsid w:val="00B97F1E"/>
    <w:rsid w:val="00B97F24"/>
    <w:rsid w:val="00BA149B"/>
    <w:rsid w:val="00BA16F0"/>
    <w:rsid w:val="00BA16F5"/>
    <w:rsid w:val="00BA1AAB"/>
    <w:rsid w:val="00BA26BB"/>
    <w:rsid w:val="00BA2BA8"/>
    <w:rsid w:val="00BA64EB"/>
    <w:rsid w:val="00BB0282"/>
    <w:rsid w:val="00BB0BEF"/>
    <w:rsid w:val="00BB32F9"/>
    <w:rsid w:val="00BB4A0B"/>
    <w:rsid w:val="00BB50F5"/>
    <w:rsid w:val="00BB5432"/>
    <w:rsid w:val="00BB5AE2"/>
    <w:rsid w:val="00BB644E"/>
    <w:rsid w:val="00BB7015"/>
    <w:rsid w:val="00BC2C87"/>
    <w:rsid w:val="00BC2D94"/>
    <w:rsid w:val="00BC3013"/>
    <w:rsid w:val="00BC55A8"/>
    <w:rsid w:val="00BC6A96"/>
    <w:rsid w:val="00BC77CA"/>
    <w:rsid w:val="00BD01B1"/>
    <w:rsid w:val="00BD026E"/>
    <w:rsid w:val="00BD3E8B"/>
    <w:rsid w:val="00BD4431"/>
    <w:rsid w:val="00BD524B"/>
    <w:rsid w:val="00BD576C"/>
    <w:rsid w:val="00BE1304"/>
    <w:rsid w:val="00BE19A2"/>
    <w:rsid w:val="00BE32B8"/>
    <w:rsid w:val="00BE3E9A"/>
    <w:rsid w:val="00BE555E"/>
    <w:rsid w:val="00BE56A3"/>
    <w:rsid w:val="00BE6317"/>
    <w:rsid w:val="00BF0F88"/>
    <w:rsid w:val="00BF36C3"/>
    <w:rsid w:val="00BF6C24"/>
    <w:rsid w:val="00BF74CE"/>
    <w:rsid w:val="00C00C3B"/>
    <w:rsid w:val="00C02900"/>
    <w:rsid w:val="00C036E9"/>
    <w:rsid w:val="00C03E2B"/>
    <w:rsid w:val="00C04B1F"/>
    <w:rsid w:val="00C05745"/>
    <w:rsid w:val="00C06FA1"/>
    <w:rsid w:val="00C074E1"/>
    <w:rsid w:val="00C1026D"/>
    <w:rsid w:val="00C11029"/>
    <w:rsid w:val="00C156B4"/>
    <w:rsid w:val="00C16946"/>
    <w:rsid w:val="00C17908"/>
    <w:rsid w:val="00C22DD3"/>
    <w:rsid w:val="00C24C2C"/>
    <w:rsid w:val="00C3036F"/>
    <w:rsid w:val="00C30C3E"/>
    <w:rsid w:val="00C32802"/>
    <w:rsid w:val="00C33D1A"/>
    <w:rsid w:val="00C35028"/>
    <w:rsid w:val="00C373A3"/>
    <w:rsid w:val="00C40212"/>
    <w:rsid w:val="00C40C27"/>
    <w:rsid w:val="00C41212"/>
    <w:rsid w:val="00C41A5D"/>
    <w:rsid w:val="00C42AA9"/>
    <w:rsid w:val="00C42B82"/>
    <w:rsid w:val="00C4571E"/>
    <w:rsid w:val="00C457CC"/>
    <w:rsid w:val="00C46E75"/>
    <w:rsid w:val="00C50A8B"/>
    <w:rsid w:val="00C515DE"/>
    <w:rsid w:val="00C51C2E"/>
    <w:rsid w:val="00C53DC5"/>
    <w:rsid w:val="00C5450C"/>
    <w:rsid w:val="00C573C6"/>
    <w:rsid w:val="00C60258"/>
    <w:rsid w:val="00C65920"/>
    <w:rsid w:val="00C66465"/>
    <w:rsid w:val="00C70252"/>
    <w:rsid w:val="00C7090F"/>
    <w:rsid w:val="00C736D5"/>
    <w:rsid w:val="00C7455B"/>
    <w:rsid w:val="00C76627"/>
    <w:rsid w:val="00C76640"/>
    <w:rsid w:val="00C774A0"/>
    <w:rsid w:val="00C80E41"/>
    <w:rsid w:val="00C81017"/>
    <w:rsid w:val="00C81B8D"/>
    <w:rsid w:val="00C81C8D"/>
    <w:rsid w:val="00C81C94"/>
    <w:rsid w:val="00C8210A"/>
    <w:rsid w:val="00C82FDA"/>
    <w:rsid w:val="00C8395F"/>
    <w:rsid w:val="00C83BF8"/>
    <w:rsid w:val="00C84845"/>
    <w:rsid w:val="00C852C3"/>
    <w:rsid w:val="00C85F26"/>
    <w:rsid w:val="00C87FD5"/>
    <w:rsid w:val="00C92351"/>
    <w:rsid w:val="00C92984"/>
    <w:rsid w:val="00C92EB1"/>
    <w:rsid w:val="00C92F41"/>
    <w:rsid w:val="00C9360D"/>
    <w:rsid w:val="00C93E89"/>
    <w:rsid w:val="00C951E7"/>
    <w:rsid w:val="00C97088"/>
    <w:rsid w:val="00CA01CA"/>
    <w:rsid w:val="00CA11D0"/>
    <w:rsid w:val="00CA25D4"/>
    <w:rsid w:val="00CA5F01"/>
    <w:rsid w:val="00CA705E"/>
    <w:rsid w:val="00CB20E1"/>
    <w:rsid w:val="00CB26E0"/>
    <w:rsid w:val="00CB42B9"/>
    <w:rsid w:val="00CB4589"/>
    <w:rsid w:val="00CB459B"/>
    <w:rsid w:val="00CB6226"/>
    <w:rsid w:val="00CC1433"/>
    <w:rsid w:val="00CC3D9E"/>
    <w:rsid w:val="00CC44CF"/>
    <w:rsid w:val="00CC4AC6"/>
    <w:rsid w:val="00CC50F1"/>
    <w:rsid w:val="00CC72F8"/>
    <w:rsid w:val="00CC78FB"/>
    <w:rsid w:val="00CC7F8E"/>
    <w:rsid w:val="00CD1C74"/>
    <w:rsid w:val="00CD2E05"/>
    <w:rsid w:val="00CD4320"/>
    <w:rsid w:val="00CD4368"/>
    <w:rsid w:val="00CD46B8"/>
    <w:rsid w:val="00CD6564"/>
    <w:rsid w:val="00CE09DD"/>
    <w:rsid w:val="00CE0DFA"/>
    <w:rsid w:val="00CE2FFC"/>
    <w:rsid w:val="00CE4147"/>
    <w:rsid w:val="00CE479B"/>
    <w:rsid w:val="00CE7314"/>
    <w:rsid w:val="00CF0064"/>
    <w:rsid w:val="00CF0A86"/>
    <w:rsid w:val="00CF2651"/>
    <w:rsid w:val="00CF722E"/>
    <w:rsid w:val="00CF7D27"/>
    <w:rsid w:val="00CF7D7C"/>
    <w:rsid w:val="00D0012E"/>
    <w:rsid w:val="00D0473F"/>
    <w:rsid w:val="00D04769"/>
    <w:rsid w:val="00D1029D"/>
    <w:rsid w:val="00D12839"/>
    <w:rsid w:val="00D1403D"/>
    <w:rsid w:val="00D15249"/>
    <w:rsid w:val="00D153BE"/>
    <w:rsid w:val="00D15609"/>
    <w:rsid w:val="00D1610B"/>
    <w:rsid w:val="00D168CB"/>
    <w:rsid w:val="00D17A7F"/>
    <w:rsid w:val="00D22607"/>
    <w:rsid w:val="00D22D01"/>
    <w:rsid w:val="00D24938"/>
    <w:rsid w:val="00D25827"/>
    <w:rsid w:val="00D2618A"/>
    <w:rsid w:val="00D27477"/>
    <w:rsid w:val="00D30DCB"/>
    <w:rsid w:val="00D314AD"/>
    <w:rsid w:val="00D324BE"/>
    <w:rsid w:val="00D32EAD"/>
    <w:rsid w:val="00D3397A"/>
    <w:rsid w:val="00D33DA1"/>
    <w:rsid w:val="00D35C81"/>
    <w:rsid w:val="00D35CD1"/>
    <w:rsid w:val="00D36694"/>
    <w:rsid w:val="00D367BB"/>
    <w:rsid w:val="00D36D0B"/>
    <w:rsid w:val="00D428EF"/>
    <w:rsid w:val="00D44102"/>
    <w:rsid w:val="00D448A2"/>
    <w:rsid w:val="00D450F7"/>
    <w:rsid w:val="00D47B02"/>
    <w:rsid w:val="00D52603"/>
    <w:rsid w:val="00D54196"/>
    <w:rsid w:val="00D543BD"/>
    <w:rsid w:val="00D555A3"/>
    <w:rsid w:val="00D55EC2"/>
    <w:rsid w:val="00D56096"/>
    <w:rsid w:val="00D569A9"/>
    <w:rsid w:val="00D63F01"/>
    <w:rsid w:val="00D66094"/>
    <w:rsid w:val="00D730E7"/>
    <w:rsid w:val="00D751D4"/>
    <w:rsid w:val="00D75D10"/>
    <w:rsid w:val="00D764D6"/>
    <w:rsid w:val="00D768A4"/>
    <w:rsid w:val="00D77530"/>
    <w:rsid w:val="00D77D8D"/>
    <w:rsid w:val="00D80ACB"/>
    <w:rsid w:val="00D81568"/>
    <w:rsid w:val="00D81B7A"/>
    <w:rsid w:val="00D81EB5"/>
    <w:rsid w:val="00D82D24"/>
    <w:rsid w:val="00D84AAC"/>
    <w:rsid w:val="00D85312"/>
    <w:rsid w:val="00D900FE"/>
    <w:rsid w:val="00D91C57"/>
    <w:rsid w:val="00D91F00"/>
    <w:rsid w:val="00D93500"/>
    <w:rsid w:val="00D9634E"/>
    <w:rsid w:val="00D96D55"/>
    <w:rsid w:val="00DA07DF"/>
    <w:rsid w:val="00DA0DA0"/>
    <w:rsid w:val="00DA13DB"/>
    <w:rsid w:val="00DA2AA3"/>
    <w:rsid w:val="00DA51B3"/>
    <w:rsid w:val="00DA55DB"/>
    <w:rsid w:val="00DA666E"/>
    <w:rsid w:val="00DB035D"/>
    <w:rsid w:val="00DB181E"/>
    <w:rsid w:val="00DB2107"/>
    <w:rsid w:val="00DB29B1"/>
    <w:rsid w:val="00DB31AE"/>
    <w:rsid w:val="00DB3770"/>
    <w:rsid w:val="00DB3A87"/>
    <w:rsid w:val="00DB3BD3"/>
    <w:rsid w:val="00DB3F61"/>
    <w:rsid w:val="00DB53FB"/>
    <w:rsid w:val="00DB585E"/>
    <w:rsid w:val="00DB6327"/>
    <w:rsid w:val="00DB7741"/>
    <w:rsid w:val="00DB799F"/>
    <w:rsid w:val="00DB7E4B"/>
    <w:rsid w:val="00DC00EB"/>
    <w:rsid w:val="00DC43FD"/>
    <w:rsid w:val="00DC5741"/>
    <w:rsid w:val="00DC7FB0"/>
    <w:rsid w:val="00DD557B"/>
    <w:rsid w:val="00DD614A"/>
    <w:rsid w:val="00DD68C0"/>
    <w:rsid w:val="00DD6D36"/>
    <w:rsid w:val="00DD7112"/>
    <w:rsid w:val="00DE0894"/>
    <w:rsid w:val="00DE300A"/>
    <w:rsid w:val="00DE3BD1"/>
    <w:rsid w:val="00DE49B0"/>
    <w:rsid w:val="00DE52C9"/>
    <w:rsid w:val="00DE5E9F"/>
    <w:rsid w:val="00DE7537"/>
    <w:rsid w:val="00DF021A"/>
    <w:rsid w:val="00E00BC3"/>
    <w:rsid w:val="00E0236F"/>
    <w:rsid w:val="00E0287A"/>
    <w:rsid w:val="00E039B2"/>
    <w:rsid w:val="00E03BA3"/>
    <w:rsid w:val="00E06163"/>
    <w:rsid w:val="00E06506"/>
    <w:rsid w:val="00E10472"/>
    <w:rsid w:val="00E10602"/>
    <w:rsid w:val="00E10738"/>
    <w:rsid w:val="00E1147D"/>
    <w:rsid w:val="00E1154F"/>
    <w:rsid w:val="00E11A5F"/>
    <w:rsid w:val="00E14049"/>
    <w:rsid w:val="00E15DFF"/>
    <w:rsid w:val="00E16EA1"/>
    <w:rsid w:val="00E17805"/>
    <w:rsid w:val="00E227D7"/>
    <w:rsid w:val="00E233B9"/>
    <w:rsid w:val="00E2461F"/>
    <w:rsid w:val="00E2559A"/>
    <w:rsid w:val="00E26614"/>
    <w:rsid w:val="00E26D7F"/>
    <w:rsid w:val="00E2724A"/>
    <w:rsid w:val="00E274F0"/>
    <w:rsid w:val="00E356F6"/>
    <w:rsid w:val="00E35A55"/>
    <w:rsid w:val="00E3671C"/>
    <w:rsid w:val="00E3718E"/>
    <w:rsid w:val="00E37438"/>
    <w:rsid w:val="00E3774A"/>
    <w:rsid w:val="00E40350"/>
    <w:rsid w:val="00E4061E"/>
    <w:rsid w:val="00E40A52"/>
    <w:rsid w:val="00E41562"/>
    <w:rsid w:val="00E43635"/>
    <w:rsid w:val="00E4363F"/>
    <w:rsid w:val="00E4429B"/>
    <w:rsid w:val="00E44746"/>
    <w:rsid w:val="00E470EE"/>
    <w:rsid w:val="00E50DF3"/>
    <w:rsid w:val="00E51A07"/>
    <w:rsid w:val="00E51E15"/>
    <w:rsid w:val="00E52506"/>
    <w:rsid w:val="00E5279E"/>
    <w:rsid w:val="00E5415E"/>
    <w:rsid w:val="00E5503F"/>
    <w:rsid w:val="00E55B9F"/>
    <w:rsid w:val="00E5676D"/>
    <w:rsid w:val="00E6161C"/>
    <w:rsid w:val="00E616C8"/>
    <w:rsid w:val="00E6383D"/>
    <w:rsid w:val="00E63C59"/>
    <w:rsid w:val="00E640D0"/>
    <w:rsid w:val="00E6457E"/>
    <w:rsid w:val="00E64D64"/>
    <w:rsid w:val="00E67DBB"/>
    <w:rsid w:val="00E72D26"/>
    <w:rsid w:val="00E72D51"/>
    <w:rsid w:val="00E73C05"/>
    <w:rsid w:val="00E7533E"/>
    <w:rsid w:val="00E75353"/>
    <w:rsid w:val="00E76011"/>
    <w:rsid w:val="00E76126"/>
    <w:rsid w:val="00E77977"/>
    <w:rsid w:val="00E8267C"/>
    <w:rsid w:val="00E848B5"/>
    <w:rsid w:val="00E8555D"/>
    <w:rsid w:val="00E85858"/>
    <w:rsid w:val="00E86179"/>
    <w:rsid w:val="00E86192"/>
    <w:rsid w:val="00E87796"/>
    <w:rsid w:val="00E879F0"/>
    <w:rsid w:val="00E87EF3"/>
    <w:rsid w:val="00E913BC"/>
    <w:rsid w:val="00E916D6"/>
    <w:rsid w:val="00E91A5D"/>
    <w:rsid w:val="00E91F77"/>
    <w:rsid w:val="00E93094"/>
    <w:rsid w:val="00E9559E"/>
    <w:rsid w:val="00E95825"/>
    <w:rsid w:val="00E96201"/>
    <w:rsid w:val="00E96C9F"/>
    <w:rsid w:val="00E97892"/>
    <w:rsid w:val="00EA000E"/>
    <w:rsid w:val="00EA0B9A"/>
    <w:rsid w:val="00EA0F9D"/>
    <w:rsid w:val="00EA15FD"/>
    <w:rsid w:val="00EA1F5C"/>
    <w:rsid w:val="00EA454A"/>
    <w:rsid w:val="00EA5066"/>
    <w:rsid w:val="00EA6EF0"/>
    <w:rsid w:val="00EB07A1"/>
    <w:rsid w:val="00EB10CE"/>
    <w:rsid w:val="00EB257C"/>
    <w:rsid w:val="00EB271E"/>
    <w:rsid w:val="00EB299F"/>
    <w:rsid w:val="00EB3A08"/>
    <w:rsid w:val="00EB3A6F"/>
    <w:rsid w:val="00EB3DB3"/>
    <w:rsid w:val="00EB4DE5"/>
    <w:rsid w:val="00EB6891"/>
    <w:rsid w:val="00EB6AEB"/>
    <w:rsid w:val="00EB6CBA"/>
    <w:rsid w:val="00EB7192"/>
    <w:rsid w:val="00EB7954"/>
    <w:rsid w:val="00EC0A18"/>
    <w:rsid w:val="00EC0C53"/>
    <w:rsid w:val="00EC1FBB"/>
    <w:rsid w:val="00EC4198"/>
    <w:rsid w:val="00EC49A8"/>
    <w:rsid w:val="00EC4EF7"/>
    <w:rsid w:val="00EC65F9"/>
    <w:rsid w:val="00EC699B"/>
    <w:rsid w:val="00EC6C03"/>
    <w:rsid w:val="00EC7282"/>
    <w:rsid w:val="00ED0CC8"/>
    <w:rsid w:val="00ED0D3B"/>
    <w:rsid w:val="00EE33AE"/>
    <w:rsid w:val="00EE3FD5"/>
    <w:rsid w:val="00EE40DB"/>
    <w:rsid w:val="00EE4A17"/>
    <w:rsid w:val="00EE6064"/>
    <w:rsid w:val="00EE74DA"/>
    <w:rsid w:val="00EE7845"/>
    <w:rsid w:val="00EE7F49"/>
    <w:rsid w:val="00EF1137"/>
    <w:rsid w:val="00EF3441"/>
    <w:rsid w:val="00EF7386"/>
    <w:rsid w:val="00EF74F6"/>
    <w:rsid w:val="00EF7DCA"/>
    <w:rsid w:val="00F01C94"/>
    <w:rsid w:val="00F02572"/>
    <w:rsid w:val="00F02BAC"/>
    <w:rsid w:val="00F0387E"/>
    <w:rsid w:val="00F04C2A"/>
    <w:rsid w:val="00F067E3"/>
    <w:rsid w:val="00F10542"/>
    <w:rsid w:val="00F162E3"/>
    <w:rsid w:val="00F17056"/>
    <w:rsid w:val="00F2051F"/>
    <w:rsid w:val="00F2176E"/>
    <w:rsid w:val="00F23362"/>
    <w:rsid w:val="00F268BB"/>
    <w:rsid w:val="00F27780"/>
    <w:rsid w:val="00F308A9"/>
    <w:rsid w:val="00F346CA"/>
    <w:rsid w:val="00F34BCB"/>
    <w:rsid w:val="00F35D9D"/>
    <w:rsid w:val="00F36893"/>
    <w:rsid w:val="00F4491A"/>
    <w:rsid w:val="00F46280"/>
    <w:rsid w:val="00F507E5"/>
    <w:rsid w:val="00F50942"/>
    <w:rsid w:val="00F528F0"/>
    <w:rsid w:val="00F53F2C"/>
    <w:rsid w:val="00F55E4D"/>
    <w:rsid w:val="00F56415"/>
    <w:rsid w:val="00F60234"/>
    <w:rsid w:val="00F638E7"/>
    <w:rsid w:val="00F64CA7"/>
    <w:rsid w:val="00F655D4"/>
    <w:rsid w:val="00F67D33"/>
    <w:rsid w:val="00F70488"/>
    <w:rsid w:val="00F72FDA"/>
    <w:rsid w:val="00F73848"/>
    <w:rsid w:val="00F74BA8"/>
    <w:rsid w:val="00F77390"/>
    <w:rsid w:val="00F80A04"/>
    <w:rsid w:val="00F818E2"/>
    <w:rsid w:val="00F81C07"/>
    <w:rsid w:val="00F824E3"/>
    <w:rsid w:val="00F90D6B"/>
    <w:rsid w:val="00F91F05"/>
    <w:rsid w:val="00F93A07"/>
    <w:rsid w:val="00F94C9D"/>
    <w:rsid w:val="00F95A71"/>
    <w:rsid w:val="00FA29B1"/>
    <w:rsid w:val="00FA3B83"/>
    <w:rsid w:val="00FA62D0"/>
    <w:rsid w:val="00FA69B1"/>
    <w:rsid w:val="00FB0251"/>
    <w:rsid w:val="00FB1FD1"/>
    <w:rsid w:val="00FB22A0"/>
    <w:rsid w:val="00FB29E5"/>
    <w:rsid w:val="00FB4453"/>
    <w:rsid w:val="00FB66F1"/>
    <w:rsid w:val="00FC023B"/>
    <w:rsid w:val="00FC0B07"/>
    <w:rsid w:val="00FC153E"/>
    <w:rsid w:val="00FD01B9"/>
    <w:rsid w:val="00FD0668"/>
    <w:rsid w:val="00FD141D"/>
    <w:rsid w:val="00FD49A6"/>
    <w:rsid w:val="00FD5DD9"/>
    <w:rsid w:val="00FD7B03"/>
    <w:rsid w:val="00FE03B6"/>
    <w:rsid w:val="00FE21E7"/>
    <w:rsid w:val="00FE21F6"/>
    <w:rsid w:val="00FF2C08"/>
    <w:rsid w:val="00FF3F3B"/>
    <w:rsid w:val="00FF4320"/>
    <w:rsid w:val="00FF4A1B"/>
    <w:rsid w:val="00FF4AB9"/>
    <w:rsid w:val="00FF4DAB"/>
    <w:rsid w:val="00FF5B23"/>
    <w:rsid w:val="00FF5EA6"/>
    <w:rsid w:val="00FF63F4"/>
    <w:rsid w:val="00FF64A2"/>
    <w:rsid w:val="00FF64C1"/>
    <w:rsid w:val="01025F08"/>
    <w:rsid w:val="01124217"/>
    <w:rsid w:val="01154F05"/>
    <w:rsid w:val="01163027"/>
    <w:rsid w:val="01180666"/>
    <w:rsid w:val="011C71AF"/>
    <w:rsid w:val="011E669E"/>
    <w:rsid w:val="01200FE6"/>
    <w:rsid w:val="01202D0D"/>
    <w:rsid w:val="01242E48"/>
    <w:rsid w:val="013E7818"/>
    <w:rsid w:val="013F39E1"/>
    <w:rsid w:val="01463436"/>
    <w:rsid w:val="01467EE0"/>
    <w:rsid w:val="014A2169"/>
    <w:rsid w:val="014B6A20"/>
    <w:rsid w:val="01520A30"/>
    <w:rsid w:val="01527B24"/>
    <w:rsid w:val="0158368D"/>
    <w:rsid w:val="015967B7"/>
    <w:rsid w:val="015E2F9E"/>
    <w:rsid w:val="015F2967"/>
    <w:rsid w:val="0161660B"/>
    <w:rsid w:val="01654A3A"/>
    <w:rsid w:val="01690327"/>
    <w:rsid w:val="017A46EE"/>
    <w:rsid w:val="017D3657"/>
    <w:rsid w:val="018D17AA"/>
    <w:rsid w:val="019300AC"/>
    <w:rsid w:val="019423A5"/>
    <w:rsid w:val="01981260"/>
    <w:rsid w:val="019C7417"/>
    <w:rsid w:val="01A25AF0"/>
    <w:rsid w:val="01A84D98"/>
    <w:rsid w:val="01AD7A60"/>
    <w:rsid w:val="01B14D7B"/>
    <w:rsid w:val="01B162DF"/>
    <w:rsid w:val="01B8629A"/>
    <w:rsid w:val="01BA006B"/>
    <w:rsid w:val="01BA3DCF"/>
    <w:rsid w:val="01BB73E6"/>
    <w:rsid w:val="01BC3E1C"/>
    <w:rsid w:val="01BC5B2C"/>
    <w:rsid w:val="01C2138B"/>
    <w:rsid w:val="01D05AE5"/>
    <w:rsid w:val="01D33857"/>
    <w:rsid w:val="01D33FE1"/>
    <w:rsid w:val="01DB596D"/>
    <w:rsid w:val="01DD15C5"/>
    <w:rsid w:val="01DF5F1A"/>
    <w:rsid w:val="01EA2DCD"/>
    <w:rsid w:val="01F44C5E"/>
    <w:rsid w:val="01FB4C7C"/>
    <w:rsid w:val="01FE1127"/>
    <w:rsid w:val="01FE6325"/>
    <w:rsid w:val="02076A15"/>
    <w:rsid w:val="02121C2E"/>
    <w:rsid w:val="021E6B71"/>
    <w:rsid w:val="023420E9"/>
    <w:rsid w:val="023A62AF"/>
    <w:rsid w:val="02412C82"/>
    <w:rsid w:val="02481BEA"/>
    <w:rsid w:val="02485234"/>
    <w:rsid w:val="0249473A"/>
    <w:rsid w:val="02540D02"/>
    <w:rsid w:val="02570C12"/>
    <w:rsid w:val="025A7AAC"/>
    <w:rsid w:val="025C07A4"/>
    <w:rsid w:val="025C3DD4"/>
    <w:rsid w:val="025F48F8"/>
    <w:rsid w:val="025F7FC3"/>
    <w:rsid w:val="02610358"/>
    <w:rsid w:val="02622AAE"/>
    <w:rsid w:val="027408D3"/>
    <w:rsid w:val="02800AF3"/>
    <w:rsid w:val="028C4CED"/>
    <w:rsid w:val="02943240"/>
    <w:rsid w:val="02947F53"/>
    <w:rsid w:val="02AD01BF"/>
    <w:rsid w:val="02B2643A"/>
    <w:rsid w:val="02C554D2"/>
    <w:rsid w:val="02CE097E"/>
    <w:rsid w:val="02CF240E"/>
    <w:rsid w:val="02E14A08"/>
    <w:rsid w:val="02E61B9A"/>
    <w:rsid w:val="02EC7AFE"/>
    <w:rsid w:val="02FB716E"/>
    <w:rsid w:val="03013581"/>
    <w:rsid w:val="03027805"/>
    <w:rsid w:val="030509E4"/>
    <w:rsid w:val="03092390"/>
    <w:rsid w:val="030A2CDF"/>
    <w:rsid w:val="03155AF6"/>
    <w:rsid w:val="03162305"/>
    <w:rsid w:val="031D33F9"/>
    <w:rsid w:val="03310017"/>
    <w:rsid w:val="033458B6"/>
    <w:rsid w:val="0342580D"/>
    <w:rsid w:val="034D1B22"/>
    <w:rsid w:val="03534CB6"/>
    <w:rsid w:val="035447CF"/>
    <w:rsid w:val="035845F4"/>
    <w:rsid w:val="035E78B9"/>
    <w:rsid w:val="03691FCB"/>
    <w:rsid w:val="036B7C6E"/>
    <w:rsid w:val="036E3595"/>
    <w:rsid w:val="037114DF"/>
    <w:rsid w:val="03730F0A"/>
    <w:rsid w:val="037B159D"/>
    <w:rsid w:val="03913B63"/>
    <w:rsid w:val="03965607"/>
    <w:rsid w:val="039B5570"/>
    <w:rsid w:val="03B00483"/>
    <w:rsid w:val="03B34782"/>
    <w:rsid w:val="03B92EBE"/>
    <w:rsid w:val="03BB4D60"/>
    <w:rsid w:val="03D432CF"/>
    <w:rsid w:val="03DB2484"/>
    <w:rsid w:val="03E046AF"/>
    <w:rsid w:val="03E20ABE"/>
    <w:rsid w:val="03EA4FFD"/>
    <w:rsid w:val="03F15D02"/>
    <w:rsid w:val="03FD18E7"/>
    <w:rsid w:val="04086959"/>
    <w:rsid w:val="04115022"/>
    <w:rsid w:val="04154DA9"/>
    <w:rsid w:val="0421608D"/>
    <w:rsid w:val="04295BF6"/>
    <w:rsid w:val="042E2A2E"/>
    <w:rsid w:val="04354C38"/>
    <w:rsid w:val="0440026E"/>
    <w:rsid w:val="04521AEA"/>
    <w:rsid w:val="045351C7"/>
    <w:rsid w:val="04596511"/>
    <w:rsid w:val="04657BFA"/>
    <w:rsid w:val="04712B56"/>
    <w:rsid w:val="04752E6E"/>
    <w:rsid w:val="04755189"/>
    <w:rsid w:val="047C33BF"/>
    <w:rsid w:val="047D26DC"/>
    <w:rsid w:val="049C7B3B"/>
    <w:rsid w:val="04A06FEC"/>
    <w:rsid w:val="04A16055"/>
    <w:rsid w:val="04A2022D"/>
    <w:rsid w:val="04A90558"/>
    <w:rsid w:val="04B27B6B"/>
    <w:rsid w:val="04B27BC6"/>
    <w:rsid w:val="04B70D61"/>
    <w:rsid w:val="04B81D48"/>
    <w:rsid w:val="04B879E7"/>
    <w:rsid w:val="04CC730D"/>
    <w:rsid w:val="04D963CA"/>
    <w:rsid w:val="04DC31BA"/>
    <w:rsid w:val="04EB5423"/>
    <w:rsid w:val="04F9514B"/>
    <w:rsid w:val="0500324F"/>
    <w:rsid w:val="0505443D"/>
    <w:rsid w:val="05104DE1"/>
    <w:rsid w:val="0516704E"/>
    <w:rsid w:val="05297255"/>
    <w:rsid w:val="052A3210"/>
    <w:rsid w:val="052C15DE"/>
    <w:rsid w:val="052E14DE"/>
    <w:rsid w:val="053062A4"/>
    <w:rsid w:val="05455108"/>
    <w:rsid w:val="055676AE"/>
    <w:rsid w:val="05635422"/>
    <w:rsid w:val="0565417F"/>
    <w:rsid w:val="056A5645"/>
    <w:rsid w:val="056D2A3D"/>
    <w:rsid w:val="056E1E32"/>
    <w:rsid w:val="057240D4"/>
    <w:rsid w:val="05732E3E"/>
    <w:rsid w:val="057365D7"/>
    <w:rsid w:val="05746317"/>
    <w:rsid w:val="05761676"/>
    <w:rsid w:val="05767310"/>
    <w:rsid w:val="05797EA0"/>
    <w:rsid w:val="057B4BF0"/>
    <w:rsid w:val="058342FF"/>
    <w:rsid w:val="05850341"/>
    <w:rsid w:val="059403A9"/>
    <w:rsid w:val="05964290"/>
    <w:rsid w:val="059B7D8C"/>
    <w:rsid w:val="05A51E46"/>
    <w:rsid w:val="05AC74EC"/>
    <w:rsid w:val="05C7462E"/>
    <w:rsid w:val="05CB0877"/>
    <w:rsid w:val="05CD2C16"/>
    <w:rsid w:val="05D14CD1"/>
    <w:rsid w:val="05D4003C"/>
    <w:rsid w:val="05E1700C"/>
    <w:rsid w:val="05E5376A"/>
    <w:rsid w:val="05E551A9"/>
    <w:rsid w:val="05EC4685"/>
    <w:rsid w:val="05EC6FA9"/>
    <w:rsid w:val="05FC76ED"/>
    <w:rsid w:val="060D094A"/>
    <w:rsid w:val="06183E35"/>
    <w:rsid w:val="061C0B42"/>
    <w:rsid w:val="062077BC"/>
    <w:rsid w:val="06263550"/>
    <w:rsid w:val="062B4F6C"/>
    <w:rsid w:val="063945BD"/>
    <w:rsid w:val="063E2912"/>
    <w:rsid w:val="063E567F"/>
    <w:rsid w:val="06406DA5"/>
    <w:rsid w:val="06422B82"/>
    <w:rsid w:val="06444321"/>
    <w:rsid w:val="06462550"/>
    <w:rsid w:val="06513E1F"/>
    <w:rsid w:val="06531B7A"/>
    <w:rsid w:val="06685FBF"/>
    <w:rsid w:val="06753B06"/>
    <w:rsid w:val="067C3C0F"/>
    <w:rsid w:val="067F382C"/>
    <w:rsid w:val="068A70CD"/>
    <w:rsid w:val="069114D4"/>
    <w:rsid w:val="069D5FE0"/>
    <w:rsid w:val="06A7795D"/>
    <w:rsid w:val="06B91842"/>
    <w:rsid w:val="06BC7366"/>
    <w:rsid w:val="06D1185F"/>
    <w:rsid w:val="06D13614"/>
    <w:rsid w:val="06D25923"/>
    <w:rsid w:val="06D468DE"/>
    <w:rsid w:val="06DC415C"/>
    <w:rsid w:val="06E97386"/>
    <w:rsid w:val="06ED70ED"/>
    <w:rsid w:val="06FC0547"/>
    <w:rsid w:val="06FD17E3"/>
    <w:rsid w:val="06FE6DB3"/>
    <w:rsid w:val="07037230"/>
    <w:rsid w:val="070B7949"/>
    <w:rsid w:val="070E3AED"/>
    <w:rsid w:val="072625D2"/>
    <w:rsid w:val="073570D1"/>
    <w:rsid w:val="074B22A6"/>
    <w:rsid w:val="074D54C7"/>
    <w:rsid w:val="075D436D"/>
    <w:rsid w:val="076164E6"/>
    <w:rsid w:val="07672F42"/>
    <w:rsid w:val="077043C5"/>
    <w:rsid w:val="07731D3A"/>
    <w:rsid w:val="078170FF"/>
    <w:rsid w:val="078712F8"/>
    <w:rsid w:val="078A6C26"/>
    <w:rsid w:val="07957801"/>
    <w:rsid w:val="07970BCE"/>
    <w:rsid w:val="079A5AA7"/>
    <w:rsid w:val="079C1D84"/>
    <w:rsid w:val="079D3069"/>
    <w:rsid w:val="07A017CB"/>
    <w:rsid w:val="07A53872"/>
    <w:rsid w:val="07AB14BC"/>
    <w:rsid w:val="07B23909"/>
    <w:rsid w:val="07B3148E"/>
    <w:rsid w:val="07B5493D"/>
    <w:rsid w:val="07B71F71"/>
    <w:rsid w:val="07C64E44"/>
    <w:rsid w:val="07D22A9D"/>
    <w:rsid w:val="07D92819"/>
    <w:rsid w:val="07DA4E1B"/>
    <w:rsid w:val="07DE5555"/>
    <w:rsid w:val="07DE5E21"/>
    <w:rsid w:val="07E16986"/>
    <w:rsid w:val="07E57FBD"/>
    <w:rsid w:val="07ED0D1C"/>
    <w:rsid w:val="07EF49C3"/>
    <w:rsid w:val="07F074F2"/>
    <w:rsid w:val="07FB446F"/>
    <w:rsid w:val="080448A2"/>
    <w:rsid w:val="08061EF6"/>
    <w:rsid w:val="080E79B2"/>
    <w:rsid w:val="081427A9"/>
    <w:rsid w:val="081E0BA4"/>
    <w:rsid w:val="081F2C40"/>
    <w:rsid w:val="08232C19"/>
    <w:rsid w:val="082A34E6"/>
    <w:rsid w:val="082A376C"/>
    <w:rsid w:val="083B0690"/>
    <w:rsid w:val="083F0789"/>
    <w:rsid w:val="08413090"/>
    <w:rsid w:val="08465317"/>
    <w:rsid w:val="084B511A"/>
    <w:rsid w:val="084B5B2F"/>
    <w:rsid w:val="084F41E9"/>
    <w:rsid w:val="087419D0"/>
    <w:rsid w:val="087D7BE5"/>
    <w:rsid w:val="08853D7F"/>
    <w:rsid w:val="08971921"/>
    <w:rsid w:val="089B0589"/>
    <w:rsid w:val="089C1F94"/>
    <w:rsid w:val="08A37542"/>
    <w:rsid w:val="08B40F2C"/>
    <w:rsid w:val="08B41478"/>
    <w:rsid w:val="08B67FCD"/>
    <w:rsid w:val="08B9303C"/>
    <w:rsid w:val="08BC410D"/>
    <w:rsid w:val="08BD6F20"/>
    <w:rsid w:val="08BE2A7C"/>
    <w:rsid w:val="08BF7BE8"/>
    <w:rsid w:val="08D8322C"/>
    <w:rsid w:val="08E65ECB"/>
    <w:rsid w:val="08E90A3D"/>
    <w:rsid w:val="08E94406"/>
    <w:rsid w:val="08EB2060"/>
    <w:rsid w:val="08ED6567"/>
    <w:rsid w:val="08F72659"/>
    <w:rsid w:val="08FC66FC"/>
    <w:rsid w:val="09041C7B"/>
    <w:rsid w:val="090B3523"/>
    <w:rsid w:val="09107963"/>
    <w:rsid w:val="091C1A32"/>
    <w:rsid w:val="091F5F41"/>
    <w:rsid w:val="09232E56"/>
    <w:rsid w:val="09260D77"/>
    <w:rsid w:val="09284BE6"/>
    <w:rsid w:val="093055DB"/>
    <w:rsid w:val="093144C5"/>
    <w:rsid w:val="09405818"/>
    <w:rsid w:val="094C2F97"/>
    <w:rsid w:val="09584C93"/>
    <w:rsid w:val="095C66EA"/>
    <w:rsid w:val="095D1587"/>
    <w:rsid w:val="09605C95"/>
    <w:rsid w:val="096A4C88"/>
    <w:rsid w:val="09883926"/>
    <w:rsid w:val="098C7B01"/>
    <w:rsid w:val="09984A94"/>
    <w:rsid w:val="099E3394"/>
    <w:rsid w:val="099F1922"/>
    <w:rsid w:val="09B332D1"/>
    <w:rsid w:val="09DE133D"/>
    <w:rsid w:val="09E216A9"/>
    <w:rsid w:val="09E425A5"/>
    <w:rsid w:val="09FB6187"/>
    <w:rsid w:val="09FC2399"/>
    <w:rsid w:val="0A0C34BA"/>
    <w:rsid w:val="0A0F22CB"/>
    <w:rsid w:val="0A1D0819"/>
    <w:rsid w:val="0A254B7C"/>
    <w:rsid w:val="0A281D26"/>
    <w:rsid w:val="0A282F86"/>
    <w:rsid w:val="0A3306AC"/>
    <w:rsid w:val="0A35075E"/>
    <w:rsid w:val="0A436057"/>
    <w:rsid w:val="0A451690"/>
    <w:rsid w:val="0A4A417D"/>
    <w:rsid w:val="0A534107"/>
    <w:rsid w:val="0A634F29"/>
    <w:rsid w:val="0A7148F1"/>
    <w:rsid w:val="0A79013C"/>
    <w:rsid w:val="0A84208A"/>
    <w:rsid w:val="0A882355"/>
    <w:rsid w:val="0A8933FF"/>
    <w:rsid w:val="0A8F42C7"/>
    <w:rsid w:val="0AA14ECF"/>
    <w:rsid w:val="0AA71785"/>
    <w:rsid w:val="0AA938F8"/>
    <w:rsid w:val="0AB26076"/>
    <w:rsid w:val="0AB44B92"/>
    <w:rsid w:val="0ABB419D"/>
    <w:rsid w:val="0ABE17FE"/>
    <w:rsid w:val="0AC15811"/>
    <w:rsid w:val="0AC93850"/>
    <w:rsid w:val="0ACB44CC"/>
    <w:rsid w:val="0ACF6C2D"/>
    <w:rsid w:val="0AD55F6D"/>
    <w:rsid w:val="0AD77EA0"/>
    <w:rsid w:val="0AE76842"/>
    <w:rsid w:val="0AE77DEB"/>
    <w:rsid w:val="0AED2367"/>
    <w:rsid w:val="0AEF33BB"/>
    <w:rsid w:val="0AF03DC8"/>
    <w:rsid w:val="0AF66E9F"/>
    <w:rsid w:val="0AFD3D39"/>
    <w:rsid w:val="0B013079"/>
    <w:rsid w:val="0B042706"/>
    <w:rsid w:val="0B060A1E"/>
    <w:rsid w:val="0B06790D"/>
    <w:rsid w:val="0B1675A3"/>
    <w:rsid w:val="0B172ACD"/>
    <w:rsid w:val="0B1764F1"/>
    <w:rsid w:val="0B193C83"/>
    <w:rsid w:val="0B1E788D"/>
    <w:rsid w:val="0B234BD3"/>
    <w:rsid w:val="0B256430"/>
    <w:rsid w:val="0B3A39E3"/>
    <w:rsid w:val="0B4A55BA"/>
    <w:rsid w:val="0B4C052A"/>
    <w:rsid w:val="0B4C16CB"/>
    <w:rsid w:val="0B4F3585"/>
    <w:rsid w:val="0B514526"/>
    <w:rsid w:val="0B515F3C"/>
    <w:rsid w:val="0B616093"/>
    <w:rsid w:val="0B661482"/>
    <w:rsid w:val="0B6D5E9F"/>
    <w:rsid w:val="0B727608"/>
    <w:rsid w:val="0B737D2A"/>
    <w:rsid w:val="0B744A29"/>
    <w:rsid w:val="0B7A1544"/>
    <w:rsid w:val="0B8C58F8"/>
    <w:rsid w:val="0B8C5E5E"/>
    <w:rsid w:val="0B8E36F0"/>
    <w:rsid w:val="0BA35B54"/>
    <w:rsid w:val="0BA416C3"/>
    <w:rsid w:val="0BA52F29"/>
    <w:rsid w:val="0BA75F55"/>
    <w:rsid w:val="0BAC0E63"/>
    <w:rsid w:val="0BC00F30"/>
    <w:rsid w:val="0BCA0C63"/>
    <w:rsid w:val="0BCD21E3"/>
    <w:rsid w:val="0BE47E94"/>
    <w:rsid w:val="0BEA49AE"/>
    <w:rsid w:val="0BEC7146"/>
    <w:rsid w:val="0BF754DE"/>
    <w:rsid w:val="0BFB636F"/>
    <w:rsid w:val="0C071B66"/>
    <w:rsid w:val="0C0C3D20"/>
    <w:rsid w:val="0C137E58"/>
    <w:rsid w:val="0C141A41"/>
    <w:rsid w:val="0C17335C"/>
    <w:rsid w:val="0C1A019B"/>
    <w:rsid w:val="0C2179C0"/>
    <w:rsid w:val="0C29500B"/>
    <w:rsid w:val="0C335C1E"/>
    <w:rsid w:val="0C514B3D"/>
    <w:rsid w:val="0C54283C"/>
    <w:rsid w:val="0C5500B5"/>
    <w:rsid w:val="0C6867E0"/>
    <w:rsid w:val="0C6B50A1"/>
    <w:rsid w:val="0C6F0CD2"/>
    <w:rsid w:val="0C721A58"/>
    <w:rsid w:val="0C747944"/>
    <w:rsid w:val="0C78158A"/>
    <w:rsid w:val="0C8E67AA"/>
    <w:rsid w:val="0C926916"/>
    <w:rsid w:val="0C9B2F42"/>
    <w:rsid w:val="0CA5394B"/>
    <w:rsid w:val="0CC36A17"/>
    <w:rsid w:val="0CC43D50"/>
    <w:rsid w:val="0CCA68D4"/>
    <w:rsid w:val="0CCC5468"/>
    <w:rsid w:val="0CD3631A"/>
    <w:rsid w:val="0CD5537E"/>
    <w:rsid w:val="0CE43071"/>
    <w:rsid w:val="0CF437AA"/>
    <w:rsid w:val="0D0324B6"/>
    <w:rsid w:val="0D097D2B"/>
    <w:rsid w:val="0D0B6489"/>
    <w:rsid w:val="0D10377A"/>
    <w:rsid w:val="0D151059"/>
    <w:rsid w:val="0D186FF7"/>
    <w:rsid w:val="0D2005C7"/>
    <w:rsid w:val="0D2F5A9F"/>
    <w:rsid w:val="0D30635D"/>
    <w:rsid w:val="0D335107"/>
    <w:rsid w:val="0D344224"/>
    <w:rsid w:val="0D36610E"/>
    <w:rsid w:val="0D3B4938"/>
    <w:rsid w:val="0D3B6AF7"/>
    <w:rsid w:val="0D3F6124"/>
    <w:rsid w:val="0D442B6B"/>
    <w:rsid w:val="0D46256E"/>
    <w:rsid w:val="0D493D89"/>
    <w:rsid w:val="0D560242"/>
    <w:rsid w:val="0D6154FF"/>
    <w:rsid w:val="0D616EAD"/>
    <w:rsid w:val="0D664BCD"/>
    <w:rsid w:val="0D684567"/>
    <w:rsid w:val="0D727DF3"/>
    <w:rsid w:val="0D866B0A"/>
    <w:rsid w:val="0D895706"/>
    <w:rsid w:val="0D8D4543"/>
    <w:rsid w:val="0D8E3387"/>
    <w:rsid w:val="0D91104A"/>
    <w:rsid w:val="0D9132C8"/>
    <w:rsid w:val="0D97781B"/>
    <w:rsid w:val="0D994EBD"/>
    <w:rsid w:val="0D9E0D46"/>
    <w:rsid w:val="0D9F363F"/>
    <w:rsid w:val="0DA901FB"/>
    <w:rsid w:val="0DB1778A"/>
    <w:rsid w:val="0DB65A71"/>
    <w:rsid w:val="0DC702EA"/>
    <w:rsid w:val="0DC769F0"/>
    <w:rsid w:val="0DCD3E30"/>
    <w:rsid w:val="0DD910C8"/>
    <w:rsid w:val="0DDB2BBA"/>
    <w:rsid w:val="0DDB42DA"/>
    <w:rsid w:val="0DDE09FC"/>
    <w:rsid w:val="0DE04828"/>
    <w:rsid w:val="0DE135A5"/>
    <w:rsid w:val="0DE96792"/>
    <w:rsid w:val="0DF25DDA"/>
    <w:rsid w:val="0E026934"/>
    <w:rsid w:val="0E0D528C"/>
    <w:rsid w:val="0E0F1EC5"/>
    <w:rsid w:val="0E132BE9"/>
    <w:rsid w:val="0E252D90"/>
    <w:rsid w:val="0E255548"/>
    <w:rsid w:val="0E2A233B"/>
    <w:rsid w:val="0E2E018C"/>
    <w:rsid w:val="0E2E7CF2"/>
    <w:rsid w:val="0E3119E0"/>
    <w:rsid w:val="0E3B07DF"/>
    <w:rsid w:val="0E3E0A89"/>
    <w:rsid w:val="0E3F6E12"/>
    <w:rsid w:val="0E45605A"/>
    <w:rsid w:val="0E4A4B07"/>
    <w:rsid w:val="0E4C0216"/>
    <w:rsid w:val="0E50278B"/>
    <w:rsid w:val="0E50551D"/>
    <w:rsid w:val="0E521B3F"/>
    <w:rsid w:val="0E530D1D"/>
    <w:rsid w:val="0E533916"/>
    <w:rsid w:val="0E5C70ED"/>
    <w:rsid w:val="0E5D054B"/>
    <w:rsid w:val="0E6B5CCD"/>
    <w:rsid w:val="0E71297C"/>
    <w:rsid w:val="0E7151BA"/>
    <w:rsid w:val="0E722287"/>
    <w:rsid w:val="0E7F28C7"/>
    <w:rsid w:val="0E8778D6"/>
    <w:rsid w:val="0E94039B"/>
    <w:rsid w:val="0E947EA4"/>
    <w:rsid w:val="0E986DFB"/>
    <w:rsid w:val="0E9C0310"/>
    <w:rsid w:val="0EA00D36"/>
    <w:rsid w:val="0EA4693C"/>
    <w:rsid w:val="0EB14E9A"/>
    <w:rsid w:val="0EB16D93"/>
    <w:rsid w:val="0EB330B6"/>
    <w:rsid w:val="0EB83582"/>
    <w:rsid w:val="0EBD2564"/>
    <w:rsid w:val="0EC97281"/>
    <w:rsid w:val="0ECD1822"/>
    <w:rsid w:val="0ECD6F74"/>
    <w:rsid w:val="0ECE1BA1"/>
    <w:rsid w:val="0ED81F12"/>
    <w:rsid w:val="0EDC66E6"/>
    <w:rsid w:val="0EE03F79"/>
    <w:rsid w:val="0EE507D3"/>
    <w:rsid w:val="0EF92448"/>
    <w:rsid w:val="0EFC5BE1"/>
    <w:rsid w:val="0EFF5BA9"/>
    <w:rsid w:val="0F061BA5"/>
    <w:rsid w:val="0F0C0E9C"/>
    <w:rsid w:val="0F0D68DD"/>
    <w:rsid w:val="0F1324F7"/>
    <w:rsid w:val="0F166584"/>
    <w:rsid w:val="0F31382A"/>
    <w:rsid w:val="0F35610D"/>
    <w:rsid w:val="0F3C01D3"/>
    <w:rsid w:val="0F4043E9"/>
    <w:rsid w:val="0F447612"/>
    <w:rsid w:val="0F4B795C"/>
    <w:rsid w:val="0F4F2531"/>
    <w:rsid w:val="0F5E17F2"/>
    <w:rsid w:val="0F5F4336"/>
    <w:rsid w:val="0F6A5320"/>
    <w:rsid w:val="0F6E113A"/>
    <w:rsid w:val="0F9F7E06"/>
    <w:rsid w:val="0FAB42CE"/>
    <w:rsid w:val="0FBF4437"/>
    <w:rsid w:val="0FC51E2D"/>
    <w:rsid w:val="0FC55FF5"/>
    <w:rsid w:val="0FCA7B8F"/>
    <w:rsid w:val="0FCB0DE1"/>
    <w:rsid w:val="0FCF16D8"/>
    <w:rsid w:val="0FDF3B60"/>
    <w:rsid w:val="0FE11E0B"/>
    <w:rsid w:val="0FE75609"/>
    <w:rsid w:val="0FEC6042"/>
    <w:rsid w:val="10021579"/>
    <w:rsid w:val="100B7718"/>
    <w:rsid w:val="10106B6E"/>
    <w:rsid w:val="10115E31"/>
    <w:rsid w:val="1019176D"/>
    <w:rsid w:val="101F1949"/>
    <w:rsid w:val="1023643B"/>
    <w:rsid w:val="102C1C79"/>
    <w:rsid w:val="102C6F10"/>
    <w:rsid w:val="103568DF"/>
    <w:rsid w:val="10362307"/>
    <w:rsid w:val="10481620"/>
    <w:rsid w:val="104D4D6F"/>
    <w:rsid w:val="10532D16"/>
    <w:rsid w:val="10593524"/>
    <w:rsid w:val="105F5CDB"/>
    <w:rsid w:val="106E4C3E"/>
    <w:rsid w:val="10780A08"/>
    <w:rsid w:val="107B37AC"/>
    <w:rsid w:val="108049C7"/>
    <w:rsid w:val="108F0906"/>
    <w:rsid w:val="10930689"/>
    <w:rsid w:val="10B368A2"/>
    <w:rsid w:val="10B94BE0"/>
    <w:rsid w:val="10BA793C"/>
    <w:rsid w:val="10C91FB7"/>
    <w:rsid w:val="10E15A77"/>
    <w:rsid w:val="10E455F7"/>
    <w:rsid w:val="10E90958"/>
    <w:rsid w:val="10EF2725"/>
    <w:rsid w:val="10FF40F4"/>
    <w:rsid w:val="11015C2F"/>
    <w:rsid w:val="11025680"/>
    <w:rsid w:val="11081101"/>
    <w:rsid w:val="110D4AF3"/>
    <w:rsid w:val="11263814"/>
    <w:rsid w:val="112F76B1"/>
    <w:rsid w:val="11305A2C"/>
    <w:rsid w:val="113445D2"/>
    <w:rsid w:val="113650E0"/>
    <w:rsid w:val="114A18F4"/>
    <w:rsid w:val="11584183"/>
    <w:rsid w:val="115F5B61"/>
    <w:rsid w:val="11670E97"/>
    <w:rsid w:val="117414D0"/>
    <w:rsid w:val="118630E8"/>
    <w:rsid w:val="118E75FB"/>
    <w:rsid w:val="119336FF"/>
    <w:rsid w:val="11975F37"/>
    <w:rsid w:val="119A787E"/>
    <w:rsid w:val="11A41539"/>
    <w:rsid w:val="11A66017"/>
    <w:rsid w:val="11B80A92"/>
    <w:rsid w:val="11BA58AE"/>
    <w:rsid w:val="11C8564F"/>
    <w:rsid w:val="11C903F4"/>
    <w:rsid w:val="11D94A42"/>
    <w:rsid w:val="11EB6AA1"/>
    <w:rsid w:val="11F4255B"/>
    <w:rsid w:val="11F44998"/>
    <w:rsid w:val="12021A88"/>
    <w:rsid w:val="120515EA"/>
    <w:rsid w:val="121E1B53"/>
    <w:rsid w:val="122619EE"/>
    <w:rsid w:val="122C363B"/>
    <w:rsid w:val="123F20B2"/>
    <w:rsid w:val="12407C46"/>
    <w:rsid w:val="12483E78"/>
    <w:rsid w:val="124A4ACE"/>
    <w:rsid w:val="12504390"/>
    <w:rsid w:val="12506F5F"/>
    <w:rsid w:val="12526BAA"/>
    <w:rsid w:val="12585275"/>
    <w:rsid w:val="125B2818"/>
    <w:rsid w:val="125C2285"/>
    <w:rsid w:val="125E542B"/>
    <w:rsid w:val="12664658"/>
    <w:rsid w:val="126E674C"/>
    <w:rsid w:val="12755E01"/>
    <w:rsid w:val="12826E46"/>
    <w:rsid w:val="12834E17"/>
    <w:rsid w:val="12841687"/>
    <w:rsid w:val="128B1DCC"/>
    <w:rsid w:val="12947310"/>
    <w:rsid w:val="129C6918"/>
    <w:rsid w:val="129D3710"/>
    <w:rsid w:val="12A00ED2"/>
    <w:rsid w:val="12A05B23"/>
    <w:rsid w:val="12A200E2"/>
    <w:rsid w:val="12A44B83"/>
    <w:rsid w:val="12A64735"/>
    <w:rsid w:val="12AA4957"/>
    <w:rsid w:val="12CB4EFB"/>
    <w:rsid w:val="12D67FD3"/>
    <w:rsid w:val="12E1129B"/>
    <w:rsid w:val="12E75CFE"/>
    <w:rsid w:val="12F85B65"/>
    <w:rsid w:val="13022846"/>
    <w:rsid w:val="13081E10"/>
    <w:rsid w:val="13104B90"/>
    <w:rsid w:val="13113F60"/>
    <w:rsid w:val="13161B23"/>
    <w:rsid w:val="132841C4"/>
    <w:rsid w:val="132850E6"/>
    <w:rsid w:val="133219D8"/>
    <w:rsid w:val="13337EDD"/>
    <w:rsid w:val="133B13F3"/>
    <w:rsid w:val="13463E2C"/>
    <w:rsid w:val="134C6541"/>
    <w:rsid w:val="134E7F5D"/>
    <w:rsid w:val="135E3905"/>
    <w:rsid w:val="13732499"/>
    <w:rsid w:val="13796F2F"/>
    <w:rsid w:val="13872015"/>
    <w:rsid w:val="13916394"/>
    <w:rsid w:val="13950821"/>
    <w:rsid w:val="13973C7B"/>
    <w:rsid w:val="13995C9F"/>
    <w:rsid w:val="13A203E4"/>
    <w:rsid w:val="13A51896"/>
    <w:rsid w:val="13A601F7"/>
    <w:rsid w:val="13A65791"/>
    <w:rsid w:val="13A66F3C"/>
    <w:rsid w:val="13A7597D"/>
    <w:rsid w:val="13AA6288"/>
    <w:rsid w:val="13AC7356"/>
    <w:rsid w:val="13B46CFE"/>
    <w:rsid w:val="13B93116"/>
    <w:rsid w:val="13BF4448"/>
    <w:rsid w:val="13C65700"/>
    <w:rsid w:val="13CE26AF"/>
    <w:rsid w:val="13CF7BF4"/>
    <w:rsid w:val="13D7138C"/>
    <w:rsid w:val="13D75BCB"/>
    <w:rsid w:val="13DF5E49"/>
    <w:rsid w:val="13E21328"/>
    <w:rsid w:val="13EA7C01"/>
    <w:rsid w:val="13ED20EC"/>
    <w:rsid w:val="13F03732"/>
    <w:rsid w:val="13F23D4E"/>
    <w:rsid w:val="13F45552"/>
    <w:rsid w:val="13F82E37"/>
    <w:rsid w:val="13F90EC4"/>
    <w:rsid w:val="140F384E"/>
    <w:rsid w:val="141013AA"/>
    <w:rsid w:val="14124B8E"/>
    <w:rsid w:val="141709F6"/>
    <w:rsid w:val="141E2F0B"/>
    <w:rsid w:val="14214E74"/>
    <w:rsid w:val="142517A4"/>
    <w:rsid w:val="14281B51"/>
    <w:rsid w:val="142B2B44"/>
    <w:rsid w:val="142F3BA4"/>
    <w:rsid w:val="14350EC3"/>
    <w:rsid w:val="145C7A31"/>
    <w:rsid w:val="146B636A"/>
    <w:rsid w:val="146F13C6"/>
    <w:rsid w:val="14763E6E"/>
    <w:rsid w:val="147A319D"/>
    <w:rsid w:val="14805A6F"/>
    <w:rsid w:val="148478B5"/>
    <w:rsid w:val="14932D62"/>
    <w:rsid w:val="14BC186C"/>
    <w:rsid w:val="14C8253B"/>
    <w:rsid w:val="14C83C8E"/>
    <w:rsid w:val="14C8479F"/>
    <w:rsid w:val="14CB2A3E"/>
    <w:rsid w:val="14DC61D7"/>
    <w:rsid w:val="14DF7BEF"/>
    <w:rsid w:val="14EB3211"/>
    <w:rsid w:val="14EC0452"/>
    <w:rsid w:val="14EC6C05"/>
    <w:rsid w:val="14F20B69"/>
    <w:rsid w:val="1500207C"/>
    <w:rsid w:val="15051015"/>
    <w:rsid w:val="150A1D7B"/>
    <w:rsid w:val="150A1EDA"/>
    <w:rsid w:val="151544CA"/>
    <w:rsid w:val="151C05F4"/>
    <w:rsid w:val="152033BA"/>
    <w:rsid w:val="15226031"/>
    <w:rsid w:val="15227B07"/>
    <w:rsid w:val="152E1333"/>
    <w:rsid w:val="15332816"/>
    <w:rsid w:val="154020D1"/>
    <w:rsid w:val="154230AA"/>
    <w:rsid w:val="15521872"/>
    <w:rsid w:val="156810A7"/>
    <w:rsid w:val="156D2B73"/>
    <w:rsid w:val="15815414"/>
    <w:rsid w:val="1586214F"/>
    <w:rsid w:val="158739C5"/>
    <w:rsid w:val="158C0825"/>
    <w:rsid w:val="158C5E6D"/>
    <w:rsid w:val="1594609C"/>
    <w:rsid w:val="159E42EA"/>
    <w:rsid w:val="15A2257C"/>
    <w:rsid w:val="15C20571"/>
    <w:rsid w:val="15C76EC1"/>
    <w:rsid w:val="15C8419A"/>
    <w:rsid w:val="15CC1D3C"/>
    <w:rsid w:val="15CC47C0"/>
    <w:rsid w:val="15DA5CA8"/>
    <w:rsid w:val="15DB1BE4"/>
    <w:rsid w:val="15DB5888"/>
    <w:rsid w:val="15DC600F"/>
    <w:rsid w:val="15DF4CCA"/>
    <w:rsid w:val="15E3726B"/>
    <w:rsid w:val="15EF5B94"/>
    <w:rsid w:val="15FA6BCD"/>
    <w:rsid w:val="15FD1038"/>
    <w:rsid w:val="16032CB0"/>
    <w:rsid w:val="160377E5"/>
    <w:rsid w:val="16066957"/>
    <w:rsid w:val="16080376"/>
    <w:rsid w:val="1613062E"/>
    <w:rsid w:val="161C67CC"/>
    <w:rsid w:val="16215F82"/>
    <w:rsid w:val="16240763"/>
    <w:rsid w:val="16264778"/>
    <w:rsid w:val="16400F27"/>
    <w:rsid w:val="164075D9"/>
    <w:rsid w:val="1641577D"/>
    <w:rsid w:val="165044A9"/>
    <w:rsid w:val="165133B4"/>
    <w:rsid w:val="1654731A"/>
    <w:rsid w:val="165755AB"/>
    <w:rsid w:val="165D2743"/>
    <w:rsid w:val="166072ED"/>
    <w:rsid w:val="166736BB"/>
    <w:rsid w:val="16823FD5"/>
    <w:rsid w:val="169247AC"/>
    <w:rsid w:val="16961E9D"/>
    <w:rsid w:val="1698485E"/>
    <w:rsid w:val="169C4098"/>
    <w:rsid w:val="16A23295"/>
    <w:rsid w:val="16B15033"/>
    <w:rsid w:val="16B24A6E"/>
    <w:rsid w:val="16BB35E8"/>
    <w:rsid w:val="16BE66E1"/>
    <w:rsid w:val="16C26C11"/>
    <w:rsid w:val="16C64357"/>
    <w:rsid w:val="16C86BE3"/>
    <w:rsid w:val="16CC5B3C"/>
    <w:rsid w:val="16D61039"/>
    <w:rsid w:val="16D6330B"/>
    <w:rsid w:val="16E201C8"/>
    <w:rsid w:val="16E4303A"/>
    <w:rsid w:val="16EA6817"/>
    <w:rsid w:val="16F34B97"/>
    <w:rsid w:val="16FF761E"/>
    <w:rsid w:val="17013D8F"/>
    <w:rsid w:val="170E2B3E"/>
    <w:rsid w:val="17193FFE"/>
    <w:rsid w:val="17344104"/>
    <w:rsid w:val="17355F2F"/>
    <w:rsid w:val="17361BD3"/>
    <w:rsid w:val="17441939"/>
    <w:rsid w:val="17490FC6"/>
    <w:rsid w:val="17536BCC"/>
    <w:rsid w:val="17627312"/>
    <w:rsid w:val="176A0F1C"/>
    <w:rsid w:val="176A37D1"/>
    <w:rsid w:val="176D0BC2"/>
    <w:rsid w:val="17744E83"/>
    <w:rsid w:val="177A5119"/>
    <w:rsid w:val="177C2544"/>
    <w:rsid w:val="177F3006"/>
    <w:rsid w:val="1793324C"/>
    <w:rsid w:val="17956D7A"/>
    <w:rsid w:val="17975C14"/>
    <w:rsid w:val="17AD47C1"/>
    <w:rsid w:val="17B05DF9"/>
    <w:rsid w:val="17B868B5"/>
    <w:rsid w:val="17C05C75"/>
    <w:rsid w:val="17D007F0"/>
    <w:rsid w:val="17D514AE"/>
    <w:rsid w:val="17DA4D04"/>
    <w:rsid w:val="17DA72F9"/>
    <w:rsid w:val="17DC163C"/>
    <w:rsid w:val="17E97851"/>
    <w:rsid w:val="17EB39A5"/>
    <w:rsid w:val="17ED6197"/>
    <w:rsid w:val="17F2033E"/>
    <w:rsid w:val="17F22291"/>
    <w:rsid w:val="17F41D91"/>
    <w:rsid w:val="18056CBF"/>
    <w:rsid w:val="180A4C8F"/>
    <w:rsid w:val="180C53E3"/>
    <w:rsid w:val="1813262F"/>
    <w:rsid w:val="181D02CD"/>
    <w:rsid w:val="181D1CA4"/>
    <w:rsid w:val="181D5F07"/>
    <w:rsid w:val="18223815"/>
    <w:rsid w:val="18263696"/>
    <w:rsid w:val="182D3EAF"/>
    <w:rsid w:val="18331F39"/>
    <w:rsid w:val="18355082"/>
    <w:rsid w:val="183A0D9B"/>
    <w:rsid w:val="1843501A"/>
    <w:rsid w:val="18452518"/>
    <w:rsid w:val="18487538"/>
    <w:rsid w:val="184E67EE"/>
    <w:rsid w:val="1852745F"/>
    <w:rsid w:val="18534C37"/>
    <w:rsid w:val="185564CC"/>
    <w:rsid w:val="185973AF"/>
    <w:rsid w:val="186E4FA1"/>
    <w:rsid w:val="187137DD"/>
    <w:rsid w:val="1876231C"/>
    <w:rsid w:val="187877C9"/>
    <w:rsid w:val="188219C1"/>
    <w:rsid w:val="1893129F"/>
    <w:rsid w:val="18951BB6"/>
    <w:rsid w:val="189E27CB"/>
    <w:rsid w:val="189F7163"/>
    <w:rsid w:val="18A73B08"/>
    <w:rsid w:val="18AB2588"/>
    <w:rsid w:val="18AC7E02"/>
    <w:rsid w:val="18B8152D"/>
    <w:rsid w:val="18CB3B4E"/>
    <w:rsid w:val="18CE1596"/>
    <w:rsid w:val="18D07269"/>
    <w:rsid w:val="18D43032"/>
    <w:rsid w:val="18D47C7A"/>
    <w:rsid w:val="18D9257C"/>
    <w:rsid w:val="18DA3D4B"/>
    <w:rsid w:val="18DC7B34"/>
    <w:rsid w:val="18E45AA1"/>
    <w:rsid w:val="18EA01E7"/>
    <w:rsid w:val="18ED564D"/>
    <w:rsid w:val="18F0166B"/>
    <w:rsid w:val="18F83190"/>
    <w:rsid w:val="18F862A6"/>
    <w:rsid w:val="18FC1ABC"/>
    <w:rsid w:val="18FD5834"/>
    <w:rsid w:val="19016351"/>
    <w:rsid w:val="19060C65"/>
    <w:rsid w:val="19112506"/>
    <w:rsid w:val="19132B6B"/>
    <w:rsid w:val="191822B1"/>
    <w:rsid w:val="191E77F2"/>
    <w:rsid w:val="1926503E"/>
    <w:rsid w:val="192B5847"/>
    <w:rsid w:val="19302528"/>
    <w:rsid w:val="19317CF3"/>
    <w:rsid w:val="193965D7"/>
    <w:rsid w:val="19420BC8"/>
    <w:rsid w:val="194B231F"/>
    <w:rsid w:val="194D6BE6"/>
    <w:rsid w:val="19545E8A"/>
    <w:rsid w:val="196140F6"/>
    <w:rsid w:val="19646C5D"/>
    <w:rsid w:val="19675947"/>
    <w:rsid w:val="19696792"/>
    <w:rsid w:val="196E3930"/>
    <w:rsid w:val="19741E7D"/>
    <w:rsid w:val="197A4ADF"/>
    <w:rsid w:val="197C2742"/>
    <w:rsid w:val="197C2A07"/>
    <w:rsid w:val="197C683C"/>
    <w:rsid w:val="1981075D"/>
    <w:rsid w:val="19846CDD"/>
    <w:rsid w:val="19854265"/>
    <w:rsid w:val="198C10E5"/>
    <w:rsid w:val="19927D10"/>
    <w:rsid w:val="199C3571"/>
    <w:rsid w:val="19A239AD"/>
    <w:rsid w:val="19A25F7B"/>
    <w:rsid w:val="19A5172E"/>
    <w:rsid w:val="19A97664"/>
    <w:rsid w:val="19AB0B45"/>
    <w:rsid w:val="19AF1031"/>
    <w:rsid w:val="19B52B67"/>
    <w:rsid w:val="19B77064"/>
    <w:rsid w:val="19D02E3C"/>
    <w:rsid w:val="19D03234"/>
    <w:rsid w:val="19D56710"/>
    <w:rsid w:val="19E30367"/>
    <w:rsid w:val="19E471E9"/>
    <w:rsid w:val="19E70B36"/>
    <w:rsid w:val="19EF6F2D"/>
    <w:rsid w:val="19F67A28"/>
    <w:rsid w:val="19FD4A62"/>
    <w:rsid w:val="19FF3948"/>
    <w:rsid w:val="1A072500"/>
    <w:rsid w:val="1A101A8E"/>
    <w:rsid w:val="1A257D52"/>
    <w:rsid w:val="1A28742A"/>
    <w:rsid w:val="1A2D1DFF"/>
    <w:rsid w:val="1A321F28"/>
    <w:rsid w:val="1A352047"/>
    <w:rsid w:val="1A416BF6"/>
    <w:rsid w:val="1A5665CC"/>
    <w:rsid w:val="1A622466"/>
    <w:rsid w:val="1A6E7C12"/>
    <w:rsid w:val="1A701EE5"/>
    <w:rsid w:val="1A771FF0"/>
    <w:rsid w:val="1A7A40A8"/>
    <w:rsid w:val="1A7B1DFD"/>
    <w:rsid w:val="1A820C66"/>
    <w:rsid w:val="1A912E40"/>
    <w:rsid w:val="1A963D03"/>
    <w:rsid w:val="1A9642AE"/>
    <w:rsid w:val="1A975FE0"/>
    <w:rsid w:val="1A9E64F8"/>
    <w:rsid w:val="1AA01937"/>
    <w:rsid w:val="1AA50831"/>
    <w:rsid w:val="1AA90DA6"/>
    <w:rsid w:val="1AB1595C"/>
    <w:rsid w:val="1AB429A0"/>
    <w:rsid w:val="1AB72EED"/>
    <w:rsid w:val="1AB83B68"/>
    <w:rsid w:val="1AC07DB0"/>
    <w:rsid w:val="1AD9518C"/>
    <w:rsid w:val="1ADA6FF8"/>
    <w:rsid w:val="1AE754B8"/>
    <w:rsid w:val="1AEC0FEE"/>
    <w:rsid w:val="1AF6459B"/>
    <w:rsid w:val="1B0B7490"/>
    <w:rsid w:val="1B116D84"/>
    <w:rsid w:val="1B201981"/>
    <w:rsid w:val="1B274078"/>
    <w:rsid w:val="1B2B6103"/>
    <w:rsid w:val="1B30445E"/>
    <w:rsid w:val="1B391FC3"/>
    <w:rsid w:val="1B3C7516"/>
    <w:rsid w:val="1B51343F"/>
    <w:rsid w:val="1B531CF7"/>
    <w:rsid w:val="1B63445D"/>
    <w:rsid w:val="1B6D4261"/>
    <w:rsid w:val="1B6F16B2"/>
    <w:rsid w:val="1B737BD7"/>
    <w:rsid w:val="1B7A4B06"/>
    <w:rsid w:val="1BAC755A"/>
    <w:rsid w:val="1BB83961"/>
    <w:rsid w:val="1BBC4F2D"/>
    <w:rsid w:val="1BBD1364"/>
    <w:rsid w:val="1BBD344F"/>
    <w:rsid w:val="1BC571E5"/>
    <w:rsid w:val="1BC960DF"/>
    <w:rsid w:val="1BD042A7"/>
    <w:rsid w:val="1BD05A44"/>
    <w:rsid w:val="1BD438F2"/>
    <w:rsid w:val="1BD62766"/>
    <w:rsid w:val="1BD905D4"/>
    <w:rsid w:val="1BDD6555"/>
    <w:rsid w:val="1BF064E0"/>
    <w:rsid w:val="1BF218CF"/>
    <w:rsid w:val="1BF3078F"/>
    <w:rsid w:val="1BF46393"/>
    <w:rsid w:val="1BF571BB"/>
    <w:rsid w:val="1C01674C"/>
    <w:rsid w:val="1C027DB9"/>
    <w:rsid w:val="1C172833"/>
    <w:rsid w:val="1C1825F4"/>
    <w:rsid w:val="1C1B128C"/>
    <w:rsid w:val="1C1B1A00"/>
    <w:rsid w:val="1C221F80"/>
    <w:rsid w:val="1C246B6E"/>
    <w:rsid w:val="1C2A54F4"/>
    <w:rsid w:val="1C410CE9"/>
    <w:rsid w:val="1C424390"/>
    <w:rsid w:val="1C47166F"/>
    <w:rsid w:val="1C541E64"/>
    <w:rsid w:val="1C552FF8"/>
    <w:rsid w:val="1C567713"/>
    <w:rsid w:val="1C5C16F0"/>
    <w:rsid w:val="1C5F0699"/>
    <w:rsid w:val="1C631A9A"/>
    <w:rsid w:val="1C641DA5"/>
    <w:rsid w:val="1C64336C"/>
    <w:rsid w:val="1C6717A6"/>
    <w:rsid w:val="1C867937"/>
    <w:rsid w:val="1C873E07"/>
    <w:rsid w:val="1C8A2B15"/>
    <w:rsid w:val="1C8D2824"/>
    <w:rsid w:val="1C8F5A22"/>
    <w:rsid w:val="1C997729"/>
    <w:rsid w:val="1C9D6805"/>
    <w:rsid w:val="1CA36183"/>
    <w:rsid w:val="1CAA5441"/>
    <w:rsid w:val="1CAF2189"/>
    <w:rsid w:val="1CB5632E"/>
    <w:rsid w:val="1CB774CD"/>
    <w:rsid w:val="1CC53BF4"/>
    <w:rsid w:val="1CD036BF"/>
    <w:rsid w:val="1CD575AF"/>
    <w:rsid w:val="1CDE178E"/>
    <w:rsid w:val="1CDE2829"/>
    <w:rsid w:val="1CE10B0D"/>
    <w:rsid w:val="1CE33C2C"/>
    <w:rsid w:val="1CE347B5"/>
    <w:rsid w:val="1CE7276B"/>
    <w:rsid w:val="1CEB2F5E"/>
    <w:rsid w:val="1CEC67F7"/>
    <w:rsid w:val="1CEE543D"/>
    <w:rsid w:val="1CF7212D"/>
    <w:rsid w:val="1CF86AA1"/>
    <w:rsid w:val="1CFC2ED9"/>
    <w:rsid w:val="1CFC57F4"/>
    <w:rsid w:val="1CFF01AB"/>
    <w:rsid w:val="1D032274"/>
    <w:rsid w:val="1D066F4F"/>
    <w:rsid w:val="1D1248F8"/>
    <w:rsid w:val="1D1973BB"/>
    <w:rsid w:val="1D1A7F38"/>
    <w:rsid w:val="1D1F348F"/>
    <w:rsid w:val="1D227799"/>
    <w:rsid w:val="1D287201"/>
    <w:rsid w:val="1D290309"/>
    <w:rsid w:val="1D2F5491"/>
    <w:rsid w:val="1D340C01"/>
    <w:rsid w:val="1D3A61B0"/>
    <w:rsid w:val="1D3D7C3F"/>
    <w:rsid w:val="1D453341"/>
    <w:rsid w:val="1D4656F0"/>
    <w:rsid w:val="1D4B73E6"/>
    <w:rsid w:val="1D567AAD"/>
    <w:rsid w:val="1D655903"/>
    <w:rsid w:val="1D684B59"/>
    <w:rsid w:val="1D712BF5"/>
    <w:rsid w:val="1D74292A"/>
    <w:rsid w:val="1D765221"/>
    <w:rsid w:val="1D780830"/>
    <w:rsid w:val="1D7C6D95"/>
    <w:rsid w:val="1D7D37A4"/>
    <w:rsid w:val="1D92495A"/>
    <w:rsid w:val="1D983751"/>
    <w:rsid w:val="1D9D5420"/>
    <w:rsid w:val="1DA814FA"/>
    <w:rsid w:val="1DB430F1"/>
    <w:rsid w:val="1DC43008"/>
    <w:rsid w:val="1DC53EF2"/>
    <w:rsid w:val="1DD04752"/>
    <w:rsid w:val="1DD85DC9"/>
    <w:rsid w:val="1DEB72FA"/>
    <w:rsid w:val="1DF71AB3"/>
    <w:rsid w:val="1DF86A4F"/>
    <w:rsid w:val="1DFB5541"/>
    <w:rsid w:val="1DFC3C74"/>
    <w:rsid w:val="1DFD6928"/>
    <w:rsid w:val="1E052A5B"/>
    <w:rsid w:val="1E052EE2"/>
    <w:rsid w:val="1E063339"/>
    <w:rsid w:val="1E1E12D2"/>
    <w:rsid w:val="1E1E1C5B"/>
    <w:rsid w:val="1E292218"/>
    <w:rsid w:val="1E2A5821"/>
    <w:rsid w:val="1E374BF2"/>
    <w:rsid w:val="1E4A0A84"/>
    <w:rsid w:val="1E7647DA"/>
    <w:rsid w:val="1E7740F0"/>
    <w:rsid w:val="1E873403"/>
    <w:rsid w:val="1E8D4FFD"/>
    <w:rsid w:val="1E932F59"/>
    <w:rsid w:val="1E983082"/>
    <w:rsid w:val="1E9B125A"/>
    <w:rsid w:val="1E9D77CA"/>
    <w:rsid w:val="1EA00C51"/>
    <w:rsid w:val="1EA95069"/>
    <w:rsid w:val="1EB02D9F"/>
    <w:rsid w:val="1EBA0A46"/>
    <w:rsid w:val="1EBC1FAF"/>
    <w:rsid w:val="1ECB1B92"/>
    <w:rsid w:val="1ECC2FBD"/>
    <w:rsid w:val="1ED40E2A"/>
    <w:rsid w:val="1EDE2AA5"/>
    <w:rsid w:val="1EDE6C66"/>
    <w:rsid w:val="1EED0B13"/>
    <w:rsid w:val="1EEE3650"/>
    <w:rsid w:val="1F097B3A"/>
    <w:rsid w:val="1F0D6376"/>
    <w:rsid w:val="1F1637CE"/>
    <w:rsid w:val="1F2757DB"/>
    <w:rsid w:val="1F351D9F"/>
    <w:rsid w:val="1F415B40"/>
    <w:rsid w:val="1F4443FA"/>
    <w:rsid w:val="1F4530F1"/>
    <w:rsid w:val="1F46053C"/>
    <w:rsid w:val="1F4A60C2"/>
    <w:rsid w:val="1F5B0DBF"/>
    <w:rsid w:val="1F645E32"/>
    <w:rsid w:val="1F6563D4"/>
    <w:rsid w:val="1F6C45D9"/>
    <w:rsid w:val="1F7B27EB"/>
    <w:rsid w:val="1F7C2D6A"/>
    <w:rsid w:val="1F7E2B9A"/>
    <w:rsid w:val="1F81503B"/>
    <w:rsid w:val="1F8A3DC0"/>
    <w:rsid w:val="1F8D2AB5"/>
    <w:rsid w:val="1F942A43"/>
    <w:rsid w:val="1F9C25FF"/>
    <w:rsid w:val="1FA044C0"/>
    <w:rsid w:val="1FA227E8"/>
    <w:rsid w:val="1FA51FF6"/>
    <w:rsid w:val="1FA82DF1"/>
    <w:rsid w:val="1FAE0487"/>
    <w:rsid w:val="1FAF54E4"/>
    <w:rsid w:val="1FBC3349"/>
    <w:rsid w:val="1FC33A12"/>
    <w:rsid w:val="1FC46C78"/>
    <w:rsid w:val="1FC64636"/>
    <w:rsid w:val="1FC748CA"/>
    <w:rsid w:val="1FDB07E6"/>
    <w:rsid w:val="1FDD2905"/>
    <w:rsid w:val="1FE13606"/>
    <w:rsid w:val="1FE90931"/>
    <w:rsid w:val="1FE932F0"/>
    <w:rsid w:val="1FF9438E"/>
    <w:rsid w:val="1FFC51EA"/>
    <w:rsid w:val="20041352"/>
    <w:rsid w:val="200C0343"/>
    <w:rsid w:val="201026DC"/>
    <w:rsid w:val="201240F7"/>
    <w:rsid w:val="201E1485"/>
    <w:rsid w:val="20222B83"/>
    <w:rsid w:val="202355A8"/>
    <w:rsid w:val="20271EE9"/>
    <w:rsid w:val="203B6837"/>
    <w:rsid w:val="204C11CD"/>
    <w:rsid w:val="2051703F"/>
    <w:rsid w:val="205A4502"/>
    <w:rsid w:val="20636050"/>
    <w:rsid w:val="20645D19"/>
    <w:rsid w:val="206B3CC3"/>
    <w:rsid w:val="206D1E60"/>
    <w:rsid w:val="20723CD5"/>
    <w:rsid w:val="207851D1"/>
    <w:rsid w:val="20836066"/>
    <w:rsid w:val="20851E5B"/>
    <w:rsid w:val="208E2CC2"/>
    <w:rsid w:val="209A5503"/>
    <w:rsid w:val="20A31084"/>
    <w:rsid w:val="20A67943"/>
    <w:rsid w:val="20A70032"/>
    <w:rsid w:val="20A74590"/>
    <w:rsid w:val="20A8061E"/>
    <w:rsid w:val="20A81853"/>
    <w:rsid w:val="20AB2397"/>
    <w:rsid w:val="20AB38FD"/>
    <w:rsid w:val="20B21B7B"/>
    <w:rsid w:val="20BF0455"/>
    <w:rsid w:val="20BF1421"/>
    <w:rsid w:val="20C316FB"/>
    <w:rsid w:val="20C3215B"/>
    <w:rsid w:val="20C53DF2"/>
    <w:rsid w:val="20C84F5E"/>
    <w:rsid w:val="20CB0E43"/>
    <w:rsid w:val="20D93392"/>
    <w:rsid w:val="20E17BFB"/>
    <w:rsid w:val="20F27B23"/>
    <w:rsid w:val="20F46D18"/>
    <w:rsid w:val="20FB3081"/>
    <w:rsid w:val="20FD6B54"/>
    <w:rsid w:val="210067A9"/>
    <w:rsid w:val="2106772E"/>
    <w:rsid w:val="210814B5"/>
    <w:rsid w:val="21082B0B"/>
    <w:rsid w:val="210B3986"/>
    <w:rsid w:val="210D3195"/>
    <w:rsid w:val="21162269"/>
    <w:rsid w:val="21224E46"/>
    <w:rsid w:val="212400A8"/>
    <w:rsid w:val="21261775"/>
    <w:rsid w:val="21296456"/>
    <w:rsid w:val="212A594D"/>
    <w:rsid w:val="21367F5A"/>
    <w:rsid w:val="214175DD"/>
    <w:rsid w:val="2144169F"/>
    <w:rsid w:val="214B14E3"/>
    <w:rsid w:val="21541135"/>
    <w:rsid w:val="21547BC9"/>
    <w:rsid w:val="215721E8"/>
    <w:rsid w:val="215D3A66"/>
    <w:rsid w:val="216341F7"/>
    <w:rsid w:val="216437FB"/>
    <w:rsid w:val="21701012"/>
    <w:rsid w:val="21722EE9"/>
    <w:rsid w:val="21821076"/>
    <w:rsid w:val="2183633F"/>
    <w:rsid w:val="219501B2"/>
    <w:rsid w:val="219A7D18"/>
    <w:rsid w:val="21AB3A01"/>
    <w:rsid w:val="21B2695A"/>
    <w:rsid w:val="21B70FC7"/>
    <w:rsid w:val="21B93115"/>
    <w:rsid w:val="21BD1492"/>
    <w:rsid w:val="21BD51C4"/>
    <w:rsid w:val="21C11933"/>
    <w:rsid w:val="21C43A8B"/>
    <w:rsid w:val="21C550D9"/>
    <w:rsid w:val="21C90F3D"/>
    <w:rsid w:val="21CC036F"/>
    <w:rsid w:val="21CC10E7"/>
    <w:rsid w:val="21CE1C7F"/>
    <w:rsid w:val="21DD67E0"/>
    <w:rsid w:val="21EA553F"/>
    <w:rsid w:val="21F130F9"/>
    <w:rsid w:val="21F84C15"/>
    <w:rsid w:val="220002EF"/>
    <w:rsid w:val="220B140D"/>
    <w:rsid w:val="220C3559"/>
    <w:rsid w:val="22131003"/>
    <w:rsid w:val="222E7B43"/>
    <w:rsid w:val="222F4FF5"/>
    <w:rsid w:val="222F53E4"/>
    <w:rsid w:val="2235771B"/>
    <w:rsid w:val="223D129F"/>
    <w:rsid w:val="223D5C30"/>
    <w:rsid w:val="2247366F"/>
    <w:rsid w:val="224D34FF"/>
    <w:rsid w:val="22502323"/>
    <w:rsid w:val="22507A58"/>
    <w:rsid w:val="22562F68"/>
    <w:rsid w:val="22677060"/>
    <w:rsid w:val="22817970"/>
    <w:rsid w:val="22820F5F"/>
    <w:rsid w:val="2285397D"/>
    <w:rsid w:val="22857101"/>
    <w:rsid w:val="22881C95"/>
    <w:rsid w:val="228B2578"/>
    <w:rsid w:val="228D4D48"/>
    <w:rsid w:val="22921FC7"/>
    <w:rsid w:val="22946CCC"/>
    <w:rsid w:val="229732CF"/>
    <w:rsid w:val="22981CB6"/>
    <w:rsid w:val="229907E0"/>
    <w:rsid w:val="229D5B9D"/>
    <w:rsid w:val="22A109D6"/>
    <w:rsid w:val="22A34B2C"/>
    <w:rsid w:val="22AA5E00"/>
    <w:rsid w:val="22AA6944"/>
    <w:rsid w:val="22AF7C4F"/>
    <w:rsid w:val="22BD380A"/>
    <w:rsid w:val="22C35279"/>
    <w:rsid w:val="22C62427"/>
    <w:rsid w:val="22CA4200"/>
    <w:rsid w:val="22CB362A"/>
    <w:rsid w:val="22D16F45"/>
    <w:rsid w:val="22D4104E"/>
    <w:rsid w:val="22D47BE1"/>
    <w:rsid w:val="22D82422"/>
    <w:rsid w:val="22DE58CF"/>
    <w:rsid w:val="22EF49FC"/>
    <w:rsid w:val="22F44576"/>
    <w:rsid w:val="22F80FC9"/>
    <w:rsid w:val="230B2DB8"/>
    <w:rsid w:val="231C0B36"/>
    <w:rsid w:val="231E3747"/>
    <w:rsid w:val="2320242D"/>
    <w:rsid w:val="232C4207"/>
    <w:rsid w:val="233A22F2"/>
    <w:rsid w:val="233E7721"/>
    <w:rsid w:val="234C4CD2"/>
    <w:rsid w:val="23560C00"/>
    <w:rsid w:val="2358454C"/>
    <w:rsid w:val="23671171"/>
    <w:rsid w:val="23673DA9"/>
    <w:rsid w:val="236C1B44"/>
    <w:rsid w:val="236E7170"/>
    <w:rsid w:val="237713B1"/>
    <w:rsid w:val="237B6949"/>
    <w:rsid w:val="23812838"/>
    <w:rsid w:val="23844C26"/>
    <w:rsid w:val="23964A1F"/>
    <w:rsid w:val="23A1326A"/>
    <w:rsid w:val="23A62C86"/>
    <w:rsid w:val="23B411DB"/>
    <w:rsid w:val="23B41C67"/>
    <w:rsid w:val="23B46627"/>
    <w:rsid w:val="23B870E3"/>
    <w:rsid w:val="23B92E74"/>
    <w:rsid w:val="23BA3ADF"/>
    <w:rsid w:val="23CA0196"/>
    <w:rsid w:val="23CA5073"/>
    <w:rsid w:val="23CD3C78"/>
    <w:rsid w:val="23CE3C28"/>
    <w:rsid w:val="23D72EBB"/>
    <w:rsid w:val="23E41101"/>
    <w:rsid w:val="23ED3C6D"/>
    <w:rsid w:val="23EF128B"/>
    <w:rsid w:val="23F50B57"/>
    <w:rsid w:val="23F90B8B"/>
    <w:rsid w:val="23FA071D"/>
    <w:rsid w:val="23FB517B"/>
    <w:rsid w:val="24320D1E"/>
    <w:rsid w:val="24487DFE"/>
    <w:rsid w:val="24510546"/>
    <w:rsid w:val="24540FFB"/>
    <w:rsid w:val="245D5FC7"/>
    <w:rsid w:val="24631AAA"/>
    <w:rsid w:val="2472681D"/>
    <w:rsid w:val="24737C5E"/>
    <w:rsid w:val="24761AC0"/>
    <w:rsid w:val="247A32B2"/>
    <w:rsid w:val="247F5167"/>
    <w:rsid w:val="247F5BFB"/>
    <w:rsid w:val="2481186F"/>
    <w:rsid w:val="2482417E"/>
    <w:rsid w:val="2482650F"/>
    <w:rsid w:val="24983B04"/>
    <w:rsid w:val="249B07E2"/>
    <w:rsid w:val="24AA7FE8"/>
    <w:rsid w:val="24AD11D5"/>
    <w:rsid w:val="24AF00E5"/>
    <w:rsid w:val="24B131FF"/>
    <w:rsid w:val="24B32FD0"/>
    <w:rsid w:val="24B65D7D"/>
    <w:rsid w:val="24BB0599"/>
    <w:rsid w:val="24BB2E92"/>
    <w:rsid w:val="24BC1087"/>
    <w:rsid w:val="24BF7B4A"/>
    <w:rsid w:val="24CA6C69"/>
    <w:rsid w:val="24CD61DD"/>
    <w:rsid w:val="24D21EAE"/>
    <w:rsid w:val="24E26E39"/>
    <w:rsid w:val="24E43C0A"/>
    <w:rsid w:val="24E4462B"/>
    <w:rsid w:val="24FB6795"/>
    <w:rsid w:val="25005C40"/>
    <w:rsid w:val="25035EE2"/>
    <w:rsid w:val="250B0F0D"/>
    <w:rsid w:val="250B145E"/>
    <w:rsid w:val="25127774"/>
    <w:rsid w:val="25136061"/>
    <w:rsid w:val="25182F5D"/>
    <w:rsid w:val="25186FA0"/>
    <w:rsid w:val="252679E7"/>
    <w:rsid w:val="25316260"/>
    <w:rsid w:val="25424EA6"/>
    <w:rsid w:val="25516223"/>
    <w:rsid w:val="255433B9"/>
    <w:rsid w:val="25580A91"/>
    <w:rsid w:val="256315BC"/>
    <w:rsid w:val="256D2216"/>
    <w:rsid w:val="25723024"/>
    <w:rsid w:val="257B0C16"/>
    <w:rsid w:val="257E5195"/>
    <w:rsid w:val="258E29EF"/>
    <w:rsid w:val="258E6734"/>
    <w:rsid w:val="259A7F92"/>
    <w:rsid w:val="259B1767"/>
    <w:rsid w:val="259B3E58"/>
    <w:rsid w:val="259F2475"/>
    <w:rsid w:val="259F3CA9"/>
    <w:rsid w:val="25BD097A"/>
    <w:rsid w:val="25C047CD"/>
    <w:rsid w:val="25C543F8"/>
    <w:rsid w:val="25D33C5D"/>
    <w:rsid w:val="25D61E3D"/>
    <w:rsid w:val="25DB68BF"/>
    <w:rsid w:val="25DB6C36"/>
    <w:rsid w:val="25F1737D"/>
    <w:rsid w:val="25F27329"/>
    <w:rsid w:val="25F43DAD"/>
    <w:rsid w:val="25F626C4"/>
    <w:rsid w:val="25F62D3A"/>
    <w:rsid w:val="25F6641D"/>
    <w:rsid w:val="25FC00EB"/>
    <w:rsid w:val="25FC510F"/>
    <w:rsid w:val="26033C4D"/>
    <w:rsid w:val="26094CEB"/>
    <w:rsid w:val="261C20E8"/>
    <w:rsid w:val="26220756"/>
    <w:rsid w:val="26237BD7"/>
    <w:rsid w:val="264249CD"/>
    <w:rsid w:val="26480828"/>
    <w:rsid w:val="264F18BC"/>
    <w:rsid w:val="26500679"/>
    <w:rsid w:val="26551BBA"/>
    <w:rsid w:val="26597418"/>
    <w:rsid w:val="265C1B2B"/>
    <w:rsid w:val="265F747B"/>
    <w:rsid w:val="26641C80"/>
    <w:rsid w:val="266760F7"/>
    <w:rsid w:val="2667785D"/>
    <w:rsid w:val="26712931"/>
    <w:rsid w:val="267B103A"/>
    <w:rsid w:val="267F5E22"/>
    <w:rsid w:val="26910498"/>
    <w:rsid w:val="2694128C"/>
    <w:rsid w:val="269A3420"/>
    <w:rsid w:val="269B408D"/>
    <w:rsid w:val="269F219D"/>
    <w:rsid w:val="26A24776"/>
    <w:rsid w:val="26A54753"/>
    <w:rsid w:val="26B23162"/>
    <w:rsid w:val="26B45FF0"/>
    <w:rsid w:val="26D504FD"/>
    <w:rsid w:val="26D73C36"/>
    <w:rsid w:val="26DC23C5"/>
    <w:rsid w:val="26DD5F15"/>
    <w:rsid w:val="26E263F2"/>
    <w:rsid w:val="26F50928"/>
    <w:rsid w:val="27072ECF"/>
    <w:rsid w:val="27085C22"/>
    <w:rsid w:val="270F338F"/>
    <w:rsid w:val="27163999"/>
    <w:rsid w:val="27201CB3"/>
    <w:rsid w:val="2731557D"/>
    <w:rsid w:val="27325CBD"/>
    <w:rsid w:val="27330E61"/>
    <w:rsid w:val="273C2246"/>
    <w:rsid w:val="273C6680"/>
    <w:rsid w:val="273D6294"/>
    <w:rsid w:val="27445A4C"/>
    <w:rsid w:val="27482126"/>
    <w:rsid w:val="274A0A43"/>
    <w:rsid w:val="274C1515"/>
    <w:rsid w:val="275737F6"/>
    <w:rsid w:val="27593B5B"/>
    <w:rsid w:val="275C7A47"/>
    <w:rsid w:val="275E0991"/>
    <w:rsid w:val="275E7A2A"/>
    <w:rsid w:val="276719C9"/>
    <w:rsid w:val="276F7A81"/>
    <w:rsid w:val="277766CF"/>
    <w:rsid w:val="27833C26"/>
    <w:rsid w:val="278B36E7"/>
    <w:rsid w:val="27902EAA"/>
    <w:rsid w:val="279337D0"/>
    <w:rsid w:val="27940D07"/>
    <w:rsid w:val="27953C85"/>
    <w:rsid w:val="279A1F17"/>
    <w:rsid w:val="279D100C"/>
    <w:rsid w:val="279D6D99"/>
    <w:rsid w:val="27A80375"/>
    <w:rsid w:val="27AA7DAD"/>
    <w:rsid w:val="27AC29C6"/>
    <w:rsid w:val="27B168BC"/>
    <w:rsid w:val="27B16B43"/>
    <w:rsid w:val="27BA11A1"/>
    <w:rsid w:val="27BA2FF4"/>
    <w:rsid w:val="27BC7016"/>
    <w:rsid w:val="27CD3EA6"/>
    <w:rsid w:val="27D856CB"/>
    <w:rsid w:val="27DC0D48"/>
    <w:rsid w:val="27DD55E1"/>
    <w:rsid w:val="27DF16F5"/>
    <w:rsid w:val="27E16DD5"/>
    <w:rsid w:val="27E35312"/>
    <w:rsid w:val="27F023E0"/>
    <w:rsid w:val="28005078"/>
    <w:rsid w:val="28015DF4"/>
    <w:rsid w:val="280557A7"/>
    <w:rsid w:val="28142DA7"/>
    <w:rsid w:val="28154E2A"/>
    <w:rsid w:val="28195614"/>
    <w:rsid w:val="281A4A0C"/>
    <w:rsid w:val="282B271B"/>
    <w:rsid w:val="282B7FCF"/>
    <w:rsid w:val="282C47BE"/>
    <w:rsid w:val="28312F68"/>
    <w:rsid w:val="283711B5"/>
    <w:rsid w:val="28380074"/>
    <w:rsid w:val="2838610E"/>
    <w:rsid w:val="284122E0"/>
    <w:rsid w:val="284270EC"/>
    <w:rsid w:val="284925FC"/>
    <w:rsid w:val="284A1A2F"/>
    <w:rsid w:val="28540BC1"/>
    <w:rsid w:val="285A3177"/>
    <w:rsid w:val="285D25DD"/>
    <w:rsid w:val="286064D0"/>
    <w:rsid w:val="28683346"/>
    <w:rsid w:val="28741F05"/>
    <w:rsid w:val="287D34A9"/>
    <w:rsid w:val="287E462D"/>
    <w:rsid w:val="28817364"/>
    <w:rsid w:val="28867C9C"/>
    <w:rsid w:val="2887556C"/>
    <w:rsid w:val="288C0460"/>
    <w:rsid w:val="288C2658"/>
    <w:rsid w:val="289E1B69"/>
    <w:rsid w:val="28A20563"/>
    <w:rsid w:val="28A716BE"/>
    <w:rsid w:val="28A87499"/>
    <w:rsid w:val="28AA21C7"/>
    <w:rsid w:val="28AD6EA0"/>
    <w:rsid w:val="28BA14CC"/>
    <w:rsid w:val="28C001DF"/>
    <w:rsid w:val="28C301E6"/>
    <w:rsid w:val="28D63458"/>
    <w:rsid w:val="28E27D58"/>
    <w:rsid w:val="28F019B5"/>
    <w:rsid w:val="28F17760"/>
    <w:rsid w:val="28F503F8"/>
    <w:rsid w:val="29002319"/>
    <w:rsid w:val="290369F6"/>
    <w:rsid w:val="2908018B"/>
    <w:rsid w:val="29274806"/>
    <w:rsid w:val="292A73BF"/>
    <w:rsid w:val="292F6CCF"/>
    <w:rsid w:val="29373B36"/>
    <w:rsid w:val="29380FCD"/>
    <w:rsid w:val="29422867"/>
    <w:rsid w:val="2948242A"/>
    <w:rsid w:val="294F6214"/>
    <w:rsid w:val="296251D3"/>
    <w:rsid w:val="29634F08"/>
    <w:rsid w:val="29636CEC"/>
    <w:rsid w:val="29743FF2"/>
    <w:rsid w:val="297B10B6"/>
    <w:rsid w:val="29986F24"/>
    <w:rsid w:val="29A7548A"/>
    <w:rsid w:val="29A9392A"/>
    <w:rsid w:val="29BD00C5"/>
    <w:rsid w:val="29BE5554"/>
    <w:rsid w:val="29C607A1"/>
    <w:rsid w:val="29CE6299"/>
    <w:rsid w:val="29D4704B"/>
    <w:rsid w:val="29DC25BC"/>
    <w:rsid w:val="29DD5B57"/>
    <w:rsid w:val="29E150C8"/>
    <w:rsid w:val="29E93A9F"/>
    <w:rsid w:val="29ED2227"/>
    <w:rsid w:val="29ED7226"/>
    <w:rsid w:val="29ED723A"/>
    <w:rsid w:val="29F244D4"/>
    <w:rsid w:val="29F366BE"/>
    <w:rsid w:val="29FC3C2D"/>
    <w:rsid w:val="2A08597F"/>
    <w:rsid w:val="2A0F3D5F"/>
    <w:rsid w:val="2A1243BB"/>
    <w:rsid w:val="2A13540E"/>
    <w:rsid w:val="2A152075"/>
    <w:rsid w:val="2A1536D4"/>
    <w:rsid w:val="2A2C0970"/>
    <w:rsid w:val="2A3B1EE5"/>
    <w:rsid w:val="2A3B5A02"/>
    <w:rsid w:val="2A3D1E09"/>
    <w:rsid w:val="2A3E01AF"/>
    <w:rsid w:val="2A42262F"/>
    <w:rsid w:val="2A4907A7"/>
    <w:rsid w:val="2A501847"/>
    <w:rsid w:val="2A560F6E"/>
    <w:rsid w:val="2A593570"/>
    <w:rsid w:val="2A5A4CFC"/>
    <w:rsid w:val="2A5B2FAE"/>
    <w:rsid w:val="2A6964CA"/>
    <w:rsid w:val="2A6C3589"/>
    <w:rsid w:val="2A7202EC"/>
    <w:rsid w:val="2A796167"/>
    <w:rsid w:val="2A7B5F18"/>
    <w:rsid w:val="2A82148E"/>
    <w:rsid w:val="2A8B0EC1"/>
    <w:rsid w:val="2A8C68F0"/>
    <w:rsid w:val="2AA35139"/>
    <w:rsid w:val="2AAB6F69"/>
    <w:rsid w:val="2AB35468"/>
    <w:rsid w:val="2ABE7B8E"/>
    <w:rsid w:val="2ACC3F35"/>
    <w:rsid w:val="2AD3451A"/>
    <w:rsid w:val="2ADD5006"/>
    <w:rsid w:val="2ADE5235"/>
    <w:rsid w:val="2AE23AD7"/>
    <w:rsid w:val="2AE25216"/>
    <w:rsid w:val="2AE51F5E"/>
    <w:rsid w:val="2AFD5C45"/>
    <w:rsid w:val="2B014C2C"/>
    <w:rsid w:val="2B0642EB"/>
    <w:rsid w:val="2B071801"/>
    <w:rsid w:val="2B1474B7"/>
    <w:rsid w:val="2B214BC7"/>
    <w:rsid w:val="2B377B7A"/>
    <w:rsid w:val="2B396D69"/>
    <w:rsid w:val="2B524389"/>
    <w:rsid w:val="2B573C4F"/>
    <w:rsid w:val="2B575930"/>
    <w:rsid w:val="2B5C396F"/>
    <w:rsid w:val="2B646AD8"/>
    <w:rsid w:val="2B696D22"/>
    <w:rsid w:val="2B70415C"/>
    <w:rsid w:val="2B7A027B"/>
    <w:rsid w:val="2B7B1E71"/>
    <w:rsid w:val="2B7D5418"/>
    <w:rsid w:val="2B7E6D8E"/>
    <w:rsid w:val="2B850267"/>
    <w:rsid w:val="2B86372B"/>
    <w:rsid w:val="2B8D3A2D"/>
    <w:rsid w:val="2B975855"/>
    <w:rsid w:val="2B996710"/>
    <w:rsid w:val="2B9E02D2"/>
    <w:rsid w:val="2B9F2E92"/>
    <w:rsid w:val="2BA03ACF"/>
    <w:rsid w:val="2BA73A5B"/>
    <w:rsid w:val="2BB11D42"/>
    <w:rsid w:val="2BB12C89"/>
    <w:rsid w:val="2BB43859"/>
    <w:rsid w:val="2BB70018"/>
    <w:rsid w:val="2BC14CC7"/>
    <w:rsid w:val="2BC222C7"/>
    <w:rsid w:val="2BC43B25"/>
    <w:rsid w:val="2BC50B98"/>
    <w:rsid w:val="2BCA69E1"/>
    <w:rsid w:val="2BCC69C9"/>
    <w:rsid w:val="2BD00E07"/>
    <w:rsid w:val="2BD01B71"/>
    <w:rsid w:val="2BD91F54"/>
    <w:rsid w:val="2BDA622B"/>
    <w:rsid w:val="2BDF208F"/>
    <w:rsid w:val="2BE210E2"/>
    <w:rsid w:val="2BED1AA5"/>
    <w:rsid w:val="2BED6BA2"/>
    <w:rsid w:val="2BEE7FC7"/>
    <w:rsid w:val="2BF35D44"/>
    <w:rsid w:val="2BFC7225"/>
    <w:rsid w:val="2BFD5473"/>
    <w:rsid w:val="2C005BB3"/>
    <w:rsid w:val="2C047558"/>
    <w:rsid w:val="2C052ECF"/>
    <w:rsid w:val="2C166B4E"/>
    <w:rsid w:val="2C184B79"/>
    <w:rsid w:val="2C1A55C5"/>
    <w:rsid w:val="2C1A5A80"/>
    <w:rsid w:val="2C21791B"/>
    <w:rsid w:val="2C270741"/>
    <w:rsid w:val="2C29687E"/>
    <w:rsid w:val="2C2A0325"/>
    <w:rsid w:val="2C350316"/>
    <w:rsid w:val="2C3568EE"/>
    <w:rsid w:val="2C3C1709"/>
    <w:rsid w:val="2C475B66"/>
    <w:rsid w:val="2C4A0497"/>
    <w:rsid w:val="2C5B7DBF"/>
    <w:rsid w:val="2C604309"/>
    <w:rsid w:val="2C605738"/>
    <w:rsid w:val="2C6B1838"/>
    <w:rsid w:val="2C715A19"/>
    <w:rsid w:val="2C720192"/>
    <w:rsid w:val="2C72164E"/>
    <w:rsid w:val="2C763CB3"/>
    <w:rsid w:val="2C7E7657"/>
    <w:rsid w:val="2C875DF5"/>
    <w:rsid w:val="2C9249E6"/>
    <w:rsid w:val="2C9953C4"/>
    <w:rsid w:val="2C997876"/>
    <w:rsid w:val="2C9B754B"/>
    <w:rsid w:val="2CA04918"/>
    <w:rsid w:val="2CAE4AFB"/>
    <w:rsid w:val="2CB163C4"/>
    <w:rsid w:val="2CD367F3"/>
    <w:rsid w:val="2CD57B11"/>
    <w:rsid w:val="2CEE7F99"/>
    <w:rsid w:val="2CF2464D"/>
    <w:rsid w:val="2CF509DD"/>
    <w:rsid w:val="2CF55707"/>
    <w:rsid w:val="2CF86480"/>
    <w:rsid w:val="2CFB0F74"/>
    <w:rsid w:val="2D002B65"/>
    <w:rsid w:val="2D0354EE"/>
    <w:rsid w:val="2D144B5C"/>
    <w:rsid w:val="2D1A342A"/>
    <w:rsid w:val="2D1B40F2"/>
    <w:rsid w:val="2D1F2B4D"/>
    <w:rsid w:val="2D240655"/>
    <w:rsid w:val="2D250DC6"/>
    <w:rsid w:val="2D2C134F"/>
    <w:rsid w:val="2D2F2441"/>
    <w:rsid w:val="2D33514F"/>
    <w:rsid w:val="2D434A83"/>
    <w:rsid w:val="2D473B29"/>
    <w:rsid w:val="2D537041"/>
    <w:rsid w:val="2D596977"/>
    <w:rsid w:val="2D5D4B82"/>
    <w:rsid w:val="2D62527C"/>
    <w:rsid w:val="2D710EE7"/>
    <w:rsid w:val="2D7A21B2"/>
    <w:rsid w:val="2D7B110A"/>
    <w:rsid w:val="2D7E5239"/>
    <w:rsid w:val="2D842FFD"/>
    <w:rsid w:val="2D8813E3"/>
    <w:rsid w:val="2D8D02C2"/>
    <w:rsid w:val="2D8E469C"/>
    <w:rsid w:val="2D9C1A8A"/>
    <w:rsid w:val="2D9E7929"/>
    <w:rsid w:val="2DA2741C"/>
    <w:rsid w:val="2DAE7567"/>
    <w:rsid w:val="2DB1335D"/>
    <w:rsid w:val="2DB36595"/>
    <w:rsid w:val="2DB514F9"/>
    <w:rsid w:val="2DBF1D9D"/>
    <w:rsid w:val="2DC11C79"/>
    <w:rsid w:val="2DCB64CC"/>
    <w:rsid w:val="2DD14875"/>
    <w:rsid w:val="2DDF3D6C"/>
    <w:rsid w:val="2DE6723E"/>
    <w:rsid w:val="2DE760B0"/>
    <w:rsid w:val="2DEC49FA"/>
    <w:rsid w:val="2DF90B8F"/>
    <w:rsid w:val="2DFA7009"/>
    <w:rsid w:val="2DFC4035"/>
    <w:rsid w:val="2E046DE7"/>
    <w:rsid w:val="2E0721BD"/>
    <w:rsid w:val="2E0D4B3B"/>
    <w:rsid w:val="2E1C4ED3"/>
    <w:rsid w:val="2E1D2744"/>
    <w:rsid w:val="2E25358C"/>
    <w:rsid w:val="2E2760D3"/>
    <w:rsid w:val="2E2947F3"/>
    <w:rsid w:val="2E2E1663"/>
    <w:rsid w:val="2E443FD6"/>
    <w:rsid w:val="2E464086"/>
    <w:rsid w:val="2E496ACE"/>
    <w:rsid w:val="2E4C7A17"/>
    <w:rsid w:val="2E521152"/>
    <w:rsid w:val="2E5D609D"/>
    <w:rsid w:val="2E6034F8"/>
    <w:rsid w:val="2E6457AC"/>
    <w:rsid w:val="2E650C1C"/>
    <w:rsid w:val="2E6B39DC"/>
    <w:rsid w:val="2E7C5414"/>
    <w:rsid w:val="2E8212D3"/>
    <w:rsid w:val="2E852C1C"/>
    <w:rsid w:val="2E8669AA"/>
    <w:rsid w:val="2E895D8B"/>
    <w:rsid w:val="2E8C7D9A"/>
    <w:rsid w:val="2E9629CD"/>
    <w:rsid w:val="2E976580"/>
    <w:rsid w:val="2E9C33BD"/>
    <w:rsid w:val="2E9C58BD"/>
    <w:rsid w:val="2EA153DA"/>
    <w:rsid w:val="2EB00279"/>
    <w:rsid w:val="2EB067CE"/>
    <w:rsid w:val="2EB920A9"/>
    <w:rsid w:val="2EBB39DA"/>
    <w:rsid w:val="2EBB5401"/>
    <w:rsid w:val="2EC2559D"/>
    <w:rsid w:val="2ED4668E"/>
    <w:rsid w:val="2ED973D6"/>
    <w:rsid w:val="2EE9153A"/>
    <w:rsid w:val="2EEA40EA"/>
    <w:rsid w:val="2EF639F0"/>
    <w:rsid w:val="2EFB0473"/>
    <w:rsid w:val="2EFD05E6"/>
    <w:rsid w:val="2F037CC2"/>
    <w:rsid w:val="2F047774"/>
    <w:rsid w:val="2F121232"/>
    <w:rsid w:val="2F1D32A1"/>
    <w:rsid w:val="2F30642E"/>
    <w:rsid w:val="2F3B25A7"/>
    <w:rsid w:val="2F3B6286"/>
    <w:rsid w:val="2F435083"/>
    <w:rsid w:val="2F4642F6"/>
    <w:rsid w:val="2F4A4349"/>
    <w:rsid w:val="2F4D5019"/>
    <w:rsid w:val="2F5E1365"/>
    <w:rsid w:val="2F5F0D93"/>
    <w:rsid w:val="2F6073FC"/>
    <w:rsid w:val="2F6370E0"/>
    <w:rsid w:val="2F642D27"/>
    <w:rsid w:val="2F6A0598"/>
    <w:rsid w:val="2F6B3319"/>
    <w:rsid w:val="2F6B6682"/>
    <w:rsid w:val="2F6F466F"/>
    <w:rsid w:val="2F7C1C0A"/>
    <w:rsid w:val="2F7C2758"/>
    <w:rsid w:val="2F8C65E0"/>
    <w:rsid w:val="2F8F5D27"/>
    <w:rsid w:val="2F9263A8"/>
    <w:rsid w:val="2F950D38"/>
    <w:rsid w:val="2F96467E"/>
    <w:rsid w:val="2F9E5050"/>
    <w:rsid w:val="2FA24C99"/>
    <w:rsid w:val="2FA305CF"/>
    <w:rsid w:val="2FAA38B5"/>
    <w:rsid w:val="2FAB252B"/>
    <w:rsid w:val="2FB17DBB"/>
    <w:rsid w:val="2FB3748D"/>
    <w:rsid w:val="2FC26E82"/>
    <w:rsid w:val="2FDA78AD"/>
    <w:rsid w:val="2FEA5E01"/>
    <w:rsid w:val="2FF66D03"/>
    <w:rsid w:val="2FFE226A"/>
    <w:rsid w:val="30020D35"/>
    <w:rsid w:val="300570D2"/>
    <w:rsid w:val="30067C5F"/>
    <w:rsid w:val="30076ACA"/>
    <w:rsid w:val="301229B0"/>
    <w:rsid w:val="301561EC"/>
    <w:rsid w:val="301F2747"/>
    <w:rsid w:val="30214DF1"/>
    <w:rsid w:val="30251DED"/>
    <w:rsid w:val="302642E4"/>
    <w:rsid w:val="302C048C"/>
    <w:rsid w:val="30300482"/>
    <w:rsid w:val="30311BEC"/>
    <w:rsid w:val="3032491F"/>
    <w:rsid w:val="303D1F07"/>
    <w:rsid w:val="303F0ED4"/>
    <w:rsid w:val="304B5D34"/>
    <w:rsid w:val="304B725F"/>
    <w:rsid w:val="305302C2"/>
    <w:rsid w:val="305B3D41"/>
    <w:rsid w:val="306D2D37"/>
    <w:rsid w:val="307C08EB"/>
    <w:rsid w:val="30891051"/>
    <w:rsid w:val="308E53A8"/>
    <w:rsid w:val="30957E16"/>
    <w:rsid w:val="30971674"/>
    <w:rsid w:val="309D41E3"/>
    <w:rsid w:val="30A855C2"/>
    <w:rsid w:val="30AD3B0A"/>
    <w:rsid w:val="30B45D6D"/>
    <w:rsid w:val="30C1112D"/>
    <w:rsid w:val="30C8371A"/>
    <w:rsid w:val="30CE123F"/>
    <w:rsid w:val="30CE34B5"/>
    <w:rsid w:val="30CE57E0"/>
    <w:rsid w:val="30CF706B"/>
    <w:rsid w:val="30D01491"/>
    <w:rsid w:val="30D229A4"/>
    <w:rsid w:val="30D87086"/>
    <w:rsid w:val="30E25D6F"/>
    <w:rsid w:val="30E47EE3"/>
    <w:rsid w:val="30EF1585"/>
    <w:rsid w:val="30EF18C9"/>
    <w:rsid w:val="30F31A5D"/>
    <w:rsid w:val="30F74961"/>
    <w:rsid w:val="30FB1A4B"/>
    <w:rsid w:val="30FE7179"/>
    <w:rsid w:val="31065082"/>
    <w:rsid w:val="31082F45"/>
    <w:rsid w:val="310E0F1C"/>
    <w:rsid w:val="31141CAF"/>
    <w:rsid w:val="312506DB"/>
    <w:rsid w:val="31260372"/>
    <w:rsid w:val="312723AB"/>
    <w:rsid w:val="3129324B"/>
    <w:rsid w:val="313F06AF"/>
    <w:rsid w:val="314278F6"/>
    <w:rsid w:val="314A297F"/>
    <w:rsid w:val="314E048A"/>
    <w:rsid w:val="314E36D9"/>
    <w:rsid w:val="31551861"/>
    <w:rsid w:val="31576529"/>
    <w:rsid w:val="31576D39"/>
    <w:rsid w:val="315D642E"/>
    <w:rsid w:val="315E38A2"/>
    <w:rsid w:val="316D30A0"/>
    <w:rsid w:val="316F6555"/>
    <w:rsid w:val="31713A71"/>
    <w:rsid w:val="31716ED7"/>
    <w:rsid w:val="317954B9"/>
    <w:rsid w:val="317A04DC"/>
    <w:rsid w:val="317C431B"/>
    <w:rsid w:val="318600B2"/>
    <w:rsid w:val="31935410"/>
    <w:rsid w:val="319A1D6C"/>
    <w:rsid w:val="31A02B65"/>
    <w:rsid w:val="31A24DF6"/>
    <w:rsid w:val="31AF117E"/>
    <w:rsid w:val="31B43A6C"/>
    <w:rsid w:val="31CC30C8"/>
    <w:rsid w:val="31CD3B90"/>
    <w:rsid w:val="31CD49E4"/>
    <w:rsid w:val="31CE261F"/>
    <w:rsid w:val="31D40731"/>
    <w:rsid w:val="31D57F5B"/>
    <w:rsid w:val="31D723C0"/>
    <w:rsid w:val="31E35A37"/>
    <w:rsid w:val="31F1559D"/>
    <w:rsid w:val="31FB2F34"/>
    <w:rsid w:val="31FD0A64"/>
    <w:rsid w:val="32004F75"/>
    <w:rsid w:val="320260DD"/>
    <w:rsid w:val="320C4006"/>
    <w:rsid w:val="32112A0D"/>
    <w:rsid w:val="321223F5"/>
    <w:rsid w:val="32203B68"/>
    <w:rsid w:val="32327F0D"/>
    <w:rsid w:val="32362ABC"/>
    <w:rsid w:val="32430FDC"/>
    <w:rsid w:val="324E2E01"/>
    <w:rsid w:val="3250032C"/>
    <w:rsid w:val="32605AF3"/>
    <w:rsid w:val="326255F3"/>
    <w:rsid w:val="3264475F"/>
    <w:rsid w:val="326529F1"/>
    <w:rsid w:val="326B4C4F"/>
    <w:rsid w:val="326D5BD1"/>
    <w:rsid w:val="32785488"/>
    <w:rsid w:val="32785ACE"/>
    <w:rsid w:val="328310B3"/>
    <w:rsid w:val="32843356"/>
    <w:rsid w:val="328E0264"/>
    <w:rsid w:val="328F261F"/>
    <w:rsid w:val="32941917"/>
    <w:rsid w:val="329F7084"/>
    <w:rsid w:val="32A72069"/>
    <w:rsid w:val="32A76DDF"/>
    <w:rsid w:val="32B31491"/>
    <w:rsid w:val="32B95407"/>
    <w:rsid w:val="32BC5704"/>
    <w:rsid w:val="32BF676C"/>
    <w:rsid w:val="32C1215C"/>
    <w:rsid w:val="32C943CD"/>
    <w:rsid w:val="32CE1223"/>
    <w:rsid w:val="32CE2587"/>
    <w:rsid w:val="32CF6F25"/>
    <w:rsid w:val="32D729D7"/>
    <w:rsid w:val="32D839BF"/>
    <w:rsid w:val="32E323F9"/>
    <w:rsid w:val="32E57C18"/>
    <w:rsid w:val="32E57E84"/>
    <w:rsid w:val="32E97439"/>
    <w:rsid w:val="32F64ACB"/>
    <w:rsid w:val="330B7B3E"/>
    <w:rsid w:val="330E0FB0"/>
    <w:rsid w:val="330F452E"/>
    <w:rsid w:val="331C2FB1"/>
    <w:rsid w:val="332F2EF4"/>
    <w:rsid w:val="333338CF"/>
    <w:rsid w:val="333410C5"/>
    <w:rsid w:val="33376C70"/>
    <w:rsid w:val="3339293C"/>
    <w:rsid w:val="333E1549"/>
    <w:rsid w:val="33474F78"/>
    <w:rsid w:val="33490651"/>
    <w:rsid w:val="334E2D64"/>
    <w:rsid w:val="33585EEC"/>
    <w:rsid w:val="33640C9E"/>
    <w:rsid w:val="33650FF8"/>
    <w:rsid w:val="336D5408"/>
    <w:rsid w:val="336D7389"/>
    <w:rsid w:val="3374320F"/>
    <w:rsid w:val="33795AB4"/>
    <w:rsid w:val="337E7F67"/>
    <w:rsid w:val="338A44E3"/>
    <w:rsid w:val="339255DF"/>
    <w:rsid w:val="33A574F4"/>
    <w:rsid w:val="33A72CE6"/>
    <w:rsid w:val="33AC6B67"/>
    <w:rsid w:val="33BC02DA"/>
    <w:rsid w:val="33C21D01"/>
    <w:rsid w:val="33CA306A"/>
    <w:rsid w:val="33CE133C"/>
    <w:rsid w:val="33CF3357"/>
    <w:rsid w:val="33D033D4"/>
    <w:rsid w:val="33E014C6"/>
    <w:rsid w:val="33E17DE0"/>
    <w:rsid w:val="33E61A52"/>
    <w:rsid w:val="33EC757C"/>
    <w:rsid w:val="33F861F6"/>
    <w:rsid w:val="33FB2736"/>
    <w:rsid w:val="340666D9"/>
    <w:rsid w:val="340C19EE"/>
    <w:rsid w:val="3413478B"/>
    <w:rsid w:val="34172DEE"/>
    <w:rsid w:val="34183257"/>
    <w:rsid w:val="341B1073"/>
    <w:rsid w:val="342332D8"/>
    <w:rsid w:val="34255BC5"/>
    <w:rsid w:val="342B40E2"/>
    <w:rsid w:val="34403335"/>
    <w:rsid w:val="34436F0F"/>
    <w:rsid w:val="34445E26"/>
    <w:rsid w:val="34473C13"/>
    <w:rsid w:val="34476520"/>
    <w:rsid w:val="345A7C2C"/>
    <w:rsid w:val="345C6C0E"/>
    <w:rsid w:val="34780939"/>
    <w:rsid w:val="34794BB2"/>
    <w:rsid w:val="347C221C"/>
    <w:rsid w:val="34884869"/>
    <w:rsid w:val="349C3D31"/>
    <w:rsid w:val="34A56E10"/>
    <w:rsid w:val="34A65FB7"/>
    <w:rsid w:val="34B33184"/>
    <w:rsid w:val="34B52C96"/>
    <w:rsid w:val="34BD41A0"/>
    <w:rsid w:val="34C0092E"/>
    <w:rsid w:val="34D3496E"/>
    <w:rsid w:val="34DE3CCD"/>
    <w:rsid w:val="34E3287F"/>
    <w:rsid w:val="34E62CFB"/>
    <w:rsid w:val="34ED54EA"/>
    <w:rsid w:val="34F0160D"/>
    <w:rsid w:val="34FA14A0"/>
    <w:rsid w:val="34FF2406"/>
    <w:rsid w:val="35005485"/>
    <w:rsid w:val="35084A70"/>
    <w:rsid w:val="351C31C4"/>
    <w:rsid w:val="351D0A86"/>
    <w:rsid w:val="351E5B0C"/>
    <w:rsid w:val="352029CD"/>
    <w:rsid w:val="35236078"/>
    <w:rsid w:val="352D2CDB"/>
    <w:rsid w:val="35380B4E"/>
    <w:rsid w:val="354363EA"/>
    <w:rsid w:val="35482C84"/>
    <w:rsid w:val="35496C25"/>
    <w:rsid w:val="355A597B"/>
    <w:rsid w:val="35642CC1"/>
    <w:rsid w:val="356875F6"/>
    <w:rsid w:val="3569294B"/>
    <w:rsid w:val="357D2891"/>
    <w:rsid w:val="358624B3"/>
    <w:rsid w:val="358E125D"/>
    <w:rsid w:val="358E24AE"/>
    <w:rsid w:val="358F13BE"/>
    <w:rsid w:val="359058A4"/>
    <w:rsid w:val="359473BF"/>
    <w:rsid w:val="35A31037"/>
    <w:rsid w:val="35A83B2F"/>
    <w:rsid w:val="35AB4D2D"/>
    <w:rsid w:val="35AF4E49"/>
    <w:rsid w:val="35B51430"/>
    <w:rsid w:val="35B8581B"/>
    <w:rsid w:val="35BE047C"/>
    <w:rsid w:val="35CB6EE5"/>
    <w:rsid w:val="35D24355"/>
    <w:rsid w:val="35D6076B"/>
    <w:rsid w:val="35D7171C"/>
    <w:rsid w:val="35E976D6"/>
    <w:rsid w:val="35EA60BE"/>
    <w:rsid w:val="360667FF"/>
    <w:rsid w:val="3610010A"/>
    <w:rsid w:val="36103B09"/>
    <w:rsid w:val="36245E0E"/>
    <w:rsid w:val="3625315E"/>
    <w:rsid w:val="36255949"/>
    <w:rsid w:val="362F5E04"/>
    <w:rsid w:val="366505C4"/>
    <w:rsid w:val="366A3E6D"/>
    <w:rsid w:val="366F2BDC"/>
    <w:rsid w:val="366F575C"/>
    <w:rsid w:val="367C2CBC"/>
    <w:rsid w:val="367F4AEA"/>
    <w:rsid w:val="368843B6"/>
    <w:rsid w:val="36895A8D"/>
    <w:rsid w:val="368E2879"/>
    <w:rsid w:val="369329EE"/>
    <w:rsid w:val="36952C82"/>
    <w:rsid w:val="36A5631C"/>
    <w:rsid w:val="36AA2946"/>
    <w:rsid w:val="36B002E4"/>
    <w:rsid w:val="36B1065D"/>
    <w:rsid w:val="36B415EF"/>
    <w:rsid w:val="36BF3961"/>
    <w:rsid w:val="36C52013"/>
    <w:rsid w:val="36C608C7"/>
    <w:rsid w:val="36C74776"/>
    <w:rsid w:val="36C84B27"/>
    <w:rsid w:val="36CE6AE3"/>
    <w:rsid w:val="36E60B1F"/>
    <w:rsid w:val="36ED1F0A"/>
    <w:rsid w:val="3702611E"/>
    <w:rsid w:val="37066B94"/>
    <w:rsid w:val="370676C8"/>
    <w:rsid w:val="371D4B0F"/>
    <w:rsid w:val="372449D7"/>
    <w:rsid w:val="37274BF0"/>
    <w:rsid w:val="3728478B"/>
    <w:rsid w:val="37442F45"/>
    <w:rsid w:val="374A1FBC"/>
    <w:rsid w:val="374E756D"/>
    <w:rsid w:val="374F3003"/>
    <w:rsid w:val="37562984"/>
    <w:rsid w:val="37587237"/>
    <w:rsid w:val="37590640"/>
    <w:rsid w:val="375C0B83"/>
    <w:rsid w:val="37685EF6"/>
    <w:rsid w:val="37693B73"/>
    <w:rsid w:val="376C2F72"/>
    <w:rsid w:val="376C6950"/>
    <w:rsid w:val="37744C5D"/>
    <w:rsid w:val="37774EEC"/>
    <w:rsid w:val="377A054B"/>
    <w:rsid w:val="378E5276"/>
    <w:rsid w:val="378F3BF1"/>
    <w:rsid w:val="3794015E"/>
    <w:rsid w:val="3799720E"/>
    <w:rsid w:val="37A636B9"/>
    <w:rsid w:val="37A80318"/>
    <w:rsid w:val="37B26E5B"/>
    <w:rsid w:val="37B860D7"/>
    <w:rsid w:val="37C613A5"/>
    <w:rsid w:val="37C91ADA"/>
    <w:rsid w:val="37C96BD5"/>
    <w:rsid w:val="37DC1D78"/>
    <w:rsid w:val="37E555E2"/>
    <w:rsid w:val="37E82338"/>
    <w:rsid w:val="37E8799F"/>
    <w:rsid w:val="37E971F5"/>
    <w:rsid w:val="37F15442"/>
    <w:rsid w:val="37F61D21"/>
    <w:rsid w:val="37F66FF5"/>
    <w:rsid w:val="37F902A6"/>
    <w:rsid w:val="37FF7A44"/>
    <w:rsid w:val="38006C39"/>
    <w:rsid w:val="38020957"/>
    <w:rsid w:val="380615B8"/>
    <w:rsid w:val="380A3D1C"/>
    <w:rsid w:val="380B625B"/>
    <w:rsid w:val="381522C3"/>
    <w:rsid w:val="381D39BD"/>
    <w:rsid w:val="38223D8B"/>
    <w:rsid w:val="3824035C"/>
    <w:rsid w:val="38261CA0"/>
    <w:rsid w:val="38362FFD"/>
    <w:rsid w:val="38370906"/>
    <w:rsid w:val="384529C3"/>
    <w:rsid w:val="384569DB"/>
    <w:rsid w:val="384C081D"/>
    <w:rsid w:val="384C53C2"/>
    <w:rsid w:val="384D1B0A"/>
    <w:rsid w:val="384F57CB"/>
    <w:rsid w:val="385668ED"/>
    <w:rsid w:val="38573E06"/>
    <w:rsid w:val="38590A65"/>
    <w:rsid w:val="385E5F5E"/>
    <w:rsid w:val="386645F2"/>
    <w:rsid w:val="386656AB"/>
    <w:rsid w:val="38732E99"/>
    <w:rsid w:val="387430FA"/>
    <w:rsid w:val="387A3963"/>
    <w:rsid w:val="387B43B5"/>
    <w:rsid w:val="387F0208"/>
    <w:rsid w:val="38855DD2"/>
    <w:rsid w:val="388B5DF2"/>
    <w:rsid w:val="38921C1F"/>
    <w:rsid w:val="389612E7"/>
    <w:rsid w:val="38970BB6"/>
    <w:rsid w:val="38A51354"/>
    <w:rsid w:val="38A54ADF"/>
    <w:rsid w:val="38AB40C9"/>
    <w:rsid w:val="38B10467"/>
    <w:rsid w:val="38BF6CC3"/>
    <w:rsid w:val="38C5165C"/>
    <w:rsid w:val="38C93AA4"/>
    <w:rsid w:val="38CD2AE6"/>
    <w:rsid w:val="38D35702"/>
    <w:rsid w:val="38D86CC5"/>
    <w:rsid w:val="38EE072C"/>
    <w:rsid w:val="38EF0831"/>
    <w:rsid w:val="38F20139"/>
    <w:rsid w:val="38F466BA"/>
    <w:rsid w:val="38F7561B"/>
    <w:rsid w:val="39031072"/>
    <w:rsid w:val="39103019"/>
    <w:rsid w:val="391C2236"/>
    <w:rsid w:val="393161BF"/>
    <w:rsid w:val="39340EA3"/>
    <w:rsid w:val="39441AE7"/>
    <w:rsid w:val="394564A0"/>
    <w:rsid w:val="39480278"/>
    <w:rsid w:val="394E7CB1"/>
    <w:rsid w:val="3958771E"/>
    <w:rsid w:val="395963B2"/>
    <w:rsid w:val="39612A55"/>
    <w:rsid w:val="397E1626"/>
    <w:rsid w:val="397F7A31"/>
    <w:rsid w:val="39852E0A"/>
    <w:rsid w:val="398D2FB2"/>
    <w:rsid w:val="3992545A"/>
    <w:rsid w:val="39930AEB"/>
    <w:rsid w:val="399344AB"/>
    <w:rsid w:val="399527C5"/>
    <w:rsid w:val="39994996"/>
    <w:rsid w:val="39A23305"/>
    <w:rsid w:val="39A51AC6"/>
    <w:rsid w:val="39AE1418"/>
    <w:rsid w:val="39BA3471"/>
    <w:rsid w:val="39C13627"/>
    <w:rsid w:val="39C40C73"/>
    <w:rsid w:val="39CB4E25"/>
    <w:rsid w:val="39CD2C89"/>
    <w:rsid w:val="39CE0617"/>
    <w:rsid w:val="39E05286"/>
    <w:rsid w:val="39E21993"/>
    <w:rsid w:val="39E36D8C"/>
    <w:rsid w:val="39E92C35"/>
    <w:rsid w:val="39ED2A08"/>
    <w:rsid w:val="39EF706F"/>
    <w:rsid w:val="39F510AF"/>
    <w:rsid w:val="39F645E7"/>
    <w:rsid w:val="39FE4211"/>
    <w:rsid w:val="3A054378"/>
    <w:rsid w:val="3A0A0084"/>
    <w:rsid w:val="3A0B00E4"/>
    <w:rsid w:val="3A0E4E36"/>
    <w:rsid w:val="3A252AE7"/>
    <w:rsid w:val="3A252EF1"/>
    <w:rsid w:val="3A291D96"/>
    <w:rsid w:val="3A30599D"/>
    <w:rsid w:val="3A3975C5"/>
    <w:rsid w:val="3A411338"/>
    <w:rsid w:val="3A45726F"/>
    <w:rsid w:val="3A4972F2"/>
    <w:rsid w:val="3A515F99"/>
    <w:rsid w:val="3A5E1269"/>
    <w:rsid w:val="3A622B12"/>
    <w:rsid w:val="3A7075C9"/>
    <w:rsid w:val="3A7948E0"/>
    <w:rsid w:val="3A794A94"/>
    <w:rsid w:val="3A7E6EE7"/>
    <w:rsid w:val="3A7F6407"/>
    <w:rsid w:val="3A853DBE"/>
    <w:rsid w:val="3A874C4D"/>
    <w:rsid w:val="3A8B58C4"/>
    <w:rsid w:val="3A8D23C4"/>
    <w:rsid w:val="3A906BC1"/>
    <w:rsid w:val="3A9D316C"/>
    <w:rsid w:val="3AA03522"/>
    <w:rsid w:val="3AA379D1"/>
    <w:rsid w:val="3AAA5E13"/>
    <w:rsid w:val="3AAC5A85"/>
    <w:rsid w:val="3AAE31FD"/>
    <w:rsid w:val="3AB25D3F"/>
    <w:rsid w:val="3AB27F05"/>
    <w:rsid w:val="3AB81598"/>
    <w:rsid w:val="3AC0610C"/>
    <w:rsid w:val="3AC72DAC"/>
    <w:rsid w:val="3ACB69D0"/>
    <w:rsid w:val="3AD91291"/>
    <w:rsid w:val="3ADC4C46"/>
    <w:rsid w:val="3ADE14D0"/>
    <w:rsid w:val="3AE06936"/>
    <w:rsid w:val="3AF0294D"/>
    <w:rsid w:val="3AF61C3C"/>
    <w:rsid w:val="3AF9061C"/>
    <w:rsid w:val="3B022085"/>
    <w:rsid w:val="3B0611AF"/>
    <w:rsid w:val="3B08453A"/>
    <w:rsid w:val="3B0E7C51"/>
    <w:rsid w:val="3B104293"/>
    <w:rsid w:val="3B1D6BFD"/>
    <w:rsid w:val="3B202D90"/>
    <w:rsid w:val="3B336164"/>
    <w:rsid w:val="3B3D0F36"/>
    <w:rsid w:val="3B3D7801"/>
    <w:rsid w:val="3B4730D1"/>
    <w:rsid w:val="3B516495"/>
    <w:rsid w:val="3B531C98"/>
    <w:rsid w:val="3B5D626F"/>
    <w:rsid w:val="3B610A0C"/>
    <w:rsid w:val="3B6A6C4F"/>
    <w:rsid w:val="3B6F4CC4"/>
    <w:rsid w:val="3B716166"/>
    <w:rsid w:val="3B846775"/>
    <w:rsid w:val="3B847A9A"/>
    <w:rsid w:val="3B885873"/>
    <w:rsid w:val="3B8C2D23"/>
    <w:rsid w:val="3B8F6E65"/>
    <w:rsid w:val="3B906976"/>
    <w:rsid w:val="3B9B6F74"/>
    <w:rsid w:val="3BA1178F"/>
    <w:rsid w:val="3BB333AA"/>
    <w:rsid w:val="3BC366A3"/>
    <w:rsid w:val="3BCD6F28"/>
    <w:rsid w:val="3BCF5F32"/>
    <w:rsid w:val="3BD31878"/>
    <w:rsid w:val="3BD84E7F"/>
    <w:rsid w:val="3BDE2274"/>
    <w:rsid w:val="3BE108C0"/>
    <w:rsid w:val="3BF85A5C"/>
    <w:rsid w:val="3C0708BE"/>
    <w:rsid w:val="3C0A3064"/>
    <w:rsid w:val="3C0A605B"/>
    <w:rsid w:val="3C0C5440"/>
    <w:rsid w:val="3C107682"/>
    <w:rsid w:val="3C133974"/>
    <w:rsid w:val="3C147E8F"/>
    <w:rsid w:val="3C1C0743"/>
    <w:rsid w:val="3C2043AB"/>
    <w:rsid w:val="3C247E7B"/>
    <w:rsid w:val="3C28021C"/>
    <w:rsid w:val="3C2B048C"/>
    <w:rsid w:val="3C315499"/>
    <w:rsid w:val="3C38561A"/>
    <w:rsid w:val="3C3A59D7"/>
    <w:rsid w:val="3C3B2551"/>
    <w:rsid w:val="3C4125E3"/>
    <w:rsid w:val="3C4A05F9"/>
    <w:rsid w:val="3C4F1691"/>
    <w:rsid w:val="3C50652D"/>
    <w:rsid w:val="3C522F04"/>
    <w:rsid w:val="3C5573E1"/>
    <w:rsid w:val="3C5B6F13"/>
    <w:rsid w:val="3C690A05"/>
    <w:rsid w:val="3C6A09A3"/>
    <w:rsid w:val="3C6F0CBD"/>
    <w:rsid w:val="3C702792"/>
    <w:rsid w:val="3C7646F3"/>
    <w:rsid w:val="3C7B7FCF"/>
    <w:rsid w:val="3C8660F9"/>
    <w:rsid w:val="3C8A289B"/>
    <w:rsid w:val="3CAD2F91"/>
    <w:rsid w:val="3CAE7BD8"/>
    <w:rsid w:val="3CBB41C6"/>
    <w:rsid w:val="3CBB69D0"/>
    <w:rsid w:val="3CC80BA9"/>
    <w:rsid w:val="3CC83C97"/>
    <w:rsid w:val="3CE1680E"/>
    <w:rsid w:val="3CE34DE3"/>
    <w:rsid w:val="3CE75AB5"/>
    <w:rsid w:val="3CEB28E3"/>
    <w:rsid w:val="3CEB4D45"/>
    <w:rsid w:val="3CF714C9"/>
    <w:rsid w:val="3CF97083"/>
    <w:rsid w:val="3D043EC3"/>
    <w:rsid w:val="3D070BE5"/>
    <w:rsid w:val="3D0808D3"/>
    <w:rsid w:val="3D0B2129"/>
    <w:rsid w:val="3D201009"/>
    <w:rsid w:val="3D252DDD"/>
    <w:rsid w:val="3D356DBF"/>
    <w:rsid w:val="3D3C764F"/>
    <w:rsid w:val="3D4059F3"/>
    <w:rsid w:val="3D4877A3"/>
    <w:rsid w:val="3D5C0628"/>
    <w:rsid w:val="3D5D49F6"/>
    <w:rsid w:val="3D634221"/>
    <w:rsid w:val="3D6471EE"/>
    <w:rsid w:val="3D6A35B2"/>
    <w:rsid w:val="3D6F1DD7"/>
    <w:rsid w:val="3D7061DE"/>
    <w:rsid w:val="3D7F0DEF"/>
    <w:rsid w:val="3D804B5D"/>
    <w:rsid w:val="3D83079F"/>
    <w:rsid w:val="3D8F421A"/>
    <w:rsid w:val="3D967DE0"/>
    <w:rsid w:val="3DB85117"/>
    <w:rsid w:val="3DB96D61"/>
    <w:rsid w:val="3DC36D1A"/>
    <w:rsid w:val="3DC71411"/>
    <w:rsid w:val="3DC84655"/>
    <w:rsid w:val="3DD8388A"/>
    <w:rsid w:val="3DE13D84"/>
    <w:rsid w:val="3DE254EC"/>
    <w:rsid w:val="3E072D14"/>
    <w:rsid w:val="3E0E30CA"/>
    <w:rsid w:val="3E14340F"/>
    <w:rsid w:val="3E181A1A"/>
    <w:rsid w:val="3E195EF8"/>
    <w:rsid w:val="3E196278"/>
    <w:rsid w:val="3E246389"/>
    <w:rsid w:val="3E296ACF"/>
    <w:rsid w:val="3E354822"/>
    <w:rsid w:val="3E365A3A"/>
    <w:rsid w:val="3E37799B"/>
    <w:rsid w:val="3E3C0D02"/>
    <w:rsid w:val="3E3F27D8"/>
    <w:rsid w:val="3E42353D"/>
    <w:rsid w:val="3E49067E"/>
    <w:rsid w:val="3E590572"/>
    <w:rsid w:val="3E5A0958"/>
    <w:rsid w:val="3E5A5D8D"/>
    <w:rsid w:val="3E620B76"/>
    <w:rsid w:val="3E6E1F2C"/>
    <w:rsid w:val="3E794B00"/>
    <w:rsid w:val="3E7F27DC"/>
    <w:rsid w:val="3E875DC4"/>
    <w:rsid w:val="3E8F485C"/>
    <w:rsid w:val="3E932C1B"/>
    <w:rsid w:val="3E9A0924"/>
    <w:rsid w:val="3EC47AD8"/>
    <w:rsid w:val="3EC766D8"/>
    <w:rsid w:val="3EC816A1"/>
    <w:rsid w:val="3ECA069F"/>
    <w:rsid w:val="3ED26069"/>
    <w:rsid w:val="3ED40795"/>
    <w:rsid w:val="3ED838F1"/>
    <w:rsid w:val="3EDE54A4"/>
    <w:rsid w:val="3EE4132C"/>
    <w:rsid w:val="3EF34D3F"/>
    <w:rsid w:val="3EFD4364"/>
    <w:rsid w:val="3F055EC6"/>
    <w:rsid w:val="3F085400"/>
    <w:rsid w:val="3F0F72EB"/>
    <w:rsid w:val="3F104E15"/>
    <w:rsid w:val="3F1623A8"/>
    <w:rsid w:val="3F1868B4"/>
    <w:rsid w:val="3F22334A"/>
    <w:rsid w:val="3F2605ED"/>
    <w:rsid w:val="3F274444"/>
    <w:rsid w:val="3F2B07C3"/>
    <w:rsid w:val="3F322857"/>
    <w:rsid w:val="3F344F97"/>
    <w:rsid w:val="3F3E1EE6"/>
    <w:rsid w:val="3F4462ED"/>
    <w:rsid w:val="3F567CCE"/>
    <w:rsid w:val="3F5745F0"/>
    <w:rsid w:val="3F6A0F14"/>
    <w:rsid w:val="3F791D06"/>
    <w:rsid w:val="3F7F58A9"/>
    <w:rsid w:val="3F815BD5"/>
    <w:rsid w:val="3F894097"/>
    <w:rsid w:val="3F8C1359"/>
    <w:rsid w:val="3F9A5095"/>
    <w:rsid w:val="3FB0296D"/>
    <w:rsid w:val="3FB306F7"/>
    <w:rsid w:val="3FBB636F"/>
    <w:rsid w:val="3FC523E1"/>
    <w:rsid w:val="3FC819F5"/>
    <w:rsid w:val="3FCA5640"/>
    <w:rsid w:val="3FE236F9"/>
    <w:rsid w:val="3FEF2B45"/>
    <w:rsid w:val="3FF472F9"/>
    <w:rsid w:val="3FFF4EA7"/>
    <w:rsid w:val="40014BDC"/>
    <w:rsid w:val="400A7E59"/>
    <w:rsid w:val="40105F2A"/>
    <w:rsid w:val="401579A9"/>
    <w:rsid w:val="401A5B45"/>
    <w:rsid w:val="4023485D"/>
    <w:rsid w:val="40357E27"/>
    <w:rsid w:val="403A5BD3"/>
    <w:rsid w:val="403C167E"/>
    <w:rsid w:val="40517F2F"/>
    <w:rsid w:val="40534ED1"/>
    <w:rsid w:val="405A6654"/>
    <w:rsid w:val="40602F9A"/>
    <w:rsid w:val="406D4AE4"/>
    <w:rsid w:val="40706C3E"/>
    <w:rsid w:val="40731222"/>
    <w:rsid w:val="4073361F"/>
    <w:rsid w:val="40740B27"/>
    <w:rsid w:val="40780DA6"/>
    <w:rsid w:val="407B5AB2"/>
    <w:rsid w:val="40805E3A"/>
    <w:rsid w:val="40844541"/>
    <w:rsid w:val="408505E5"/>
    <w:rsid w:val="408B63B9"/>
    <w:rsid w:val="408C5A1F"/>
    <w:rsid w:val="408F0E03"/>
    <w:rsid w:val="408F60ED"/>
    <w:rsid w:val="40994388"/>
    <w:rsid w:val="40A97F69"/>
    <w:rsid w:val="40B22CAA"/>
    <w:rsid w:val="40B67632"/>
    <w:rsid w:val="40BF2192"/>
    <w:rsid w:val="40C243D2"/>
    <w:rsid w:val="40C5467A"/>
    <w:rsid w:val="40D10552"/>
    <w:rsid w:val="40E37EA0"/>
    <w:rsid w:val="40E5062E"/>
    <w:rsid w:val="40EA4774"/>
    <w:rsid w:val="40ED557E"/>
    <w:rsid w:val="40F73EFE"/>
    <w:rsid w:val="40FB71DD"/>
    <w:rsid w:val="4109629E"/>
    <w:rsid w:val="4116615E"/>
    <w:rsid w:val="411A7CDA"/>
    <w:rsid w:val="411E49DC"/>
    <w:rsid w:val="41402956"/>
    <w:rsid w:val="414D58E4"/>
    <w:rsid w:val="414D6F1C"/>
    <w:rsid w:val="414E02E8"/>
    <w:rsid w:val="415B4121"/>
    <w:rsid w:val="416356DB"/>
    <w:rsid w:val="41672447"/>
    <w:rsid w:val="416C5C51"/>
    <w:rsid w:val="416F573E"/>
    <w:rsid w:val="417A3D0B"/>
    <w:rsid w:val="417A6649"/>
    <w:rsid w:val="417F2FC4"/>
    <w:rsid w:val="41836634"/>
    <w:rsid w:val="419B0E16"/>
    <w:rsid w:val="41A1530E"/>
    <w:rsid w:val="41A30ADB"/>
    <w:rsid w:val="41A4733E"/>
    <w:rsid w:val="41A57AA6"/>
    <w:rsid w:val="41A848DD"/>
    <w:rsid w:val="41BB3702"/>
    <w:rsid w:val="41BF58C7"/>
    <w:rsid w:val="41C32F09"/>
    <w:rsid w:val="41C94425"/>
    <w:rsid w:val="41DD6AEE"/>
    <w:rsid w:val="41E00B24"/>
    <w:rsid w:val="41E44DEA"/>
    <w:rsid w:val="41E61141"/>
    <w:rsid w:val="41EC2C3E"/>
    <w:rsid w:val="41F25934"/>
    <w:rsid w:val="42007ABA"/>
    <w:rsid w:val="42024693"/>
    <w:rsid w:val="4205572D"/>
    <w:rsid w:val="420B41E9"/>
    <w:rsid w:val="420D581D"/>
    <w:rsid w:val="42105CAF"/>
    <w:rsid w:val="421B406E"/>
    <w:rsid w:val="422146BA"/>
    <w:rsid w:val="422A3E07"/>
    <w:rsid w:val="42326698"/>
    <w:rsid w:val="423569EC"/>
    <w:rsid w:val="42360E7F"/>
    <w:rsid w:val="423C0FAC"/>
    <w:rsid w:val="42474AA7"/>
    <w:rsid w:val="425311F8"/>
    <w:rsid w:val="425444E9"/>
    <w:rsid w:val="425B3BA2"/>
    <w:rsid w:val="425D3251"/>
    <w:rsid w:val="427278D0"/>
    <w:rsid w:val="42800838"/>
    <w:rsid w:val="428514DA"/>
    <w:rsid w:val="428D296C"/>
    <w:rsid w:val="429566CF"/>
    <w:rsid w:val="429A45ED"/>
    <w:rsid w:val="429B5AB1"/>
    <w:rsid w:val="429C2262"/>
    <w:rsid w:val="42A9072D"/>
    <w:rsid w:val="42A90772"/>
    <w:rsid w:val="42A96A39"/>
    <w:rsid w:val="42AC1E9D"/>
    <w:rsid w:val="42B73094"/>
    <w:rsid w:val="42B94924"/>
    <w:rsid w:val="42BC4DB9"/>
    <w:rsid w:val="42C02CFB"/>
    <w:rsid w:val="42CE7497"/>
    <w:rsid w:val="42D2085C"/>
    <w:rsid w:val="42D7022A"/>
    <w:rsid w:val="42D85A1C"/>
    <w:rsid w:val="42D900F1"/>
    <w:rsid w:val="42E434AD"/>
    <w:rsid w:val="42E81772"/>
    <w:rsid w:val="42E9672E"/>
    <w:rsid w:val="42EE7B61"/>
    <w:rsid w:val="42FC2FC9"/>
    <w:rsid w:val="4304248A"/>
    <w:rsid w:val="43057218"/>
    <w:rsid w:val="430C74A0"/>
    <w:rsid w:val="43101EBF"/>
    <w:rsid w:val="43242A19"/>
    <w:rsid w:val="43260A47"/>
    <w:rsid w:val="432925B8"/>
    <w:rsid w:val="432C5493"/>
    <w:rsid w:val="432F4F92"/>
    <w:rsid w:val="4335219D"/>
    <w:rsid w:val="433B7267"/>
    <w:rsid w:val="43464AEE"/>
    <w:rsid w:val="434B563B"/>
    <w:rsid w:val="434C4596"/>
    <w:rsid w:val="43595841"/>
    <w:rsid w:val="436262FD"/>
    <w:rsid w:val="436340E1"/>
    <w:rsid w:val="436C1788"/>
    <w:rsid w:val="436D368A"/>
    <w:rsid w:val="437504D2"/>
    <w:rsid w:val="437B25D9"/>
    <w:rsid w:val="437C51C5"/>
    <w:rsid w:val="437D1368"/>
    <w:rsid w:val="43816C89"/>
    <w:rsid w:val="43884763"/>
    <w:rsid w:val="43A3083D"/>
    <w:rsid w:val="43B426F6"/>
    <w:rsid w:val="43B45265"/>
    <w:rsid w:val="43B60EFD"/>
    <w:rsid w:val="43B90EE9"/>
    <w:rsid w:val="43D80F74"/>
    <w:rsid w:val="43E4282D"/>
    <w:rsid w:val="43FA3609"/>
    <w:rsid w:val="43FC4460"/>
    <w:rsid w:val="43FC7F52"/>
    <w:rsid w:val="44021713"/>
    <w:rsid w:val="440544DF"/>
    <w:rsid w:val="4407449B"/>
    <w:rsid w:val="440F1600"/>
    <w:rsid w:val="44156427"/>
    <w:rsid w:val="441C37E5"/>
    <w:rsid w:val="442B1575"/>
    <w:rsid w:val="44301F81"/>
    <w:rsid w:val="443371F5"/>
    <w:rsid w:val="44392FB2"/>
    <w:rsid w:val="443E2D68"/>
    <w:rsid w:val="44401B3C"/>
    <w:rsid w:val="444638DA"/>
    <w:rsid w:val="44570332"/>
    <w:rsid w:val="4458153C"/>
    <w:rsid w:val="445B5798"/>
    <w:rsid w:val="445B5B14"/>
    <w:rsid w:val="44604C68"/>
    <w:rsid w:val="44640B0C"/>
    <w:rsid w:val="446D0734"/>
    <w:rsid w:val="44751D0A"/>
    <w:rsid w:val="44790F6E"/>
    <w:rsid w:val="447A74E5"/>
    <w:rsid w:val="447F5D7D"/>
    <w:rsid w:val="44826026"/>
    <w:rsid w:val="4489247B"/>
    <w:rsid w:val="44950396"/>
    <w:rsid w:val="44BB4C65"/>
    <w:rsid w:val="44BE78F5"/>
    <w:rsid w:val="44BF47DE"/>
    <w:rsid w:val="44C55E6E"/>
    <w:rsid w:val="44D628DD"/>
    <w:rsid w:val="44DB2291"/>
    <w:rsid w:val="44DC7762"/>
    <w:rsid w:val="44DD42A7"/>
    <w:rsid w:val="44E2596B"/>
    <w:rsid w:val="44E5265B"/>
    <w:rsid w:val="44E56E6D"/>
    <w:rsid w:val="44EE0FCD"/>
    <w:rsid w:val="44F84625"/>
    <w:rsid w:val="45015CC9"/>
    <w:rsid w:val="45030D3E"/>
    <w:rsid w:val="45070D0B"/>
    <w:rsid w:val="45125BCE"/>
    <w:rsid w:val="45136EC2"/>
    <w:rsid w:val="45162DA9"/>
    <w:rsid w:val="4520281D"/>
    <w:rsid w:val="452945D9"/>
    <w:rsid w:val="452B7393"/>
    <w:rsid w:val="453072DE"/>
    <w:rsid w:val="453A298E"/>
    <w:rsid w:val="453B743A"/>
    <w:rsid w:val="454248B4"/>
    <w:rsid w:val="45486593"/>
    <w:rsid w:val="454A72E3"/>
    <w:rsid w:val="454D1BCB"/>
    <w:rsid w:val="454F4BD7"/>
    <w:rsid w:val="45506FD2"/>
    <w:rsid w:val="45520E23"/>
    <w:rsid w:val="456512B2"/>
    <w:rsid w:val="45654EA8"/>
    <w:rsid w:val="45697759"/>
    <w:rsid w:val="45714B87"/>
    <w:rsid w:val="45763F54"/>
    <w:rsid w:val="458A68BC"/>
    <w:rsid w:val="458F0084"/>
    <w:rsid w:val="45905D37"/>
    <w:rsid w:val="45A157D2"/>
    <w:rsid w:val="45A30875"/>
    <w:rsid w:val="45A3647D"/>
    <w:rsid w:val="45A672B2"/>
    <w:rsid w:val="45AD4907"/>
    <w:rsid w:val="45AE6248"/>
    <w:rsid w:val="45B56AA8"/>
    <w:rsid w:val="45C14DB5"/>
    <w:rsid w:val="45C24D02"/>
    <w:rsid w:val="45C72CA3"/>
    <w:rsid w:val="45CA7039"/>
    <w:rsid w:val="45CB1085"/>
    <w:rsid w:val="45CE3A53"/>
    <w:rsid w:val="45D02C3E"/>
    <w:rsid w:val="45D3699A"/>
    <w:rsid w:val="45D71D37"/>
    <w:rsid w:val="45D72377"/>
    <w:rsid w:val="45D85D95"/>
    <w:rsid w:val="45F010BA"/>
    <w:rsid w:val="45F42ADF"/>
    <w:rsid w:val="45FA2C9D"/>
    <w:rsid w:val="46066E5C"/>
    <w:rsid w:val="46141C57"/>
    <w:rsid w:val="46191BAD"/>
    <w:rsid w:val="46196BD6"/>
    <w:rsid w:val="461E6B72"/>
    <w:rsid w:val="46285CD4"/>
    <w:rsid w:val="4648189B"/>
    <w:rsid w:val="464842E2"/>
    <w:rsid w:val="46486FE6"/>
    <w:rsid w:val="464E183C"/>
    <w:rsid w:val="4651623E"/>
    <w:rsid w:val="46516CC1"/>
    <w:rsid w:val="4653608E"/>
    <w:rsid w:val="46584371"/>
    <w:rsid w:val="46597B34"/>
    <w:rsid w:val="465D2A15"/>
    <w:rsid w:val="465D4C46"/>
    <w:rsid w:val="46606641"/>
    <w:rsid w:val="46661D07"/>
    <w:rsid w:val="466737E7"/>
    <w:rsid w:val="46682866"/>
    <w:rsid w:val="46694BED"/>
    <w:rsid w:val="466A4156"/>
    <w:rsid w:val="46722A50"/>
    <w:rsid w:val="46773710"/>
    <w:rsid w:val="46893012"/>
    <w:rsid w:val="468C6578"/>
    <w:rsid w:val="46913D9A"/>
    <w:rsid w:val="469B3758"/>
    <w:rsid w:val="46A55EED"/>
    <w:rsid w:val="46AF1454"/>
    <w:rsid w:val="46B25FE7"/>
    <w:rsid w:val="46B51A28"/>
    <w:rsid w:val="46B713C7"/>
    <w:rsid w:val="46BC004A"/>
    <w:rsid w:val="46BF4ED1"/>
    <w:rsid w:val="46C36F87"/>
    <w:rsid w:val="46C45971"/>
    <w:rsid w:val="46CB3059"/>
    <w:rsid w:val="46D06382"/>
    <w:rsid w:val="46D9753B"/>
    <w:rsid w:val="46E7120E"/>
    <w:rsid w:val="46E95100"/>
    <w:rsid w:val="46F43729"/>
    <w:rsid w:val="46F762F5"/>
    <w:rsid w:val="46FC7CA7"/>
    <w:rsid w:val="47071302"/>
    <w:rsid w:val="47090B70"/>
    <w:rsid w:val="470B1E57"/>
    <w:rsid w:val="471612E1"/>
    <w:rsid w:val="471E0687"/>
    <w:rsid w:val="47293055"/>
    <w:rsid w:val="472E1DAA"/>
    <w:rsid w:val="47300B32"/>
    <w:rsid w:val="4734017F"/>
    <w:rsid w:val="4734174C"/>
    <w:rsid w:val="473433BF"/>
    <w:rsid w:val="47352EE3"/>
    <w:rsid w:val="473944E2"/>
    <w:rsid w:val="473C6A5F"/>
    <w:rsid w:val="474F67C8"/>
    <w:rsid w:val="47506C5A"/>
    <w:rsid w:val="475A6160"/>
    <w:rsid w:val="475E1F60"/>
    <w:rsid w:val="47627228"/>
    <w:rsid w:val="47667523"/>
    <w:rsid w:val="476D47A7"/>
    <w:rsid w:val="47760C75"/>
    <w:rsid w:val="47782657"/>
    <w:rsid w:val="477D66E5"/>
    <w:rsid w:val="47967508"/>
    <w:rsid w:val="47984D6B"/>
    <w:rsid w:val="479B7011"/>
    <w:rsid w:val="47A12E6F"/>
    <w:rsid w:val="47A75746"/>
    <w:rsid w:val="47BA5919"/>
    <w:rsid w:val="47BD5F0F"/>
    <w:rsid w:val="47C00FF1"/>
    <w:rsid w:val="47C800CD"/>
    <w:rsid w:val="47D2573A"/>
    <w:rsid w:val="47E03C05"/>
    <w:rsid w:val="47E03DD7"/>
    <w:rsid w:val="47EA1DEB"/>
    <w:rsid w:val="47ED1A57"/>
    <w:rsid w:val="47F3296B"/>
    <w:rsid w:val="47FE1918"/>
    <w:rsid w:val="47FF2335"/>
    <w:rsid w:val="48043072"/>
    <w:rsid w:val="48061CBD"/>
    <w:rsid w:val="48096E54"/>
    <w:rsid w:val="480B37F9"/>
    <w:rsid w:val="480F0346"/>
    <w:rsid w:val="480F1DF3"/>
    <w:rsid w:val="48281402"/>
    <w:rsid w:val="482D767A"/>
    <w:rsid w:val="4843391B"/>
    <w:rsid w:val="484340B1"/>
    <w:rsid w:val="4852359B"/>
    <w:rsid w:val="485317F0"/>
    <w:rsid w:val="485432B1"/>
    <w:rsid w:val="4857159D"/>
    <w:rsid w:val="485B4D8F"/>
    <w:rsid w:val="48616301"/>
    <w:rsid w:val="48670FC2"/>
    <w:rsid w:val="48754E6A"/>
    <w:rsid w:val="4878060C"/>
    <w:rsid w:val="487B2E05"/>
    <w:rsid w:val="488E0259"/>
    <w:rsid w:val="4892532C"/>
    <w:rsid w:val="489751A4"/>
    <w:rsid w:val="48A03730"/>
    <w:rsid w:val="48B44445"/>
    <w:rsid w:val="48C35B84"/>
    <w:rsid w:val="48C47AB3"/>
    <w:rsid w:val="48DB426C"/>
    <w:rsid w:val="48FC0F54"/>
    <w:rsid w:val="49041B88"/>
    <w:rsid w:val="49076F5B"/>
    <w:rsid w:val="491F3A2B"/>
    <w:rsid w:val="49211817"/>
    <w:rsid w:val="49362D9D"/>
    <w:rsid w:val="49382EB9"/>
    <w:rsid w:val="493F757F"/>
    <w:rsid w:val="49425E3D"/>
    <w:rsid w:val="49484789"/>
    <w:rsid w:val="494A14B6"/>
    <w:rsid w:val="49516311"/>
    <w:rsid w:val="49573EE3"/>
    <w:rsid w:val="495762F5"/>
    <w:rsid w:val="49603E78"/>
    <w:rsid w:val="49822EB7"/>
    <w:rsid w:val="498873A9"/>
    <w:rsid w:val="498C2C30"/>
    <w:rsid w:val="498F2ED1"/>
    <w:rsid w:val="499075A0"/>
    <w:rsid w:val="499A0C4A"/>
    <w:rsid w:val="499F20AC"/>
    <w:rsid w:val="49A17366"/>
    <w:rsid w:val="49AA45D3"/>
    <w:rsid w:val="49AD1173"/>
    <w:rsid w:val="49B818E4"/>
    <w:rsid w:val="49C06365"/>
    <w:rsid w:val="49C34EC0"/>
    <w:rsid w:val="49C80218"/>
    <w:rsid w:val="49DF321C"/>
    <w:rsid w:val="49E409E5"/>
    <w:rsid w:val="49E63C5F"/>
    <w:rsid w:val="49E96B0E"/>
    <w:rsid w:val="49F4359E"/>
    <w:rsid w:val="4A073DE2"/>
    <w:rsid w:val="4A075CDB"/>
    <w:rsid w:val="4A0845FF"/>
    <w:rsid w:val="4A0B2CF5"/>
    <w:rsid w:val="4A1B7A3D"/>
    <w:rsid w:val="4A211001"/>
    <w:rsid w:val="4A2D532C"/>
    <w:rsid w:val="4A356010"/>
    <w:rsid w:val="4A3B3F53"/>
    <w:rsid w:val="4A401016"/>
    <w:rsid w:val="4A404346"/>
    <w:rsid w:val="4A451FBF"/>
    <w:rsid w:val="4A4A0BBC"/>
    <w:rsid w:val="4A4D682F"/>
    <w:rsid w:val="4A517370"/>
    <w:rsid w:val="4A546D5F"/>
    <w:rsid w:val="4A5E0FF5"/>
    <w:rsid w:val="4A5F39ED"/>
    <w:rsid w:val="4A665FAE"/>
    <w:rsid w:val="4A741C32"/>
    <w:rsid w:val="4A7E7BC1"/>
    <w:rsid w:val="4A845276"/>
    <w:rsid w:val="4A8553A9"/>
    <w:rsid w:val="4A8771B8"/>
    <w:rsid w:val="4A893192"/>
    <w:rsid w:val="4A8E10A9"/>
    <w:rsid w:val="4A924726"/>
    <w:rsid w:val="4A957E76"/>
    <w:rsid w:val="4A980AB3"/>
    <w:rsid w:val="4A992E9F"/>
    <w:rsid w:val="4A9C7CB9"/>
    <w:rsid w:val="4A9D00D3"/>
    <w:rsid w:val="4AAC3DAD"/>
    <w:rsid w:val="4AB62372"/>
    <w:rsid w:val="4AB70A83"/>
    <w:rsid w:val="4ABB7597"/>
    <w:rsid w:val="4ACB608C"/>
    <w:rsid w:val="4AD84B8C"/>
    <w:rsid w:val="4AE53DA7"/>
    <w:rsid w:val="4AEB5B46"/>
    <w:rsid w:val="4AEC6791"/>
    <w:rsid w:val="4AF4431A"/>
    <w:rsid w:val="4AF848A0"/>
    <w:rsid w:val="4AF84FC4"/>
    <w:rsid w:val="4B00631E"/>
    <w:rsid w:val="4B085891"/>
    <w:rsid w:val="4B1219E4"/>
    <w:rsid w:val="4B2451D5"/>
    <w:rsid w:val="4B253D2C"/>
    <w:rsid w:val="4B346885"/>
    <w:rsid w:val="4B3A176E"/>
    <w:rsid w:val="4B3A6FD4"/>
    <w:rsid w:val="4B3B1032"/>
    <w:rsid w:val="4B3D3C8D"/>
    <w:rsid w:val="4B4375FA"/>
    <w:rsid w:val="4B4B33FD"/>
    <w:rsid w:val="4B516CC5"/>
    <w:rsid w:val="4B5D78C3"/>
    <w:rsid w:val="4B642183"/>
    <w:rsid w:val="4B6B021B"/>
    <w:rsid w:val="4B717DBA"/>
    <w:rsid w:val="4B7415FC"/>
    <w:rsid w:val="4B7C7414"/>
    <w:rsid w:val="4B7F40FB"/>
    <w:rsid w:val="4B99313B"/>
    <w:rsid w:val="4B9942FD"/>
    <w:rsid w:val="4B9B4966"/>
    <w:rsid w:val="4BB0302A"/>
    <w:rsid w:val="4BB30F6D"/>
    <w:rsid w:val="4BB62E0B"/>
    <w:rsid w:val="4BBE7D5F"/>
    <w:rsid w:val="4BBF5070"/>
    <w:rsid w:val="4BC9681E"/>
    <w:rsid w:val="4BC9709C"/>
    <w:rsid w:val="4BCF4578"/>
    <w:rsid w:val="4BD14A16"/>
    <w:rsid w:val="4BD22B21"/>
    <w:rsid w:val="4BDA22DB"/>
    <w:rsid w:val="4BDC0D85"/>
    <w:rsid w:val="4BDD1AAC"/>
    <w:rsid w:val="4BE6285A"/>
    <w:rsid w:val="4BF6531C"/>
    <w:rsid w:val="4BF703A9"/>
    <w:rsid w:val="4BFE4E08"/>
    <w:rsid w:val="4C0F4EAB"/>
    <w:rsid w:val="4C1429B5"/>
    <w:rsid w:val="4C1E57DD"/>
    <w:rsid w:val="4C223C73"/>
    <w:rsid w:val="4C234521"/>
    <w:rsid w:val="4C243556"/>
    <w:rsid w:val="4C3238D4"/>
    <w:rsid w:val="4C36187A"/>
    <w:rsid w:val="4C4A3007"/>
    <w:rsid w:val="4C503BD1"/>
    <w:rsid w:val="4C512F9F"/>
    <w:rsid w:val="4C567060"/>
    <w:rsid w:val="4C572A30"/>
    <w:rsid w:val="4C5934ED"/>
    <w:rsid w:val="4C6570D0"/>
    <w:rsid w:val="4C74380F"/>
    <w:rsid w:val="4C763ABF"/>
    <w:rsid w:val="4C7841C0"/>
    <w:rsid w:val="4C7F342F"/>
    <w:rsid w:val="4C9024D1"/>
    <w:rsid w:val="4C921CAF"/>
    <w:rsid w:val="4C9719F2"/>
    <w:rsid w:val="4C984B84"/>
    <w:rsid w:val="4CA105AB"/>
    <w:rsid w:val="4CA3768C"/>
    <w:rsid w:val="4CA7242D"/>
    <w:rsid w:val="4CAA6016"/>
    <w:rsid w:val="4CBA50B9"/>
    <w:rsid w:val="4CC75D92"/>
    <w:rsid w:val="4CDF72E6"/>
    <w:rsid w:val="4CE21C99"/>
    <w:rsid w:val="4CE8350C"/>
    <w:rsid w:val="4CEB1C6A"/>
    <w:rsid w:val="4CF67CA0"/>
    <w:rsid w:val="4CF90D19"/>
    <w:rsid w:val="4CFC5B66"/>
    <w:rsid w:val="4D02767E"/>
    <w:rsid w:val="4D075E67"/>
    <w:rsid w:val="4D08078E"/>
    <w:rsid w:val="4D0E2035"/>
    <w:rsid w:val="4D1714CF"/>
    <w:rsid w:val="4D1B4AAD"/>
    <w:rsid w:val="4D2C3FA0"/>
    <w:rsid w:val="4D312C5D"/>
    <w:rsid w:val="4D372AAC"/>
    <w:rsid w:val="4D3C171A"/>
    <w:rsid w:val="4D3C7C51"/>
    <w:rsid w:val="4D3D33C8"/>
    <w:rsid w:val="4D400C70"/>
    <w:rsid w:val="4D49335A"/>
    <w:rsid w:val="4D52216D"/>
    <w:rsid w:val="4D527989"/>
    <w:rsid w:val="4D5370AF"/>
    <w:rsid w:val="4D5467E3"/>
    <w:rsid w:val="4D692607"/>
    <w:rsid w:val="4D7903A4"/>
    <w:rsid w:val="4D7C48E6"/>
    <w:rsid w:val="4D8938BA"/>
    <w:rsid w:val="4D8C3541"/>
    <w:rsid w:val="4D8C53DC"/>
    <w:rsid w:val="4D8F4FCE"/>
    <w:rsid w:val="4D9861FA"/>
    <w:rsid w:val="4D9C3253"/>
    <w:rsid w:val="4DA5313F"/>
    <w:rsid w:val="4DA54F7E"/>
    <w:rsid w:val="4DB0192E"/>
    <w:rsid w:val="4DB24627"/>
    <w:rsid w:val="4DB5165A"/>
    <w:rsid w:val="4DBB5213"/>
    <w:rsid w:val="4DBD7857"/>
    <w:rsid w:val="4DC01FA9"/>
    <w:rsid w:val="4DC77867"/>
    <w:rsid w:val="4DC95BD0"/>
    <w:rsid w:val="4DC95BEE"/>
    <w:rsid w:val="4DD25524"/>
    <w:rsid w:val="4DD5499D"/>
    <w:rsid w:val="4DDA6B69"/>
    <w:rsid w:val="4DE47B46"/>
    <w:rsid w:val="4DF329AB"/>
    <w:rsid w:val="4DF50C9E"/>
    <w:rsid w:val="4DF52F2D"/>
    <w:rsid w:val="4DFA62FD"/>
    <w:rsid w:val="4DFE0B0E"/>
    <w:rsid w:val="4E001783"/>
    <w:rsid w:val="4E0700A5"/>
    <w:rsid w:val="4E0E5AF0"/>
    <w:rsid w:val="4E1C2E53"/>
    <w:rsid w:val="4E1F4277"/>
    <w:rsid w:val="4E213597"/>
    <w:rsid w:val="4E2F7A0F"/>
    <w:rsid w:val="4E36039A"/>
    <w:rsid w:val="4E416165"/>
    <w:rsid w:val="4E45288D"/>
    <w:rsid w:val="4E4C2569"/>
    <w:rsid w:val="4E512481"/>
    <w:rsid w:val="4E580D83"/>
    <w:rsid w:val="4E5943CE"/>
    <w:rsid w:val="4E5A2166"/>
    <w:rsid w:val="4E5D683F"/>
    <w:rsid w:val="4E6238F4"/>
    <w:rsid w:val="4E661383"/>
    <w:rsid w:val="4E6F5436"/>
    <w:rsid w:val="4E715B78"/>
    <w:rsid w:val="4E731AC0"/>
    <w:rsid w:val="4E7921C8"/>
    <w:rsid w:val="4E910728"/>
    <w:rsid w:val="4E97299A"/>
    <w:rsid w:val="4E9C0F78"/>
    <w:rsid w:val="4EA57D6B"/>
    <w:rsid w:val="4EB26F44"/>
    <w:rsid w:val="4EBB2D0B"/>
    <w:rsid w:val="4EC8583A"/>
    <w:rsid w:val="4ECD5026"/>
    <w:rsid w:val="4ECE55F7"/>
    <w:rsid w:val="4ED8763F"/>
    <w:rsid w:val="4EDF65C9"/>
    <w:rsid w:val="4EE27B39"/>
    <w:rsid w:val="4EEA3A16"/>
    <w:rsid w:val="4EEC0E1A"/>
    <w:rsid w:val="4EF85B8B"/>
    <w:rsid w:val="4F0F7D4A"/>
    <w:rsid w:val="4F1901F7"/>
    <w:rsid w:val="4F1A300C"/>
    <w:rsid w:val="4F223EBC"/>
    <w:rsid w:val="4F2C4AE8"/>
    <w:rsid w:val="4F3016F8"/>
    <w:rsid w:val="4F373C5D"/>
    <w:rsid w:val="4F4B4D79"/>
    <w:rsid w:val="4F537DFB"/>
    <w:rsid w:val="4F545A41"/>
    <w:rsid w:val="4F5D332E"/>
    <w:rsid w:val="4F683AF7"/>
    <w:rsid w:val="4F7315AD"/>
    <w:rsid w:val="4F827FC9"/>
    <w:rsid w:val="4F8416AF"/>
    <w:rsid w:val="4F852EB9"/>
    <w:rsid w:val="4F870376"/>
    <w:rsid w:val="4F872B2B"/>
    <w:rsid w:val="4F882CA2"/>
    <w:rsid w:val="4F8938F9"/>
    <w:rsid w:val="4F8C355C"/>
    <w:rsid w:val="4F8D63BE"/>
    <w:rsid w:val="4F8E3530"/>
    <w:rsid w:val="4F8F0DD1"/>
    <w:rsid w:val="4F90263E"/>
    <w:rsid w:val="4F9C171E"/>
    <w:rsid w:val="4F9F5BEF"/>
    <w:rsid w:val="4FA150FB"/>
    <w:rsid w:val="4FA43E23"/>
    <w:rsid w:val="4FA51F65"/>
    <w:rsid w:val="4FA5562F"/>
    <w:rsid w:val="4FB34065"/>
    <w:rsid w:val="4FBC2CDE"/>
    <w:rsid w:val="4FD20D0A"/>
    <w:rsid w:val="4FD3219D"/>
    <w:rsid w:val="4FD95FBC"/>
    <w:rsid w:val="4FDA0D78"/>
    <w:rsid w:val="4FDE7517"/>
    <w:rsid w:val="4FE02278"/>
    <w:rsid w:val="4FE41E91"/>
    <w:rsid w:val="4FE6393B"/>
    <w:rsid w:val="4FFA6D81"/>
    <w:rsid w:val="4FFD7235"/>
    <w:rsid w:val="50001F7A"/>
    <w:rsid w:val="50017855"/>
    <w:rsid w:val="50146FB8"/>
    <w:rsid w:val="50303260"/>
    <w:rsid w:val="50303741"/>
    <w:rsid w:val="50393D17"/>
    <w:rsid w:val="503A7ED5"/>
    <w:rsid w:val="503E65D4"/>
    <w:rsid w:val="503F0A46"/>
    <w:rsid w:val="504B66C7"/>
    <w:rsid w:val="504E37EE"/>
    <w:rsid w:val="50504260"/>
    <w:rsid w:val="505917B9"/>
    <w:rsid w:val="505A3F16"/>
    <w:rsid w:val="505B651C"/>
    <w:rsid w:val="50627748"/>
    <w:rsid w:val="50662C38"/>
    <w:rsid w:val="507B1D2D"/>
    <w:rsid w:val="50844584"/>
    <w:rsid w:val="50845A55"/>
    <w:rsid w:val="5086433D"/>
    <w:rsid w:val="508770A5"/>
    <w:rsid w:val="50972CEF"/>
    <w:rsid w:val="509B3E27"/>
    <w:rsid w:val="509F33E9"/>
    <w:rsid w:val="50AB700D"/>
    <w:rsid w:val="50B92525"/>
    <w:rsid w:val="50C15AE5"/>
    <w:rsid w:val="50D04F07"/>
    <w:rsid w:val="50D53D91"/>
    <w:rsid w:val="50D66E9A"/>
    <w:rsid w:val="50E03581"/>
    <w:rsid w:val="50EE2850"/>
    <w:rsid w:val="50F3192C"/>
    <w:rsid w:val="50FC6398"/>
    <w:rsid w:val="50FD31DD"/>
    <w:rsid w:val="510463A7"/>
    <w:rsid w:val="510F55F5"/>
    <w:rsid w:val="51117513"/>
    <w:rsid w:val="51120B7D"/>
    <w:rsid w:val="511234D5"/>
    <w:rsid w:val="51133AE2"/>
    <w:rsid w:val="511F23C7"/>
    <w:rsid w:val="51207BC4"/>
    <w:rsid w:val="51385321"/>
    <w:rsid w:val="513B1056"/>
    <w:rsid w:val="513F53A9"/>
    <w:rsid w:val="51406A56"/>
    <w:rsid w:val="51407BF5"/>
    <w:rsid w:val="51472C53"/>
    <w:rsid w:val="514921C8"/>
    <w:rsid w:val="514F7A7B"/>
    <w:rsid w:val="51505F37"/>
    <w:rsid w:val="5153677E"/>
    <w:rsid w:val="515432CD"/>
    <w:rsid w:val="51606F55"/>
    <w:rsid w:val="51626399"/>
    <w:rsid w:val="516C22A5"/>
    <w:rsid w:val="51736C7E"/>
    <w:rsid w:val="51742387"/>
    <w:rsid w:val="5186183A"/>
    <w:rsid w:val="51900000"/>
    <w:rsid w:val="51951912"/>
    <w:rsid w:val="51983D13"/>
    <w:rsid w:val="51996305"/>
    <w:rsid w:val="519A68E2"/>
    <w:rsid w:val="519C0E21"/>
    <w:rsid w:val="519C7CCC"/>
    <w:rsid w:val="519E7C2A"/>
    <w:rsid w:val="51A55DE3"/>
    <w:rsid w:val="51AF7F74"/>
    <w:rsid w:val="51B04174"/>
    <w:rsid w:val="51B76F7D"/>
    <w:rsid w:val="51BB3C7D"/>
    <w:rsid w:val="51BE13F9"/>
    <w:rsid w:val="51BE3B99"/>
    <w:rsid w:val="51C72EF2"/>
    <w:rsid w:val="51D46069"/>
    <w:rsid w:val="51D72331"/>
    <w:rsid w:val="51E1491F"/>
    <w:rsid w:val="51E169A4"/>
    <w:rsid w:val="51E917B0"/>
    <w:rsid w:val="51EC267C"/>
    <w:rsid w:val="51FB0C42"/>
    <w:rsid w:val="52174811"/>
    <w:rsid w:val="522460DD"/>
    <w:rsid w:val="52285F44"/>
    <w:rsid w:val="522A1DEB"/>
    <w:rsid w:val="522B4F0F"/>
    <w:rsid w:val="522E7CDE"/>
    <w:rsid w:val="52395D3E"/>
    <w:rsid w:val="52481E51"/>
    <w:rsid w:val="524A0EFF"/>
    <w:rsid w:val="524A3C3B"/>
    <w:rsid w:val="524D5043"/>
    <w:rsid w:val="52586B0D"/>
    <w:rsid w:val="525B3BC7"/>
    <w:rsid w:val="525C4B3C"/>
    <w:rsid w:val="5261017E"/>
    <w:rsid w:val="526207ED"/>
    <w:rsid w:val="52627F1C"/>
    <w:rsid w:val="52634E67"/>
    <w:rsid w:val="52651B12"/>
    <w:rsid w:val="526E12FC"/>
    <w:rsid w:val="5278444C"/>
    <w:rsid w:val="52891C7E"/>
    <w:rsid w:val="52A47DC0"/>
    <w:rsid w:val="52A87D01"/>
    <w:rsid w:val="52AB565F"/>
    <w:rsid w:val="52B83581"/>
    <w:rsid w:val="52BE5998"/>
    <w:rsid w:val="52C47508"/>
    <w:rsid w:val="52CF2836"/>
    <w:rsid w:val="52D73912"/>
    <w:rsid w:val="52D87C64"/>
    <w:rsid w:val="52DE74EA"/>
    <w:rsid w:val="52F049ED"/>
    <w:rsid w:val="531328FB"/>
    <w:rsid w:val="5313467B"/>
    <w:rsid w:val="531416D0"/>
    <w:rsid w:val="53147F7B"/>
    <w:rsid w:val="531643E4"/>
    <w:rsid w:val="53181E3A"/>
    <w:rsid w:val="531C1702"/>
    <w:rsid w:val="531E32DD"/>
    <w:rsid w:val="532016E5"/>
    <w:rsid w:val="532D35BF"/>
    <w:rsid w:val="532E12AA"/>
    <w:rsid w:val="532E741F"/>
    <w:rsid w:val="53364458"/>
    <w:rsid w:val="533C0291"/>
    <w:rsid w:val="533D637A"/>
    <w:rsid w:val="53413F50"/>
    <w:rsid w:val="53414E06"/>
    <w:rsid w:val="53482F2D"/>
    <w:rsid w:val="5358415F"/>
    <w:rsid w:val="535A6C18"/>
    <w:rsid w:val="53626352"/>
    <w:rsid w:val="537025D1"/>
    <w:rsid w:val="537C63AA"/>
    <w:rsid w:val="53881B6A"/>
    <w:rsid w:val="53961EA5"/>
    <w:rsid w:val="53991E4A"/>
    <w:rsid w:val="539C1865"/>
    <w:rsid w:val="539E1D1B"/>
    <w:rsid w:val="53A16380"/>
    <w:rsid w:val="53A632C7"/>
    <w:rsid w:val="53AA0303"/>
    <w:rsid w:val="53B26B75"/>
    <w:rsid w:val="53C102A5"/>
    <w:rsid w:val="53C12E25"/>
    <w:rsid w:val="53D73523"/>
    <w:rsid w:val="53E03834"/>
    <w:rsid w:val="53EB70C9"/>
    <w:rsid w:val="53F63E11"/>
    <w:rsid w:val="540430A9"/>
    <w:rsid w:val="5410664D"/>
    <w:rsid w:val="542D0274"/>
    <w:rsid w:val="543042C1"/>
    <w:rsid w:val="54316AAD"/>
    <w:rsid w:val="5435046B"/>
    <w:rsid w:val="54390FE5"/>
    <w:rsid w:val="54396A3B"/>
    <w:rsid w:val="543D1838"/>
    <w:rsid w:val="5446052B"/>
    <w:rsid w:val="544B3349"/>
    <w:rsid w:val="544E5F60"/>
    <w:rsid w:val="5452564B"/>
    <w:rsid w:val="54544A63"/>
    <w:rsid w:val="545E438B"/>
    <w:rsid w:val="545E6A3A"/>
    <w:rsid w:val="54661A32"/>
    <w:rsid w:val="547376F3"/>
    <w:rsid w:val="547B42EC"/>
    <w:rsid w:val="548A366A"/>
    <w:rsid w:val="549F6FD4"/>
    <w:rsid w:val="54A47847"/>
    <w:rsid w:val="54AC1B2F"/>
    <w:rsid w:val="54B80E84"/>
    <w:rsid w:val="54B878F9"/>
    <w:rsid w:val="54BB3232"/>
    <w:rsid w:val="54C9014B"/>
    <w:rsid w:val="54D55289"/>
    <w:rsid w:val="54D62878"/>
    <w:rsid w:val="54DE5DC1"/>
    <w:rsid w:val="54DF0BF5"/>
    <w:rsid w:val="54E73386"/>
    <w:rsid w:val="54EA5207"/>
    <w:rsid w:val="54ED5282"/>
    <w:rsid w:val="54F32382"/>
    <w:rsid w:val="54FD38E4"/>
    <w:rsid w:val="5503798D"/>
    <w:rsid w:val="55042BA8"/>
    <w:rsid w:val="550F016F"/>
    <w:rsid w:val="550F2CAF"/>
    <w:rsid w:val="55274949"/>
    <w:rsid w:val="55276F6F"/>
    <w:rsid w:val="552C2666"/>
    <w:rsid w:val="552E4149"/>
    <w:rsid w:val="553F4C68"/>
    <w:rsid w:val="554419EE"/>
    <w:rsid w:val="55451677"/>
    <w:rsid w:val="554D3F2F"/>
    <w:rsid w:val="55540B04"/>
    <w:rsid w:val="5554382B"/>
    <w:rsid w:val="55551A43"/>
    <w:rsid w:val="55555EE4"/>
    <w:rsid w:val="55590D60"/>
    <w:rsid w:val="55642F28"/>
    <w:rsid w:val="5569266F"/>
    <w:rsid w:val="556D2D75"/>
    <w:rsid w:val="557C6760"/>
    <w:rsid w:val="55991CB0"/>
    <w:rsid w:val="55A40040"/>
    <w:rsid w:val="55A622ED"/>
    <w:rsid w:val="55A97C61"/>
    <w:rsid w:val="55AA6794"/>
    <w:rsid w:val="55AE58B5"/>
    <w:rsid w:val="55B47377"/>
    <w:rsid w:val="55E02183"/>
    <w:rsid w:val="55F75714"/>
    <w:rsid w:val="55FA05D0"/>
    <w:rsid w:val="56095F34"/>
    <w:rsid w:val="56101B9A"/>
    <w:rsid w:val="561A1E47"/>
    <w:rsid w:val="561C4EC8"/>
    <w:rsid w:val="561F32BC"/>
    <w:rsid w:val="562B4D9D"/>
    <w:rsid w:val="563B224F"/>
    <w:rsid w:val="56401D16"/>
    <w:rsid w:val="564174CF"/>
    <w:rsid w:val="564B4108"/>
    <w:rsid w:val="565A409A"/>
    <w:rsid w:val="565D403E"/>
    <w:rsid w:val="56724FEC"/>
    <w:rsid w:val="56734C4D"/>
    <w:rsid w:val="56785F14"/>
    <w:rsid w:val="568C23C6"/>
    <w:rsid w:val="56935385"/>
    <w:rsid w:val="569761AC"/>
    <w:rsid w:val="569E61E2"/>
    <w:rsid w:val="56A735E9"/>
    <w:rsid w:val="56AF2196"/>
    <w:rsid w:val="56B0686B"/>
    <w:rsid w:val="56B27C03"/>
    <w:rsid w:val="56B316A7"/>
    <w:rsid w:val="56B50DEE"/>
    <w:rsid w:val="56B627E6"/>
    <w:rsid w:val="56C40A6E"/>
    <w:rsid w:val="56C63B25"/>
    <w:rsid w:val="56CE1031"/>
    <w:rsid w:val="56D32CE8"/>
    <w:rsid w:val="56D747E1"/>
    <w:rsid w:val="56DB53BB"/>
    <w:rsid w:val="56E03B5A"/>
    <w:rsid w:val="56EE3820"/>
    <w:rsid w:val="56EF10CC"/>
    <w:rsid w:val="5709458F"/>
    <w:rsid w:val="570E128B"/>
    <w:rsid w:val="57134916"/>
    <w:rsid w:val="571F031D"/>
    <w:rsid w:val="57213974"/>
    <w:rsid w:val="57231128"/>
    <w:rsid w:val="5729466D"/>
    <w:rsid w:val="572F76DD"/>
    <w:rsid w:val="5732213D"/>
    <w:rsid w:val="57346229"/>
    <w:rsid w:val="574C052A"/>
    <w:rsid w:val="574D3D2B"/>
    <w:rsid w:val="57594BDE"/>
    <w:rsid w:val="57602299"/>
    <w:rsid w:val="57621B47"/>
    <w:rsid w:val="5765719A"/>
    <w:rsid w:val="576A428D"/>
    <w:rsid w:val="576C4D3F"/>
    <w:rsid w:val="57763354"/>
    <w:rsid w:val="57832B05"/>
    <w:rsid w:val="578C00CC"/>
    <w:rsid w:val="57976798"/>
    <w:rsid w:val="57A31ACA"/>
    <w:rsid w:val="57A51CB1"/>
    <w:rsid w:val="57A96CD9"/>
    <w:rsid w:val="57AA0234"/>
    <w:rsid w:val="57B62926"/>
    <w:rsid w:val="57B661AF"/>
    <w:rsid w:val="57BA6299"/>
    <w:rsid w:val="57C02594"/>
    <w:rsid w:val="57C81850"/>
    <w:rsid w:val="57C82FC9"/>
    <w:rsid w:val="57CF1CE2"/>
    <w:rsid w:val="57D640CA"/>
    <w:rsid w:val="57E7447C"/>
    <w:rsid w:val="57E95FF7"/>
    <w:rsid w:val="57EF6475"/>
    <w:rsid w:val="57F063EC"/>
    <w:rsid w:val="57F16802"/>
    <w:rsid w:val="57F327FA"/>
    <w:rsid w:val="57FC0EBA"/>
    <w:rsid w:val="57FC5D37"/>
    <w:rsid w:val="58002551"/>
    <w:rsid w:val="580612EB"/>
    <w:rsid w:val="58121A9A"/>
    <w:rsid w:val="581B4600"/>
    <w:rsid w:val="58217091"/>
    <w:rsid w:val="58226400"/>
    <w:rsid w:val="582839AE"/>
    <w:rsid w:val="582E04B3"/>
    <w:rsid w:val="58362536"/>
    <w:rsid w:val="583A7041"/>
    <w:rsid w:val="58421017"/>
    <w:rsid w:val="58495204"/>
    <w:rsid w:val="584C365B"/>
    <w:rsid w:val="58517313"/>
    <w:rsid w:val="58753149"/>
    <w:rsid w:val="58762EB6"/>
    <w:rsid w:val="58802600"/>
    <w:rsid w:val="58813B50"/>
    <w:rsid w:val="58860CCF"/>
    <w:rsid w:val="588A44EC"/>
    <w:rsid w:val="588C3CB3"/>
    <w:rsid w:val="58A40D3F"/>
    <w:rsid w:val="58A8161A"/>
    <w:rsid w:val="58AF3746"/>
    <w:rsid w:val="58B279CF"/>
    <w:rsid w:val="58B4554D"/>
    <w:rsid w:val="58B46BFF"/>
    <w:rsid w:val="58B50C81"/>
    <w:rsid w:val="58B8321F"/>
    <w:rsid w:val="58B901CC"/>
    <w:rsid w:val="58BA1252"/>
    <w:rsid w:val="58BB272D"/>
    <w:rsid w:val="58BB32FF"/>
    <w:rsid w:val="58C07D64"/>
    <w:rsid w:val="58D7143F"/>
    <w:rsid w:val="58DD459C"/>
    <w:rsid w:val="58E22246"/>
    <w:rsid w:val="58E71EBD"/>
    <w:rsid w:val="58ED183C"/>
    <w:rsid w:val="58F01DE4"/>
    <w:rsid w:val="58F032B6"/>
    <w:rsid w:val="58F331C7"/>
    <w:rsid w:val="58F41EA2"/>
    <w:rsid w:val="58F75457"/>
    <w:rsid w:val="59090C9C"/>
    <w:rsid w:val="59094172"/>
    <w:rsid w:val="59152E9B"/>
    <w:rsid w:val="591C643B"/>
    <w:rsid w:val="59244892"/>
    <w:rsid w:val="59306E82"/>
    <w:rsid w:val="5932516A"/>
    <w:rsid w:val="59544435"/>
    <w:rsid w:val="59547D8E"/>
    <w:rsid w:val="595551AD"/>
    <w:rsid w:val="59617511"/>
    <w:rsid w:val="596F5034"/>
    <w:rsid w:val="597A6016"/>
    <w:rsid w:val="59842E1B"/>
    <w:rsid w:val="59847205"/>
    <w:rsid w:val="598926E7"/>
    <w:rsid w:val="59937F81"/>
    <w:rsid w:val="599C0240"/>
    <w:rsid w:val="59A55344"/>
    <w:rsid w:val="59B97C52"/>
    <w:rsid w:val="59D35161"/>
    <w:rsid w:val="59DE7CE8"/>
    <w:rsid w:val="59DF0668"/>
    <w:rsid w:val="59EC109E"/>
    <w:rsid w:val="59F25E18"/>
    <w:rsid w:val="59F764F7"/>
    <w:rsid w:val="59FD2AEA"/>
    <w:rsid w:val="5A067AB2"/>
    <w:rsid w:val="5A0A07FD"/>
    <w:rsid w:val="5A0E3A43"/>
    <w:rsid w:val="5A18531B"/>
    <w:rsid w:val="5A185431"/>
    <w:rsid w:val="5A1D5CD9"/>
    <w:rsid w:val="5A244105"/>
    <w:rsid w:val="5A261C3B"/>
    <w:rsid w:val="5A280905"/>
    <w:rsid w:val="5A2E6CE6"/>
    <w:rsid w:val="5A2E707C"/>
    <w:rsid w:val="5A334937"/>
    <w:rsid w:val="5A3879BC"/>
    <w:rsid w:val="5A3F102B"/>
    <w:rsid w:val="5A426F72"/>
    <w:rsid w:val="5A446B26"/>
    <w:rsid w:val="5A493E7A"/>
    <w:rsid w:val="5A4B6FA7"/>
    <w:rsid w:val="5A5354E4"/>
    <w:rsid w:val="5A595F37"/>
    <w:rsid w:val="5A606ABE"/>
    <w:rsid w:val="5A691021"/>
    <w:rsid w:val="5A692A48"/>
    <w:rsid w:val="5A6D6152"/>
    <w:rsid w:val="5A702CC9"/>
    <w:rsid w:val="5A886954"/>
    <w:rsid w:val="5A893954"/>
    <w:rsid w:val="5A9B43B6"/>
    <w:rsid w:val="5AAB1840"/>
    <w:rsid w:val="5AB226A0"/>
    <w:rsid w:val="5AB90EF3"/>
    <w:rsid w:val="5ABF5F8E"/>
    <w:rsid w:val="5AC41AD2"/>
    <w:rsid w:val="5AC7122F"/>
    <w:rsid w:val="5AD46B5D"/>
    <w:rsid w:val="5AD900BA"/>
    <w:rsid w:val="5ADB46BC"/>
    <w:rsid w:val="5AE95221"/>
    <w:rsid w:val="5AEF2A73"/>
    <w:rsid w:val="5AF00467"/>
    <w:rsid w:val="5AF1743C"/>
    <w:rsid w:val="5AFF0B01"/>
    <w:rsid w:val="5B14128A"/>
    <w:rsid w:val="5B15494F"/>
    <w:rsid w:val="5B1A293B"/>
    <w:rsid w:val="5B1A5BBE"/>
    <w:rsid w:val="5B1B67E5"/>
    <w:rsid w:val="5B1C7665"/>
    <w:rsid w:val="5B1F5609"/>
    <w:rsid w:val="5B2764DF"/>
    <w:rsid w:val="5B2879E6"/>
    <w:rsid w:val="5B36681F"/>
    <w:rsid w:val="5B417E57"/>
    <w:rsid w:val="5B422186"/>
    <w:rsid w:val="5B4A52CA"/>
    <w:rsid w:val="5B4B12EE"/>
    <w:rsid w:val="5B5C390E"/>
    <w:rsid w:val="5B6D2AC1"/>
    <w:rsid w:val="5B7326CF"/>
    <w:rsid w:val="5B7B75AF"/>
    <w:rsid w:val="5B8D7907"/>
    <w:rsid w:val="5B935412"/>
    <w:rsid w:val="5B9B7675"/>
    <w:rsid w:val="5B9E19B6"/>
    <w:rsid w:val="5B9F3B4F"/>
    <w:rsid w:val="5BA14DCF"/>
    <w:rsid w:val="5BA50BEB"/>
    <w:rsid w:val="5BA84A7D"/>
    <w:rsid w:val="5BA863D7"/>
    <w:rsid w:val="5BB06090"/>
    <w:rsid w:val="5BB068E8"/>
    <w:rsid w:val="5BB22F35"/>
    <w:rsid w:val="5BB90AFA"/>
    <w:rsid w:val="5BBD5F3E"/>
    <w:rsid w:val="5BC26FC4"/>
    <w:rsid w:val="5BC8220C"/>
    <w:rsid w:val="5BCB689D"/>
    <w:rsid w:val="5BD211BA"/>
    <w:rsid w:val="5BD73E94"/>
    <w:rsid w:val="5BDD618C"/>
    <w:rsid w:val="5BDE65B4"/>
    <w:rsid w:val="5BE016CD"/>
    <w:rsid w:val="5BEB49A9"/>
    <w:rsid w:val="5BF73022"/>
    <w:rsid w:val="5BFB725B"/>
    <w:rsid w:val="5C00377F"/>
    <w:rsid w:val="5C0658A3"/>
    <w:rsid w:val="5C0E0BBB"/>
    <w:rsid w:val="5C12496A"/>
    <w:rsid w:val="5C1E0E05"/>
    <w:rsid w:val="5C240EE3"/>
    <w:rsid w:val="5C2A4E24"/>
    <w:rsid w:val="5C2B2A54"/>
    <w:rsid w:val="5C320AAE"/>
    <w:rsid w:val="5C3556E1"/>
    <w:rsid w:val="5C38039F"/>
    <w:rsid w:val="5C444CA3"/>
    <w:rsid w:val="5C525B8B"/>
    <w:rsid w:val="5C68028F"/>
    <w:rsid w:val="5C6C1FD8"/>
    <w:rsid w:val="5C751C26"/>
    <w:rsid w:val="5C784C16"/>
    <w:rsid w:val="5C7961C0"/>
    <w:rsid w:val="5C801814"/>
    <w:rsid w:val="5C865F3B"/>
    <w:rsid w:val="5C8C56FD"/>
    <w:rsid w:val="5C916E87"/>
    <w:rsid w:val="5C994277"/>
    <w:rsid w:val="5CA20A48"/>
    <w:rsid w:val="5CB01BE9"/>
    <w:rsid w:val="5CBC6E44"/>
    <w:rsid w:val="5CCC217F"/>
    <w:rsid w:val="5CCD50AB"/>
    <w:rsid w:val="5CEB6B6B"/>
    <w:rsid w:val="5CF226CE"/>
    <w:rsid w:val="5D05381A"/>
    <w:rsid w:val="5D0F01A3"/>
    <w:rsid w:val="5D0F1744"/>
    <w:rsid w:val="5D1550A3"/>
    <w:rsid w:val="5D21480E"/>
    <w:rsid w:val="5D2273EC"/>
    <w:rsid w:val="5D2B30B5"/>
    <w:rsid w:val="5D3C05EA"/>
    <w:rsid w:val="5D3D5057"/>
    <w:rsid w:val="5D3E2311"/>
    <w:rsid w:val="5D4114EE"/>
    <w:rsid w:val="5D4433D5"/>
    <w:rsid w:val="5D583ACE"/>
    <w:rsid w:val="5D66145B"/>
    <w:rsid w:val="5D716602"/>
    <w:rsid w:val="5D9A7664"/>
    <w:rsid w:val="5D9C57DF"/>
    <w:rsid w:val="5DB66567"/>
    <w:rsid w:val="5DB736F9"/>
    <w:rsid w:val="5DB843ED"/>
    <w:rsid w:val="5DBB6FFF"/>
    <w:rsid w:val="5DBC5FB0"/>
    <w:rsid w:val="5DBD4AC1"/>
    <w:rsid w:val="5DC4440A"/>
    <w:rsid w:val="5DC863BF"/>
    <w:rsid w:val="5DCB03C6"/>
    <w:rsid w:val="5DCB1909"/>
    <w:rsid w:val="5DE03B16"/>
    <w:rsid w:val="5DE324EB"/>
    <w:rsid w:val="5DE37DFD"/>
    <w:rsid w:val="5DEA436C"/>
    <w:rsid w:val="5E067ECE"/>
    <w:rsid w:val="5E0C6B8B"/>
    <w:rsid w:val="5E130B2B"/>
    <w:rsid w:val="5E1616E1"/>
    <w:rsid w:val="5E174A17"/>
    <w:rsid w:val="5E182C15"/>
    <w:rsid w:val="5E1D5BD9"/>
    <w:rsid w:val="5E207513"/>
    <w:rsid w:val="5E2154A9"/>
    <w:rsid w:val="5E2B3479"/>
    <w:rsid w:val="5E2D50E0"/>
    <w:rsid w:val="5E311E4B"/>
    <w:rsid w:val="5E3613FC"/>
    <w:rsid w:val="5E4635AD"/>
    <w:rsid w:val="5E4F3D84"/>
    <w:rsid w:val="5E6B1599"/>
    <w:rsid w:val="5E7051CC"/>
    <w:rsid w:val="5E71702E"/>
    <w:rsid w:val="5E7F4C50"/>
    <w:rsid w:val="5E834CDE"/>
    <w:rsid w:val="5E842B29"/>
    <w:rsid w:val="5E902A12"/>
    <w:rsid w:val="5E913FEF"/>
    <w:rsid w:val="5E9534AC"/>
    <w:rsid w:val="5E9A6BA4"/>
    <w:rsid w:val="5E9F74F2"/>
    <w:rsid w:val="5EA20B88"/>
    <w:rsid w:val="5EA34FAF"/>
    <w:rsid w:val="5EA80F73"/>
    <w:rsid w:val="5EAD4690"/>
    <w:rsid w:val="5EB81C22"/>
    <w:rsid w:val="5EBD1F63"/>
    <w:rsid w:val="5EBD3A45"/>
    <w:rsid w:val="5EC23929"/>
    <w:rsid w:val="5EC54A22"/>
    <w:rsid w:val="5EC71743"/>
    <w:rsid w:val="5ECF2834"/>
    <w:rsid w:val="5EE67023"/>
    <w:rsid w:val="5EE91E68"/>
    <w:rsid w:val="5EF11720"/>
    <w:rsid w:val="5EF27F9F"/>
    <w:rsid w:val="5EFC275D"/>
    <w:rsid w:val="5F0E1AEE"/>
    <w:rsid w:val="5F10677B"/>
    <w:rsid w:val="5F1B3550"/>
    <w:rsid w:val="5F210149"/>
    <w:rsid w:val="5F221559"/>
    <w:rsid w:val="5F2623D2"/>
    <w:rsid w:val="5F3059EE"/>
    <w:rsid w:val="5F3577BA"/>
    <w:rsid w:val="5F3E0B7C"/>
    <w:rsid w:val="5F445D42"/>
    <w:rsid w:val="5F4A6F75"/>
    <w:rsid w:val="5F4B5388"/>
    <w:rsid w:val="5F4B7DD3"/>
    <w:rsid w:val="5F5D2D70"/>
    <w:rsid w:val="5F6376F9"/>
    <w:rsid w:val="5F6F3762"/>
    <w:rsid w:val="5F704751"/>
    <w:rsid w:val="5F716AF2"/>
    <w:rsid w:val="5F7724D8"/>
    <w:rsid w:val="5F780818"/>
    <w:rsid w:val="5F8F76AA"/>
    <w:rsid w:val="5F901CEA"/>
    <w:rsid w:val="5F9021E4"/>
    <w:rsid w:val="5F993E73"/>
    <w:rsid w:val="5F9C0089"/>
    <w:rsid w:val="5FA54193"/>
    <w:rsid w:val="5FB84C30"/>
    <w:rsid w:val="5FC03BCF"/>
    <w:rsid w:val="5FCF6EA2"/>
    <w:rsid w:val="5FD63462"/>
    <w:rsid w:val="5FD744BF"/>
    <w:rsid w:val="5FE3263C"/>
    <w:rsid w:val="5FEB217B"/>
    <w:rsid w:val="5FF033C3"/>
    <w:rsid w:val="5FF62125"/>
    <w:rsid w:val="601B3D81"/>
    <w:rsid w:val="60222CD2"/>
    <w:rsid w:val="60264349"/>
    <w:rsid w:val="603055F6"/>
    <w:rsid w:val="6031235F"/>
    <w:rsid w:val="60393F62"/>
    <w:rsid w:val="604E5226"/>
    <w:rsid w:val="605C10A5"/>
    <w:rsid w:val="60666778"/>
    <w:rsid w:val="60792D58"/>
    <w:rsid w:val="607977CD"/>
    <w:rsid w:val="6085399A"/>
    <w:rsid w:val="60856282"/>
    <w:rsid w:val="60961C9C"/>
    <w:rsid w:val="609872B1"/>
    <w:rsid w:val="60A25925"/>
    <w:rsid w:val="60AB41DD"/>
    <w:rsid w:val="60B64DF7"/>
    <w:rsid w:val="60B85765"/>
    <w:rsid w:val="60CA22F9"/>
    <w:rsid w:val="60DF18DF"/>
    <w:rsid w:val="60DF34C1"/>
    <w:rsid w:val="60E42A05"/>
    <w:rsid w:val="60F02DA3"/>
    <w:rsid w:val="60F33E0A"/>
    <w:rsid w:val="60F67C6B"/>
    <w:rsid w:val="60F75CB4"/>
    <w:rsid w:val="60FB7CD6"/>
    <w:rsid w:val="61077669"/>
    <w:rsid w:val="61110B23"/>
    <w:rsid w:val="6122016D"/>
    <w:rsid w:val="61236BF5"/>
    <w:rsid w:val="61236D82"/>
    <w:rsid w:val="61247878"/>
    <w:rsid w:val="61273167"/>
    <w:rsid w:val="61375ED8"/>
    <w:rsid w:val="613F0E62"/>
    <w:rsid w:val="61510D93"/>
    <w:rsid w:val="61511C64"/>
    <w:rsid w:val="61520C2A"/>
    <w:rsid w:val="615679C8"/>
    <w:rsid w:val="615C63E3"/>
    <w:rsid w:val="615E61F4"/>
    <w:rsid w:val="61602AB6"/>
    <w:rsid w:val="6161726A"/>
    <w:rsid w:val="616537D2"/>
    <w:rsid w:val="616A4EB2"/>
    <w:rsid w:val="61964F90"/>
    <w:rsid w:val="619949AA"/>
    <w:rsid w:val="61A06DCB"/>
    <w:rsid w:val="61A15313"/>
    <w:rsid w:val="61A60F43"/>
    <w:rsid w:val="61A6780A"/>
    <w:rsid w:val="61A8597D"/>
    <w:rsid w:val="61B03CD7"/>
    <w:rsid w:val="61B10393"/>
    <w:rsid w:val="61C13A7C"/>
    <w:rsid w:val="61C862FC"/>
    <w:rsid w:val="61EF7D4F"/>
    <w:rsid w:val="61F64FD3"/>
    <w:rsid w:val="61F91DA0"/>
    <w:rsid w:val="62033E56"/>
    <w:rsid w:val="6204060D"/>
    <w:rsid w:val="62057E3D"/>
    <w:rsid w:val="620B2CFE"/>
    <w:rsid w:val="621B5836"/>
    <w:rsid w:val="62200F6D"/>
    <w:rsid w:val="622B2711"/>
    <w:rsid w:val="622C4837"/>
    <w:rsid w:val="622C5604"/>
    <w:rsid w:val="622C7260"/>
    <w:rsid w:val="623513BA"/>
    <w:rsid w:val="62406445"/>
    <w:rsid w:val="624E5D4D"/>
    <w:rsid w:val="62560234"/>
    <w:rsid w:val="625666C8"/>
    <w:rsid w:val="625C4993"/>
    <w:rsid w:val="62670398"/>
    <w:rsid w:val="626C5954"/>
    <w:rsid w:val="626F1A8E"/>
    <w:rsid w:val="62773928"/>
    <w:rsid w:val="627A4F44"/>
    <w:rsid w:val="627B551D"/>
    <w:rsid w:val="62867B73"/>
    <w:rsid w:val="628E35A8"/>
    <w:rsid w:val="6291723C"/>
    <w:rsid w:val="629214B8"/>
    <w:rsid w:val="629B35D6"/>
    <w:rsid w:val="62A2714C"/>
    <w:rsid w:val="62AC447F"/>
    <w:rsid w:val="62CD6511"/>
    <w:rsid w:val="62DB31EA"/>
    <w:rsid w:val="62E83D03"/>
    <w:rsid w:val="62EB7C73"/>
    <w:rsid w:val="62F45E3D"/>
    <w:rsid w:val="63055DE6"/>
    <w:rsid w:val="630E41CE"/>
    <w:rsid w:val="631E5F8B"/>
    <w:rsid w:val="632273F2"/>
    <w:rsid w:val="63294275"/>
    <w:rsid w:val="633346AE"/>
    <w:rsid w:val="633957DB"/>
    <w:rsid w:val="633A38EB"/>
    <w:rsid w:val="6345621F"/>
    <w:rsid w:val="63494C48"/>
    <w:rsid w:val="634B140F"/>
    <w:rsid w:val="63511703"/>
    <w:rsid w:val="63540FCB"/>
    <w:rsid w:val="637424A2"/>
    <w:rsid w:val="637C11C3"/>
    <w:rsid w:val="637D46B5"/>
    <w:rsid w:val="638D7C23"/>
    <w:rsid w:val="63916FE1"/>
    <w:rsid w:val="639714D0"/>
    <w:rsid w:val="63A272CD"/>
    <w:rsid w:val="63AA1049"/>
    <w:rsid w:val="63AC7A58"/>
    <w:rsid w:val="63AE2D8C"/>
    <w:rsid w:val="63AF5EA4"/>
    <w:rsid w:val="63C138D1"/>
    <w:rsid w:val="63C616E2"/>
    <w:rsid w:val="63DC6639"/>
    <w:rsid w:val="63E07448"/>
    <w:rsid w:val="63E15AAB"/>
    <w:rsid w:val="63E35EAF"/>
    <w:rsid w:val="63E90727"/>
    <w:rsid w:val="63EC6356"/>
    <w:rsid w:val="63F86129"/>
    <w:rsid w:val="63FF3A00"/>
    <w:rsid w:val="640A0E9C"/>
    <w:rsid w:val="640E3F87"/>
    <w:rsid w:val="64193F9F"/>
    <w:rsid w:val="641E1A16"/>
    <w:rsid w:val="642C5EAC"/>
    <w:rsid w:val="64385451"/>
    <w:rsid w:val="644B7EE7"/>
    <w:rsid w:val="64516601"/>
    <w:rsid w:val="64575950"/>
    <w:rsid w:val="6459161A"/>
    <w:rsid w:val="645D383B"/>
    <w:rsid w:val="645E40F0"/>
    <w:rsid w:val="645F0FCB"/>
    <w:rsid w:val="6461711B"/>
    <w:rsid w:val="64620A80"/>
    <w:rsid w:val="646A29B9"/>
    <w:rsid w:val="646A69E5"/>
    <w:rsid w:val="64747C17"/>
    <w:rsid w:val="6477545F"/>
    <w:rsid w:val="64785424"/>
    <w:rsid w:val="64795F94"/>
    <w:rsid w:val="64814BD2"/>
    <w:rsid w:val="64822AD6"/>
    <w:rsid w:val="648253D1"/>
    <w:rsid w:val="6489783C"/>
    <w:rsid w:val="648C7537"/>
    <w:rsid w:val="648D526E"/>
    <w:rsid w:val="64933071"/>
    <w:rsid w:val="649529DA"/>
    <w:rsid w:val="64966261"/>
    <w:rsid w:val="649C64B3"/>
    <w:rsid w:val="649E6E01"/>
    <w:rsid w:val="64A2622E"/>
    <w:rsid w:val="64AD796C"/>
    <w:rsid w:val="64AE3205"/>
    <w:rsid w:val="64B77240"/>
    <w:rsid w:val="64C67257"/>
    <w:rsid w:val="64D44C2C"/>
    <w:rsid w:val="64D70E9F"/>
    <w:rsid w:val="64DB7741"/>
    <w:rsid w:val="64DC7209"/>
    <w:rsid w:val="64DF6958"/>
    <w:rsid w:val="64E300F6"/>
    <w:rsid w:val="64E36B2E"/>
    <w:rsid w:val="64E63AAD"/>
    <w:rsid w:val="64F9072E"/>
    <w:rsid w:val="65013448"/>
    <w:rsid w:val="652B4C83"/>
    <w:rsid w:val="65334491"/>
    <w:rsid w:val="6542198B"/>
    <w:rsid w:val="654711CA"/>
    <w:rsid w:val="654A11FE"/>
    <w:rsid w:val="655135DD"/>
    <w:rsid w:val="65526531"/>
    <w:rsid w:val="655A0E38"/>
    <w:rsid w:val="65636760"/>
    <w:rsid w:val="65654ACE"/>
    <w:rsid w:val="656730FB"/>
    <w:rsid w:val="65686B57"/>
    <w:rsid w:val="65736911"/>
    <w:rsid w:val="65793630"/>
    <w:rsid w:val="657F7BAD"/>
    <w:rsid w:val="658E23AA"/>
    <w:rsid w:val="658F67EB"/>
    <w:rsid w:val="65990512"/>
    <w:rsid w:val="65A23BBA"/>
    <w:rsid w:val="65A7504F"/>
    <w:rsid w:val="65B46541"/>
    <w:rsid w:val="65BD393C"/>
    <w:rsid w:val="65C2218D"/>
    <w:rsid w:val="65C52068"/>
    <w:rsid w:val="65CA75A1"/>
    <w:rsid w:val="65D0089C"/>
    <w:rsid w:val="65D23617"/>
    <w:rsid w:val="65D32EAA"/>
    <w:rsid w:val="65DF33E9"/>
    <w:rsid w:val="65E012D1"/>
    <w:rsid w:val="65EA7280"/>
    <w:rsid w:val="65FB1A22"/>
    <w:rsid w:val="65FF564A"/>
    <w:rsid w:val="660D78A1"/>
    <w:rsid w:val="66132C30"/>
    <w:rsid w:val="661C09B9"/>
    <w:rsid w:val="661E6DCB"/>
    <w:rsid w:val="662520F4"/>
    <w:rsid w:val="66285860"/>
    <w:rsid w:val="66307E7A"/>
    <w:rsid w:val="663C2F47"/>
    <w:rsid w:val="66407AA7"/>
    <w:rsid w:val="66442C18"/>
    <w:rsid w:val="664442F5"/>
    <w:rsid w:val="66517F2D"/>
    <w:rsid w:val="66566A3A"/>
    <w:rsid w:val="665D3ADE"/>
    <w:rsid w:val="665E53FA"/>
    <w:rsid w:val="66745C52"/>
    <w:rsid w:val="667B0941"/>
    <w:rsid w:val="668375CB"/>
    <w:rsid w:val="668509F4"/>
    <w:rsid w:val="668E7473"/>
    <w:rsid w:val="66946F87"/>
    <w:rsid w:val="66982FFA"/>
    <w:rsid w:val="66990708"/>
    <w:rsid w:val="66A743DE"/>
    <w:rsid w:val="66AC7029"/>
    <w:rsid w:val="66B22291"/>
    <w:rsid w:val="66B728A5"/>
    <w:rsid w:val="66C7756B"/>
    <w:rsid w:val="66CA1B5E"/>
    <w:rsid w:val="66E56EAF"/>
    <w:rsid w:val="66F43353"/>
    <w:rsid w:val="66F53D86"/>
    <w:rsid w:val="66F859FE"/>
    <w:rsid w:val="66FA1122"/>
    <w:rsid w:val="67003EA1"/>
    <w:rsid w:val="67014687"/>
    <w:rsid w:val="671520B5"/>
    <w:rsid w:val="6719282F"/>
    <w:rsid w:val="67213167"/>
    <w:rsid w:val="67356B93"/>
    <w:rsid w:val="67374FCD"/>
    <w:rsid w:val="6738440C"/>
    <w:rsid w:val="673B68EC"/>
    <w:rsid w:val="673D1965"/>
    <w:rsid w:val="673D6872"/>
    <w:rsid w:val="67400AE9"/>
    <w:rsid w:val="675B25E1"/>
    <w:rsid w:val="67630E0A"/>
    <w:rsid w:val="6771224F"/>
    <w:rsid w:val="67751314"/>
    <w:rsid w:val="677A44EB"/>
    <w:rsid w:val="67814A87"/>
    <w:rsid w:val="6783200A"/>
    <w:rsid w:val="678856A0"/>
    <w:rsid w:val="678D777F"/>
    <w:rsid w:val="67A10C9C"/>
    <w:rsid w:val="67AD01D5"/>
    <w:rsid w:val="67B47276"/>
    <w:rsid w:val="67B77EFC"/>
    <w:rsid w:val="67B9125A"/>
    <w:rsid w:val="67BE4C1A"/>
    <w:rsid w:val="67C8078C"/>
    <w:rsid w:val="67C94D53"/>
    <w:rsid w:val="67CA7FB2"/>
    <w:rsid w:val="67D41530"/>
    <w:rsid w:val="67D6445B"/>
    <w:rsid w:val="67D712AC"/>
    <w:rsid w:val="67D839B8"/>
    <w:rsid w:val="67DE5547"/>
    <w:rsid w:val="67E15461"/>
    <w:rsid w:val="67E20574"/>
    <w:rsid w:val="67E71C50"/>
    <w:rsid w:val="67E934CF"/>
    <w:rsid w:val="67FB2514"/>
    <w:rsid w:val="680068A2"/>
    <w:rsid w:val="68090CAF"/>
    <w:rsid w:val="68134D53"/>
    <w:rsid w:val="681D6A47"/>
    <w:rsid w:val="681E43D6"/>
    <w:rsid w:val="6825164D"/>
    <w:rsid w:val="682F24B0"/>
    <w:rsid w:val="6830001C"/>
    <w:rsid w:val="6832630B"/>
    <w:rsid w:val="6833147A"/>
    <w:rsid w:val="683B5120"/>
    <w:rsid w:val="683D14CE"/>
    <w:rsid w:val="683D6B39"/>
    <w:rsid w:val="684275E2"/>
    <w:rsid w:val="684629A0"/>
    <w:rsid w:val="68651CA9"/>
    <w:rsid w:val="68694383"/>
    <w:rsid w:val="686B6EC9"/>
    <w:rsid w:val="6870163E"/>
    <w:rsid w:val="687465E1"/>
    <w:rsid w:val="687F1E0D"/>
    <w:rsid w:val="68801AB0"/>
    <w:rsid w:val="688C511F"/>
    <w:rsid w:val="688E29A9"/>
    <w:rsid w:val="68941D95"/>
    <w:rsid w:val="689469AB"/>
    <w:rsid w:val="68980B6E"/>
    <w:rsid w:val="68987AAA"/>
    <w:rsid w:val="68A21490"/>
    <w:rsid w:val="68B4469A"/>
    <w:rsid w:val="68BE6B59"/>
    <w:rsid w:val="68C13764"/>
    <w:rsid w:val="68CC4129"/>
    <w:rsid w:val="68D43812"/>
    <w:rsid w:val="68D622D9"/>
    <w:rsid w:val="68D86B1F"/>
    <w:rsid w:val="68DF75BE"/>
    <w:rsid w:val="68E02F74"/>
    <w:rsid w:val="68E84D04"/>
    <w:rsid w:val="68F137FB"/>
    <w:rsid w:val="68FA2608"/>
    <w:rsid w:val="68FD55B8"/>
    <w:rsid w:val="68FE45D3"/>
    <w:rsid w:val="69093517"/>
    <w:rsid w:val="692A00FE"/>
    <w:rsid w:val="692B3BD2"/>
    <w:rsid w:val="692F7D04"/>
    <w:rsid w:val="6939563C"/>
    <w:rsid w:val="693A3A1B"/>
    <w:rsid w:val="693B2CB5"/>
    <w:rsid w:val="694147CC"/>
    <w:rsid w:val="694224E3"/>
    <w:rsid w:val="6954249D"/>
    <w:rsid w:val="69592589"/>
    <w:rsid w:val="6964678F"/>
    <w:rsid w:val="69701E73"/>
    <w:rsid w:val="69863287"/>
    <w:rsid w:val="698C4EA0"/>
    <w:rsid w:val="698D1241"/>
    <w:rsid w:val="69B704E1"/>
    <w:rsid w:val="69C145EA"/>
    <w:rsid w:val="69CC022D"/>
    <w:rsid w:val="69CD15A6"/>
    <w:rsid w:val="69CE6D49"/>
    <w:rsid w:val="69CF36BC"/>
    <w:rsid w:val="69D86EE7"/>
    <w:rsid w:val="69EC791D"/>
    <w:rsid w:val="69ED2897"/>
    <w:rsid w:val="69F8370A"/>
    <w:rsid w:val="6A02487F"/>
    <w:rsid w:val="6A030E12"/>
    <w:rsid w:val="6A125070"/>
    <w:rsid w:val="6A152E75"/>
    <w:rsid w:val="6A3812B1"/>
    <w:rsid w:val="6A41142C"/>
    <w:rsid w:val="6A4A0699"/>
    <w:rsid w:val="6A4F10D1"/>
    <w:rsid w:val="6A572930"/>
    <w:rsid w:val="6A6318DA"/>
    <w:rsid w:val="6A705F2F"/>
    <w:rsid w:val="6A790870"/>
    <w:rsid w:val="6A7D4CFD"/>
    <w:rsid w:val="6A832CFE"/>
    <w:rsid w:val="6A8A534F"/>
    <w:rsid w:val="6A8C3BBC"/>
    <w:rsid w:val="6AB47317"/>
    <w:rsid w:val="6AC30677"/>
    <w:rsid w:val="6AC34E37"/>
    <w:rsid w:val="6AC43B1C"/>
    <w:rsid w:val="6ACB09A6"/>
    <w:rsid w:val="6AD3564A"/>
    <w:rsid w:val="6AD72B98"/>
    <w:rsid w:val="6AE14F84"/>
    <w:rsid w:val="6AE5367E"/>
    <w:rsid w:val="6AE858E2"/>
    <w:rsid w:val="6AF0763F"/>
    <w:rsid w:val="6AFF6FA5"/>
    <w:rsid w:val="6B05523A"/>
    <w:rsid w:val="6B121039"/>
    <w:rsid w:val="6B135625"/>
    <w:rsid w:val="6B1F126C"/>
    <w:rsid w:val="6B1F4489"/>
    <w:rsid w:val="6B252CCB"/>
    <w:rsid w:val="6B2C3753"/>
    <w:rsid w:val="6B303813"/>
    <w:rsid w:val="6B372F3C"/>
    <w:rsid w:val="6B3A2562"/>
    <w:rsid w:val="6B4A1A5E"/>
    <w:rsid w:val="6B520E3E"/>
    <w:rsid w:val="6B5774F8"/>
    <w:rsid w:val="6B6629B0"/>
    <w:rsid w:val="6B667E1F"/>
    <w:rsid w:val="6B6C2E17"/>
    <w:rsid w:val="6B6D5AD0"/>
    <w:rsid w:val="6B6E5C1C"/>
    <w:rsid w:val="6B732575"/>
    <w:rsid w:val="6B757C2C"/>
    <w:rsid w:val="6B800F50"/>
    <w:rsid w:val="6B8249DD"/>
    <w:rsid w:val="6B943E21"/>
    <w:rsid w:val="6B9925FB"/>
    <w:rsid w:val="6B9C6AC5"/>
    <w:rsid w:val="6BB05345"/>
    <w:rsid w:val="6BB117BE"/>
    <w:rsid w:val="6BB502BC"/>
    <w:rsid w:val="6BB80641"/>
    <w:rsid w:val="6BCA02E7"/>
    <w:rsid w:val="6BD11020"/>
    <w:rsid w:val="6BD46129"/>
    <w:rsid w:val="6BD91511"/>
    <w:rsid w:val="6BDD0B7F"/>
    <w:rsid w:val="6BEA120D"/>
    <w:rsid w:val="6BEC17B1"/>
    <w:rsid w:val="6BEC7CDA"/>
    <w:rsid w:val="6BF006D4"/>
    <w:rsid w:val="6BFE035C"/>
    <w:rsid w:val="6C172E65"/>
    <w:rsid w:val="6C186655"/>
    <w:rsid w:val="6C217068"/>
    <w:rsid w:val="6C234767"/>
    <w:rsid w:val="6C26070E"/>
    <w:rsid w:val="6C264C9C"/>
    <w:rsid w:val="6C2740CA"/>
    <w:rsid w:val="6C311E1D"/>
    <w:rsid w:val="6C380C1A"/>
    <w:rsid w:val="6C3D7583"/>
    <w:rsid w:val="6C404221"/>
    <w:rsid w:val="6C4638B1"/>
    <w:rsid w:val="6C465A43"/>
    <w:rsid w:val="6C484FB9"/>
    <w:rsid w:val="6C507730"/>
    <w:rsid w:val="6C51462C"/>
    <w:rsid w:val="6C5B7DF7"/>
    <w:rsid w:val="6C5E5215"/>
    <w:rsid w:val="6C694FDE"/>
    <w:rsid w:val="6C7A2DEC"/>
    <w:rsid w:val="6C7D0015"/>
    <w:rsid w:val="6C7E12AB"/>
    <w:rsid w:val="6C812C80"/>
    <w:rsid w:val="6C8C4AE0"/>
    <w:rsid w:val="6C8E6D3B"/>
    <w:rsid w:val="6C925DDC"/>
    <w:rsid w:val="6C9308B0"/>
    <w:rsid w:val="6C97334F"/>
    <w:rsid w:val="6CB2366D"/>
    <w:rsid w:val="6CB32D5C"/>
    <w:rsid w:val="6CB7698F"/>
    <w:rsid w:val="6CC33316"/>
    <w:rsid w:val="6CC63C60"/>
    <w:rsid w:val="6CC83972"/>
    <w:rsid w:val="6CD25BBC"/>
    <w:rsid w:val="6CD32411"/>
    <w:rsid w:val="6CE02AD7"/>
    <w:rsid w:val="6CE76E47"/>
    <w:rsid w:val="6CE97516"/>
    <w:rsid w:val="6CF03D7A"/>
    <w:rsid w:val="6CF048A4"/>
    <w:rsid w:val="6CF117C4"/>
    <w:rsid w:val="6CF271BC"/>
    <w:rsid w:val="6CF50F8E"/>
    <w:rsid w:val="6CF660DF"/>
    <w:rsid w:val="6CFC7F75"/>
    <w:rsid w:val="6D051B42"/>
    <w:rsid w:val="6D117F84"/>
    <w:rsid w:val="6D130938"/>
    <w:rsid w:val="6D1B101A"/>
    <w:rsid w:val="6D213778"/>
    <w:rsid w:val="6D2A3AC3"/>
    <w:rsid w:val="6D31011E"/>
    <w:rsid w:val="6D3A332E"/>
    <w:rsid w:val="6D46708E"/>
    <w:rsid w:val="6D4973E4"/>
    <w:rsid w:val="6D4A47FD"/>
    <w:rsid w:val="6D507080"/>
    <w:rsid w:val="6D596278"/>
    <w:rsid w:val="6D597272"/>
    <w:rsid w:val="6D626323"/>
    <w:rsid w:val="6D653DCB"/>
    <w:rsid w:val="6D6B6F97"/>
    <w:rsid w:val="6D6D2796"/>
    <w:rsid w:val="6D803F14"/>
    <w:rsid w:val="6D8079DF"/>
    <w:rsid w:val="6D821932"/>
    <w:rsid w:val="6D860F71"/>
    <w:rsid w:val="6D8B3351"/>
    <w:rsid w:val="6D90242A"/>
    <w:rsid w:val="6D974981"/>
    <w:rsid w:val="6D987AAE"/>
    <w:rsid w:val="6D9F55E8"/>
    <w:rsid w:val="6DAE4B2F"/>
    <w:rsid w:val="6DB44004"/>
    <w:rsid w:val="6DB75120"/>
    <w:rsid w:val="6DBA7A9D"/>
    <w:rsid w:val="6DC454AB"/>
    <w:rsid w:val="6DC505C1"/>
    <w:rsid w:val="6DC646BC"/>
    <w:rsid w:val="6DCD0CC1"/>
    <w:rsid w:val="6DDC5164"/>
    <w:rsid w:val="6DF8796E"/>
    <w:rsid w:val="6DFC226C"/>
    <w:rsid w:val="6DFC7034"/>
    <w:rsid w:val="6DFD69D7"/>
    <w:rsid w:val="6DFF3530"/>
    <w:rsid w:val="6E0155C5"/>
    <w:rsid w:val="6E093BE3"/>
    <w:rsid w:val="6E155106"/>
    <w:rsid w:val="6E172243"/>
    <w:rsid w:val="6E1A66A6"/>
    <w:rsid w:val="6E1E5318"/>
    <w:rsid w:val="6E210244"/>
    <w:rsid w:val="6E2E7664"/>
    <w:rsid w:val="6E461E9F"/>
    <w:rsid w:val="6E462F13"/>
    <w:rsid w:val="6E495958"/>
    <w:rsid w:val="6E4D55C1"/>
    <w:rsid w:val="6E522F84"/>
    <w:rsid w:val="6E584807"/>
    <w:rsid w:val="6E675E8B"/>
    <w:rsid w:val="6E6A1FAE"/>
    <w:rsid w:val="6E756047"/>
    <w:rsid w:val="6E7D2208"/>
    <w:rsid w:val="6E826605"/>
    <w:rsid w:val="6E857CB5"/>
    <w:rsid w:val="6E91428E"/>
    <w:rsid w:val="6E954F3F"/>
    <w:rsid w:val="6E96030B"/>
    <w:rsid w:val="6EA75C26"/>
    <w:rsid w:val="6EA859DF"/>
    <w:rsid w:val="6EAE1AB7"/>
    <w:rsid w:val="6EB17EBD"/>
    <w:rsid w:val="6EBD2B74"/>
    <w:rsid w:val="6EC117B2"/>
    <w:rsid w:val="6EC66DC3"/>
    <w:rsid w:val="6EDB5C2F"/>
    <w:rsid w:val="6EE90499"/>
    <w:rsid w:val="6EE9133B"/>
    <w:rsid w:val="6EEB1BA7"/>
    <w:rsid w:val="6EF41477"/>
    <w:rsid w:val="6EF72D92"/>
    <w:rsid w:val="6EF763F4"/>
    <w:rsid w:val="6EFC6E02"/>
    <w:rsid w:val="6F01265C"/>
    <w:rsid w:val="6F104B66"/>
    <w:rsid w:val="6F161847"/>
    <w:rsid w:val="6F1C3B74"/>
    <w:rsid w:val="6F1C497D"/>
    <w:rsid w:val="6F1D4BE8"/>
    <w:rsid w:val="6F221411"/>
    <w:rsid w:val="6F2A0519"/>
    <w:rsid w:val="6F2D1819"/>
    <w:rsid w:val="6F3D3D37"/>
    <w:rsid w:val="6F447C2E"/>
    <w:rsid w:val="6F4650A5"/>
    <w:rsid w:val="6F4B0717"/>
    <w:rsid w:val="6F4C4ACE"/>
    <w:rsid w:val="6F511824"/>
    <w:rsid w:val="6F545CCD"/>
    <w:rsid w:val="6F60681C"/>
    <w:rsid w:val="6F62367E"/>
    <w:rsid w:val="6F6A4FA8"/>
    <w:rsid w:val="6F785FEF"/>
    <w:rsid w:val="6F891335"/>
    <w:rsid w:val="6F8E0920"/>
    <w:rsid w:val="6F9046D1"/>
    <w:rsid w:val="6F94327C"/>
    <w:rsid w:val="6F9F0875"/>
    <w:rsid w:val="6FAE0802"/>
    <w:rsid w:val="6FB276C8"/>
    <w:rsid w:val="6FBC35B3"/>
    <w:rsid w:val="6FC6140B"/>
    <w:rsid w:val="6FCB5910"/>
    <w:rsid w:val="6FD17B6C"/>
    <w:rsid w:val="6FD623F0"/>
    <w:rsid w:val="6FF3484A"/>
    <w:rsid w:val="6FFA45D3"/>
    <w:rsid w:val="6FFC0FC4"/>
    <w:rsid w:val="700156F3"/>
    <w:rsid w:val="702565AF"/>
    <w:rsid w:val="70260F20"/>
    <w:rsid w:val="703014EA"/>
    <w:rsid w:val="70321261"/>
    <w:rsid w:val="70354FAA"/>
    <w:rsid w:val="70357717"/>
    <w:rsid w:val="70481509"/>
    <w:rsid w:val="704E37F1"/>
    <w:rsid w:val="7051260E"/>
    <w:rsid w:val="7052091F"/>
    <w:rsid w:val="70570042"/>
    <w:rsid w:val="706053E4"/>
    <w:rsid w:val="706144EF"/>
    <w:rsid w:val="70686393"/>
    <w:rsid w:val="70696CF5"/>
    <w:rsid w:val="706A7D54"/>
    <w:rsid w:val="706C31B8"/>
    <w:rsid w:val="7073355C"/>
    <w:rsid w:val="70752B0D"/>
    <w:rsid w:val="70770B8F"/>
    <w:rsid w:val="707C3624"/>
    <w:rsid w:val="707D159B"/>
    <w:rsid w:val="707F67DE"/>
    <w:rsid w:val="708A120B"/>
    <w:rsid w:val="709264B1"/>
    <w:rsid w:val="70941707"/>
    <w:rsid w:val="709A351A"/>
    <w:rsid w:val="709E7AAB"/>
    <w:rsid w:val="70A91B0C"/>
    <w:rsid w:val="70A92697"/>
    <w:rsid w:val="70AD433D"/>
    <w:rsid w:val="70AE1739"/>
    <w:rsid w:val="70C00257"/>
    <w:rsid w:val="70C444FA"/>
    <w:rsid w:val="70D44A11"/>
    <w:rsid w:val="70D57370"/>
    <w:rsid w:val="70EB2BEC"/>
    <w:rsid w:val="70F476DA"/>
    <w:rsid w:val="70FE4B8C"/>
    <w:rsid w:val="71031AE4"/>
    <w:rsid w:val="71036BDF"/>
    <w:rsid w:val="71050F77"/>
    <w:rsid w:val="710612DE"/>
    <w:rsid w:val="711575FD"/>
    <w:rsid w:val="711F61B4"/>
    <w:rsid w:val="71200632"/>
    <w:rsid w:val="71223410"/>
    <w:rsid w:val="7126256E"/>
    <w:rsid w:val="713443C7"/>
    <w:rsid w:val="71371998"/>
    <w:rsid w:val="713E1B5F"/>
    <w:rsid w:val="71450399"/>
    <w:rsid w:val="71547C6D"/>
    <w:rsid w:val="71582C7C"/>
    <w:rsid w:val="715C656A"/>
    <w:rsid w:val="71603D47"/>
    <w:rsid w:val="71626C59"/>
    <w:rsid w:val="717025E4"/>
    <w:rsid w:val="717326DD"/>
    <w:rsid w:val="71736A36"/>
    <w:rsid w:val="7178257D"/>
    <w:rsid w:val="71783F83"/>
    <w:rsid w:val="71791B3D"/>
    <w:rsid w:val="717B1650"/>
    <w:rsid w:val="71842D57"/>
    <w:rsid w:val="718465CF"/>
    <w:rsid w:val="7189636A"/>
    <w:rsid w:val="718D0958"/>
    <w:rsid w:val="719D789A"/>
    <w:rsid w:val="71AA311F"/>
    <w:rsid w:val="71B72D23"/>
    <w:rsid w:val="71BE4A68"/>
    <w:rsid w:val="71C733A5"/>
    <w:rsid w:val="71CC1C77"/>
    <w:rsid w:val="71DB3246"/>
    <w:rsid w:val="71E27CB9"/>
    <w:rsid w:val="71E60A63"/>
    <w:rsid w:val="71EE7622"/>
    <w:rsid w:val="71FC5B97"/>
    <w:rsid w:val="72066899"/>
    <w:rsid w:val="720867F6"/>
    <w:rsid w:val="720E3968"/>
    <w:rsid w:val="72107EA1"/>
    <w:rsid w:val="72243376"/>
    <w:rsid w:val="72276871"/>
    <w:rsid w:val="723B7237"/>
    <w:rsid w:val="72443B8A"/>
    <w:rsid w:val="72444C6E"/>
    <w:rsid w:val="724534FC"/>
    <w:rsid w:val="72504500"/>
    <w:rsid w:val="725C5030"/>
    <w:rsid w:val="726330DA"/>
    <w:rsid w:val="72695044"/>
    <w:rsid w:val="7271485E"/>
    <w:rsid w:val="72784738"/>
    <w:rsid w:val="72802932"/>
    <w:rsid w:val="72930546"/>
    <w:rsid w:val="72943090"/>
    <w:rsid w:val="729D6D7D"/>
    <w:rsid w:val="729F2EA4"/>
    <w:rsid w:val="72A71668"/>
    <w:rsid w:val="72AB3DF6"/>
    <w:rsid w:val="72B87FAB"/>
    <w:rsid w:val="72B90D1E"/>
    <w:rsid w:val="72BA6334"/>
    <w:rsid w:val="72C32503"/>
    <w:rsid w:val="72C95363"/>
    <w:rsid w:val="72D46CFD"/>
    <w:rsid w:val="72D72FE9"/>
    <w:rsid w:val="72E6082E"/>
    <w:rsid w:val="72E90C1F"/>
    <w:rsid w:val="72EC5DF3"/>
    <w:rsid w:val="72F669F9"/>
    <w:rsid w:val="72FD0678"/>
    <w:rsid w:val="7301385C"/>
    <w:rsid w:val="73042EC3"/>
    <w:rsid w:val="730D748C"/>
    <w:rsid w:val="730F22E2"/>
    <w:rsid w:val="731949B1"/>
    <w:rsid w:val="731B2521"/>
    <w:rsid w:val="731C0840"/>
    <w:rsid w:val="73294F15"/>
    <w:rsid w:val="732B0BD3"/>
    <w:rsid w:val="732F1D04"/>
    <w:rsid w:val="733522F1"/>
    <w:rsid w:val="733C79B0"/>
    <w:rsid w:val="733E647D"/>
    <w:rsid w:val="73411F2E"/>
    <w:rsid w:val="734B2D2F"/>
    <w:rsid w:val="734E6EEC"/>
    <w:rsid w:val="7359604F"/>
    <w:rsid w:val="73795052"/>
    <w:rsid w:val="737F1345"/>
    <w:rsid w:val="738B16F0"/>
    <w:rsid w:val="738E603B"/>
    <w:rsid w:val="73B22D52"/>
    <w:rsid w:val="73B40CC9"/>
    <w:rsid w:val="73B43967"/>
    <w:rsid w:val="73BB195C"/>
    <w:rsid w:val="73BF635C"/>
    <w:rsid w:val="73C234A1"/>
    <w:rsid w:val="73D46E8A"/>
    <w:rsid w:val="73DA7A21"/>
    <w:rsid w:val="73DE2AF1"/>
    <w:rsid w:val="73DF6838"/>
    <w:rsid w:val="73E12C87"/>
    <w:rsid w:val="73E275FD"/>
    <w:rsid w:val="73E4183A"/>
    <w:rsid w:val="73E8644B"/>
    <w:rsid w:val="73F46E43"/>
    <w:rsid w:val="74286D6F"/>
    <w:rsid w:val="7428760F"/>
    <w:rsid w:val="74294D13"/>
    <w:rsid w:val="74311CAE"/>
    <w:rsid w:val="743F795B"/>
    <w:rsid w:val="74411F6B"/>
    <w:rsid w:val="74416023"/>
    <w:rsid w:val="744A754E"/>
    <w:rsid w:val="744B2289"/>
    <w:rsid w:val="744D444C"/>
    <w:rsid w:val="74532C1A"/>
    <w:rsid w:val="7458214D"/>
    <w:rsid w:val="745D324C"/>
    <w:rsid w:val="74604237"/>
    <w:rsid w:val="7468491E"/>
    <w:rsid w:val="746B169A"/>
    <w:rsid w:val="74702165"/>
    <w:rsid w:val="74737805"/>
    <w:rsid w:val="747409B5"/>
    <w:rsid w:val="747A5358"/>
    <w:rsid w:val="7482728A"/>
    <w:rsid w:val="749413A6"/>
    <w:rsid w:val="74994560"/>
    <w:rsid w:val="749A3F84"/>
    <w:rsid w:val="74A30FC6"/>
    <w:rsid w:val="74A84852"/>
    <w:rsid w:val="74A84FB2"/>
    <w:rsid w:val="74AA083F"/>
    <w:rsid w:val="74C778E5"/>
    <w:rsid w:val="74C908AC"/>
    <w:rsid w:val="74CA2C30"/>
    <w:rsid w:val="74CE70A8"/>
    <w:rsid w:val="74E06BCE"/>
    <w:rsid w:val="74E42983"/>
    <w:rsid w:val="74E741FF"/>
    <w:rsid w:val="74E7502E"/>
    <w:rsid w:val="74EA1FCA"/>
    <w:rsid w:val="74EC6D5D"/>
    <w:rsid w:val="74F13D24"/>
    <w:rsid w:val="74FF2441"/>
    <w:rsid w:val="75017730"/>
    <w:rsid w:val="750425CC"/>
    <w:rsid w:val="75055F0D"/>
    <w:rsid w:val="75081AFB"/>
    <w:rsid w:val="750A219A"/>
    <w:rsid w:val="750F707B"/>
    <w:rsid w:val="7515626A"/>
    <w:rsid w:val="751A57F9"/>
    <w:rsid w:val="751E169B"/>
    <w:rsid w:val="752060B5"/>
    <w:rsid w:val="752F0FCF"/>
    <w:rsid w:val="752F5C55"/>
    <w:rsid w:val="753F701E"/>
    <w:rsid w:val="75570B4A"/>
    <w:rsid w:val="75582AB3"/>
    <w:rsid w:val="756C7B14"/>
    <w:rsid w:val="75700BFF"/>
    <w:rsid w:val="7575044A"/>
    <w:rsid w:val="75792AD8"/>
    <w:rsid w:val="757C0AB0"/>
    <w:rsid w:val="7581187B"/>
    <w:rsid w:val="75881D90"/>
    <w:rsid w:val="75AD17CD"/>
    <w:rsid w:val="75AF7717"/>
    <w:rsid w:val="75C46A05"/>
    <w:rsid w:val="75D64AA4"/>
    <w:rsid w:val="75DC7550"/>
    <w:rsid w:val="75DD0BE0"/>
    <w:rsid w:val="75DE03CE"/>
    <w:rsid w:val="75DF6FCC"/>
    <w:rsid w:val="75E60DC6"/>
    <w:rsid w:val="75E86DAD"/>
    <w:rsid w:val="75ED1FB1"/>
    <w:rsid w:val="75F0296E"/>
    <w:rsid w:val="75F33AE2"/>
    <w:rsid w:val="75F412E7"/>
    <w:rsid w:val="75F55B4E"/>
    <w:rsid w:val="7609371F"/>
    <w:rsid w:val="76095132"/>
    <w:rsid w:val="76102C04"/>
    <w:rsid w:val="76270355"/>
    <w:rsid w:val="76286888"/>
    <w:rsid w:val="762D2A04"/>
    <w:rsid w:val="762D589B"/>
    <w:rsid w:val="763446C3"/>
    <w:rsid w:val="76366E62"/>
    <w:rsid w:val="763C749D"/>
    <w:rsid w:val="76424381"/>
    <w:rsid w:val="76457D97"/>
    <w:rsid w:val="76547FF4"/>
    <w:rsid w:val="765559EB"/>
    <w:rsid w:val="765B7173"/>
    <w:rsid w:val="765D2FA7"/>
    <w:rsid w:val="76692029"/>
    <w:rsid w:val="767144B8"/>
    <w:rsid w:val="767149F6"/>
    <w:rsid w:val="767F45B5"/>
    <w:rsid w:val="769440C2"/>
    <w:rsid w:val="76973917"/>
    <w:rsid w:val="769764AC"/>
    <w:rsid w:val="769A7184"/>
    <w:rsid w:val="769F6169"/>
    <w:rsid w:val="76A12AAB"/>
    <w:rsid w:val="76A15419"/>
    <w:rsid w:val="76A43283"/>
    <w:rsid w:val="76A525BB"/>
    <w:rsid w:val="76C3766F"/>
    <w:rsid w:val="76D64846"/>
    <w:rsid w:val="76EA5849"/>
    <w:rsid w:val="76FA6179"/>
    <w:rsid w:val="77094AE3"/>
    <w:rsid w:val="770E21A2"/>
    <w:rsid w:val="77131222"/>
    <w:rsid w:val="7713448F"/>
    <w:rsid w:val="771514C2"/>
    <w:rsid w:val="77151AF1"/>
    <w:rsid w:val="771C2E0A"/>
    <w:rsid w:val="772346CA"/>
    <w:rsid w:val="77344509"/>
    <w:rsid w:val="773525D7"/>
    <w:rsid w:val="7748450B"/>
    <w:rsid w:val="7749464F"/>
    <w:rsid w:val="7755174E"/>
    <w:rsid w:val="775933A5"/>
    <w:rsid w:val="77597C26"/>
    <w:rsid w:val="77675803"/>
    <w:rsid w:val="776A5608"/>
    <w:rsid w:val="776A6357"/>
    <w:rsid w:val="776C19C8"/>
    <w:rsid w:val="776C48AD"/>
    <w:rsid w:val="77767573"/>
    <w:rsid w:val="777A3937"/>
    <w:rsid w:val="777C610E"/>
    <w:rsid w:val="77896E02"/>
    <w:rsid w:val="778B17E4"/>
    <w:rsid w:val="778F5D7C"/>
    <w:rsid w:val="779959D5"/>
    <w:rsid w:val="779A1222"/>
    <w:rsid w:val="779C737A"/>
    <w:rsid w:val="77A125BA"/>
    <w:rsid w:val="77A60B5C"/>
    <w:rsid w:val="77A77BD9"/>
    <w:rsid w:val="77AB090E"/>
    <w:rsid w:val="77AC0601"/>
    <w:rsid w:val="77B94147"/>
    <w:rsid w:val="77BA1624"/>
    <w:rsid w:val="77C368A0"/>
    <w:rsid w:val="77CB01FA"/>
    <w:rsid w:val="77CE0069"/>
    <w:rsid w:val="77D95275"/>
    <w:rsid w:val="77E226F6"/>
    <w:rsid w:val="77E55B32"/>
    <w:rsid w:val="77E906AA"/>
    <w:rsid w:val="77E907BF"/>
    <w:rsid w:val="77F67DC1"/>
    <w:rsid w:val="77F80E8E"/>
    <w:rsid w:val="77F819F4"/>
    <w:rsid w:val="77FE3BA6"/>
    <w:rsid w:val="77FF2803"/>
    <w:rsid w:val="78074E2E"/>
    <w:rsid w:val="78086824"/>
    <w:rsid w:val="780C0B06"/>
    <w:rsid w:val="78122BE5"/>
    <w:rsid w:val="78163833"/>
    <w:rsid w:val="781A01F5"/>
    <w:rsid w:val="781B4C13"/>
    <w:rsid w:val="7824795F"/>
    <w:rsid w:val="78285097"/>
    <w:rsid w:val="782E165F"/>
    <w:rsid w:val="78313203"/>
    <w:rsid w:val="78385B11"/>
    <w:rsid w:val="784565E5"/>
    <w:rsid w:val="784A1827"/>
    <w:rsid w:val="785D5BB8"/>
    <w:rsid w:val="785D7ABA"/>
    <w:rsid w:val="7865081A"/>
    <w:rsid w:val="786C05DD"/>
    <w:rsid w:val="786D6FEA"/>
    <w:rsid w:val="786D76A0"/>
    <w:rsid w:val="78720D80"/>
    <w:rsid w:val="787D3F71"/>
    <w:rsid w:val="788A6055"/>
    <w:rsid w:val="789140F0"/>
    <w:rsid w:val="789448C1"/>
    <w:rsid w:val="78A16E46"/>
    <w:rsid w:val="78AA2CB9"/>
    <w:rsid w:val="78AA4718"/>
    <w:rsid w:val="78B1325F"/>
    <w:rsid w:val="78C36DB1"/>
    <w:rsid w:val="78DC2F48"/>
    <w:rsid w:val="78E64BB5"/>
    <w:rsid w:val="78ED4703"/>
    <w:rsid w:val="78F975ED"/>
    <w:rsid w:val="79017A8F"/>
    <w:rsid w:val="7903271B"/>
    <w:rsid w:val="790C2A4A"/>
    <w:rsid w:val="79101DC3"/>
    <w:rsid w:val="791272D0"/>
    <w:rsid w:val="7916420C"/>
    <w:rsid w:val="791B2655"/>
    <w:rsid w:val="791F6CD8"/>
    <w:rsid w:val="79244BC4"/>
    <w:rsid w:val="792926F7"/>
    <w:rsid w:val="792D1302"/>
    <w:rsid w:val="79346A84"/>
    <w:rsid w:val="79370696"/>
    <w:rsid w:val="793C5A2A"/>
    <w:rsid w:val="793D791E"/>
    <w:rsid w:val="793F6A29"/>
    <w:rsid w:val="79405513"/>
    <w:rsid w:val="794265F7"/>
    <w:rsid w:val="794662BC"/>
    <w:rsid w:val="794E1D8B"/>
    <w:rsid w:val="7950583E"/>
    <w:rsid w:val="79544591"/>
    <w:rsid w:val="79595458"/>
    <w:rsid w:val="79625756"/>
    <w:rsid w:val="79673721"/>
    <w:rsid w:val="797B0E6B"/>
    <w:rsid w:val="797B441C"/>
    <w:rsid w:val="798C6D83"/>
    <w:rsid w:val="79992692"/>
    <w:rsid w:val="79A11BBB"/>
    <w:rsid w:val="79A277A6"/>
    <w:rsid w:val="79A812AF"/>
    <w:rsid w:val="79AE58F7"/>
    <w:rsid w:val="79B36AA2"/>
    <w:rsid w:val="79B57B2B"/>
    <w:rsid w:val="79B6707B"/>
    <w:rsid w:val="79B737DC"/>
    <w:rsid w:val="79D7145C"/>
    <w:rsid w:val="79DC33F6"/>
    <w:rsid w:val="79E15421"/>
    <w:rsid w:val="79E208F3"/>
    <w:rsid w:val="79E959FE"/>
    <w:rsid w:val="79EB0D45"/>
    <w:rsid w:val="79ED31FD"/>
    <w:rsid w:val="79F35E47"/>
    <w:rsid w:val="7A007254"/>
    <w:rsid w:val="7A050285"/>
    <w:rsid w:val="7A135219"/>
    <w:rsid w:val="7A220D35"/>
    <w:rsid w:val="7A22650B"/>
    <w:rsid w:val="7A2E139E"/>
    <w:rsid w:val="7A2E394E"/>
    <w:rsid w:val="7A322687"/>
    <w:rsid w:val="7A345D23"/>
    <w:rsid w:val="7A373109"/>
    <w:rsid w:val="7A374BDA"/>
    <w:rsid w:val="7A3A07B8"/>
    <w:rsid w:val="7A404EEE"/>
    <w:rsid w:val="7A481A97"/>
    <w:rsid w:val="7A4874F7"/>
    <w:rsid w:val="7A4F71DD"/>
    <w:rsid w:val="7A5B3C84"/>
    <w:rsid w:val="7A603016"/>
    <w:rsid w:val="7A643828"/>
    <w:rsid w:val="7A796117"/>
    <w:rsid w:val="7A7967E5"/>
    <w:rsid w:val="7A812A7D"/>
    <w:rsid w:val="7A82426C"/>
    <w:rsid w:val="7A8A0709"/>
    <w:rsid w:val="7A8A375E"/>
    <w:rsid w:val="7A8A3920"/>
    <w:rsid w:val="7A8D67B0"/>
    <w:rsid w:val="7A9373CC"/>
    <w:rsid w:val="7A9749C6"/>
    <w:rsid w:val="7A993592"/>
    <w:rsid w:val="7AA70EC6"/>
    <w:rsid w:val="7AA8558B"/>
    <w:rsid w:val="7AB22DDE"/>
    <w:rsid w:val="7ABC60BB"/>
    <w:rsid w:val="7AD917DB"/>
    <w:rsid w:val="7ADE4910"/>
    <w:rsid w:val="7AEB3D84"/>
    <w:rsid w:val="7AEC43BC"/>
    <w:rsid w:val="7AED2B4C"/>
    <w:rsid w:val="7AF46091"/>
    <w:rsid w:val="7AF569A9"/>
    <w:rsid w:val="7AF65616"/>
    <w:rsid w:val="7AFC7C52"/>
    <w:rsid w:val="7B07132E"/>
    <w:rsid w:val="7B074279"/>
    <w:rsid w:val="7B075B00"/>
    <w:rsid w:val="7B08348F"/>
    <w:rsid w:val="7B0B3BE1"/>
    <w:rsid w:val="7B1133A3"/>
    <w:rsid w:val="7B124FB2"/>
    <w:rsid w:val="7B176002"/>
    <w:rsid w:val="7B196207"/>
    <w:rsid w:val="7B1D7034"/>
    <w:rsid w:val="7B2E6C02"/>
    <w:rsid w:val="7B306468"/>
    <w:rsid w:val="7B340074"/>
    <w:rsid w:val="7B37032B"/>
    <w:rsid w:val="7B3E5B1F"/>
    <w:rsid w:val="7B404992"/>
    <w:rsid w:val="7B422E52"/>
    <w:rsid w:val="7B450F6E"/>
    <w:rsid w:val="7B45713D"/>
    <w:rsid w:val="7B5015D3"/>
    <w:rsid w:val="7B50605F"/>
    <w:rsid w:val="7B5E04AD"/>
    <w:rsid w:val="7B676026"/>
    <w:rsid w:val="7B69242A"/>
    <w:rsid w:val="7B703DCF"/>
    <w:rsid w:val="7B7B6834"/>
    <w:rsid w:val="7B7C7FED"/>
    <w:rsid w:val="7B853B42"/>
    <w:rsid w:val="7B9403B2"/>
    <w:rsid w:val="7B9F6B3B"/>
    <w:rsid w:val="7BA2724C"/>
    <w:rsid w:val="7BA33BAC"/>
    <w:rsid w:val="7BAB7DA1"/>
    <w:rsid w:val="7BAD0341"/>
    <w:rsid w:val="7BE553E2"/>
    <w:rsid w:val="7BED0FED"/>
    <w:rsid w:val="7BF03AA4"/>
    <w:rsid w:val="7BFF5BC9"/>
    <w:rsid w:val="7C0C6D32"/>
    <w:rsid w:val="7C127D53"/>
    <w:rsid w:val="7C134DDC"/>
    <w:rsid w:val="7C1B3C19"/>
    <w:rsid w:val="7C4C4EE8"/>
    <w:rsid w:val="7C513835"/>
    <w:rsid w:val="7C537E07"/>
    <w:rsid w:val="7C556439"/>
    <w:rsid w:val="7C656293"/>
    <w:rsid w:val="7C69486E"/>
    <w:rsid w:val="7C710B6D"/>
    <w:rsid w:val="7C7F62AD"/>
    <w:rsid w:val="7C892DD7"/>
    <w:rsid w:val="7C9341CE"/>
    <w:rsid w:val="7C9D591A"/>
    <w:rsid w:val="7C9D6A06"/>
    <w:rsid w:val="7C9E7486"/>
    <w:rsid w:val="7CA72399"/>
    <w:rsid w:val="7CA91207"/>
    <w:rsid w:val="7CAC12EC"/>
    <w:rsid w:val="7CB65003"/>
    <w:rsid w:val="7CB9205C"/>
    <w:rsid w:val="7CBC4A20"/>
    <w:rsid w:val="7CC82B56"/>
    <w:rsid w:val="7CCD3152"/>
    <w:rsid w:val="7CCF17C9"/>
    <w:rsid w:val="7CD03EB2"/>
    <w:rsid w:val="7CDF4AFC"/>
    <w:rsid w:val="7CEA3B1A"/>
    <w:rsid w:val="7CEF5094"/>
    <w:rsid w:val="7CF835B7"/>
    <w:rsid w:val="7CFF4B67"/>
    <w:rsid w:val="7D000F57"/>
    <w:rsid w:val="7D021830"/>
    <w:rsid w:val="7D0A3D38"/>
    <w:rsid w:val="7D103D3C"/>
    <w:rsid w:val="7D117480"/>
    <w:rsid w:val="7D1367FB"/>
    <w:rsid w:val="7D270BA6"/>
    <w:rsid w:val="7D2C47B7"/>
    <w:rsid w:val="7D3918F0"/>
    <w:rsid w:val="7D4E66D1"/>
    <w:rsid w:val="7D5107A8"/>
    <w:rsid w:val="7D540ADD"/>
    <w:rsid w:val="7D572EAF"/>
    <w:rsid w:val="7D5C0A8D"/>
    <w:rsid w:val="7D736D91"/>
    <w:rsid w:val="7D747EB2"/>
    <w:rsid w:val="7D76569F"/>
    <w:rsid w:val="7D87015A"/>
    <w:rsid w:val="7D871F67"/>
    <w:rsid w:val="7D881142"/>
    <w:rsid w:val="7D8C0A83"/>
    <w:rsid w:val="7D92765F"/>
    <w:rsid w:val="7D986276"/>
    <w:rsid w:val="7D9B1411"/>
    <w:rsid w:val="7DA763A8"/>
    <w:rsid w:val="7DAC2FB8"/>
    <w:rsid w:val="7DAF5A70"/>
    <w:rsid w:val="7DB812B7"/>
    <w:rsid w:val="7DC1666D"/>
    <w:rsid w:val="7DC73EA9"/>
    <w:rsid w:val="7DCE316D"/>
    <w:rsid w:val="7DDA2DEC"/>
    <w:rsid w:val="7DEE08B0"/>
    <w:rsid w:val="7DEF3846"/>
    <w:rsid w:val="7DF2375A"/>
    <w:rsid w:val="7DFB0EF3"/>
    <w:rsid w:val="7DFB32AA"/>
    <w:rsid w:val="7E067967"/>
    <w:rsid w:val="7E0D4714"/>
    <w:rsid w:val="7E12495B"/>
    <w:rsid w:val="7E250C4B"/>
    <w:rsid w:val="7E2900C7"/>
    <w:rsid w:val="7E2F44D3"/>
    <w:rsid w:val="7E3F2435"/>
    <w:rsid w:val="7E444C41"/>
    <w:rsid w:val="7E447576"/>
    <w:rsid w:val="7E4A09B0"/>
    <w:rsid w:val="7E4B0986"/>
    <w:rsid w:val="7E4B7D1D"/>
    <w:rsid w:val="7E4D1DC8"/>
    <w:rsid w:val="7E530777"/>
    <w:rsid w:val="7E610191"/>
    <w:rsid w:val="7E610501"/>
    <w:rsid w:val="7E6749BF"/>
    <w:rsid w:val="7E7F3079"/>
    <w:rsid w:val="7E805920"/>
    <w:rsid w:val="7E830B44"/>
    <w:rsid w:val="7E912254"/>
    <w:rsid w:val="7E92611C"/>
    <w:rsid w:val="7E9371AE"/>
    <w:rsid w:val="7E9D5BEF"/>
    <w:rsid w:val="7E9E4D45"/>
    <w:rsid w:val="7EA46332"/>
    <w:rsid w:val="7EA515BB"/>
    <w:rsid w:val="7EAB5D47"/>
    <w:rsid w:val="7EAE0780"/>
    <w:rsid w:val="7EB33A2B"/>
    <w:rsid w:val="7EB53AF6"/>
    <w:rsid w:val="7EB57376"/>
    <w:rsid w:val="7EBA7EC2"/>
    <w:rsid w:val="7EC019A2"/>
    <w:rsid w:val="7ECA5839"/>
    <w:rsid w:val="7ECC2B37"/>
    <w:rsid w:val="7ED04BB5"/>
    <w:rsid w:val="7ED0749D"/>
    <w:rsid w:val="7EDA35E0"/>
    <w:rsid w:val="7EE7147B"/>
    <w:rsid w:val="7EEC4CE4"/>
    <w:rsid w:val="7EEF13F4"/>
    <w:rsid w:val="7EF57093"/>
    <w:rsid w:val="7EF7288C"/>
    <w:rsid w:val="7F107790"/>
    <w:rsid w:val="7F185D94"/>
    <w:rsid w:val="7F274D1F"/>
    <w:rsid w:val="7F315E99"/>
    <w:rsid w:val="7F362CB1"/>
    <w:rsid w:val="7F403678"/>
    <w:rsid w:val="7F4530F4"/>
    <w:rsid w:val="7F4B2D3E"/>
    <w:rsid w:val="7F4E4908"/>
    <w:rsid w:val="7F542F05"/>
    <w:rsid w:val="7F54384D"/>
    <w:rsid w:val="7F5C3BFC"/>
    <w:rsid w:val="7F712478"/>
    <w:rsid w:val="7F7464D6"/>
    <w:rsid w:val="7F78248C"/>
    <w:rsid w:val="7F7B185C"/>
    <w:rsid w:val="7F7D0578"/>
    <w:rsid w:val="7F7E5F9C"/>
    <w:rsid w:val="7F82052B"/>
    <w:rsid w:val="7F90784C"/>
    <w:rsid w:val="7F960CD1"/>
    <w:rsid w:val="7F980922"/>
    <w:rsid w:val="7F9E1471"/>
    <w:rsid w:val="7FA45E1E"/>
    <w:rsid w:val="7FA83A77"/>
    <w:rsid w:val="7FB364F7"/>
    <w:rsid w:val="7FB803E0"/>
    <w:rsid w:val="7FBC0A50"/>
    <w:rsid w:val="7FBC31EF"/>
    <w:rsid w:val="7FCF462C"/>
    <w:rsid w:val="7FD67D78"/>
    <w:rsid w:val="7FDD7540"/>
    <w:rsid w:val="7FEE6154"/>
    <w:rsid w:val="7FFC46E8"/>
    <w:rsid w:val="7FFE4A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99"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0"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59"/>
    <w:qFormat/>
    <w:uiPriority w:val="99"/>
    <w:pPr>
      <w:keepNext/>
      <w:spacing w:line="288" w:lineRule="auto"/>
      <w:jc w:val="center"/>
      <w:outlineLvl w:val="0"/>
    </w:pPr>
    <w:rPr>
      <w:rFonts w:ascii="仿宋_GB2312" w:hAnsi="仿宋_GB2312" w:eastAsia="黑体"/>
      <w:bCs/>
      <w:color w:val="000000"/>
      <w:sz w:val="36"/>
      <w:szCs w:val="36"/>
    </w:rPr>
  </w:style>
  <w:style w:type="paragraph" w:styleId="5">
    <w:name w:val="heading 2"/>
    <w:basedOn w:val="1"/>
    <w:next w:val="1"/>
    <w:link w:val="60"/>
    <w:qFormat/>
    <w:uiPriority w:val="0"/>
    <w:pPr>
      <w:keepNext/>
      <w:keepLines/>
      <w:spacing w:line="413" w:lineRule="auto"/>
      <w:jc w:val="center"/>
      <w:outlineLvl w:val="1"/>
    </w:pPr>
    <w:rPr>
      <w:rFonts w:ascii="Arial" w:hAnsi="Arial" w:eastAsia="宋体"/>
      <w:b/>
      <w:bCs/>
      <w:sz w:val="30"/>
      <w:szCs w:val="32"/>
    </w:rPr>
  </w:style>
  <w:style w:type="paragraph" w:styleId="6">
    <w:name w:val="heading 3"/>
    <w:basedOn w:val="1"/>
    <w:next w:val="1"/>
    <w:link w:val="61"/>
    <w:qFormat/>
    <w:uiPriority w:val="0"/>
    <w:pPr>
      <w:keepNext/>
      <w:keepLines/>
      <w:spacing w:line="416" w:lineRule="auto"/>
      <w:jc w:val="center"/>
      <w:outlineLvl w:val="2"/>
    </w:pPr>
    <w:rPr>
      <w:rFonts w:ascii="Times New Roman" w:hAnsi="Times New Roman" w:eastAsia="宋体"/>
      <w:b/>
      <w:bCs/>
      <w:sz w:val="28"/>
      <w:szCs w:val="32"/>
    </w:rPr>
  </w:style>
  <w:style w:type="paragraph" w:styleId="7">
    <w:name w:val="heading 4"/>
    <w:basedOn w:val="1"/>
    <w:next w:val="1"/>
    <w:link w:val="62"/>
    <w:qFormat/>
    <w:uiPriority w:val="0"/>
    <w:pPr>
      <w:keepNext/>
      <w:keepLines/>
      <w:spacing w:line="376" w:lineRule="auto"/>
      <w:outlineLvl w:val="3"/>
    </w:pPr>
    <w:rPr>
      <w:rFonts w:ascii="Arial" w:hAnsi="Arial" w:eastAsia="黑体"/>
      <w:b/>
      <w:bCs/>
      <w:sz w:val="28"/>
      <w:szCs w:val="28"/>
    </w:rPr>
  </w:style>
  <w:style w:type="paragraph" w:styleId="8">
    <w:name w:val="heading 5"/>
    <w:basedOn w:val="1"/>
    <w:next w:val="1"/>
    <w:link w:val="63"/>
    <w:qFormat/>
    <w:uiPriority w:val="0"/>
    <w:pPr>
      <w:keepNext/>
      <w:keepLines/>
      <w:spacing w:line="376" w:lineRule="auto"/>
      <w:outlineLvl w:val="4"/>
    </w:pPr>
    <w:rPr>
      <w:b/>
      <w:bCs/>
      <w:sz w:val="28"/>
      <w:szCs w:val="28"/>
    </w:rPr>
  </w:style>
  <w:style w:type="paragraph" w:styleId="9">
    <w:name w:val="heading 6"/>
    <w:basedOn w:val="1"/>
    <w:next w:val="1"/>
    <w:link w:val="64"/>
    <w:qFormat/>
    <w:uiPriority w:val="0"/>
    <w:pPr>
      <w:keepNext/>
      <w:keepLines/>
      <w:spacing w:line="320" w:lineRule="auto"/>
      <w:outlineLvl w:val="5"/>
    </w:pPr>
    <w:rPr>
      <w:rFonts w:ascii="Arial" w:hAnsi="Arial" w:eastAsia="黑体"/>
      <w:b/>
      <w:bCs/>
      <w:sz w:val="24"/>
    </w:rPr>
  </w:style>
  <w:style w:type="paragraph" w:styleId="10">
    <w:name w:val="heading 7"/>
    <w:basedOn w:val="1"/>
    <w:next w:val="1"/>
    <w:link w:val="65"/>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66"/>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7"/>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1">
    <w:name w:val="Default Paragraph Font"/>
    <w:unhideWhenUsed/>
    <w:uiPriority w:val="1"/>
  </w:style>
  <w:style w:type="table" w:default="1" w:styleId="49">
    <w:name w:val="Normal Table"/>
    <w:unhideWhenUsed/>
    <w:qFormat/>
    <w:uiPriority w:val="99"/>
    <w:tblPr>
      <w:tblStyle w:val="49"/>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spacing w:line="100" w:lineRule="exact"/>
      <w:jc w:val="center"/>
    </w:pPr>
    <w:rPr>
      <w:rFonts w:ascii="黑体" w:eastAsia="黑体" w:cs="黑体"/>
      <w:color w:val="000000"/>
      <w:sz w:val="24"/>
      <w:szCs w:val="24"/>
      <w:lang w:val="en-US" w:eastAsia="zh-CN" w:bidi="ar-SA"/>
    </w:rPr>
  </w:style>
  <w:style w:type="paragraph" w:customStyle="1" w:styleId="3">
    <w:name w:val="xl53"/>
    <w:basedOn w:val="1"/>
    <w:next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3">
    <w:name w:val="toc 7"/>
    <w:basedOn w:val="1"/>
    <w:next w:val="1"/>
    <w:uiPriority w:val="39"/>
    <w:pPr>
      <w:ind w:left="2520" w:leftChars="1200"/>
    </w:pPr>
  </w:style>
  <w:style w:type="paragraph" w:styleId="14">
    <w:name w:val="Normal Indent"/>
    <w:basedOn w:val="1"/>
    <w:next w:val="1"/>
    <w:link w:val="68"/>
    <w:uiPriority w:val="0"/>
    <w:pPr>
      <w:ind w:firstLine="420"/>
    </w:pPr>
    <w:rPr>
      <w:szCs w:val="20"/>
    </w:rPr>
  </w:style>
  <w:style w:type="paragraph" w:styleId="15">
    <w:name w:val="caption"/>
    <w:basedOn w:val="1"/>
    <w:next w:val="1"/>
    <w:link w:val="69"/>
    <w:qFormat/>
    <w:uiPriority w:val="0"/>
    <w:rPr>
      <w:rFonts w:ascii="Arial" w:hAnsi="Arial" w:eastAsia="黑体" w:cs="Arial"/>
      <w:sz w:val="20"/>
      <w:szCs w:val="20"/>
    </w:rPr>
  </w:style>
  <w:style w:type="paragraph" w:styleId="16">
    <w:name w:val="Document Map"/>
    <w:basedOn w:val="1"/>
    <w:link w:val="70"/>
    <w:uiPriority w:val="0"/>
    <w:pPr>
      <w:shd w:val="clear" w:color="auto" w:fill="000080"/>
    </w:pPr>
  </w:style>
  <w:style w:type="paragraph" w:styleId="17">
    <w:name w:val="annotation text"/>
    <w:basedOn w:val="1"/>
    <w:link w:val="71"/>
    <w:qFormat/>
    <w:uiPriority w:val="0"/>
    <w:pPr>
      <w:jc w:val="left"/>
    </w:pPr>
  </w:style>
  <w:style w:type="paragraph" w:styleId="18">
    <w:name w:val="Salutation"/>
    <w:basedOn w:val="1"/>
    <w:next w:val="1"/>
    <w:link w:val="72"/>
    <w:uiPriority w:val="0"/>
  </w:style>
  <w:style w:type="paragraph" w:styleId="19">
    <w:name w:val="Body Text 3"/>
    <w:basedOn w:val="1"/>
    <w:link w:val="73"/>
    <w:uiPriority w:val="99"/>
    <w:pPr>
      <w:jc w:val="center"/>
    </w:pPr>
    <w:rPr>
      <w:rFonts w:ascii="宋体" w:hAnsi="宋体"/>
      <w:szCs w:val="20"/>
    </w:rPr>
  </w:style>
  <w:style w:type="paragraph" w:styleId="20">
    <w:name w:val="Body Text"/>
    <w:basedOn w:val="1"/>
    <w:next w:val="21"/>
    <w:link w:val="74"/>
    <w:uiPriority w:val="0"/>
  </w:style>
  <w:style w:type="paragraph" w:styleId="21">
    <w:name w:val="Body Text First Indent"/>
    <w:basedOn w:val="20"/>
    <w:next w:val="1"/>
    <w:link w:val="75"/>
    <w:uiPriority w:val="0"/>
    <w:pPr>
      <w:spacing w:line="360" w:lineRule="auto"/>
      <w:ind w:firstLine="200" w:firstLineChars="200"/>
    </w:pPr>
    <w:rPr>
      <w:rFonts w:ascii="仿宋_GB2312" w:eastAsia="仿宋_GB2312"/>
      <w:bCs/>
      <w:sz w:val="30"/>
    </w:rPr>
  </w:style>
  <w:style w:type="paragraph" w:styleId="22">
    <w:name w:val="Body Text Indent"/>
    <w:basedOn w:val="1"/>
    <w:next w:val="14"/>
    <w:link w:val="76"/>
    <w:uiPriority w:val="0"/>
    <w:pPr>
      <w:ind w:left="420" w:leftChars="200"/>
    </w:pPr>
  </w:style>
  <w:style w:type="paragraph" w:styleId="23">
    <w:name w:val="Block Text"/>
    <w:basedOn w:val="1"/>
    <w:qFormat/>
    <w:uiPriority w:val="0"/>
    <w:pPr>
      <w:ind w:left="1200" w:right="-72" w:hanging="30"/>
    </w:pPr>
    <w:rPr>
      <w:rFonts w:ascii="Arial" w:hAnsi="Arial" w:eastAsia="幼圆" w:cs="Arial"/>
      <w:sz w:val="22"/>
      <w:szCs w:val="20"/>
    </w:rPr>
  </w:style>
  <w:style w:type="paragraph" w:styleId="24">
    <w:name w:val="toc 5"/>
    <w:basedOn w:val="1"/>
    <w:next w:val="1"/>
    <w:uiPriority w:val="39"/>
    <w:pPr>
      <w:ind w:left="1680" w:leftChars="800"/>
    </w:pPr>
  </w:style>
  <w:style w:type="paragraph" w:styleId="25">
    <w:name w:val="toc 3"/>
    <w:basedOn w:val="1"/>
    <w:next w:val="1"/>
    <w:qFormat/>
    <w:uiPriority w:val="39"/>
    <w:pPr>
      <w:ind w:left="840" w:leftChars="400"/>
    </w:pPr>
  </w:style>
  <w:style w:type="paragraph" w:styleId="26">
    <w:name w:val="Plain Text"/>
    <w:basedOn w:val="1"/>
    <w:next w:val="1"/>
    <w:link w:val="77"/>
    <w:qFormat/>
    <w:uiPriority w:val="0"/>
    <w:rPr>
      <w:rFonts w:ascii="宋体" w:hAnsi="Courier New"/>
      <w:szCs w:val="20"/>
    </w:rPr>
  </w:style>
  <w:style w:type="paragraph" w:styleId="27">
    <w:name w:val="toc 8"/>
    <w:basedOn w:val="1"/>
    <w:next w:val="1"/>
    <w:uiPriority w:val="39"/>
    <w:pPr>
      <w:ind w:left="2940" w:leftChars="1400"/>
    </w:pPr>
  </w:style>
  <w:style w:type="paragraph" w:styleId="28">
    <w:name w:val="Date"/>
    <w:basedOn w:val="1"/>
    <w:next w:val="1"/>
    <w:link w:val="78"/>
    <w:uiPriority w:val="0"/>
    <w:pPr>
      <w:ind w:left="100" w:leftChars="2500"/>
    </w:pPr>
    <w:rPr>
      <w:rFonts w:ascii="宋体" w:hAnsi="宋体"/>
      <w:color w:val="000000"/>
      <w:spacing w:val="-14"/>
      <w:kern w:val="0"/>
      <w:sz w:val="28"/>
      <w:szCs w:val="18"/>
    </w:rPr>
  </w:style>
  <w:style w:type="paragraph" w:styleId="29">
    <w:name w:val="Body Text Indent 2"/>
    <w:basedOn w:val="1"/>
    <w:link w:val="79"/>
    <w:uiPriority w:val="0"/>
    <w:pPr>
      <w:spacing w:beforeLines="50" w:afterLines="50" w:line="264" w:lineRule="auto"/>
      <w:ind w:firstLine="480" w:firstLineChars="200"/>
    </w:pPr>
    <w:rPr>
      <w:sz w:val="24"/>
      <w:szCs w:val="20"/>
    </w:rPr>
  </w:style>
  <w:style w:type="paragraph" w:styleId="30">
    <w:name w:val="endnote text"/>
    <w:basedOn w:val="1"/>
    <w:next w:val="3"/>
    <w:link w:val="80"/>
    <w:uiPriority w:val="0"/>
    <w:pPr>
      <w:snapToGrid w:val="0"/>
      <w:spacing w:line="100" w:lineRule="exact"/>
      <w:jc w:val="left"/>
    </w:pPr>
    <w:rPr>
      <w:szCs w:val="20"/>
    </w:rPr>
  </w:style>
  <w:style w:type="paragraph" w:styleId="31">
    <w:name w:val="Balloon Text"/>
    <w:basedOn w:val="1"/>
    <w:link w:val="81"/>
    <w:qFormat/>
    <w:uiPriority w:val="99"/>
    <w:rPr>
      <w:sz w:val="18"/>
      <w:szCs w:val="18"/>
    </w:rPr>
  </w:style>
  <w:style w:type="paragraph" w:styleId="32">
    <w:name w:val="footer"/>
    <w:basedOn w:val="1"/>
    <w:link w:val="82"/>
    <w:qFormat/>
    <w:uiPriority w:val="99"/>
    <w:pPr>
      <w:tabs>
        <w:tab w:val="center" w:pos="4153"/>
        <w:tab w:val="right" w:pos="8306"/>
      </w:tabs>
      <w:snapToGrid w:val="0"/>
      <w:jc w:val="left"/>
    </w:pPr>
    <w:rPr>
      <w:sz w:val="18"/>
      <w:szCs w:val="18"/>
    </w:rPr>
  </w:style>
  <w:style w:type="paragraph" w:styleId="33">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next w:val="3"/>
    <w:link w:val="84"/>
    <w:uiPriority w:val="0"/>
    <w:pPr>
      <w:adjustRightInd w:val="0"/>
      <w:spacing w:after="600" w:line="312" w:lineRule="atLeast"/>
      <w:jc w:val="center"/>
      <w:textAlignment w:val="baseline"/>
    </w:pPr>
    <w:rPr>
      <w:rFonts w:eastAsia="仿宋_GB2312"/>
      <w:kern w:val="0"/>
      <w:sz w:val="24"/>
      <w:szCs w:val="20"/>
    </w:rPr>
  </w:style>
  <w:style w:type="paragraph" w:styleId="35">
    <w:name w:val="toc 1"/>
    <w:basedOn w:val="1"/>
    <w:next w:val="1"/>
    <w:qFormat/>
    <w:uiPriority w:val="39"/>
  </w:style>
  <w:style w:type="paragraph" w:styleId="36">
    <w:name w:val="toc 4"/>
    <w:basedOn w:val="1"/>
    <w:next w:val="1"/>
    <w:uiPriority w:val="39"/>
    <w:pPr>
      <w:ind w:left="1260" w:leftChars="600"/>
    </w:pPr>
  </w:style>
  <w:style w:type="paragraph" w:styleId="37">
    <w:name w:val="List"/>
    <w:basedOn w:val="1"/>
    <w:uiPriority w:val="0"/>
    <w:pPr>
      <w:ind w:left="200" w:hanging="200" w:hangingChars="200"/>
      <w:contextualSpacing/>
    </w:pPr>
    <w:rPr>
      <w:rFonts w:ascii="宋体" w:hAnsi="Courier New"/>
      <w:szCs w:val="20"/>
    </w:rPr>
  </w:style>
  <w:style w:type="paragraph" w:styleId="38">
    <w:name w:val="toc 6"/>
    <w:basedOn w:val="1"/>
    <w:next w:val="1"/>
    <w:uiPriority w:val="39"/>
    <w:pPr>
      <w:ind w:left="2100" w:leftChars="1000"/>
    </w:pPr>
  </w:style>
  <w:style w:type="paragraph" w:styleId="39">
    <w:name w:val="Body Text Indent 3"/>
    <w:basedOn w:val="1"/>
    <w:link w:val="85"/>
    <w:uiPriority w:val="0"/>
    <w:pPr>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uiPriority w:val="39"/>
    <w:pPr>
      <w:ind w:left="3360" w:leftChars="1600"/>
    </w:pPr>
  </w:style>
  <w:style w:type="paragraph" w:styleId="42">
    <w:name w:val="Body Text 2"/>
    <w:basedOn w:val="1"/>
    <w:link w:val="86"/>
    <w:uiPriority w:val="0"/>
    <w:pPr>
      <w:spacing w:line="480" w:lineRule="auto"/>
    </w:pPr>
    <w:rPr>
      <w:szCs w:val="20"/>
    </w:rPr>
  </w:style>
  <w:style w:type="paragraph" w:styleId="43">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44">
    <w:name w:val="HTML Preformatted"/>
    <w:basedOn w:val="1"/>
    <w:link w:val="8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hd w:val="clear" w:color="auto" w:fill="FFFFFF"/>
      <w:spacing w:beforeAutospacing="1" w:afterAutospacing="1"/>
      <w:jc w:val="left"/>
    </w:pPr>
    <w:rPr>
      <w:rFonts w:ascii="_x000B__x000C_" w:hAnsi="_x000B__x000C_"/>
      <w:kern w:val="0"/>
      <w:sz w:val="18"/>
      <w:szCs w:val="18"/>
    </w:rPr>
  </w:style>
  <w:style w:type="paragraph" w:styleId="46">
    <w:name w:val="Title"/>
    <w:basedOn w:val="1"/>
    <w:next w:val="1"/>
    <w:link w:val="88"/>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47">
    <w:name w:val="annotation subject"/>
    <w:basedOn w:val="17"/>
    <w:next w:val="17"/>
    <w:link w:val="89"/>
    <w:qFormat/>
    <w:uiPriority w:val="99"/>
    <w:rPr>
      <w:b/>
      <w:bCs/>
    </w:rPr>
  </w:style>
  <w:style w:type="paragraph" w:styleId="48">
    <w:name w:val="Body Text First Indent 2"/>
    <w:basedOn w:val="22"/>
    <w:next w:val="3"/>
    <w:link w:val="90"/>
    <w:uiPriority w:val="0"/>
    <w:pPr>
      <w:spacing w:after="120"/>
      <w:ind w:firstLine="420" w:firstLineChars="200"/>
    </w:pPr>
  </w:style>
  <w:style w:type="table" w:styleId="50">
    <w:name w:val="Table Grid"/>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rFonts w:ascii="Times New Roman" w:hAnsi="Times New Roman" w:eastAsia="宋体" w:cs="Times New Roman"/>
      <w:b/>
      <w:bCs/>
    </w:rPr>
  </w:style>
  <w:style w:type="character" w:styleId="53">
    <w:name w:val="endnote reference"/>
    <w:uiPriority w:val="0"/>
    <w:rPr>
      <w:vertAlign w:val="superscript"/>
    </w:rPr>
  </w:style>
  <w:style w:type="character" w:styleId="54">
    <w:name w:val="page number"/>
    <w:basedOn w:val="51"/>
    <w:uiPriority w:val="0"/>
  </w:style>
  <w:style w:type="character" w:styleId="55">
    <w:name w:val="FollowedHyperlink"/>
    <w:unhideWhenUsed/>
    <w:uiPriority w:val="0"/>
    <w:rPr>
      <w:color w:val="800080"/>
      <w:u w:val="single"/>
    </w:rPr>
  </w:style>
  <w:style w:type="character" w:styleId="56">
    <w:name w:val="Emphasis"/>
    <w:qFormat/>
    <w:uiPriority w:val="0"/>
    <w:rPr>
      <w:color w:val="CC0000"/>
    </w:rPr>
  </w:style>
  <w:style w:type="character" w:styleId="57">
    <w:name w:val="Hyperlink"/>
    <w:uiPriority w:val="99"/>
    <w:rPr>
      <w:color w:val="00007F"/>
      <w:u w:val="single"/>
    </w:rPr>
  </w:style>
  <w:style w:type="character" w:styleId="58">
    <w:name w:val="annotation reference"/>
    <w:qFormat/>
    <w:uiPriority w:val="0"/>
    <w:rPr>
      <w:sz w:val="21"/>
      <w:szCs w:val="21"/>
    </w:rPr>
  </w:style>
  <w:style w:type="character" w:customStyle="1" w:styleId="59">
    <w:name w:val="标题 1 Char"/>
    <w:link w:val="4"/>
    <w:uiPriority w:val="99"/>
    <w:rPr>
      <w:rFonts w:ascii="仿宋_GB2312" w:hAnsi="仿宋_GB2312" w:eastAsia="黑体"/>
      <w:bCs/>
      <w:color w:val="000000"/>
      <w:kern w:val="2"/>
      <w:sz w:val="36"/>
      <w:szCs w:val="36"/>
    </w:rPr>
  </w:style>
  <w:style w:type="character" w:customStyle="1" w:styleId="60">
    <w:name w:val="标题 2 Char"/>
    <w:link w:val="5"/>
    <w:uiPriority w:val="0"/>
    <w:rPr>
      <w:rFonts w:ascii="Arial" w:hAnsi="Arial" w:eastAsia="宋体"/>
      <w:b/>
      <w:bCs/>
      <w:kern w:val="2"/>
      <w:sz w:val="30"/>
      <w:szCs w:val="32"/>
      <w:lang w:val="en-US" w:eastAsia="zh-CN" w:bidi="ar-SA"/>
    </w:rPr>
  </w:style>
  <w:style w:type="character" w:customStyle="1" w:styleId="61">
    <w:name w:val="标题 3 Char"/>
    <w:link w:val="6"/>
    <w:uiPriority w:val="0"/>
    <w:rPr>
      <w:rFonts w:ascii="Times New Roman" w:hAnsi="Times New Roman" w:eastAsia="宋体"/>
      <w:b/>
      <w:bCs/>
      <w:kern w:val="2"/>
      <w:sz w:val="28"/>
      <w:szCs w:val="32"/>
      <w:lang w:val="en-US" w:eastAsia="zh-CN" w:bidi="ar-SA"/>
    </w:rPr>
  </w:style>
  <w:style w:type="character" w:customStyle="1" w:styleId="62">
    <w:name w:val="标题 4 Char"/>
    <w:link w:val="7"/>
    <w:uiPriority w:val="0"/>
    <w:rPr>
      <w:rFonts w:ascii="Arial" w:hAnsi="Arial" w:eastAsia="黑体"/>
      <w:b/>
      <w:bCs/>
      <w:kern w:val="2"/>
      <w:sz w:val="28"/>
      <w:szCs w:val="28"/>
      <w:lang w:val="en-US" w:eastAsia="zh-CN" w:bidi="ar-SA"/>
    </w:rPr>
  </w:style>
  <w:style w:type="character" w:customStyle="1" w:styleId="63">
    <w:name w:val="标题 5 Char"/>
    <w:link w:val="8"/>
    <w:uiPriority w:val="0"/>
    <w:rPr>
      <w:rFonts w:eastAsia="宋体"/>
      <w:b/>
      <w:bCs/>
      <w:kern w:val="2"/>
      <w:sz w:val="28"/>
      <w:szCs w:val="28"/>
      <w:lang w:val="en-US" w:eastAsia="zh-CN" w:bidi="ar-SA"/>
    </w:rPr>
  </w:style>
  <w:style w:type="character" w:customStyle="1" w:styleId="64">
    <w:name w:val="标题 6 Char"/>
    <w:link w:val="9"/>
    <w:uiPriority w:val="0"/>
    <w:rPr>
      <w:rFonts w:ascii="Arial" w:hAnsi="Arial" w:eastAsia="黑体"/>
      <w:b/>
      <w:bCs/>
      <w:kern w:val="2"/>
      <w:sz w:val="24"/>
      <w:szCs w:val="24"/>
      <w:lang w:val="en-US" w:eastAsia="zh-CN" w:bidi="ar-SA"/>
    </w:rPr>
  </w:style>
  <w:style w:type="character" w:customStyle="1" w:styleId="65">
    <w:name w:val="标题 7 Char"/>
    <w:link w:val="10"/>
    <w:uiPriority w:val="0"/>
    <w:rPr>
      <w:rFonts w:ascii="宋体" w:eastAsia="仿宋_GB2312"/>
      <w:b/>
      <w:sz w:val="24"/>
    </w:rPr>
  </w:style>
  <w:style w:type="character" w:customStyle="1" w:styleId="66">
    <w:name w:val="标题 8 Char"/>
    <w:link w:val="11"/>
    <w:uiPriority w:val="0"/>
    <w:rPr>
      <w:rFonts w:ascii="Arial" w:hAnsi="Arial" w:eastAsia="黑体"/>
      <w:sz w:val="24"/>
    </w:rPr>
  </w:style>
  <w:style w:type="character" w:customStyle="1" w:styleId="67">
    <w:name w:val="标题 9 Char"/>
    <w:link w:val="12"/>
    <w:uiPriority w:val="0"/>
    <w:rPr>
      <w:rFonts w:ascii="Arial" w:hAnsi="Arial" w:eastAsia="黑体"/>
      <w:sz w:val="28"/>
    </w:rPr>
  </w:style>
  <w:style w:type="character" w:customStyle="1" w:styleId="68">
    <w:name w:val="正文缩进 Char"/>
    <w:link w:val="14"/>
    <w:uiPriority w:val="0"/>
    <w:rPr>
      <w:rFonts w:eastAsia="宋体"/>
      <w:kern w:val="2"/>
      <w:sz w:val="21"/>
      <w:lang w:val="en-US" w:eastAsia="zh-CN" w:bidi="ar-SA"/>
    </w:rPr>
  </w:style>
  <w:style w:type="character" w:customStyle="1" w:styleId="69">
    <w:name w:val="题注 Char"/>
    <w:link w:val="15"/>
    <w:uiPriority w:val="0"/>
    <w:rPr>
      <w:rFonts w:ascii="Arial" w:hAnsi="Arial" w:eastAsia="黑体" w:cs="Arial"/>
      <w:kern w:val="2"/>
      <w:lang w:val="en-US" w:eastAsia="zh-CN" w:bidi="ar-SA"/>
    </w:rPr>
  </w:style>
  <w:style w:type="character" w:customStyle="1" w:styleId="70">
    <w:name w:val="文档结构图 Char"/>
    <w:link w:val="16"/>
    <w:uiPriority w:val="0"/>
    <w:rPr>
      <w:rFonts w:eastAsia="宋体"/>
      <w:kern w:val="2"/>
      <w:sz w:val="21"/>
      <w:szCs w:val="24"/>
      <w:lang w:val="en-US" w:eastAsia="zh-CN" w:bidi="ar-SA"/>
    </w:rPr>
  </w:style>
  <w:style w:type="character" w:customStyle="1" w:styleId="71">
    <w:name w:val="批注文字 Char"/>
    <w:link w:val="17"/>
    <w:qFormat/>
    <w:uiPriority w:val="0"/>
    <w:rPr>
      <w:rFonts w:eastAsia="宋体"/>
      <w:kern w:val="2"/>
      <w:sz w:val="21"/>
      <w:szCs w:val="24"/>
      <w:lang w:val="en-US" w:eastAsia="zh-CN" w:bidi="ar-SA"/>
    </w:rPr>
  </w:style>
  <w:style w:type="character" w:customStyle="1" w:styleId="72">
    <w:name w:val="称呼 Char"/>
    <w:link w:val="18"/>
    <w:uiPriority w:val="0"/>
    <w:rPr>
      <w:kern w:val="2"/>
      <w:sz w:val="21"/>
      <w:szCs w:val="24"/>
    </w:rPr>
  </w:style>
  <w:style w:type="character" w:customStyle="1" w:styleId="73">
    <w:name w:val="正文文本 3 Char"/>
    <w:link w:val="19"/>
    <w:uiPriority w:val="99"/>
    <w:rPr>
      <w:rFonts w:ascii="宋体" w:hAnsi="宋体" w:eastAsia="宋体"/>
      <w:kern w:val="2"/>
      <w:sz w:val="21"/>
      <w:lang w:val="en-US" w:eastAsia="zh-CN" w:bidi="ar-SA"/>
    </w:rPr>
  </w:style>
  <w:style w:type="character" w:customStyle="1" w:styleId="74">
    <w:name w:val="正文文本 Char"/>
    <w:link w:val="20"/>
    <w:uiPriority w:val="0"/>
    <w:rPr>
      <w:rFonts w:eastAsia="宋体"/>
      <w:kern w:val="2"/>
      <w:sz w:val="21"/>
      <w:szCs w:val="24"/>
      <w:lang w:val="en-US" w:eastAsia="zh-CN" w:bidi="ar-SA"/>
    </w:rPr>
  </w:style>
  <w:style w:type="character" w:customStyle="1" w:styleId="75">
    <w:name w:val="正文首行缩进 Char"/>
    <w:link w:val="21"/>
    <w:uiPriority w:val="0"/>
    <w:rPr>
      <w:rFonts w:ascii="仿宋_GB2312" w:eastAsia="仿宋_GB2312"/>
      <w:bCs/>
      <w:kern w:val="2"/>
      <w:sz w:val="30"/>
      <w:szCs w:val="24"/>
      <w:lang w:val="en-US" w:eastAsia="zh-CN" w:bidi="ar-SA"/>
    </w:rPr>
  </w:style>
  <w:style w:type="character" w:customStyle="1" w:styleId="76">
    <w:name w:val="正文文本缩进 Char"/>
    <w:link w:val="22"/>
    <w:uiPriority w:val="0"/>
    <w:rPr>
      <w:rFonts w:eastAsia="宋体"/>
      <w:kern w:val="2"/>
      <w:sz w:val="21"/>
      <w:szCs w:val="24"/>
      <w:lang w:val="en-US" w:eastAsia="zh-CN" w:bidi="ar-SA"/>
    </w:rPr>
  </w:style>
  <w:style w:type="character" w:customStyle="1" w:styleId="77">
    <w:name w:val="纯文本 Char"/>
    <w:link w:val="26"/>
    <w:uiPriority w:val="0"/>
    <w:rPr>
      <w:rFonts w:ascii="宋体" w:hAnsi="Courier New" w:eastAsia="宋体"/>
      <w:kern w:val="2"/>
      <w:sz w:val="21"/>
      <w:lang w:val="en-US" w:eastAsia="zh-CN" w:bidi="ar-SA"/>
    </w:rPr>
  </w:style>
  <w:style w:type="character" w:customStyle="1" w:styleId="78">
    <w:name w:val="日期 Char"/>
    <w:link w:val="28"/>
    <w:uiPriority w:val="0"/>
    <w:rPr>
      <w:rFonts w:ascii="宋体" w:hAnsi="宋体" w:eastAsia="宋体"/>
      <w:color w:val="000000"/>
      <w:spacing w:val="-14"/>
      <w:sz w:val="28"/>
      <w:szCs w:val="18"/>
      <w:lang w:val="en-US" w:eastAsia="zh-CN" w:bidi="ar-SA"/>
    </w:rPr>
  </w:style>
  <w:style w:type="character" w:customStyle="1" w:styleId="79">
    <w:name w:val="正文文本缩进 2 Char"/>
    <w:link w:val="29"/>
    <w:uiPriority w:val="0"/>
    <w:rPr>
      <w:rFonts w:eastAsia="宋体"/>
      <w:kern w:val="2"/>
      <w:sz w:val="24"/>
      <w:lang w:val="en-US" w:eastAsia="zh-CN" w:bidi="ar-SA"/>
    </w:rPr>
  </w:style>
  <w:style w:type="character" w:customStyle="1" w:styleId="80">
    <w:name w:val="尾注文本 Char"/>
    <w:link w:val="30"/>
    <w:uiPriority w:val="0"/>
    <w:rPr>
      <w:kern w:val="2"/>
      <w:sz w:val="21"/>
    </w:rPr>
  </w:style>
  <w:style w:type="character" w:customStyle="1" w:styleId="81">
    <w:name w:val="批注框文本 Char"/>
    <w:link w:val="31"/>
    <w:qFormat/>
    <w:uiPriority w:val="99"/>
    <w:rPr>
      <w:rFonts w:eastAsia="宋体"/>
      <w:kern w:val="2"/>
      <w:sz w:val="18"/>
      <w:szCs w:val="18"/>
      <w:lang w:val="en-US" w:eastAsia="zh-CN" w:bidi="ar-SA"/>
    </w:rPr>
  </w:style>
  <w:style w:type="character" w:customStyle="1" w:styleId="82">
    <w:name w:val="页脚 Char"/>
    <w:link w:val="32"/>
    <w:qFormat/>
    <w:uiPriority w:val="99"/>
    <w:rPr>
      <w:rFonts w:eastAsia="宋体"/>
      <w:kern w:val="2"/>
      <w:sz w:val="18"/>
      <w:szCs w:val="18"/>
      <w:lang w:val="en-US" w:eastAsia="zh-CN" w:bidi="ar-SA"/>
    </w:rPr>
  </w:style>
  <w:style w:type="character" w:customStyle="1" w:styleId="83">
    <w:name w:val="页眉 Char"/>
    <w:link w:val="33"/>
    <w:qFormat/>
    <w:uiPriority w:val="99"/>
    <w:rPr>
      <w:rFonts w:eastAsia="宋体"/>
      <w:kern w:val="2"/>
      <w:sz w:val="18"/>
      <w:szCs w:val="18"/>
      <w:lang w:val="en-US" w:eastAsia="zh-CN" w:bidi="ar-SA"/>
    </w:rPr>
  </w:style>
  <w:style w:type="character" w:customStyle="1" w:styleId="84">
    <w:name w:val="签名 Char"/>
    <w:link w:val="34"/>
    <w:uiPriority w:val="0"/>
    <w:rPr>
      <w:rFonts w:eastAsia="仿宋_GB2312"/>
      <w:sz w:val="24"/>
    </w:rPr>
  </w:style>
  <w:style w:type="character" w:customStyle="1" w:styleId="85">
    <w:name w:val="正文文本缩进 3 Char"/>
    <w:link w:val="39"/>
    <w:uiPriority w:val="0"/>
    <w:rPr>
      <w:rFonts w:eastAsia="宋体"/>
      <w:kern w:val="2"/>
      <w:sz w:val="16"/>
      <w:szCs w:val="16"/>
      <w:lang w:val="en-US" w:eastAsia="zh-CN" w:bidi="ar-SA"/>
    </w:rPr>
  </w:style>
  <w:style w:type="character" w:customStyle="1" w:styleId="86">
    <w:name w:val="正文文本 2 Char"/>
    <w:link w:val="42"/>
    <w:uiPriority w:val="0"/>
    <w:rPr>
      <w:rFonts w:eastAsia="宋体"/>
      <w:kern w:val="2"/>
      <w:sz w:val="21"/>
      <w:lang w:val="en-US" w:eastAsia="zh-CN" w:bidi="ar-SA"/>
    </w:rPr>
  </w:style>
  <w:style w:type="character" w:customStyle="1" w:styleId="87">
    <w:name w:val="HTML 预设格式 Char"/>
    <w:link w:val="44"/>
    <w:uiPriority w:val="0"/>
    <w:rPr>
      <w:rFonts w:ascii="宋体" w:hAnsi="宋体" w:eastAsia="宋体" w:cs="宋体"/>
      <w:sz w:val="24"/>
      <w:szCs w:val="24"/>
      <w:lang w:val="en-US" w:eastAsia="zh-CN" w:bidi="ar-SA"/>
    </w:rPr>
  </w:style>
  <w:style w:type="character" w:customStyle="1" w:styleId="88">
    <w:name w:val="标题 Char"/>
    <w:link w:val="46"/>
    <w:uiPriority w:val="0"/>
    <w:rPr>
      <w:rFonts w:eastAsia="黑体"/>
      <w:b/>
      <w:sz w:val="28"/>
      <w:lang w:val="en-GB" w:eastAsia="zh-CN" w:bidi="ar-SA"/>
    </w:rPr>
  </w:style>
  <w:style w:type="character" w:customStyle="1" w:styleId="89">
    <w:name w:val="批注主题 Char"/>
    <w:link w:val="47"/>
    <w:qFormat/>
    <w:uiPriority w:val="99"/>
    <w:rPr>
      <w:rFonts w:eastAsia="宋体"/>
      <w:b/>
      <w:bCs/>
      <w:kern w:val="2"/>
      <w:sz w:val="21"/>
      <w:szCs w:val="24"/>
      <w:lang w:val="en-US" w:eastAsia="zh-CN" w:bidi="ar-SA"/>
    </w:rPr>
  </w:style>
  <w:style w:type="character" w:customStyle="1" w:styleId="90">
    <w:name w:val="正文首行缩进 2 Char"/>
    <w:basedOn w:val="76"/>
    <w:link w:val="48"/>
    <w:uiPriority w:val="0"/>
  </w:style>
  <w:style w:type="character" w:customStyle="1" w:styleId="91">
    <w:name w:val="标题 2 Char Char"/>
    <w:uiPriority w:val="0"/>
    <w:rPr>
      <w:rFonts w:ascii="文鼎小标宋简" w:hAnsi="Times New Roman" w:eastAsia="文鼎小标宋简" w:cs="Times New Roman"/>
      <w:b/>
      <w:sz w:val="36"/>
      <w:lang w:val="en-US" w:eastAsia="zh-CN" w:bidi="ar-SA"/>
    </w:rPr>
  </w:style>
  <w:style w:type="character" w:customStyle="1" w:styleId="92">
    <w:name w:val="N.N.N.N Char"/>
    <w:link w:val="93"/>
    <w:locked/>
    <w:uiPriority w:val="0"/>
    <w:rPr>
      <w:rFonts w:ascii="仿宋_GB2312" w:eastAsia="黑体"/>
      <w:kern w:val="2"/>
      <w:sz w:val="28"/>
      <w:szCs w:val="24"/>
      <w:lang w:val="en-US" w:eastAsia="zh-CN" w:bidi="ar-SA"/>
    </w:rPr>
  </w:style>
  <w:style w:type="paragraph" w:customStyle="1" w:styleId="93">
    <w:name w:val="N.N.N.N"/>
    <w:basedOn w:val="1"/>
    <w:link w:val="92"/>
    <w:uiPriority w:val="0"/>
    <w:pPr>
      <w:spacing w:beforeLines="50" w:line="400" w:lineRule="exact"/>
      <w:ind w:left="851" w:hanging="851"/>
      <w:jc w:val="left"/>
      <w:outlineLvl w:val="3"/>
    </w:pPr>
    <w:rPr>
      <w:rFonts w:ascii="仿宋_GB2312" w:eastAsia="黑体"/>
      <w:sz w:val="28"/>
    </w:rPr>
  </w:style>
  <w:style w:type="character" w:customStyle="1" w:styleId="94">
    <w:name w:val="paramlista1"/>
    <w:uiPriority w:val="0"/>
    <w:rPr>
      <w:sz w:val="18"/>
      <w:szCs w:val="18"/>
    </w:rPr>
  </w:style>
  <w:style w:type="character" w:customStyle="1" w:styleId="95">
    <w:name w:val="Comment Text Char"/>
    <w:locked/>
    <w:uiPriority w:val="0"/>
    <w:rPr>
      <w:rFonts w:cs="Times New Roman"/>
      <w:kern w:val="2"/>
      <w:sz w:val="24"/>
      <w:szCs w:val="24"/>
    </w:rPr>
  </w:style>
  <w:style w:type="character" w:customStyle="1" w:styleId="96">
    <w:name w:val="纯文本 Char1"/>
    <w:aliases w:val="普通文字 Char Char3,纯文本 Char Char Char2,普通文字 Char Char Char3,普通文字 Char Char Char Char3,普通文字 Char Char Char Char Char4,正 文 1 Char3,纯文本 Char Char Char Char Char Char Char Char Char Char Char Char Char Char2,小 Char2,Plain Text Char3,Texte Char3"/>
    <w:uiPriority w:val="0"/>
    <w:rPr>
      <w:rFonts w:ascii="宋体" w:hAnsi="Courier New" w:eastAsia="宋体" w:cs="Times New Roman"/>
      <w:kern w:val="2"/>
      <w:sz w:val="21"/>
      <w:lang w:val="en-US" w:eastAsia="zh-CN" w:bidi="ar-SA"/>
    </w:rPr>
  </w:style>
  <w:style w:type="character" w:customStyle="1" w:styleId="97">
    <w:name w:val="页眉 Char1"/>
    <w:uiPriority w:val="99"/>
    <w:rPr>
      <w:rFonts w:ascii="Times New Roman" w:hAnsi="Times New Roman" w:eastAsia="宋体" w:cs="Times New Roman"/>
      <w:kern w:val="2"/>
      <w:sz w:val="18"/>
      <w:szCs w:val="18"/>
      <w:lang w:val="en-US" w:eastAsia="zh-CN" w:bidi="ar-SA"/>
    </w:rPr>
  </w:style>
  <w:style w:type="character" w:customStyle="1" w:styleId="98">
    <w:name w:val=" Char Char Char Char Char Char"/>
    <w:uiPriority w:val="0"/>
    <w:rPr>
      <w:rFonts w:ascii="宋体" w:hAnsi="Courier New" w:eastAsia="宋体" w:cs="Times New Roman"/>
      <w:kern w:val="2"/>
      <w:sz w:val="21"/>
      <w:lang w:val="en-US" w:eastAsia="zh-CN" w:bidi="ar-SA"/>
    </w:rPr>
  </w:style>
  <w:style w:type="character" w:customStyle="1" w:styleId="99">
    <w:name w:val="Body Text Indent Char"/>
    <w:locked/>
    <w:uiPriority w:val="0"/>
    <w:rPr>
      <w:rFonts w:eastAsia="宋体"/>
      <w:sz w:val="24"/>
    </w:rPr>
  </w:style>
  <w:style w:type="character" w:customStyle="1" w:styleId="100">
    <w:name w:val="font31"/>
    <w:uiPriority w:val="0"/>
    <w:rPr>
      <w:rFonts w:hint="eastAsia" w:ascii="宋体" w:hAnsi="宋体" w:eastAsia="宋体" w:cs="Times New Roman"/>
      <w:color w:val="FF0000"/>
      <w:sz w:val="21"/>
      <w:szCs w:val="21"/>
      <w:u w:val="none"/>
    </w:rPr>
  </w:style>
  <w:style w:type="character" w:customStyle="1" w:styleId="101">
    <w:name w:val="normalfont1"/>
    <w:uiPriority w:val="0"/>
    <w:rPr>
      <w:rFonts w:hint="default" w:ascii="ˎ̥" w:hAnsi="ˎ̥" w:eastAsia="宋体" w:cs="Times New Roman"/>
      <w:sz w:val="18"/>
      <w:szCs w:val="18"/>
      <w:u w:val="none"/>
    </w:rPr>
  </w:style>
  <w:style w:type="character" w:customStyle="1" w:styleId="102">
    <w:name w:val="shadow11"/>
    <w:uiPriority w:val="0"/>
    <w:rPr>
      <w:rFonts w:ascii="Times New Roman" w:hAnsi="Times New Roman" w:eastAsia="宋体" w:cs="Times New Roman"/>
      <w:color w:val="000000"/>
      <w:sz w:val="21"/>
    </w:rPr>
  </w:style>
  <w:style w:type="character" w:customStyle="1" w:styleId="103">
    <w:name w:val="Char Char13"/>
    <w:uiPriority w:val="0"/>
    <w:rPr>
      <w:rFonts w:ascii="Times New Roman" w:hAnsi="Times New Roman" w:eastAsia="宋体" w:cs="Times New Roman"/>
      <w:kern w:val="2"/>
      <w:sz w:val="21"/>
      <w:lang w:val="en-US" w:eastAsia="zh-CN" w:bidi="ar-SA"/>
    </w:rPr>
  </w:style>
  <w:style w:type="character" w:customStyle="1" w:styleId="104">
    <w:name w:val="正文缩进 Char1"/>
    <w:uiPriority w:val="0"/>
    <w:rPr>
      <w:rFonts w:ascii="Times New Roman" w:hAnsi="Times New Roman" w:eastAsia="宋体" w:cs="Times New Roman"/>
      <w:kern w:val="2"/>
      <w:sz w:val="21"/>
      <w:lang w:val="en-US" w:eastAsia="zh-CN" w:bidi="ar-SA"/>
    </w:rPr>
  </w:style>
  <w:style w:type="character" w:customStyle="1" w:styleId="105">
    <w:name w:val="普通文字 Char Char2"/>
    <w:aliases w:val="纯文本 Char Char Char1,普通文字 Char Char Char2,普通文字 Char Char Char Char2,普通文字 Char Char Char Char Char1,正 文 1 Char2,纯文本 Char Char Char Char Char Char Char Char Char Char Char Char Char Char1,小 Char1,Plain Text Char2,Texte Char2,普通文字1 Char2"/>
    <w:uiPriority w:val="0"/>
    <w:rPr>
      <w:rFonts w:ascii="宋体" w:hAnsi="Courier New" w:eastAsia="宋体" w:cs="Times New Roman"/>
      <w:kern w:val="2"/>
      <w:sz w:val="21"/>
      <w:lang w:val="en-US" w:eastAsia="zh-CN" w:bidi="ar-SA"/>
    </w:rPr>
  </w:style>
  <w:style w:type="character" w:customStyle="1" w:styleId="106">
    <w:name w:val="unnamed11"/>
    <w:uiPriority w:val="0"/>
    <w:rPr>
      <w:rFonts w:ascii="Times New Roman" w:hAnsi="Times New Roman" w:eastAsia="宋体" w:cs="Times New Roman"/>
      <w:spacing w:val="31680"/>
      <w:sz w:val="20"/>
      <w:szCs w:val="20"/>
    </w:rPr>
  </w:style>
  <w:style w:type="character" w:customStyle="1" w:styleId="107">
    <w:name w:val="Char Char5"/>
    <w:uiPriority w:val="0"/>
    <w:rPr>
      <w:rFonts w:ascii="Times New Roman" w:hAnsi="Times New Roman" w:eastAsia="宋体" w:cs="Times New Roman"/>
      <w:kern w:val="2"/>
      <w:sz w:val="18"/>
      <w:szCs w:val="18"/>
      <w:lang w:val="en-US" w:eastAsia="zh-CN" w:bidi="ar-SA"/>
    </w:rPr>
  </w:style>
  <w:style w:type="character" w:customStyle="1" w:styleId="108">
    <w:name w:val="Char Char14"/>
    <w:uiPriority w:val="0"/>
    <w:rPr>
      <w:rFonts w:ascii="Times New Roman" w:hAnsi="Times New Roman" w:eastAsia="宋体" w:cs="Times New Roman"/>
      <w:b/>
      <w:bCs/>
      <w:kern w:val="2"/>
      <w:sz w:val="24"/>
      <w:lang w:val="en-US" w:eastAsia="zh-CN" w:bidi="ar-SA"/>
    </w:rPr>
  </w:style>
  <w:style w:type="character" w:customStyle="1" w:styleId="109">
    <w:name w:val="FA正文 Char Char"/>
    <w:link w:val="110"/>
    <w:uiPriority w:val="0"/>
    <w:rPr>
      <w:rFonts w:ascii="宋体" w:hAnsi="宋体" w:eastAsia="宋体"/>
      <w:kern w:val="2"/>
      <w:sz w:val="24"/>
      <w:lang w:bidi="ar-SA"/>
    </w:rPr>
  </w:style>
  <w:style w:type="paragraph" w:customStyle="1" w:styleId="110">
    <w:name w:val="FA正文"/>
    <w:basedOn w:val="1"/>
    <w:link w:val="109"/>
    <w:uiPriority w:val="0"/>
    <w:pPr>
      <w:spacing w:line="360" w:lineRule="auto"/>
      <w:ind w:firstLine="480" w:firstLineChars="200"/>
    </w:pPr>
    <w:rPr>
      <w:rFonts w:ascii="宋体" w:hAnsi="宋体"/>
      <w:sz w:val="24"/>
      <w:szCs w:val="20"/>
    </w:rPr>
  </w:style>
  <w:style w:type="character" w:customStyle="1" w:styleId="111">
    <w:name w:val="Char Char11"/>
    <w:uiPriority w:val="0"/>
    <w:rPr>
      <w:rFonts w:ascii="Times New Roman" w:hAnsi="Times New Roman" w:eastAsia="宋体" w:cs="Times New Roman"/>
      <w:kern w:val="2"/>
      <w:sz w:val="24"/>
      <w:lang w:val="en-US" w:eastAsia="zh-CN" w:bidi="ar-SA"/>
    </w:rPr>
  </w:style>
  <w:style w:type="character" w:customStyle="1" w:styleId="112">
    <w:name w:val="标题2 Char"/>
    <w:aliases w:val="标题 1 Char Char Char Char,标题 1 Char Char Char1,章标题 1 Char1,-*+ Char,b1 Char,章节标题 Char,标题 1 1 Char,标题yjm1 Char,章标题 1 Char Char Char,标题 1 Char1,标题 1 Char Char1,章 Char,标书1 Char,标题一 Char,编号标题1 Char,正文一级标题 Char,Chapter Char,Heading 1 Char Char Char"/>
    <w:link w:val="113"/>
    <w:uiPriority w:val="0"/>
    <w:rPr>
      <w:rFonts w:eastAsia="黑体"/>
      <w:b/>
      <w:bCs/>
      <w:kern w:val="2"/>
      <w:sz w:val="30"/>
      <w:szCs w:val="32"/>
      <w:lang w:bidi="ar-SA"/>
    </w:rPr>
  </w:style>
  <w:style w:type="paragraph" w:customStyle="1" w:styleId="113">
    <w:name w:val="标题2"/>
    <w:basedOn w:val="5"/>
    <w:link w:val="112"/>
    <w:qFormat/>
    <w:uiPriority w:val="0"/>
    <w:pPr>
      <w:spacing w:line="416" w:lineRule="auto"/>
      <w:ind w:left="576" w:hanging="576"/>
    </w:pPr>
    <w:rPr>
      <w:rFonts w:ascii="Calibri" w:hAnsi="Calibri"/>
      <w:sz w:val="30"/>
    </w:rPr>
  </w:style>
  <w:style w:type="character" w:customStyle="1" w:styleId="114">
    <w:name w:val="正文文本缩进 Char1"/>
    <w:uiPriority w:val="0"/>
    <w:rPr>
      <w:rFonts w:ascii="Times New Roman" w:hAnsi="Times New Roman" w:eastAsia="宋体" w:cs="Times New Roman"/>
      <w:kern w:val="2"/>
      <w:sz w:val="24"/>
      <w:lang w:val="en-US" w:eastAsia="zh-CN" w:bidi="ar-SA"/>
    </w:rPr>
  </w:style>
  <w:style w:type="character" w:customStyle="1" w:styleId="115">
    <w:name w:val="grame"/>
    <w:basedOn w:val="51"/>
    <w:uiPriority w:val="0"/>
  </w:style>
  <w:style w:type="character" w:customStyle="1" w:styleId="116">
    <w:name w:val="font111"/>
    <w:uiPriority w:val="0"/>
    <w:rPr>
      <w:rFonts w:hint="default" w:ascii="font-weight : 700" w:hAnsi="font-weight : 700" w:eastAsia="font-weight : 700" w:cs="font-weight : 700"/>
      <w:color w:val="FF0000"/>
      <w:sz w:val="20"/>
      <w:szCs w:val="20"/>
      <w:u w:val="none"/>
    </w:rPr>
  </w:style>
  <w:style w:type="character" w:customStyle="1" w:styleId="117">
    <w:name w:val="Char Char10"/>
    <w:uiPriority w:val="0"/>
    <w:rPr>
      <w:rFonts w:ascii="Calibri" w:hAnsi="Calibri" w:eastAsia="宋体"/>
      <w:kern w:val="2"/>
      <w:sz w:val="21"/>
      <w:szCs w:val="22"/>
      <w:lang w:val="en-US" w:eastAsia="zh-CN" w:bidi="ar-SA"/>
    </w:rPr>
  </w:style>
  <w:style w:type="character" w:customStyle="1" w:styleId="118">
    <w:name w:val="dectext1"/>
    <w:uiPriority w:val="0"/>
    <w:rPr>
      <w:rFonts w:hint="eastAsia" w:ascii="宋体" w:hAnsi="宋体" w:eastAsia="宋体" w:cs="Times New Roman"/>
      <w:color w:val="333333"/>
      <w:sz w:val="21"/>
      <w:szCs w:val="21"/>
      <w:u w:val="none"/>
    </w:rPr>
  </w:style>
  <w:style w:type="character" w:customStyle="1" w:styleId="119">
    <w:name w:val="font11"/>
    <w:uiPriority w:val="0"/>
    <w:rPr>
      <w:rFonts w:hint="eastAsia" w:ascii="宋体" w:hAnsi="宋体" w:eastAsia="宋体"/>
      <w:color w:val="000000"/>
      <w:sz w:val="24"/>
      <w:szCs w:val="24"/>
      <w:u w:val="none"/>
    </w:rPr>
  </w:style>
  <w:style w:type="character" w:customStyle="1" w:styleId="120">
    <w:name w:val="Char Char4"/>
    <w:uiPriority w:val="0"/>
    <w:rPr>
      <w:rFonts w:hint="eastAsia" w:ascii="宋体" w:hAnsi="宋体" w:eastAsia="宋体" w:cs="Times New Roman"/>
      <w:kern w:val="2"/>
      <w:sz w:val="18"/>
      <w:lang w:val="en-US" w:eastAsia="zh-CN" w:bidi="ar-SA"/>
    </w:rPr>
  </w:style>
  <w:style w:type="character" w:customStyle="1" w:styleId="121">
    <w:name w:val="批注框文本 Char1"/>
    <w:semiHidden/>
    <w:uiPriority w:val="99"/>
    <w:rPr>
      <w:rFonts w:ascii="Times New Roman" w:hAnsi="Times New Roman" w:eastAsia="宋体" w:cs="Times New Roman"/>
      <w:sz w:val="18"/>
      <w:szCs w:val="18"/>
    </w:rPr>
  </w:style>
  <w:style w:type="character" w:customStyle="1" w:styleId="122">
    <w:name w:val="size31"/>
    <w:uiPriority w:val="0"/>
    <w:rPr>
      <w:rFonts w:hint="default" w:ascii="Arial" w:hAnsi="Arial" w:eastAsia="宋体" w:cs="Arial"/>
      <w:color w:val="2D2D2D"/>
      <w:spacing w:val="285"/>
      <w:sz w:val="18"/>
      <w:szCs w:val="18"/>
    </w:rPr>
  </w:style>
  <w:style w:type="character" w:customStyle="1" w:styleId="123">
    <w:name w:val="Char Char3"/>
    <w:uiPriority w:val="0"/>
    <w:rPr>
      <w:rFonts w:ascii="Times New Roman" w:hAnsi="Times New Roman" w:eastAsia="宋体" w:cs="Times New Roman"/>
      <w:kern w:val="2"/>
      <w:sz w:val="21"/>
      <w:szCs w:val="24"/>
      <w:lang w:val="en-US" w:eastAsia="zh-CN" w:bidi="ar-SA"/>
    </w:rPr>
  </w:style>
  <w:style w:type="character" w:customStyle="1" w:styleId="124">
    <w:name w:val="批注文字 Char1"/>
    <w:uiPriority w:val="99"/>
    <w:rPr>
      <w:rFonts w:ascii="仿宋_GB2312" w:eastAsia="仿宋_GB2312"/>
      <w:sz w:val="28"/>
      <w:szCs w:val="28"/>
    </w:rPr>
  </w:style>
  <w:style w:type="character" w:customStyle="1" w:styleId="125">
    <w:name w:val="font51"/>
    <w:uiPriority w:val="0"/>
    <w:rPr>
      <w:rFonts w:hint="eastAsia" w:ascii="宋体" w:hAnsi="宋体" w:eastAsia="宋体"/>
      <w:b/>
      <w:bCs/>
      <w:color w:val="FF00FF"/>
      <w:sz w:val="21"/>
      <w:szCs w:val="21"/>
      <w:u w:val="none"/>
    </w:rPr>
  </w:style>
  <w:style w:type="character" w:customStyle="1" w:styleId="126">
    <w:name w:val="style29 style39"/>
    <w:basedOn w:val="51"/>
    <w:uiPriority w:val="0"/>
  </w:style>
  <w:style w:type="character" w:customStyle="1" w:styleId="127">
    <w:name w:val="编号1 Char Char"/>
    <w:link w:val="128"/>
    <w:uiPriority w:val="0"/>
    <w:rPr>
      <w:rFonts w:ascii="Calibri" w:hAnsi="Calibri"/>
      <w:sz w:val="24"/>
      <w:szCs w:val="24"/>
    </w:rPr>
  </w:style>
  <w:style w:type="paragraph" w:customStyle="1" w:styleId="128">
    <w:name w:val="编号1"/>
    <w:basedOn w:val="1"/>
    <w:link w:val="127"/>
    <w:uiPriority w:val="0"/>
    <w:pPr>
      <w:widowControl/>
      <w:spacing w:line="360" w:lineRule="auto"/>
      <w:jc w:val="left"/>
    </w:pPr>
    <w:rPr>
      <w:kern w:val="0"/>
      <w:sz w:val="24"/>
    </w:rPr>
  </w:style>
  <w:style w:type="character" w:customStyle="1" w:styleId="129">
    <w:name w:val="标题 7 Char1"/>
    <w:uiPriority w:val="0"/>
    <w:rPr>
      <w:rFonts w:ascii="宋体" w:hAnsi="Times New Roman" w:eastAsia="仿宋_GB2312" w:cs="Times New Roman"/>
      <w:b/>
      <w:sz w:val="24"/>
      <w:lang w:val="en-US" w:eastAsia="zh-CN" w:bidi="ar-SA"/>
    </w:rPr>
  </w:style>
  <w:style w:type="character" w:customStyle="1" w:styleId="130">
    <w:name w:val="font21"/>
    <w:basedOn w:val="51"/>
    <w:uiPriority w:val="0"/>
    <w:rPr>
      <w:rFonts w:hint="eastAsia" w:ascii="宋体" w:hAnsi="宋体" w:eastAsia="宋体"/>
      <w:color w:val="000000"/>
      <w:sz w:val="21"/>
      <w:szCs w:val="21"/>
      <w:u w:val="none"/>
    </w:rPr>
  </w:style>
  <w:style w:type="character" w:customStyle="1" w:styleId="131">
    <w:name w:val="表格 Char Char"/>
    <w:link w:val="132"/>
    <w:uiPriority w:val="0"/>
    <w:rPr>
      <w:rFonts w:ascii="宋体" w:hAnsi="宋体"/>
    </w:rPr>
  </w:style>
  <w:style w:type="paragraph" w:customStyle="1" w:styleId="132">
    <w:name w:val="表格"/>
    <w:basedOn w:val="1"/>
    <w:link w:val="131"/>
    <w:qFormat/>
    <w:uiPriority w:val="0"/>
    <w:pPr>
      <w:snapToGrid w:val="0"/>
      <w:ind w:firstLine="42" w:firstLineChars="21"/>
    </w:pPr>
    <w:rPr>
      <w:rFonts w:ascii="宋体" w:hAnsi="宋体"/>
      <w:kern w:val="0"/>
      <w:sz w:val="20"/>
      <w:szCs w:val="20"/>
    </w:rPr>
  </w:style>
  <w:style w:type="character" w:customStyle="1" w:styleId="133">
    <w:name w:val="公文正文 Char Char"/>
    <w:uiPriority w:val="0"/>
    <w:rPr>
      <w:rFonts w:ascii="仿宋_GB2312" w:eastAsia="仿宋_GB2312"/>
      <w:kern w:val="2"/>
      <w:sz w:val="24"/>
      <w:szCs w:val="24"/>
      <w:lang w:val="en-US" w:eastAsia="zh-CN" w:bidi="ar-SA"/>
    </w:rPr>
  </w:style>
  <w:style w:type="character" w:customStyle="1" w:styleId="134">
    <w:name w:val="普通文字 Char Char1"/>
    <w:aliases w:val="纯文本 Char Char Char,普通文字 Char Char Char1,普通文字 Char Char Char Char1,普通文字 Char Char Char Char Char,正 文 1 Char,纯文本 Char Char Char Char Char Char Char Char Char Char Char Char Char Char,小 Char,Plain Text Char,Texte Char,普通文字1 Char,普通文字2 Char"/>
    <w:uiPriority w:val="0"/>
    <w:rPr>
      <w:rFonts w:ascii="宋体" w:hAnsi="Courier New" w:eastAsia="宋体" w:cs="Times New Roman"/>
      <w:szCs w:val="20"/>
    </w:rPr>
  </w:style>
  <w:style w:type="character" w:customStyle="1" w:styleId="135">
    <w:name w:val="apple-converted-space"/>
    <w:basedOn w:val="51"/>
    <w:uiPriority w:val="0"/>
    <w:rPr>
      <w:rFonts w:cs="Times New Roman"/>
    </w:rPr>
  </w:style>
  <w:style w:type="character" w:customStyle="1" w:styleId="136">
    <w:name w:val="标题 2 Char Char Char"/>
    <w:uiPriority w:val="0"/>
    <w:rPr>
      <w:rFonts w:ascii="文鼎小标宋简" w:hAnsi="Times New Roman" w:eastAsia="文鼎小标宋简" w:cs="Times New Roman"/>
      <w:b/>
      <w:sz w:val="36"/>
      <w:lang w:val="en-US" w:eastAsia="zh-CN" w:bidi="ar-SA"/>
    </w:rPr>
  </w:style>
  <w:style w:type="character" w:customStyle="1" w:styleId="137">
    <w:name w:val="标题 3 Char1"/>
    <w:uiPriority w:val="0"/>
    <w:rPr>
      <w:rFonts w:ascii="Times New Roman" w:hAnsi="Times New Roman" w:eastAsia="宋体" w:cs="Times New Roman"/>
      <w:b/>
      <w:bCs/>
      <w:kern w:val="2"/>
      <w:sz w:val="32"/>
      <w:szCs w:val="32"/>
      <w:lang w:val="en-US" w:eastAsia="zh-CN" w:bidi="ar-SA"/>
    </w:rPr>
  </w:style>
  <w:style w:type="character" w:customStyle="1" w:styleId="138">
    <w:name w:val="font3"/>
    <w:uiPriority w:val="0"/>
  </w:style>
  <w:style w:type="character" w:customStyle="1" w:styleId="139">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40">
    <w:name w:val="批注主题 Char1"/>
    <w:uiPriority w:val="99"/>
    <w:rPr>
      <w:rFonts w:ascii="Times New Roman" w:hAnsi="Times New Roman" w:eastAsia="宋体" w:cs="Times New Roman"/>
      <w:b/>
      <w:bCs/>
      <w:kern w:val="2"/>
      <w:sz w:val="21"/>
      <w:szCs w:val="24"/>
      <w:lang w:val="en-US" w:eastAsia="zh-CN" w:bidi="ar-SA"/>
    </w:rPr>
  </w:style>
  <w:style w:type="character" w:customStyle="1" w:styleId="141">
    <w:name w:val="普通文字 Char3"/>
    <w:aliases w:val="纯文本 Char Char Char3,纯文本 Char Char3,普通文字 Char Char Char Char Char2,正 文 1 Char1,普通文字 Char Char Char Char Char3,Plain Text Char1,Texte Char1,普通文字1 Char1,普通文字2 Char1,普通文字3 Char1,普通文字4 Char1,普通文字5 Char1,普通文字6 Char1,普通文字11 Char1"/>
    <w:uiPriority w:val="0"/>
    <w:rPr>
      <w:rFonts w:hint="eastAsia" w:ascii="宋体" w:hAnsi="Courier New" w:eastAsia="宋体" w:cs="Times New Roman"/>
      <w:kern w:val="2"/>
      <w:sz w:val="21"/>
      <w:lang w:val="en-US" w:eastAsia="zh-CN"/>
    </w:rPr>
  </w:style>
  <w:style w:type="character" w:customStyle="1" w:styleId="142">
    <w:name w:val="font41"/>
    <w:uiPriority w:val="0"/>
    <w:rPr>
      <w:rFonts w:hint="eastAsia" w:ascii="宋体" w:hAnsi="宋体" w:eastAsia="宋体"/>
      <w:color w:val="FF0000"/>
      <w:sz w:val="24"/>
      <w:szCs w:val="24"/>
      <w:u w:val="none"/>
    </w:rPr>
  </w:style>
  <w:style w:type="character" w:customStyle="1" w:styleId="143">
    <w:name w:val="正文2 Char Char Char"/>
    <w:uiPriority w:val="0"/>
    <w:rPr>
      <w:rFonts w:ascii="Times New Roman" w:hAnsi="Times New Roman" w:eastAsia="宋体" w:cs="Times New Roman"/>
      <w:kern w:val="2"/>
      <w:sz w:val="24"/>
      <w:lang w:val="en-US" w:eastAsia="zh-CN" w:bidi="ar-SA"/>
    </w:rPr>
  </w:style>
  <w:style w:type="character" w:customStyle="1" w:styleId="144">
    <w:name w:val="Char Char8"/>
    <w:uiPriority w:val="0"/>
    <w:rPr>
      <w:rFonts w:ascii="Times New Roman" w:hAnsi="Times New Roman" w:eastAsia="宋体" w:cs="Times New Roman"/>
      <w:kern w:val="2"/>
      <w:sz w:val="18"/>
      <w:szCs w:val="18"/>
      <w:lang w:val="en-US" w:eastAsia="zh-CN" w:bidi="ar-SA"/>
    </w:rPr>
  </w:style>
  <w:style w:type="character" w:customStyle="1" w:styleId="145">
    <w:name w:val="标题3 Char"/>
    <w:link w:val="146"/>
    <w:uiPriority w:val="0"/>
    <w:rPr>
      <w:rFonts w:eastAsia="黑体"/>
      <w:b/>
      <w:bCs/>
      <w:kern w:val="2"/>
      <w:sz w:val="32"/>
      <w:szCs w:val="32"/>
      <w:lang w:bidi="ar-SA"/>
    </w:rPr>
  </w:style>
  <w:style w:type="paragraph" w:customStyle="1" w:styleId="146">
    <w:name w:val="标题3"/>
    <w:basedOn w:val="6"/>
    <w:link w:val="145"/>
    <w:qFormat/>
    <w:uiPriority w:val="0"/>
    <w:pPr>
      <w:ind w:left="720" w:hanging="720"/>
    </w:pPr>
    <w:rPr>
      <w:rFonts w:eastAsia="黑体"/>
    </w:rPr>
  </w:style>
  <w:style w:type="character" w:customStyle="1" w:styleId="147">
    <w:name w:val="large1"/>
    <w:uiPriority w:val="0"/>
    <w:rPr>
      <w:rFonts w:hint="eastAsia" w:ascii="宋体" w:hAnsi="宋体" w:eastAsia="宋体"/>
      <w:sz w:val="21"/>
      <w:szCs w:val="21"/>
    </w:rPr>
  </w:style>
  <w:style w:type="character" w:customStyle="1" w:styleId="148">
    <w:name w:val="font81"/>
    <w:uiPriority w:val="99"/>
    <w:rPr>
      <w:rFonts w:hint="eastAsia" w:ascii="宋体" w:hAnsi="宋体" w:eastAsia="宋体"/>
      <w:color w:val="000000"/>
      <w:sz w:val="21"/>
      <w:szCs w:val="21"/>
      <w:u w:val="none"/>
    </w:rPr>
  </w:style>
  <w:style w:type="character" w:customStyle="1" w:styleId="149">
    <w:name w:val="style61"/>
    <w:uiPriority w:val="0"/>
    <w:rPr>
      <w:rFonts w:ascii="Times New Roman" w:hAnsi="Times New Roman" w:eastAsia="宋体" w:cs="Times New Roman"/>
      <w:sz w:val="12"/>
      <w:szCs w:val="12"/>
    </w:rPr>
  </w:style>
  <w:style w:type="character" w:customStyle="1" w:styleId="150">
    <w:name w:val="标准正文 Char Char"/>
    <w:link w:val="151"/>
    <w:uiPriority w:val="0"/>
    <w:rPr>
      <w:rFonts w:ascii="Verdana" w:hAnsi="Verdana"/>
      <w:kern w:val="2"/>
      <w:sz w:val="24"/>
      <w:szCs w:val="24"/>
      <w:lang w:bidi="ar-SA"/>
    </w:rPr>
  </w:style>
  <w:style w:type="paragraph" w:customStyle="1" w:styleId="151">
    <w:name w:val="标准正文"/>
    <w:basedOn w:val="1"/>
    <w:link w:val="150"/>
    <w:uiPriority w:val="0"/>
    <w:pPr>
      <w:spacing w:line="360" w:lineRule="auto"/>
      <w:ind w:firstLine="200" w:firstLineChars="200"/>
      <w:jc w:val="left"/>
    </w:pPr>
    <w:rPr>
      <w:rFonts w:ascii="Verdana" w:hAnsi="Verdana"/>
      <w:sz w:val="24"/>
    </w:rPr>
  </w:style>
  <w:style w:type="character" w:customStyle="1" w:styleId="152">
    <w:name w:val=" Char Char Char"/>
    <w:uiPriority w:val="0"/>
    <w:rPr>
      <w:rFonts w:ascii="宋体" w:hAnsi="Courier New" w:eastAsia="宋体" w:cs="Times New Roman"/>
      <w:kern w:val="2"/>
      <w:sz w:val="21"/>
      <w:lang w:val="en-US" w:eastAsia="zh-CN" w:bidi="ar-SA"/>
    </w:rPr>
  </w:style>
  <w:style w:type="character" w:customStyle="1" w:styleId="153">
    <w:name w:val="gf正文1 Char Char Char"/>
    <w:uiPriority w:val="0"/>
    <w:rPr>
      <w:rFonts w:ascii="宋体" w:hAnsi="宋体" w:eastAsia="宋体" w:cs="宋体"/>
      <w:kern w:val="2"/>
      <w:sz w:val="24"/>
      <w:szCs w:val="24"/>
      <w:lang w:val="en-US" w:eastAsia="zh-CN" w:bidi="ar-SA"/>
    </w:rPr>
  </w:style>
  <w:style w:type="character" w:customStyle="1" w:styleId="154">
    <w:name w:val="标题 4 Char1"/>
    <w:uiPriority w:val="0"/>
    <w:rPr>
      <w:rFonts w:ascii="Arial" w:hAnsi="Arial" w:eastAsia="黑体" w:cs="Times New Roman"/>
      <w:b/>
      <w:bCs/>
      <w:kern w:val="2"/>
      <w:sz w:val="28"/>
      <w:szCs w:val="28"/>
      <w:lang w:val="en-US" w:eastAsia="zh-CN" w:bidi="ar-SA"/>
    </w:rPr>
  </w:style>
  <w:style w:type="character" w:customStyle="1" w:styleId="155">
    <w:name w:val="style51"/>
    <w:uiPriority w:val="0"/>
    <w:rPr>
      <w:rFonts w:hint="default" w:ascii="Verdana" w:hAnsi="Verdana" w:eastAsia="宋体" w:cs="Times New Roman"/>
      <w:b/>
      <w:bCs/>
      <w:color w:val="FF0000"/>
      <w:sz w:val="21"/>
      <w:szCs w:val="21"/>
    </w:rPr>
  </w:style>
  <w:style w:type="character" w:customStyle="1" w:styleId="156">
    <w:name w:val="font61"/>
    <w:uiPriority w:val="0"/>
    <w:rPr>
      <w:rFonts w:hint="eastAsia" w:ascii="宋体" w:hAnsi="宋体" w:eastAsia="宋体"/>
      <w:b/>
      <w:bCs/>
      <w:color w:val="000000"/>
      <w:sz w:val="21"/>
      <w:szCs w:val="21"/>
      <w:u w:val="none"/>
    </w:rPr>
  </w:style>
  <w:style w:type="character" w:customStyle="1" w:styleId="157">
    <w:name w:val="正文文本 2 Char1"/>
    <w:uiPriority w:val="0"/>
    <w:rPr>
      <w:rFonts w:ascii="Times New Roman" w:hAnsi="Times New Roman" w:eastAsia="宋体" w:cs="Times New Roman"/>
      <w:kern w:val="2"/>
      <w:sz w:val="21"/>
      <w:lang w:val="en-US" w:eastAsia="zh-CN" w:bidi="ar-SA"/>
    </w:rPr>
  </w:style>
  <w:style w:type="character" w:customStyle="1" w:styleId="158">
    <w:name w:val="页脚 Char1"/>
    <w:uiPriority w:val="99"/>
    <w:rPr>
      <w:rFonts w:ascii="Times New Roman" w:hAnsi="Times New Roman" w:eastAsia="宋体" w:cs="Times New Roman"/>
      <w:kern w:val="2"/>
      <w:sz w:val="18"/>
      <w:szCs w:val="18"/>
      <w:lang w:val="en-US" w:eastAsia="zh-CN" w:bidi="ar-SA"/>
    </w:rPr>
  </w:style>
  <w:style w:type="character" w:customStyle="1" w:styleId="159">
    <w:name w:val="文档结构图 Char1"/>
    <w:uiPriority w:val="0"/>
    <w:rPr>
      <w:rFonts w:ascii="Times New Roman" w:hAnsi="Times New Roman" w:eastAsia="宋体" w:cs="Times New Roman"/>
      <w:kern w:val="2"/>
      <w:sz w:val="21"/>
      <w:szCs w:val="24"/>
      <w:lang w:val="en-US" w:eastAsia="zh-CN" w:bidi="ar-SA"/>
    </w:rPr>
  </w:style>
  <w:style w:type="character" w:customStyle="1" w:styleId="160">
    <w:name w:val="ih151"/>
    <w:uiPriority w:val="0"/>
    <w:rPr>
      <w:rFonts w:ascii="Times New Roman" w:hAnsi="Times New Roman" w:eastAsia="宋体" w:cs="Times New Roman"/>
      <w:color w:val="666666"/>
      <w:sz w:val="18"/>
      <w:szCs w:val="18"/>
      <w:u w:val="none"/>
    </w:rPr>
  </w:style>
  <w:style w:type="character" w:customStyle="1" w:styleId="161">
    <w:name w:val="正文非缩进 Char1"/>
    <w:aliases w:val="正文（首行缩进两字） Char Char Char Char2,正文（首行缩进两字） Char Char Char2,正文（首行缩进两字） Char Char2,正文（首行缩进两字） Char Char Char Char Char Char1,正文（首行缩进两字） Char Char Char Char Char2,特点 Char2,段1 Char1,ALT+Z Char1,四号 Char1,缩进 Char1,标题4 Char1,二 Char"/>
    <w:uiPriority w:val="0"/>
    <w:rPr>
      <w:rFonts w:ascii="宋体" w:hAnsi="宋体" w:eastAsia="宋体" w:cs="Times New Roman"/>
      <w:snapToGrid w:val="0"/>
      <w:color w:val="000000"/>
      <w:kern w:val="28"/>
      <w:sz w:val="28"/>
      <w:lang w:val="en-US" w:eastAsia="zh-CN" w:bidi="ar-SA"/>
    </w:rPr>
  </w:style>
  <w:style w:type="character" w:customStyle="1" w:styleId="162">
    <w:name w:val="封面日期 Char Char"/>
    <w:uiPriority w:val="0"/>
    <w:rPr>
      <w:rFonts w:ascii="Times New Roman" w:hAnsi="Times New Roman" w:eastAsia="楷体_GB2312" w:cs="Times New Roman"/>
      <w:kern w:val="2"/>
      <w:sz w:val="32"/>
      <w:lang w:val="en-US" w:eastAsia="zh-CN" w:bidi="ar-SA"/>
    </w:rPr>
  </w:style>
  <w:style w:type="character" w:customStyle="1" w:styleId="163">
    <w:name w:val="gf正文1 Char Char"/>
    <w:link w:val="164"/>
    <w:uiPriority w:val="0"/>
    <w:rPr>
      <w:rFonts w:ascii="宋体" w:hAnsi="宋体" w:eastAsia="宋体" w:cs="宋体"/>
      <w:kern w:val="2"/>
      <w:sz w:val="24"/>
      <w:szCs w:val="24"/>
      <w:lang w:val="en-US" w:eastAsia="zh-CN" w:bidi="ar-SA"/>
    </w:rPr>
  </w:style>
  <w:style w:type="paragraph" w:customStyle="1" w:styleId="164">
    <w:name w:val="gf正文1"/>
    <w:basedOn w:val="1"/>
    <w:link w:val="163"/>
    <w:uiPriority w:val="0"/>
    <w:pPr>
      <w:adjustRightInd w:val="0"/>
      <w:snapToGrid w:val="0"/>
      <w:spacing w:beforeLines="50" w:line="360" w:lineRule="auto"/>
      <w:ind w:firstLine="480" w:firstLineChars="200"/>
    </w:pPr>
    <w:rPr>
      <w:rFonts w:ascii="宋体" w:hAnsi="宋体" w:cs="宋体"/>
      <w:sz w:val="24"/>
    </w:rPr>
  </w:style>
  <w:style w:type="character" w:customStyle="1" w:styleId="165">
    <w:name w:val="Char Char7"/>
    <w:uiPriority w:val="0"/>
    <w:rPr>
      <w:rFonts w:hint="eastAsia" w:ascii="宋体" w:hAnsi="宋体" w:eastAsia="宋体"/>
      <w:kern w:val="2"/>
      <w:sz w:val="21"/>
      <w:lang w:val="en-US" w:eastAsia="zh-CN" w:bidi="ar-SA"/>
    </w:rPr>
  </w:style>
  <w:style w:type="character" w:customStyle="1" w:styleId="166">
    <w:name w:val="列出段落 Char"/>
    <w:link w:val="167"/>
    <w:uiPriority w:val="0"/>
    <w:rPr>
      <w:rFonts w:ascii="宋体" w:hAnsi="宋体" w:eastAsia="宋体" w:cs="宋体"/>
      <w:sz w:val="24"/>
      <w:szCs w:val="24"/>
      <w:lang w:val="en-US" w:eastAsia="zh-CN" w:bidi="ar-SA"/>
    </w:rPr>
  </w:style>
  <w:style w:type="paragraph" w:customStyle="1" w:styleId="167">
    <w:name w:val="列出段落2"/>
    <w:basedOn w:val="1"/>
    <w:link w:val="166"/>
    <w:qFormat/>
    <w:uiPriority w:val="0"/>
    <w:pPr>
      <w:widowControl/>
      <w:ind w:firstLine="420" w:firstLineChars="200"/>
      <w:jc w:val="left"/>
    </w:pPr>
    <w:rPr>
      <w:rFonts w:ascii="宋体" w:hAnsi="宋体" w:cs="宋体"/>
      <w:kern w:val="0"/>
      <w:sz w:val="24"/>
    </w:rPr>
  </w:style>
  <w:style w:type="character" w:customStyle="1" w:styleId="168">
    <w:name w:val="*正文 Char"/>
    <w:link w:val="169"/>
    <w:uiPriority w:val="0"/>
    <w:rPr>
      <w:rFonts w:ascii="宋体" w:hAnsi="宋体" w:cs="仿宋_GB2312"/>
      <w:kern w:val="2"/>
      <w:sz w:val="22"/>
    </w:rPr>
  </w:style>
  <w:style w:type="paragraph" w:customStyle="1" w:styleId="169">
    <w:name w:val="*正文"/>
    <w:basedOn w:val="1"/>
    <w:link w:val="168"/>
    <w:qFormat/>
    <w:uiPriority w:val="0"/>
    <w:pPr>
      <w:spacing w:line="360" w:lineRule="auto"/>
      <w:ind w:firstLine="200" w:firstLineChars="200"/>
    </w:pPr>
    <w:rPr>
      <w:rFonts w:ascii="宋体" w:hAnsi="宋体"/>
      <w:sz w:val="22"/>
      <w:szCs w:val="20"/>
    </w:rPr>
  </w:style>
  <w:style w:type="character" w:customStyle="1" w:styleId="170">
    <w:name w:val="font71"/>
    <w:uiPriority w:val="0"/>
    <w:rPr>
      <w:rFonts w:hint="eastAsia" w:ascii="宋体" w:hAnsi="宋体" w:eastAsia="宋体" w:cs="Times New Roman"/>
      <w:color w:val="000000"/>
      <w:sz w:val="24"/>
      <w:szCs w:val="24"/>
      <w:u w:val="none"/>
    </w:rPr>
  </w:style>
  <w:style w:type="character" w:customStyle="1" w:styleId="171">
    <w:name w:val="Body Text Indent Char1"/>
    <w:semiHidden/>
    <w:locked/>
    <w:uiPriority w:val="0"/>
    <w:rPr>
      <w:rFonts w:cs="Times New Roman"/>
      <w:sz w:val="21"/>
      <w:szCs w:val="21"/>
    </w:rPr>
  </w:style>
  <w:style w:type="character" w:customStyle="1" w:styleId="172">
    <w:name w:val="font121"/>
    <w:uiPriority w:val="0"/>
    <w:rPr>
      <w:rFonts w:hint="default" w:ascii="font-weight : 700" w:hAnsi="font-weight : 700" w:eastAsia="font-weight : 700" w:cs="font-weight : 700"/>
      <w:color w:val="000000"/>
      <w:sz w:val="20"/>
      <w:szCs w:val="20"/>
      <w:u w:val="none"/>
    </w:rPr>
  </w:style>
  <w:style w:type="character" w:customStyle="1" w:styleId="173">
    <w:name w:val="*正文 Char Char"/>
    <w:uiPriority w:val="0"/>
    <w:rPr>
      <w:rFonts w:ascii="宋体" w:hAnsi="宋体"/>
      <w:kern w:val="2"/>
      <w:sz w:val="21"/>
      <w:szCs w:val="22"/>
    </w:rPr>
  </w:style>
  <w:style w:type="character" w:customStyle="1" w:styleId="174">
    <w:name w:val="font01"/>
    <w:uiPriority w:val="0"/>
    <w:rPr>
      <w:rFonts w:hint="eastAsia" w:ascii="宋体" w:hAnsi="宋体" w:eastAsia="宋体" w:cs="宋体"/>
      <w:color w:val="000000"/>
      <w:sz w:val="22"/>
      <w:szCs w:val="22"/>
    </w:rPr>
  </w:style>
  <w:style w:type="character" w:customStyle="1" w:styleId="175">
    <w:name w:val="正文内容 Char"/>
    <w:link w:val="176"/>
    <w:uiPriority w:val="0"/>
    <w:rPr>
      <w:rFonts w:ascii="Calibri" w:hAnsi="Calibri"/>
      <w:kern w:val="2"/>
      <w:sz w:val="24"/>
      <w:szCs w:val="22"/>
      <w:lang w:bidi="ar-SA"/>
    </w:rPr>
  </w:style>
  <w:style w:type="paragraph" w:customStyle="1" w:styleId="176">
    <w:name w:val="正文内容"/>
    <w:basedOn w:val="1"/>
    <w:link w:val="175"/>
    <w:qFormat/>
    <w:uiPriority w:val="0"/>
    <w:pPr>
      <w:spacing w:line="360" w:lineRule="auto"/>
      <w:ind w:firstLine="420"/>
    </w:pPr>
    <w:rPr>
      <w:sz w:val="24"/>
      <w:szCs w:val="22"/>
    </w:rPr>
  </w:style>
  <w:style w:type="character" w:customStyle="1" w:styleId="177">
    <w:name w:val=" Char Char10"/>
    <w:uiPriority w:val="0"/>
    <w:rPr>
      <w:rFonts w:ascii="Calibri" w:hAnsi="Calibri" w:eastAsia="宋体" w:cs="Times New Roman"/>
      <w:kern w:val="2"/>
      <w:sz w:val="21"/>
      <w:szCs w:val="22"/>
      <w:lang w:val="en-US" w:eastAsia="zh-CN" w:bidi="ar-SA"/>
    </w:rPr>
  </w:style>
  <w:style w:type="character" w:customStyle="1" w:styleId="178">
    <w:name w:val="伪造正文 Char"/>
    <w:link w:val="179"/>
    <w:uiPriority w:val="0"/>
    <w:rPr>
      <w:rFonts w:eastAsia="仿宋_GB2312"/>
      <w:kern w:val="2"/>
      <w:sz w:val="24"/>
      <w:szCs w:val="24"/>
      <w:lang w:val="en-US" w:eastAsia="zh-CN" w:bidi="ar-SA"/>
    </w:rPr>
  </w:style>
  <w:style w:type="paragraph" w:customStyle="1" w:styleId="179">
    <w:name w:val="伪造正文"/>
    <w:link w:val="178"/>
    <w:uiPriority w:val="0"/>
    <w:pPr>
      <w:spacing w:after="100" w:afterAutospacing="1" w:line="400" w:lineRule="exact"/>
      <w:ind w:firstLine="400" w:firstLineChars="400"/>
    </w:pPr>
    <w:rPr>
      <w:rFonts w:eastAsia="仿宋_GB2312"/>
      <w:kern w:val="2"/>
      <w:sz w:val="24"/>
      <w:szCs w:val="24"/>
      <w:lang w:val="en-US" w:eastAsia="zh-CN" w:bidi="ar-SA"/>
    </w:rPr>
  </w:style>
  <w:style w:type="character" w:customStyle="1" w:styleId="180">
    <w:name w:val="HTML 预设格式 Char1"/>
    <w:uiPriority w:val="0"/>
    <w:rPr>
      <w:rFonts w:ascii="Courier New" w:hAnsi="Courier New" w:eastAsia="宋体" w:cs="Courier New"/>
      <w:kern w:val="2"/>
    </w:rPr>
  </w:style>
  <w:style w:type="character" w:customStyle="1" w:styleId="181">
    <w:name w:val="Comment Subject Char"/>
    <w:uiPriority w:val="0"/>
    <w:rPr>
      <w:rFonts w:cs="Times New Roman"/>
      <w:b/>
      <w:kern w:val="2"/>
    </w:rPr>
  </w:style>
  <w:style w:type="character" w:customStyle="1" w:styleId="182">
    <w:name w:val="Title Char"/>
    <w:uiPriority w:val="0"/>
    <w:rPr>
      <w:rFonts w:ascii="Cambria" w:hAnsi="Cambria" w:eastAsia="宋体" w:cs="Times New Roman"/>
      <w:b/>
      <w:kern w:val="2"/>
      <w:sz w:val="32"/>
      <w:lang w:val="en-US" w:eastAsia="zh-CN"/>
    </w:rPr>
  </w:style>
  <w:style w:type="character" w:customStyle="1" w:styleId="183">
    <w:name w:val="标准正文 Char Char Char"/>
    <w:uiPriority w:val="0"/>
    <w:rPr>
      <w:rFonts w:ascii="Verdana" w:hAnsi="Verdana" w:eastAsia="宋体" w:cs="Times New Roman"/>
      <w:kern w:val="2"/>
      <w:sz w:val="24"/>
      <w:szCs w:val="24"/>
      <w:lang w:bidi="ar-SA"/>
    </w:rPr>
  </w:style>
  <w:style w:type="character" w:customStyle="1" w:styleId="184">
    <w:name w:val="正文2 Char Char"/>
    <w:link w:val="185"/>
    <w:uiPriority w:val="0"/>
    <w:rPr>
      <w:rFonts w:eastAsia="宋体"/>
      <w:kern w:val="2"/>
      <w:sz w:val="24"/>
      <w:lang w:val="en-US" w:eastAsia="zh-CN" w:bidi="ar-SA"/>
    </w:rPr>
  </w:style>
  <w:style w:type="paragraph" w:customStyle="1" w:styleId="185">
    <w:name w:val="正文2"/>
    <w:basedOn w:val="1"/>
    <w:link w:val="184"/>
    <w:uiPriority w:val="0"/>
    <w:pPr>
      <w:spacing w:line="360" w:lineRule="auto"/>
      <w:ind w:firstLine="510" w:firstLineChars="200"/>
    </w:pPr>
    <w:rPr>
      <w:sz w:val="24"/>
      <w:szCs w:val="20"/>
    </w:rPr>
  </w:style>
  <w:style w:type="character" w:customStyle="1" w:styleId="186">
    <w:name w:val="subtitle1"/>
    <w:uiPriority w:val="0"/>
    <w:rPr>
      <w:rFonts w:hint="default" w:ascii="Georgia" w:hAnsi="Georgia" w:eastAsia="宋体" w:cs="Times New Roman"/>
      <w:b/>
      <w:bCs/>
      <w:color w:val="666666"/>
      <w:sz w:val="18"/>
      <w:szCs w:val="18"/>
    </w:rPr>
  </w:style>
  <w:style w:type="paragraph" w:styleId="187">
    <w:name w:val="List Paragraph"/>
    <w:basedOn w:val="1"/>
    <w:qFormat/>
    <w:uiPriority w:val="99"/>
    <w:pPr>
      <w:widowControl/>
      <w:ind w:firstLine="420" w:firstLineChars="200"/>
      <w:jc w:val="left"/>
    </w:pPr>
    <w:rPr>
      <w:rFonts w:ascii="宋体" w:hAnsi="宋体" w:cs="宋体"/>
      <w:kern w:val="0"/>
      <w:sz w:val="24"/>
    </w:rPr>
  </w:style>
  <w:style w:type="paragraph" w:customStyle="1" w:styleId="188">
    <w:name w:val="索引 11"/>
    <w:basedOn w:val="1"/>
    <w:next w:val="1"/>
    <w:qFormat/>
    <w:uiPriority w:val="0"/>
    <w:pPr>
      <w:spacing w:line="360" w:lineRule="auto"/>
    </w:pPr>
    <w:rPr>
      <w:rFonts w:hAnsi="Times New Roman" w:eastAsia="仿宋_GB2312" w:cs="Times New Roman"/>
      <w:color w:val="auto"/>
      <w:kern w:val="2"/>
      <w:sz w:val="24"/>
      <w:szCs w:val="20"/>
    </w:rPr>
  </w:style>
  <w:style w:type="paragraph" w:customStyle="1" w:styleId="189">
    <w:name w:val="样式 标题 8Legal Level 1.1.1.Level 1.1.1注意框体Legal Level 1.1.1.1..."/>
    <w:basedOn w:val="11"/>
    <w:uiPriority w:val="0"/>
    <w:pPr>
      <w:numPr>
        <w:ilvl w:val="0"/>
        <w:numId w:val="0"/>
      </w:numPr>
      <w:tabs>
        <w:tab w:val="left" w:pos="1418"/>
      </w:tabs>
      <w:jc w:val="left"/>
    </w:pPr>
    <w:rPr>
      <w:rFonts w:ascii="宋体" w:hAnsi="宋体"/>
    </w:rPr>
  </w:style>
  <w:style w:type="paragraph" w:customStyle="1" w:styleId="190">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91">
    <w:name w:val="Table Text Char"/>
    <w:next w:val="3"/>
    <w:uiPriority w:val="0"/>
    <w:pPr>
      <w:snapToGrid w:val="0"/>
      <w:spacing w:before="80" w:after="80" w:line="100" w:lineRule="exact"/>
      <w:jc w:val="center"/>
    </w:pPr>
    <w:rPr>
      <w:rFonts w:ascii="Arial" w:hAnsi="Arial" w:cs="Arial"/>
      <w:kern w:val="2"/>
      <w:sz w:val="18"/>
      <w:szCs w:val="21"/>
      <w:lang w:val="en-US" w:eastAsia="zh-CN" w:bidi="ar-SA"/>
    </w:rPr>
  </w:style>
  <w:style w:type="paragraph" w:customStyle="1" w:styleId="192">
    <w:name w:val="标书正文"/>
    <w:basedOn w:val="1"/>
    <w:uiPriority w:val="0"/>
    <w:pPr>
      <w:spacing w:line="360" w:lineRule="auto"/>
    </w:pPr>
    <w:rPr>
      <w:rFonts w:ascii="仿宋_GB2312" w:eastAsia="仿宋_GB2312"/>
      <w:sz w:val="24"/>
    </w:rPr>
  </w:style>
  <w:style w:type="paragraph" w:customStyle="1" w:styleId="193">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94">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195">
    <w:name w:val="普通文字"/>
    <w:basedOn w:val="1"/>
    <w:uiPriority w:val="0"/>
    <w:pPr>
      <w:widowControl/>
      <w:spacing w:line="351" w:lineRule="atLeast"/>
      <w:ind w:firstLine="419"/>
      <w:textAlignment w:val="baseline"/>
    </w:pPr>
    <w:rPr>
      <w:rFonts w:ascii="宋体"/>
      <w:color w:val="000000"/>
      <w:kern w:val="0"/>
      <w:szCs w:val="20"/>
      <w:u w:val="none" w:color="000000"/>
    </w:rPr>
  </w:style>
  <w:style w:type="paragraph" w:customStyle="1" w:styleId="196">
    <w:name w:val="TOC 标题1"/>
    <w:basedOn w:val="4"/>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197">
    <w:name w:val="xl64"/>
    <w:basedOn w:val="1"/>
    <w:uiPriority w:val="0"/>
    <w:pPr>
      <w:widowControl/>
      <w:spacing w:before="100" w:beforeAutospacing="1" w:after="100" w:afterAutospacing="1"/>
      <w:jc w:val="center"/>
    </w:pPr>
    <w:rPr>
      <w:rFonts w:ascii="宋体" w:hAnsi="宋体" w:cs="宋体"/>
      <w:kern w:val="0"/>
      <w:sz w:val="24"/>
    </w:rPr>
  </w:style>
  <w:style w:type="paragraph" w:customStyle="1" w:styleId="198">
    <w:name w:val="Pa3"/>
    <w:basedOn w:val="1"/>
    <w:next w:val="1"/>
    <w:uiPriority w:val="99"/>
    <w:pPr>
      <w:widowControl/>
      <w:autoSpaceDE w:val="0"/>
      <w:autoSpaceDN w:val="0"/>
      <w:adjustRightInd w:val="0"/>
      <w:spacing w:line="221" w:lineRule="atLeast"/>
      <w:jc w:val="left"/>
    </w:pPr>
    <w:rPr>
      <w:rFonts w:ascii="HP Simplified Hans Light" w:eastAsia="HP Simplified Hans Light"/>
      <w:kern w:val="0"/>
      <w:sz w:val="24"/>
    </w:rPr>
  </w:style>
  <w:style w:type="paragraph" w:customStyle="1" w:styleId="199">
    <w:name w:val="p0"/>
    <w:basedOn w:val="1"/>
    <w:uiPriority w:val="0"/>
    <w:pPr>
      <w:widowControl/>
    </w:pPr>
    <w:rPr>
      <w:kern w:val="0"/>
      <w:szCs w:val="21"/>
    </w:rPr>
  </w:style>
  <w:style w:type="paragraph" w:customStyle="1" w:styleId="200">
    <w:name w:val="标准书眉_奇数页"/>
    <w:next w:val="1"/>
    <w:uiPriority w:val="0"/>
    <w:pPr>
      <w:tabs>
        <w:tab w:val="center" w:pos="4154"/>
        <w:tab w:val="right" w:pos="8306"/>
      </w:tabs>
      <w:spacing w:after="120" w:line="100" w:lineRule="exact"/>
      <w:jc w:val="right"/>
    </w:pPr>
    <w:rPr>
      <w:sz w:val="21"/>
      <w:lang w:val="en-US" w:eastAsia="zh-CN" w:bidi="ar-SA"/>
    </w:rPr>
  </w:style>
  <w:style w:type="paragraph" w:customStyle="1" w:styleId="201">
    <w:name w:val="列出段落1"/>
    <w:basedOn w:val="1"/>
    <w:qFormat/>
    <w:uiPriority w:val="0"/>
    <w:pPr>
      <w:widowControl/>
      <w:ind w:firstLine="420" w:firstLineChars="200"/>
      <w:jc w:val="left"/>
    </w:pPr>
    <w:rPr>
      <w:rFonts w:ascii="宋体" w:hAnsi="宋体" w:cs="宋体"/>
      <w:kern w:val="0"/>
      <w:sz w:val="24"/>
    </w:rPr>
  </w:style>
  <w:style w:type="paragraph" w:customStyle="1" w:styleId="202">
    <w:name w:val="项目编号1"/>
    <w:basedOn w:val="1"/>
    <w:next w:val="1"/>
    <w:qFormat/>
    <w:uiPriority w:val="0"/>
    <w:pPr>
      <w:numPr>
        <w:ilvl w:val="0"/>
        <w:numId w:val="2"/>
      </w:numPr>
      <w:spacing w:line="360" w:lineRule="auto"/>
      <w:ind w:left="0" w:firstLine="200" w:firstLineChars="200"/>
      <w:jc w:val="left"/>
    </w:pPr>
    <w:rPr>
      <w:rFonts w:ascii="宋体"/>
      <w:sz w:val="24"/>
    </w:rPr>
  </w:style>
  <w:style w:type="paragraph" w:customStyle="1" w:styleId="203">
    <w:name w:val="列出段落12"/>
    <w:basedOn w:val="1"/>
    <w:qFormat/>
    <w:uiPriority w:val="34"/>
    <w:pPr>
      <w:widowControl/>
      <w:ind w:firstLine="420" w:firstLineChars="200"/>
      <w:jc w:val="left"/>
    </w:pPr>
    <w:rPr>
      <w:rFonts w:ascii="宋体" w:hAnsi="宋体" w:eastAsia="宋体" w:cs="宋体"/>
      <w:kern w:val="0"/>
      <w:sz w:val="24"/>
      <w:szCs w:val="24"/>
    </w:rPr>
  </w:style>
  <w:style w:type="paragraph" w:customStyle="1" w:styleId="204">
    <w:name w:val="样式 标题 6H6Legal Level 1.Level 1h6Third Subheading + 首行缩进:  2..."/>
    <w:basedOn w:val="9"/>
    <w:uiPriority w:val="0"/>
    <w:pPr>
      <w:tabs>
        <w:tab w:val="left" w:pos="1134"/>
        <w:tab w:val="left" w:pos="2336"/>
      </w:tabs>
      <w:spacing w:line="360" w:lineRule="auto"/>
      <w:ind w:left="1134" w:hanging="1134"/>
    </w:pPr>
    <w:rPr>
      <w:rFonts w:eastAsia="仿宋_GB2312" w:cs="宋体"/>
      <w:b w:val="0"/>
      <w:bCs w:val="0"/>
      <w:sz w:val="32"/>
      <w:szCs w:val="20"/>
    </w:rPr>
  </w:style>
  <w:style w:type="paragraph" w:customStyle="1" w:styleId="205">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06">
    <w:name w:val="纯文本1"/>
    <w:basedOn w:val="1"/>
    <w:uiPriority w:val="0"/>
    <w:rPr>
      <w:rFonts w:ascii="宋体" w:hAnsi="Courier New" w:eastAsia="宋体" w:cs="Times New Roman"/>
      <w:color w:val="auto"/>
      <w:kern w:val="2"/>
      <w:szCs w:val="22"/>
    </w:rPr>
  </w:style>
  <w:style w:type="paragraph" w:customStyle="1" w:styleId="207">
    <w:name w:val="正文 New"/>
    <w:next w:val="3"/>
    <w:uiPriority w:val="0"/>
    <w:pPr>
      <w:widowControl w:val="0"/>
      <w:spacing w:line="100" w:lineRule="exact"/>
      <w:jc w:val="both"/>
    </w:pPr>
    <w:rPr>
      <w:kern w:val="2"/>
      <w:sz w:val="21"/>
      <w:szCs w:val="24"/>
      <w:lang w:val="en-US" w:eastAsia="zh-CN" w:bidi="ar-SA"/>
    </w:rPr>
  </w:style>
  <w:style w:type="paragraph" w:customStyle="1" w:styleId="20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9">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0">
    <w:name w:val="xl6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1">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12">
    <w:name w:val="p17"/>
    <w:basedOn w:val="1"/>
    <w:uiPriority w:val="0"/>
    <w:pPr>
      <w:widowControl/>
    </w:pPr>
    <w:rPr>
      <w:rFonts w:ascii="宋体" w:hAnsi="宋体" w:cs="宋体"/>
      <w:kern w:val="0"/>
      <w:szCs w:val="21"/>
    </w:rPr>
  </w:style>
  <w:style w:type="paragraph" w:customStyle="1" w:styleId="213">
    <w:name w:val="正文 New New New New"/>
    <w:next w:val="3"/>
    <w:qFormat/>
    <w:uiPriority w:val="99"/>
    <w:pPr>
      <w:widowControl w:val="0"/>
      <w:spacing w:line="100" w:lineRule="exact"/>
      <w:jc w:val="both"/>
    </w:pPr>
    <w:rPr>
      <w:rFonts w:ascii="仿宋_GB2312" w:eastAsia="仿宋_GB2312"/>
      <w:kern w:val="2"/>
      <w:sz w:val="28"/>
      <w:szCs w:val="28"/>
      <w:lang w:val="en-US" w:eastAsia="zh-CN" w:bidi="ar-SA"/>
    </w:rPr>
  </w:style>
  <w:style w:type="paragraph" w:customStyle="1" w:styleId="214">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styleId="215">
    <w:name w:val=""/>
    <w:unhideWhenUsed/>
    <w:uiPriority w:val="0"/>
    <w:rPr>
      <w:kern w:val="2"/>
      <w:sz w:val="21"/>
      <w:szCs w:val="24"/>
      <w:lang w:val="en-US" w:eastAsia="zh-CN" w:bidi="ar-SA"/>
    </w:rPr>
  </w:style>
  <w:style w:type="paragraph" w:styleId="216">
    <w:name w:val=""/>
    <w:basedOn w:val="4"/>
    <w:next w:val="1"/>
    <w:qFormat/>
    <w:uiPriority w:val="39"/>
    <w:pPr>
      <w:keepLines/>
      <w:widowControl/>
      <w:spacing w:before="480" w:line="276" w:lineRule="auto"/>
      <w:jc w:val="left"/>
      <w:outlineLvl w:val="9"/>
    </w:pPr>
    <w:rPr>
      <w:rFonts w:ascii="Cambria" w:hAnsi="Cambria" w:eastAsia="宋体" w:cs="Times New Roman"/>
      <w:color w:val="365F91"/>
      <w:kern w:val="0"/>
      <w:sz w:val="28"/>
      <w:szCs w:val="28"/>
    </w:rPr>
  </w:style>
  <w:style w:type="paragraph" w:customStyle="1" w:styleId="217">
    <w:name w:val="xl6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8">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219">
    <w:name w:val="List Paragraph"/>
    <w:basedOn w:val="1"/>
    <w:uiPriority w:val="0"/>
    <w:pPr>
      <w:ind w:firstLine="420" w:firstLineChars="200"/>
    </w:pPr>
    <w:rPr>
      <w:rFonts w:ascii="Calibri" w:hAnsi="Calibri" w:cs="Calibri"/>
      <w:szCs w:val="21"/>
    </w:rPr>
  </w:style>
  <w:style w:type="paragraph" w:customStyle="1" w:styleId="220">
    <w:name w:val="p18"/>
    <w:basedOn w:val="1"/>
    <w:qFormat/>
    <w:uiPriority w:val="99"/>
    <w:pPr>
      <w:widowControl/>
      <w:spacing w:line="748" w:lineRule="atLeast"/>
      <w:ind w:left="-527" w:firstLine="527"/>
    </w:pPr>
    <w:rPr>
      <w:rFonts w:ascii="宋体" w:hAnsi="宋体" w:cs="宋体"/>
      <w:kern w:val="0"/>
      <w:sz w:val="24"/>
    </w:rPr>
  </w:style>
  <w:style w:type="paragraph" w:customStyle="1" w:styleId="221">
    <w:name w:val="[Normal]"/>
    <w:qFormat/>
    <w:uiPriority w:val="0"/>
    <w:rPr>
      <w:rFonts w:ascii="宋体" w:hAnsi="宋体"/>
      <w:sz w:val="24"/>
      <w:szCs w:val="22"/>
      <w:lang w:val="zh-CN" w:eastAsia="zh-CN" w:bidi="ar-SA"/>
    </w:rPr>
  </w:style>
  <w:style w:type="paragraph" w:customStyle="1" w:styleId="222">
    <w:name w:val="正文_17"/>
    <w:qFormat/>
    <w:uiPriority w:val="0"/>
    <w:pPr>
      <w:widowControl w:val="0"/>
      <w:jc w:val="both"/>
    </w:pPr>
    <w:rPr>
      <w:kern w:val="2"/>
      <w:sz w:val="21"/>
      <w:szCs w:val="24"/>
      <w:lang w:val="en-US" w:eastAsia="zh-CN" w:bidi="ar-SA"/>
    </w:rPr>
  </w:style>
  <w:style w:type="paragraph" w:customStyle="1" w:styleId="223">
    <w:name w:val="xl75"/>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4">
    <w:name w:val="彩色底纹 - 强调文字颜色 11"/>
    <w:unhideWhenUsed/>
    <w:uiPriority w:val="0"/>
    <w:rPr>
      <w:kern w:val="2"/>
      <w:sz w:val="21"/>
      <w:szCs w:val="24"/>
      <w:lang w:val="en-US" w:eastAsia="zh-CN" w:bidi="ar-SA"/>
    </w:rPr>
  </w:style>
  <w:style w:type="paragraph" w:customStyle="1" w:styleId="225">
    <w:name w:val="段"/>
    <w:next w:val="3"/>
    <w:uiPriority w:val="0"/>
    <w:pPr>
      <w:autoSpaceDE w:val="0"/>
      <w:autoSpaceDN w:val="0"/>
      <w:spacing w:line="100" w:lineRule="exact"/>
      <w:ind w:firstLine="200" w:firstLineChars="200"/>
      <w:jc w:val="both"/>
    </w:pPr>
    <w:rPr>
      <w:rFonts w:ascii="宋体"/>
      <w:sz w:val="21"/>
      <w:lang w:val="en-US" w:eastAsia="zh-CN" w:bidi="ar-SA"/>
    </w:rPr>
  </w:style>
  <w:style w:type="paragraph" w:customStyle="1" w:styleId="226">
    <w:name w:val="样式 首行缩进:  0 字符"/>
    <w:basedOn w:val="1"/>
    <w:uiPriority w:val="0"/>
    <w:pPr>
      <w:spacing w:line="360" w:lineRule="auto"/>
      <w:ind w:firstLine="200" w:firstLineChars="200"/>
    </w:pPr>
    <w:rPr>
      <w:rFonts w:ascii="仿宋" w:hAnsi="仿宋" w:eastAsia="仿宋" w:cs="宋体"/>
      <w:sz w:val="28"/>
      <w:szCs w:val="20"/>
    </w:rPr>
  </w:style>
  <w:style w:type="paragraph" w:customStyle="1" w:styleId="227">
    <w:name w:val="9"/>
    <w:next w:val="3"/>
    <w:uiPriority w:val="0"/>
    <w:pPr>
      <w:widowControl w:val="0"/>
      <w:autoSpaceDE w:val="0"/>
      <w:autoSpaceDN w:val="0"/>
      <w:adjustRightInd w:val="0"/>
      <w:spacing w:line="100" w:lineRule="exact"/>
      <w:jc w:val="both"/>
    </w:pPr>
    <w:rPr>
      <w:rFonts w:ascii="宋体"/>
      <w:b/>
      <w:bCs/>
      <w:color w:val="000000"/>
      <w:spacing w:val="15"/>
      <w:sz w:val="18"/>
      <w:szCs w:val="18"/>
      <w:lang w:val="en-US" w:eastAsia="zh-CN" w:bidi="ar-SA"/>
    </w:rPr>
  </w:style>
  <w:style w:type="paragraph" w:customStyle="1" w:styleId="228">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29">
    <w:name w:val="xl7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30">
    <w:name w:val="正文表标题"/>
    <w:next w:val="225"/>
    <w:uiPriority w:val="0"/>
    <w:pPr>
      <w:numPr>
        <w:ilvl w:val="0"/>
        <w:numId w:val="3"/>
      </w:numPr>
      <w:spacing w:line="100" w:lineRule="exact"/>
      <w:jc w:val="center"/>
    </w:pPr>
    <w:rPr>
      <w:rFonts w:ascii="黑体" w:eastAsia="黑体"/>
      <w:sz w:val="21"/>
      <w:lang w:val="en-US" w:eastAsia="zh-CN" w:bidi="ar-SA"/>
    </w:rPr>
  </w:style>
  <w:style w:type="paragraph" w:customStyle="1" w:styleId="231">
    <w:name w:val="表格文字"/>
    <w:basedOn w:val="1"/>
    <w:next w:val="20"/>
    <w:qFormat/>
    <w:uiPriority w:val="0"/>
    <w:pPr>
      <w:adjustRightInd w:val="0"/>
      <w:spacing w:line="420" w:lineRule="atLeast"/>
      <w:jc w:val="left"/>
      <w:textAlignment w:val="baseline"/>
    </w:pPr>
    <w:rPr>
      <w:kern w:val="0"/>
      <w:szCs w:val="20"/>
    </w:rPr>
  </w:style>
  <w:style w:type="paragraph" w:customStyle="1" w:styleId="232">
    <w:name w:val="Normal New"/>
    <w:next w:val="3"/>
    <w:uiPriority w:val="0"/>
    <w:pPr>
      <w:spacing w:line="100" w:lineRule="exact"/>
      <w:jc w:val="both"/>
    </w:pPr>
    <w:rPr>
      <w:kern w:val="2"/>
      <w:sz w:val="21"/>
      <w:lang w:val="en-US" w:eastAsia="zh-CN" w:bidi="ar-SA"/>
    </w:rPr>
  </w:style>
  <w:style w:type="paragraph" w:customStyle="1" w:styleId="233">
    <w:name w:val="内文正文"/>
    <w:next w:val="3"/>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234">
    <w:name w:val="正文缩进1"/>
    <w:basedOn w:val="1"/>
    <w:uiPriority w:val="0"/>
    <w:pPr>
      <w:autoSpaceDE w:val="0"/>
      <w:autoSpaceDN w:val="0"/>
      <w:adjustRightInd w:val="0"/>
      <w:ind w:firstLine="420"/>
      <w:jc w:val="left"/>
    </w:pPr>
    <w:rPr>
      <w:rFonts w:ascii="宋体" w:hAnsi="Times New Roman" w:eastAsia="等线" w:cs="Times New Roman"/>
      <w:color w:val="auto"/>
      <w:sz w:val="24"/>
      <w:szCs w:val="20"/>
    </w:rPr>
  </w:style>
  <w:style w:type="paragraph" w:customStyle="1" w:styleId="235">
    <w:name w:val="彩色列表 - 强调文字颜色 11"/>
    <w:basedOn w:val="1"/>
    <w:qFormat/>
    <w:uiPriority w:val="0"/>
    <w:pPr>
      <w:widowControl/>
      <w:ind w:firstLine="420" w:firstLineChars="200"/>
      <w:jc w:val="left"/>
    </w:pPr>
    <w:rPr>
      <w:rFonts w:ascii="宋体" w:hAnsi="宋体" w:cs="宋体"/>
      <w:kern w:val="0"/>
      <w:sz w:val="24"/>
    </w:rPr>
  </w:style>
  <w:style w:type="paragraph" w:customStyle="1" w:styleId="236">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Char"/>
    <w:basedOn w:val="1"/>
    <w:uiPriority w:val="0"/>
    <w:rPr>
      <w:rFonts w:ascii="仿宋_GB2312" w:eastAsia="仿宋_GB2312"/>
      <w:b/>
      <w:sz w:val="32"/>
      <w:szCs w:val="32"/>
    </w:rPr>
  </w:style>
  <w:style w:type="paragraph" w:customStyle="1" w:styleId="238">
    <w:name w:val="正文 New New New New New"/>
    <w:next w:val="3"/>
    <w:uiPriority w:val="0"/>
    <w:pPr>
      <w:widowControl w:val="0"/>
      <w:spacing w:line="100" w:lineRule="exact"/>
      <w:jc w:val="both"/>
    </w:pPr>
    <w:rPr>
      <w:rFonts w:ascii="仿宋_GB2312" w:eastAsia="仿宋_GB2312"/>
      <w:kern w:val="2"/>
      <w:sz w:val="28"/>
      <w:szCs w:val="28"/>
      <w:lang w:val="en-US" w:eastAsia="zh-CN" w:bidi="ar-SA"/>
    </w:rPr>
  </w:style>
  <w:style w:type="paragraph" w:customStyle="1" w:styleId="239">
    <w:name w:val="Table Text"/>
    <w:next w:val="3"/>
    <w:uiPriority w:val="0"/>
    <w:pPr>
      <w:snapToGrid w:val="0"/>
      <w:spacing w:before="80" w:after="80" w:line="100" w:lineRule="exact"/>
      <w:jc w:val="center"/>
    </w:pPr>
    <w:rPr>
      <w:rFonts w:ascii="Arial" w:hAnsi="Arial" w:cs="Arial"/>
      <w:kern w:val="2"/>
      <w:sz w:val="18"/>
      <w:szCs w:val="18"/>
      <w:lang w:val="en-US" w:eastAsia="zh-CN" w:bidi="ar-SA"/>
    </w:rPr>
  </w:style>
  <w:style w:type="paragraph" w:customStyle="1" w:styleId="240">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章标题"/>
    <w:next w:val="225"/>
    <w:uiPriority w:val="0"/>
    <w:pPr>
      <w:numPr>
        <w:ilvl w:val="1"/>
        <w:numId w:val="4"/>
      </w:numPr>
      <w:spacing w:before="156" w:beforeLines="50" w:after="156" w:afterLines="50" w:line="100" w:lineRule="exact"/>
      <w:jc w:val="both"/>
      <w:outlineLvl w:val="1"/>
    </w:pPr>
    <w:rPr>
      <w:rFonts w:ascii="黑体" w:eastAsia="黑体"/>
      <w:sz w:val="21"/>
      <w:lang w:val="en-US" w:eastAsia="zh-CN" w:bidi="ar-SA"/>
    </w:rPr>
  </w:style>
  <w:style w:type="paragraph" w:customStyle="1" w:styleId="242">
    <w:name w:val="前言、引言标题"/>
    <w:next w:val="1"/>
    <w:uiPriority w:val="0"/>
    <w:pPr>
      <w:numPr>
        <w:ilvl w:val="0"/>
        <w:numId w:val="4"/>
      </w:numPr>
      <w:shd w:val="clear" w:color="auto" w:fill="FFFFFF"/>
      <w:spacing w:before="640" w:after="560" w:line="100" w:lineRule="exact"/>
      <w:jc w:val="center"/>
      <w:outlineLvl w:val="0"/>
    </w:pPr>
    <w:rPr>
      <w:rFonts w:ascii="黑体" w:eastAsia="黑体"/>
      <w:sz w:val="32"/>
      <w:lang w:val="en-US" w:eastAsia="zh-CN" w:bidi="ar-SA"/>
    </w:rPr>
  </w:style>
  <w:style w:type="paragraph" w:customStyle="1" w:styleId="243">
    <w:name w:val="aspnumfaautoadjustrightr"/>
    <w:next w:val="3"/>
    <w:uiPriority w:val="0"/>
    <w:pPr>
      <w:widowControl w:val="0"/>
      <w:autoSpaceDE w:val="0"/>
      <w:autoSpaceDN w:val="0"/>
      <w:adjustRightInd w:val="0"/>
      <w:spacing w:line="100" w:lineRule="exact"/>
      <w:ind w:firstLine="720"/>
      <w:jc w:val="both"/>
    </w:pPr>
    <w:rPr>
      <w:lang w:val="en-US" w:eastAsia="zh-CN" w:bidi="ar-SA"/>
    </w:rPr>
  </w:style>
  <w:style w:type="paragraph" w:customStyle="1" w:styleId="244">
    <w:name w:val="正文文字缩进"/>
    <w:basedOn w:val="1"/>
    <w:uiPriority w:val="0"/>
    <w:pPr>
      <w:widowControl/>
      <w:spacing w:line="748" w:lineRule="atLeast"/>
      <w:ind w:left="-521" w:firstLine="527"/>
      <w:textAlignment w:val="baseline"/>
    </w:pPr>
    <w:rPr>
      <w:rFonts w:ascii="宋体"/>
      <w:color w:val="000000"/>
      <w:kern w:val="0"/>
      <w:sz w:val="24"/>
      <w:szCs w:val="20"/>
      <w:u w:val="none" w:color="000000"/>
    </w:rPr>
  </w:style>
  <w:style w:type="paragraph" w:customStyle="1" w:styleId="245">
    <w:name w:val="正文文字"/>
    <w:basedOn w:val="1"/>
    <w:uiPriority w:val="0"/>
    <w:pPr>
      <w:spacing w:line="351" w:lineRule="atLeast"/>
      <w:ind w:firstLine="419"/>
    </w:pPr>
  </w:style>
  <w:style w:type="paragraph" w:customStyle="1" w:styleId="246">
    <w:name w:val="xl7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247">
    <w:name w:val="GP正文(无首行缩进)"/>
    <w:qFormat/>
    <w:uiPriority w:val="0"/>
    <w:pPr>
      <w:widowControl w:val="0"/>
      <w:spacing w:line="360" w:lineRule="auto"/>
    </w:pPr>
    <w:rPr>
      <w:kern w:val="2"/>
      <w:sz w:val="24"/>
      <w:szCs w:val="21"/>
      <w:lang w:val="en-US" w:eastAsia="zh-CN" w:bidi="ar-SA"/>
    </w:rPr>
  </w:style>
  <w:style w:type="paragraph" w:customStyle="1" w:styleId="248">
    <w:name w:val="af17cgridlangnp1033langf"/>
    <w:next w:val="3"/>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49">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0">
    <w:name w:val="题目"/>
    <w:basedOn w:val="1"/>
    <w:next w:val="18"/>
    <w:uiPriority w:val="0"/>
    <w:pPr>
      <w:adjustRightInd w:val="0"/>
      <w:snapToGrid w:val="0"/>
      <w:spacing w:line="360" w:lineRule="auto"/>
      <w:jc w:val="center"/>
    </w:pPr>
    <w:rPr>
      <w:rFonts w:ascii="宋体"/>
      <w:snapToGrid w:val="0"/>
      <w:kern w:val="0"/>
      <w:sz w:val="44"/>
      <w:szCs w:val="20"/>
    </w:rPr>
  </w:style>
  <w:style w:type="paragraph" w:customStyle="1" w:styleId="251">
    <w:name w:val="正文 New New New New New New New"/>
    <w:next w:val="3"/>
    <w:uiPriority w:val="0"/>
    <w:pPr>
      <w:widowControl w:val="0"/>
      <w:spacing w:line="100" w:lineRule="exact"/>
      <w:jc w:val="both"/>
    </w:pPr>
    <w:rPr>
      <w:kern w:val="2"/>
      <w:sz w:val="21"/>
      <w:szCs w:val="24"/>
      <w:lang w:val="en-US" w:eastAsia="zh-CN" w:bidi="ar-SA"/>
    </w:rPr>
  </w:style>
  <w:style w:type="paragraph" w:customStyle="1" w:styleId="252">
    <w:name w:val="正文1"/>
    <w:qFormat/>
    <w:uiPriority w:val="0"/>
    <w:pPr>
      <w:framePr w:wrap="around" w:vAnchor="margin" w:hAnchor="text" w:y="1"/>
    </w:pPr>
    <w:rPr>
      <w:rFonts w:ascii="Arial Unicode MS" w:hAnsi="Arial Unicode MS" w:eastAsia="Times New Roman" w:cs="Arial Unicode MS"/>
      <w:color w:val="000000"/>
      <w:sz w:val="22"/>
      <w:szCs w:val="22"/>
      <w:lang w:val="zh-TW" w:eastAsia="zh-TW" w:bidi="ar-SA"/>
    </w:rPr>
  </w:style>
  <w:style w:type="paragraph" w:customStyle="1" w:styleId="25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54">
    <w:name w:val="NormalCharacter"/>
    <w:qFormat/>
    <w:uiPriority w:val="0"/>
    <w:rPr>
      <w:rFonts w:ascii="Times New Roman" w:hAnsi="Times New Roman" w:eastAsia="宋体"/>
      <w:lang w:val="en-US" w:eastAsia="zh-CN" w:bidi="ar-SA"/>
    </w:rPr>
  </w:style>
  <w:style w:type="character" w:customStyle="1" w:styleId="255">
    <w:name w:val="apple-style-span"/>
    <w:basedOn w:val="51"/>
    <w:qFormat/>
    <w:uiPriority w:val="0"/>
  </w:style>
  <w:style w:type="paragraph" w:customStyle="1" w:styleId="256">
    <w:name w:val="è±?"/>
    <w:basedOn w:val="1"/>
    <w:uiPriority w:val="0"/>
    <w:pPr>
      <w:widowControl/>
      <w:overflowPunct w:val="0"/>
      <w:autoSpaceDE w:val="0"/>
      <w:autoSpaceDN w:val="0"/>
      <w:adjustRightInd w:val="0"/>
      <w:jc w:val="left"/>
    </w:pPr>
    <w:rPr>
      <w:kern w:val="0"/>
      <w:sz w:val="24"/>
      <w:szCs w:val="20"/>
    </w:rPr>
  </w:style>
  <w:style w:type="paragraph" w:customStyle="1" w:styleId="257">
    <w:name w:val="??¡§???¡§????¨¬?¡§¡§??¡§?o??????¨¬?¡§¡§?"/>
    <w:basedOn w:val="1"/>
    <w:qFormat/>
    <w:uiPriority w:val="0"/>
    <w:pPr>
      <w:widowControl/>
      <w:overflowPunct w:val="0"/>
      <w:autoSpaceDE w:val="0"/>
      <w:autoSpaceDN w:val="0"/>
      <w:adjustRightInd w:val="0"/>
      <w:jc w:val="left"/>
    </w:pPr>
    <w:rPr>
      <w:kern w:val="0"/>
      <w:sz w:val="24"/>
      <w:szCs w:val="20"/>
    </w:rPr>
  </w:style>
  <w:style w:type="paragraph" w:customStyle="1" w:styleId="258">
    <w:name w:val="列出段落3"/>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35198</Words>
  <Characters>37728</Characters>
  <Lines>212</Lines>
  <Paragraphs>59</Paragraphs>
  <TotalTime>3</TotalTime>
  <ScaleCrop>false</ScaleCrop>
  <LinksUpToDate>false</LinksUpToDate>
  <CharactersWithSpaces>40128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2018-06-30T13:39:00Z</dcterms:created>
  <dc:creator>Sky123.Org</dc:creator>
  <cp:lastModifiedBy>WPS_1701756769</cp:lastModifiedBy>
  <cp:lastPrinted>2022-06-21T01:38:49Z</cp:lastPrinted>
  <dcterms:modified xsi:type="dcterms:W3CDTF">2024-02-22T10:29:03Z</dcterms:modified>
  <cp:revision>30</cp:revision>
  <dc:title>开化县社会治安智能防控（天网工程）项目采购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138F663DF834492A97B3B961D43A1EA3_13</vt:lpwstr>
  </property>
</Properties>
</file>