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jc w:val="center"/>
        <w:rPr>
          <w:rFonts w:ascii="宋体" w:hAnsi="宋体" w:eastAsia="宋体" w:cs="宋体"/>
          <w:b/>
          <w:sz w:val="44"/>
          <w:szCs w:val="44"/>
        </w:rPr>
      </w:pPr>
    </w:p>
    <w:p>
      <w:pPr>
        <w:adjustRightInd w:val="0"/>
        <w:spacing w:line="720" w:lineRule="auto"/>
        <w:jc w:val="center"/>
        <w:rPr>
          <w:rFonts w:ascii="宋体" w:hAnsi="宋体" w:eastAsia="宋体" w:cs="宋体"/>
          <w:b/>
          <w:sz w:val="44"/>
          <w:szCs w:val="44"/>
        </w:rPr>
      </w:pPr>
      <w:r>
        <w:rPr>
          <w:rFonts w:hint="eastAsia" w:ascii="宋体" w:hAnsi="宋体" w:eastAsia="宋体" w:cs="宋体"/>
          <w:b/>
          <w:sz w:val="44"/>
          <w:szCs w:val="44"/>
        </w:rPr>
        <w:t xml:space="preserve"> </w:t>
      </w:r>
    </w:p>
    <w:p>
      <w:pPr>
        <w:spacing w:line="720" w:lineRule="auto"/>
        <w:jc w:val="center"/>
        <w:rPr>
          <w:rFonts w:ascii="宋体" w:hAnsi="宋体" w:eastAsia="宋体" w:cs="宋体"/>
          <w:b/>
          <w:sz w:val="48"/>
          <w:szCs w:val="48"/>
        </w:rPr>
      </w:pPr>
    </w:p>
    <w:p>
      <w:pPr>
        <w:spacing w:line="720" w:lineRule="auto"/>
        <w:jc w:val="center"/>
        <w:rPr>
          <w:rFonts w:ascii="宋体" w:hAnsi="宋体" w:eastAsia="宋体" w:cs="宋体"/>
          <w:sz w:val="44"/>
          <w:szCs w:val="44"/>
        </w:rPr>
      </w:pPr>
      <w:r>
        <w:rPr>
          <w:rFonts w:hint="eastAsia" w:ascii="宋体" w:hAnsi="宋体" w:eastAsia="宋体" w:cs="宋体"/>
          <w:sz w:val="44"/>
          <w:szCs w:val="44"/>
        </w:rPr>
        <w:t>杭州市富阳区财政局2022-2024年概、预算审核咨询服务框架协议单位采购项目</w:t>
      </w:r>
    </w:p>
    <w:p>
      <w:pPr>
        <w:spacing w:line="720" w:lineRule="auto"/>
        <w:jc w:val="center"/>
        <w:rPr>
          <w:rFonts w:ascii="宋体" w:hAnsi="宋体" w:eastAsia="宋体" w:cs="宋体"/>
          <w:sz w:val="48"/>
          <w:szCs w:val="48"/>
        </w:rPr>
      </w:pPr>
      <w:r>
        <w:rPr>
          <w:rFonts w:hint="eastAsia" w:ascii="宋体" w:hAnsi="宋体" w:eastAsia="宋体" w:cs="宋体"/>
          <w:sz w:val="48"/>
          <w:szCs w:val="48"/>
        </w:rPr>
        <w:t>征集文件</w:t>
      </w:r>
    </w:p>
    <w:p>
      <w:pPr>
        <w:spacing w:line="720" w:lineRule="auto"/>
        <w:jc w:val="center"/>
        <w:rPr>
          <w:rFonts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720" w:lineRule="auto"/>
        <w:jc w:val="center"/>
        <w:rPr>
          <w:rFonts w:hint="default" w:ascii="宋体" w:hAnsi="宋体" w:eastAsia="宋体" w:cs="宋体"/>
          <w:sz w:val="30"/>
          <w:szCs w:val="30"/>
          <w:lang w:val="en-US" w:eastAsia="zh-CN"/>
        </w:rPr>
      </w:pPr>
      <w:r>
        <w:rPr>
          <w:rFonts w:hint="eastAsia" w:ascii="宋体" w:hAnsi="宋体" w:eastAsia="宋体" w:cs="宋体"/>
          <w:sz w:val="30"/>
          <w:szCs w:val="30"/>
        </w:rPr>
        <w:t>编号:</w:t>
      </w:r>
      <w:r>
        <w:rPr>
          <w:rFonts w:hint="eastAsia" w:ascii="宋体" w:hAnsi="宋体" w:eastAsia="宋体" w:cs="宋体"/>
          <w:sz w:val="30"/>
          <w:szCs w:val="30"/>
          <w:lang w:val="en-US" w:eastAsia="zh-CN"/>
        </w:rPr>
        <w:t>ZJPL-GKZB-20220823</w:t>
      </w:r>
    </w:p>
    <w:p>
      <w:pPr>
        <w:spacing w:line="360" w:lineRule="auto"/>
        <w:rPr>
          <w:rFonts w:ascii="宋体" w:hAnsi="宋体" w:eastAsia="宋体" w:cs="宋体"/>
          <w:sz w:val="28"/>
          <w:szCs w:val="20"/>
        </w:rPr>
      </w:pPr>
    </w:p>
    <w:p>
      <w:pPr>
        <w:spacing w:line="360" w:lineRule="auto"/>
        <w:rPr>
          <w:rFonts w:ascii="宋体" w:hAnsi="宋体" w:eastAsia="宋体" w:cs="宋体"/>
          <w:sz w:val="28"/>
          <w:szCs w:val="20"/>
        </w:rPr>
      </w:pP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 xml:space="preserve"> </w:t>
      </w: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 xml:space="preserve"> </w:t>
      </w:r>
    </w:p>
    <w:p>
      <w:pPr>
        <w:adjustRightInd w:val="0"/>
        <w:spacing w:line="360" w:lineRule="auto"/>
        <w:jc w:val="center"/>
        <w:rPr>
          <w:rFonts w:ascii="宋体" w:hAnsi="宋体" w:eastAsia="宋体" w:cs="宋体"/>
          <w:sz w:val="24"/>
          <w:szCs w:val="24"/>
        </w:rPr>
      </w:pPr>
    </w:p>
    <w:p>
      <w:pPr>
        <w:adjustRightInd w:val="0"/>
        <w:spacing w:line="360" w:lineRule="auto"/>
        <w:rPr>
          <w:rFonts w:ascii="宋体" w:hAnsi="宋体" w:eastAsia="宋体" w:cs="宋体"/>
          <w:sz w:val="32"/>
          <w:szCs w:val="32"/>
        </w:rPr>
      </w:pPr>
      <w:r>
        <w:rPr>
          <w:rFonts w:hint="eastAsia" w:ascii="宋体" w:hAnsi="宋体" w:eastAsia="宋体" w:cs="宋体"/>
          <w:sz w:val="24"/>
          <w:szCs w:val="24"/>
        </w:rPr>
        <w:t xml:space="preserve">           </w:t>
      </w:r>
    </w:p>
    <w:p>
      <w:pPr>
        <w:adjustRightInd w:val="0"/>
        <w:spacing w:line="360" w:lineRule="auto"/>
        <w:jc w:val="center"/>
        <w:rPr>
          <w:rFonts w:ascii="宋体" w:hAnsi="宋体" w:eastAsia="宋体" w:cs="宋体"/>
          <w:bCs/>
          <w:sz w:val="32"/>
          <w:szCs w:val="32"/>
        </w:rPr>
      </w:pPr>
      <w:r>
        <w:rPr>
          <w:rFonts w:hint="eastAsia" w:ascii="宋体" w:hAnsi="宋体" w:eastAsia="宋体" w:cs="宋体"/>
          <w:bCs/>
          <w:sz w:val="32"/>
          <w:szCs w:val="32"/>
        </w:rPr>
        <w:t>杭州市富阳区财政局</w:t>
      </w:r>
    </w:p>
    <w:p>
      <w:pPr>
        <w:adjustRightInd w:val="0"/>
        <w:snapToGrid w:val="0"/>
        <w:spacing w:line="360" w:lineRule="auto"/>
        <w:jc w:val="center"/>
        <w:rPr>
          <w:rFonts w:ascii="宋体" w:hAnsi="宋体" w:eastAsia="宋体" w:cs="宋体"/>
          <w:bCs/>
          <w:sz w:val="32"/>
          <w:szCs w:val="32"/>
        </w:rPr>
      </w:pPr>
      <w:r>
        <w:rPr>
          <w:rFonts w:hint="eastAsia" w:ascii="宋体" w:hAnsi="宋体" w:eastAsia="宋体" w:cs="宋体"/>
          <w:bCs/>
          <w:sz w:val="32"/>
          <w:szCs w:val="32"/>
        </w:rPr>
        <w:t>浙江蟠龙工程审计咨询有限公司</w:t>
      </w:r>
    </w:p>
    <w:p>
      <w:pPr>
        <w:adjustRightInd w:val="0"/>
        <w:snapToGrid w:val="0"/>
        <w:spacing w:line="360" w:lineRule="auto"/>
        <w:jc w:val="center"/>
        <w:rPr>
          <w:rFonts w:ascii="宋体" w:hAnsi="宋体" w:eastAsia="宋体" w:cs="宋体"/>
          <w:bCs/>
          <w:sz w:val="32"/>
          <w:szCs w:val="32"/>
        </w:rPr>
      </w:pPr>
      <w:r>
        <w:rPr>
          <w:rFonts w:hint="eastAsia" w:ascii="宋体" w:hAnsi="宋体" w:eastAsia="宋体" w:cs="宋体"/>
          <w:bCs/>
          <w:sz w:val="32"/>
          <w:szCs w:val="32"/>
        </w:rPr>
        <w:t>二〇二二年八月</w:t>
      </w:r>
    </w:p>
    <w:p>
      <w:pPr>
        <w:rPr>
          <w:rFonts w:ascii="宋体" w:hAnsi="宋体" w:eastAsia="宋体" w:cs="宋体"/>
        </w:rPr>
      </w:pPr>
    </w:p>
    <w:p>
      <w:pPr>
        <w:adjustRightInd w:val="0"/>
        <w:spacing w:line="360" w:lineRule="auto"/>
        <w:jc w:val="center"/>
        <w:rPr>
          <w:rFonts w:ascii="宋体" w:hAnsi="宋体" w:eastAsia="宋体" w:cs="宋体"/>
          <w:b/>
          <w:sz w:val="48"/>
          <w:szCs w:val="48"/>
        </w:rPr>
      </w:pPr>
      <w:r>
        <w:rPr>
          <w:rFonts w:hint="eastAsia" w:ascii="宋体" w:hAnsi="宋体" w:eastAsia="宋体" w:cs="宋体"/>
          <w:b/>
          <w:sz w:val="48"/>
          <w:szCs w:val="48"/>
        </w:rPr>
        <w:t>目  录</w:t>
      </w:r>
    </w:p>
    <w:p>
      <w:pPr>
        <w:adjustRightInd w:val="0"/>
        <w:spacing w:line="360" w:lineRule="auto"/>
        <w:rPr>
          <w:rFonts w:ascii="宋体" w:hAnsi="宋体" w:eastAsia="宋体" w:cs="宋体"/>
          <w:sz w:val="32"/>
          <w:szCs w:val="32"/>
        </w:rPr>
      </w:pPr>
    </w:p>
    <w:p>
      <w:pPr>
        <w:adjustRightInd w:val="0"/>
        <w:spacing w:line="360" w:lineRule="auto"/>
        <w:rPr>
          <w:rFonts w:ascii="宋体" w:hAnsi="宋体" w:eastAsia="宋体" w:cs="宋体"/>
          <w:sz w:val="32"/>
          <w:szCs w:val="32"/>
        </w:rPr>
      </w:pP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第一部分      征集公告</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eastAsia="宋体" w:cs="宋体"/>
          <w:sz w:val="32"/>
          <w:szCs w:val="32"/>
          <w:lang w:eastAsia="zh-CN"/>
        </w:rPr>
        <w:t>投标人</w:t>
      </w:r>
      <w:r>
        <w:rPr>
          <w:rFonts w:hint="eastAsia" w:ascii="宋体" w:hAnsi="宋体" w:eastAsia="宋体" w:cs="宋体"/>
          <w:sz w:val="32"/>
          <w:szCs w:val="32"/>
        </w:rPr>
        <w:t>须知</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第三部分      采购需求</w:t>
      </w:r>
    </w:p>
    <w:p>
      <w:pPr>
        <w:adjustRightInd w:val="0"/>
        <w:spacing w:line="360" w:lineRule="auto"/>
        <w:ind w:firstLine="1280" w:firstLineChars="400"/>
        <w:rPr>
          <w:rFonts w:hint="eastAsia" w:ascii="宋体" w:hAnsi="宋体" w:eastAsia="宋体" w:cs="宋体"/>
          <w:sz w:val="32"/>
          <w:szCs w:val="32"/>
          <w:lang w:eastAsia="zh-CN"/>
        </w:rPr>
      </w:pPr>
      <w:r>
        <w:rPr>
          <w:rFonts w:hint="eastAsia" w:ascii="宋体" w:hAnsi="宋体" w:eastAsia="宋体" w:cs="宋体"/>
          <w:sz w:val="32"/>
          <w:szCs w:val="32"/>
        </w:rPr>
        <w:t>第四部分      评标办法</w:t>
      </w:r>
      <w:r>
        <w:rPr>
          <w:rFonts w:hint="eastAsia" w:ascii="宋体" w:hAnsi="宋体" w:eastAsia="宋体" w:cs="宋体"/>
          <w:sz w:val="32"/>
          <w:szCs w:val="32"/>
          <w:lang w:eastAsia="zh-CN"/>
        </w:rPr>
        <w:t>及评分标准</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第五部分      拟签订的合同文本</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第六部分      应提交的有关格式范例</w:t>
      </w:r>
    </w:p>
    <w:p>
      <w:pPr>
        <w:pStyle w:val="2"/>
        <w:numPr>
          <w:ilvl w:val="0"/>
          <w:numId w:val="0"/>
        </w:numPr>
        <w:rPr>
          <w:rFonts w:ascii="宋体" w:hAnsi="宋体" w:eastAsia="宋体" w:cs="宋体"/>
        </w:rPr>
      </w:pPr>
    </w:p>
    <w:p>
      <w:pPr>
        <w:rPr>
          <w:rFonts w:ascii="宋体" w:hAnsi="宋体" w:eastAsia="宋体" w:cs="宋体"/>
        </w:rPr>
      </w:pPr>
    </w:p>
    <w:p>
      <w:pPr>
        <w:pStyle w:val="2"/>
        <w:numPr>
          <w:ilvl w:val="0"/>
          <w:numId w:val="0"/>
        </w:numPr>
        <w:rPr>
          <w:rFonts w:ascii="宋体" w:hAnsi="宋体" w:eastAsia="宋体" w:cs="宋体"/>
        </w:rPr>
      </w:pPr>
    </w:p>
    <w:p>
      <w:pPr>
        <w:rPr>
          <w:rFonts w:ascii="宋体" w:hAnsi="宋体" w:eastAsia="宋体" w:cs="宋体"/>
        </w:rPr>
      </w:pPr>
    </w:p>
    <w:p>
      <w:pPr>
        <w:pStyle w:val="2"/>
        <w:numPr>
          <w:ilvl w:val="0"/>
          <w:numId w:val="0"/>
        </w:numPr>
        <w:rPr>
          <w:rFonts w:ascii="宋体" w:hAnsi="宋体" w:eastAsia="宋体" w:cs="宋体"/>
          <w:lang w:val="en-US"/>
        </w:rPr>
      </w:pPr>
      <w:r>
        <w:rPr>
          <w:rFonts w:hint="eastAsia" w:ascii="宋体" w:hAnsi="宋体" w:eastAsia="宋体" w:cs="宋体"/>
          <w:lang w:val="en-US"/>
        </w:rPr>
        <w:t xml:space="preserve"> </w:t>
      </w:r>
    </w:p>
    <w:p>
      <w:pPr>
        <w:rPr>
          <w:rFonts w:ascii="宋体" w:hAnsi="宋体" w:eastAsia="宋体" w:cs="宋体"/>
        </w:rPr>
      </w:pPr>
    </w:p>
    <w:p>
      <w:pPr>
        <w:rPr>
          <w:rFonts w:ascii="宋体" w:hAnsi="宋体" w:eastAsia="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ascii="宋体" w:hAnsi="宋体" w:eastAsia="宋体" w:cs="宋体"/>
          <w:b/>
          <w:sz w:val="36"/>
          <w:szCs w:val="20"/>
        </w:rPr>
      </w:pPr>
      <w:r>
        <w:rPr>
          <w:rFonts w:hint="eastAsia" w:ascii="宋体" w:hAnsi="宋体" w:eastAsia="宋体" w:cs="宋体"/>
          <w:b/>
          <w:sz w:val="36"/>
          <w:szCs w:val="20"/>
        </w:rPr>
        <w:t>第一部分 征集公告</w:t>
      </w:r>
    </w:p>
    <w:p>
      <w:pPr>
        <w:pBdr>
          <w:top w:val="single" w:color="auto" w:sz="4" w:space="1"/>
          <w:left w:val="single" w:color="auto" w:sz="4" w:space="4"/>
          <w:bottom w:val="single" w:color="auto" w:sz="4" w:space="1"/>
          <w:right w:val="single" w:color="auto" w:sz="4" w:space="4"/>
        </w:pBdr>
        <w:adjustRightInd w:val="0"/>
        <w:spacing w:line="360" w:lineRule="auto"/>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杭州市富阳区财政局2022-2024年概、预算审核咨询服务框架协议单位采购项目</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征集项目的潜在投标人应在政采云平台（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宋体" w:hAnsi="宋体" w:eastAsia="宋体" w:cs="宋体"/>
          <w:color w:val="auto"/>
          <w:sz w:val="24"/>
          <w:szCs w:val="24"/>
        </w:rPr>
        <w:t>https://www.zcygov.cn/）获取（下载）征集文件，并于</w:t>
      </w:r>
      <w:r>
        <w:rPr>
          <w:rFonts w:hint="eastAsia" w:ascii="宋体" w:hAnsi="宋体" w:eastAsia="宋体" w:cs="宋体"/>
          <w:color w:val="auto"/>
          <w:sz w:val="24"/>
          <w:szCs w:val="24"/>
          <w:u w:val="single"/>
        </w:rPr>
        <w:t>2022年</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21</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分00秒</w:t>
      </w:r>
      <w:r>
        <w:rPr>
          <w:rFonts w:hint="eastAsia" w:ascii="宋体" w:hAnsi="宋体" w:eastAsia="宋体" w:cs="宋体"/>
          <w:color w:val="auto"/>
          <w:sz w:val="24"/>
          <w:szCs w:val="24"/>
        </w:rPr>
        <w:t>（</w:t>
      </w:r>
      <w:r>
        <w:rPr>
          <w:rFonts w:hint="eastAsia" w:ascii="宋体" w:hAnsi="宋体" w:eastAsia="宋体" w:cs="宋体"/>
          <w:sz w:val="24"/>
          <w:szCs w:val="24"/>
        </w:rPr>
        <w:t xml:space="preserve">北京时间）前递交（上传）响应文件。 </w:t>
      </w:r>
    </w:p>
    <w:p>
      <w:pPr>
        <w:adjustRightInd w:val="0"/>
        <w:spacing w:line="360" w:lineRule="auto"/>
        <w:rPr>
          <w:rFonts w:ascii="宋体" w:hAnsi="宋体" w:eastAsia="宋体" w:cs="宋体"/>
          <w:b/>
          <w:sz w:val="24"/>
          <w:szCs w:val="24"/>
        </w:rPr>
      </w:pPr>
      <w:r>
        <w:rPr>
          <w:rFonts w:hint="eastAsia" w:ascii="宋体" w:hAnsi="宋体" w:eastAsia="宋体" w:cs="宋体"/>
          <w:b/>
          <w:sz w:val="24"/>
          <w:szCs w:val="24"/>
        </w:rPr>
        <w:t xml:space="preserve">一、项目基本情况                                            </w:t>
      </w:r>
    </w:p>
    <w:p>
      <w:pPr>
        <w:adjustRightInd w:val="0"/>
        <w:spacing w:line="360" w:lineRule="auto"/>
        <w:rPr>
          <w:rFonts w:ascii="宋体" w:hAnsi="宋体" w:eastAsia="宋体" w:cs="宋体"/>
          <w:color w:val="FF0000"/>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项目编号：</w:t>
      </w:r>
    </w:p>
    <w:p>
      <w:pPr>
        <w:adjustRightInd w:val="0"/>
        <w:spacing w:line="360" w:lineRule="auto"/>
        <w:rPr>
          <w:rFonts w:ascii="宋体" w:hAnsi="宋体" w:eastAsia="宋体" w:cs="宋体"/>
          <w:bCs/>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项目名称：</w:t>
      </w:r>
      <w:r>
        <w:rPr>
          <w:rFonts w:hint="eastAsia" w:ascii="宋体" w:hAnsi="宋体" w:eastAsia="宋体" w:cs="宋体"/>
          <w:bCs/>
          <w:sz w:val="24"/>
          <w:szCs w:val="24"/>
        </w:rPr>
        <w:t>杭州市富阳区财政局2022-2024年概、预算审核咨询服务框架协议单位采购项目</w:t>
      </w:r>
    </w:p>
    <w:p>
      <w:pPr>
        <w:adjustRightIn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预算金额（元）</w:t>
      </w:r>
      <w:r>
        <w:rPr>
          <w:rFonts w:hint="eastAsia" w:ascii="宋体" w:hAnsi="宋体" w:eastAsia="宋体" w:cs="宋体"/>
          <w:sz w:val="24"/>
          <w:szCs w:val="24"/>
        </w:rPr>
        <w:t>：28000000</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最高限制单价</w:t>
      </w:r>
    </w:p>
    <w:p>
      <w:pPr>
        <w:spacing w:line="360" w:lineRule="auto"/>
        <w:ind w:firstLine="480" w:firstLineChars="200"/>
        <w:rPr>
          <w:rFonts w:ascii="宋体" w:hAnsi="宋体" w:eastAsia="宋体" w:cs="宋体"/>
          <w:color w:val="auto"/>
        </w:rPr>
      </w:pPr>
      <w:r>
        <w:rPr>
          <w:rFonts w:hint="eastAsia" w:ascii="宋体" w:hAnsi="宋体" w:eastAsia="宋体" w:cs="宋体"/>
          <w:color w:val="auto"/>
          <w:sz w:val="24"/>
          <w:szCs w:val="24"/>
        </w:rPr>
        <w:t>以杭州市富阳区财政局造价咨询历年付费标准为本次最高限价。</w:t>
      </w:r>
    </w:p>
    <w:p>
      <w:pPr>
        <w:spacing w:line="360" w:lineRule="auto"/>
        <w:ind w:firstLine="482" w:firstLineChars="200"/>
        <w:rPr>
          <w:rFonts w:ascii="宋体" w:hAnsi="宋体" w:eastAsia="宋体" w:cs="宋体"/>
          <w:b/>
          <w:color w:val="auto"/>
          <w:kern w:val="0"/>
          <w:sz w:val="24"/>
        </w:rPr>
      </w:pPr>
      <w:r>
        <w:rPr>
          <w:rFonts w:hint="eastAsia" w:ascii="宋体" w:hAnsi="宋体" w:eastAsia="宋体" w:cs="宋体"/>
          <w:b/>
          <w:color w:val="auto"/>
          <w:sz w:val="24"/>
          <w:szCs w:val="24"/>
        </w:rPr>
        <w:t>采购需求：</w:t>
      </w:r>
      <w:r>
        <w:rPr>
          <w:rFonts w:hint="eastAsia" w:ascii="宋体" w:hAnsi="宋体" w:eastAsia="宋体" w:cs="宋体"/>
          <w:bCs/>
          <w:color w:val="auto"/>
          <w:sz w:val="24"/>
          <w:szCs w:val="24"/>
        </w:rPr>
        <w:t xml:space="preserve">政府与国企投资类项目概、预算审核咨询服务，征集中介机构最多36家，详见采购需求。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合同履约期限：2年。</w:t>
      </w:r>
      <w:r>
        <w:rPr>
          <w:rFonts w:hint="eastAsia" w:ascii="宋体" w:hAnsi="宋体" w:eastAsia="宋体" w:cs="宋体"/>
          <w:sz w:val="24"/>
          <w:szCs w:val="24"/>
        </w:rPr>
        <w:t xml:space="preserve"> </w:t>
      </w:r>
    </w:p>
    <w:p>
      <w:pPr>
        <w:pStyle w:val="5"/>
        <w:spacing w:line="360" w:lineRule="auto"/>
        <w:ind w:firstLine="48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2035453831"/>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hAnsi="宋体" w:cs="宋体"/>
              <w:color w:val="000000" w:themeColor="text1"/>
              <w:kern w:val="0"/>
              <w:sz w:val="24"/>
              <w:szCs w:val="20"/>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是，</w:t>
      </w:r>
      <w:sdt>
        <w:sdtPr>
          <w:rPr>
            <w:rFonts w:hint="eastAsia" w:hAnsi="宋体" w:cs="宋体"/>
            <w:color w:val="000000" w:themeColor="text1"/>
            <w:kern w:val="0"/>
            <w:sz w:val="24"/>
            <w14:textFill>
              <w14:solidFill>
                <w14:schemeClr w14:val="tx1"/>
              </w14:solidFill>
            </w14:textFill>
          </w:rPr>
          <w:id w:val="-176552672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Wingdings" w:hAnsi="Wingdings" w:eastAsia="宋体" w:cs="宋体"/>
              <w:snapToGrid w:val="0"/>
              <w:color w:val="000000" w:themeColor="text1"/>
              <w:kern w:val="0"/>
              <w:sz w:val="24"/>
              <w:szCs w:val="20"/>
              <w:lang w:val="en-US" w:eastAsia="zh-CN" w:bidi="ar-SA"/>
              <w14:textFill>
                <w14:solidFill>
                  <w14:schemeClr w14:val="tx1"/>
                </w14:solidFill>
              </w14:textFill>
            </w:rPr>
            <w:t>þ</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pPr>
        <w:adjustRightInd w:val="0"/>
        <w:spacing w:line="360" w:lineRule="auto"/>
        <w:rPr>
          <w:rFonts w:ascii="宋体" w:hAnsi="宋体" w:eastAsia="宋体" w:cs="宋体"/>
          <w:b/>
          <w:sz w:val="24"/>
          <w:szCs w:val="24"/>
        </w:rPr>
      </w:pPr>
      <w:r>
        <w:rPr>
          <w:rFonts w:hint="eastAsia" w:ascii="宋体" w:hAnsi="宋体" w:eastAsia="宋体" w:cs="宋体"/>
          <w:b/>
          <w:sz w:val="24"/>
          <w:szCs w:val="24"/>
        </w:rPr>
        <w:t>二、申请人的资格要求：</w:t>
      </w:r>
    </w:p>
    <w:p>
      <w:pPr>
        <w:spacing w:line="360" w:lineRule="auto"/>
        <w:ind w:firstLine="480"/>
        <w:rPr>
          <w:rFonts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FE"/>
      </w:r>
      <w:r>
        <w:rPr>
          <w:rFonts w:hint="eastAsia" w:ascii="宋体" w:hAnsi="宋体" w:eastAsia="宋体" w:cs="宋体"/>
          <w:color w:val="000000" w:themeColor="text1"/>
          <w:sz w:val="24"/>
          <w:highlight w:val="none"/>
          <w14:textFill>
            <w14:solidFill>
              <w14:schemeClr w14:val="tx1"/>
            </w14:solidFill>
          </w14:textFill>
        </w:rPr>
        <w:t>无</w:t>
      </w:r>
    </w:p>
    <w:p>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2"/>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3.本项目的特定资格要求：无；</w:t>
      </w:r>
    </w:p>
    <w:p>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val="0"/>
        <w:spacing w:line="360" w:lineRule="auto"/>
        <w:rPr>
          <w:rFonts w:ascii="宋体" w:hAnsi="宋体" w:eastAsia="宋体" w:cs="宋体"/>
          <w:b/>
          <w:sz w:val="24"/>
          <w:szCs w:val="24"/>
        </w:rPr>
      </w:pPr>
      <w:r>
        <w:rPr>
          <w:rFonts w:hint="eastAsia" w:ascii="宋体" w:hAnsi="宋体" w:eastAsia="宋体" w:cs="宋体"/>
          <w:b/>
          <w:sz w:val="24"/>
          <w:szCs w:val="24"/>
        </w:rPr>
        <w:t xml:space="preserve">三、获取征集文件 </w:t>
      </w:r>
    </w:p>
    <w:p>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sz w:val="24"/>
          <w:szCs w:val="24"/>
        </w:rPr>
        <w:t>时间：</w:t>
      </w:r>
      <w:r>
        <w:rPr>
          <w:rFonts w:hint="eastAsia" w:ascii="宋体" w:hAnsi="宋体" w:eastAsia="宋体" w:cs="宋体"/>
          <w:sz w:val="24"/>
          <w:szCs w:val="24"/>
        </w:rPr>
        <w:t>/</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2022年</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21</w:t>
      </w:r>
      <w:r>
        <w:rPr>
          <w:rFonts w:hint="eastAsia" w:ascii="宋体" w:hAnsi="宋体" w:eastAsia="宋体" w:cs="宋体"/>
          <w:color w:val="auto"/>
          <w:sz w:val="24"/>
          <w:szCs w:val="24"/>
          <w:u w:val="single"/>
        </w:rPr>
        <w:t xml:space="preserve">日 </w:t>
      </w:r>
      <w:r>
        <w:rPr>
          <w:rFonts w:hint="eastAsia" w:ascii="宋体" w:hAnsi="宋体" w:eastAsia="宋体" w:cs="宋体"/>
          <w:color w:val="auto"/>
          <w:sz w:val="24"/>
          <w:szCs w:val="24"/>
        </w:rPr>
        <w:t>，每天上午00:00至12:00 ，下午12:00至23:59（北京时间，线上获取法定节假日均可，线下获取文件法定节假日除外）</w:t>
      </w:r>
    </w:p>
    <w:p>
      <w:pPr>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供应商登录政采云平台https://www.zcygov.cn/在线申请获取征集文件（进入“项目采购”应用，在获取征集文件菜单中选择项目，申请获取征集文件）。 </w:t>
      </w:r>
    </w:p>
    <w:p>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售价（元）：</w:t>
      </w:r>
      <w:r>
        <w:rPr>
          <w:rFonts w:hint="eastAsia" w:ascii="宋体" w:hAnsi="宋体" w:eastAsia="宋体" w:cs="宋体"/>
          <w:color w:val="auto"/>
          <w:sz w:val="24"/>
          <w:szCs w:val="24"/>
        </w:rPr>
        <w:t xml:space="preserve">0 </w:t>
      </w:r>
    </w:p>
    <w:p>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四、提交响应文件截止时间、开标时间和地点</w:t>
      </w:r>
    </w:p>
    <w:p>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提交响应文件截止时间：</w:t>
      </w:r>
      <w:r>
        <w:rPr>
          <w:rFonts w:hint="eastAsia" w:ascii="宋体" w:hAnsi="宋体" w:eastAsia="宋体" w:cs="宋体"/>
          <w:bCs/>
          <w:color w:val="auto"/>
          <w:sz w:val="24"/>
          <w:szCs w:val="24"/>
          <w:u w:val="single"/>
        </w:rPr>
        <w:t>2022年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21</w:t>
      </w:r>
      <w:r>
        <w:rPr>
          <w:rFonts w:hint="eastAsia" w:ascii="宋体" w:hAnsi="宋体" w:eastAsia="宋体" w:cs="宋体"/>
          <w:color w:val="auto"/>
          <w:sz w:val="24"/>
          <w:szCs w:val="24"/>
          <w:u w:val="single"/>
        </w:rPr>
        <w:t>日9点</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0分00秒</w:t>
      </w:r>
      <w:r>
        <w:rPr>
          <w:rFonts w:hint="eastAsia" w:ascii="宋体" w:hAnsi="宋体" w:eastAsia="宋体" w:cs="宋体"/>
          <w:color w:val="auto"/>
          <w:sz w:val="24"/>
          <w:szCs w:val="24"/>
        </w:rPr>
        <w:t>（北京时间）</w:t>
      </w:r>
    </w:p>
    <w:p>
      <w:pPr>
        <w:adjustRightInd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开标时间：</w:t>
      </w:r>
      <w:r>
        <w:rPr>
          <w:rFonts w:hint="eastAsia" w:ascii="宋体" w:hAnsi="宋体" w:eastAsia="宋体" w:cs="宋体"/>
          <w:color w:val="auto"/>
          <w:sz w:val="24"/>
          <w:szCs w:val="24"/>
          <w:u w:val="single"/>
        </w:rPr>
        <w:t>2022年</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21</w:t>
      </w:r>
      <w:r>
        <w:rPr>
          <w:rFonts w:hint="eastAsia" w:ascii="宋体" w:hAnsi="宋体" w:eastAsia="宋体" w:cs="宋体"/>
          <w:color w:val="auto"/>
          <w:sz w:val="24"/>
          <w:szCs w:val="24"/>
          <w:u w:val="single"/>
        </w:rPr>
        <w:t>日9点</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0分00秒</w:t>
      </w:r>
    </w:p>
    <w:p>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杭州市公共资源交易中心富阳分中心</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号开标室[杭州市富阳区江连街27号行政服务中心A座4楼]， 政采云平台（https://www.zcygov.cn/）</w:t>
      </w:r>
    </w:p>
    <w:p>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 xml:space="preserve">五、公告期限 </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自本公告发布之日起5个工作日。</w:t>
      </w:r>
    </w:p>
    <w:p>
      <w:pPr>
        <w:adjustRightInd w:val="0"/>
        <w:spacing w:line="360" w:lineRule="auto"/>
        <w:rPr>
          <w:rFonts w:ascii="宋体" w:hAnsi="宋体" w:eastAsia="宋体" w:cs="宋体"/>
          <w:b/>
          <w:sz w:val="24"/>
          <w:szCs w:val="24"/>
        </w:rPr>
      </w:pPr>
      <w:r>
        <w:rPr>
          <w:rFonts w:hint="eastAsia" w:ascii="宋体" w:hAnsi="宋体" w:eastAsia="宋体" w:cs="宋体"/>
          <w:b/>
          <w:sz w:val="24"/>
          <w:szCs w:val="24"/>
        </w:rPr>
        <w:t>六、其他补充事宜</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认为征集文件使自己的权益受到损害的，可以自获取征集文件之日或者征集文件公告期限届满之日（公告期限届满后获取征集文件的，以公告期限届满之日为准）起7个工作日内，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2.其他事项：（1）需要落实的政府采购政策：包括节约资源、保护环境、支持创新、促进中小企业发展等。详见征集文件的第二部分总则。（2）电子招投标的说明： 1）电子招投标：本项目以数据电文形式，依托“政府采购云平台（www.zcygov.cn）”进行招投标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征集文件的获取：使用账号登录或者使用CA登录政采云平台；进入“项目采购”应用，在获取采购文件菜单中选择项目，获取征集文件。4）响应文件的制作：在“政采云电子交易客户端”中完成“填写基本信息”、“导入响应文件”、“标书关联”、“标书检查”、“电子签名”、“生成电子标书”等操作。5）采购人、采购机构将依托政采云平台完成本项目的电子交易活动，平台不接受未按上述方式获取征集文件的供应商进行投标活动； 6）对未按上述方式获取征集文件的供应商对该文件提出的质疑，采购人或采购代理机构将不予处理；7）不提供征集文件纸质版。8）响应文件的传输递交：投标人在响应截止时间前将加密的响应文件上传至政府采购云平台，还可以在响应截止时间前直接提交或者以邮政快递方式递交备份响应文件1份。备份响应文件的制作、存储、密封详见征集文件第二部分第15点—“备份响应文件”。9）响应文件的解密：投标人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没有在电子交易平台传输递交响应文件的，投标无效。10）具体操作指南：详见政采云平台“服务中心-帮助文档-项目采购-操作流程-电子招投标-政府采购项目电子交易管理操作指南-供应商”。</w:t>
      </w:r>
    </w:p>
    <w:p>
      <w:pPr>
        <w:adjustRightInd w:val="0"/>
        <w:spacing w:line="360" w:lineRule="auto"/>
        <w:rPr>
          <w:rFonts w:ascii="宋体" w:hAnsi="宋体" w:eastAsia="宋体" w:cs="宋体"/>
          <w:b/>
          <w:sz w:val="24"/>
          <w:szCs w:val="24"/>
        </w:rPr>
      </w:pPr>
      <w:r>
        <w:rPr>
          <w:rFonts w:hint="eastAsia" w:ascii="宋体" w:hAnsi="宋体" w:eastAsia="宋体" w:cs="宋体"/>
          <w:b/>
          <w:sz w:val="24"/>
          <w:szCs w:val="24"/>
        </w:rPr>
        <w:t>七、对本次征集提出询问、质疑、投诉，请按以下方式联系</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1.征集人信息</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名    称：杭州市富阳区财政局</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地    址：杭州市富阳区富春街道富春街12号</w:t>
      </w:r>
      <w:r>
        <w:rPr>
          <w:rFonts w:hint="eastAsia" w:ascii="宋体" w:hAnsi="宋体" w:eastAsia="宋体" w:cs="宋体"/>
          <w:sz w:val="24"/>
        </w:rPr>
        <w:t xml:space="preserve"> </w:t>
      </w:r>
    </w:p>
    <w:p>
      <w:pPr>
        <w:adjustRightInd w:val="0"/>
        <w:spacing w:line="360" w:lineRule="auto"/>
        <w:ind w:firstLine="480"/>
        <w:rPr>
          <w:rFonts w:ascii="宋体" w:hAnsi="宋体" w:eastAsia="宋体" w:cs="宋体"/>
          <w:sz w:val="24"/>
        </w:rPr>
      </w:pPr>
      <w:r>
        <w:rPr>
          <w:rFonts w:hint="eastAsia" w:ascii="宋体" w:hAnsi="宋体" w:eastAsia="宋体" w:cs="宋体"/>
          <w:sz w:val="24"/>
          <w:szCs w:val="24"/>
        </w:rPr>
        <w:t>传    真：/</w:t>
      </w:r>
      <w:r>
        <w:rPr>
          <w:rFonts w:hint="eastAsia" w:ascii="宋体" w:hAnsi="宋体" w:eastAsia="宋体" w:cs="宋体"/>
          <w:sz w:val="24"/>
        </w:rPr>
        <w:t xml:space="preserve"> </w:t>
      </w:r>
    </w:p>
    <w:p>
      <w:pPr>
        <w:adjustRightInd w:val="0"/>
        <w:spacing w:line="360" w:lineRule="auto"/>
        <w:ind w:firstLine="480"/>
        <w:rPr>
          <w:rFonts w:ascii="宋体" w:hAnsi="宋体" w:eastAsia="宋体" w:cs="宋体"/>
          <w:sz w:val="24"/>
          <w:szCs w:val="24"/>
        </w:rPr>
      </w:pPr>
      <w:r>
        <w:rPr>
          <w:rFonts w:hint="eastAsia" w:ascii="宋体" w:hAnsi="宋体" w:eastAsia="宋体" w:cs="宋体"/>
          <w:sz w:val="24"/>
          <w:szCs w:val="24"/>
        </w:rPr>
        <w:t>项目联系人（询问）：吴忠</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项目联系方式（询问）：0571-63360923</w:t>
      </w:r>
    </w:p>
    <w:p>
      <w:pPr>
        <w:adjustRightInd w:val="0"/>
        <w:spacing w:line="360" w:lineRule="auto"/>
        <w:ind w:firstLine="480"/>
        <w:rPr>
          <w:rFonts w:ascii="宋体" w:hAnsi="宋体" w:eastAsia="宋体" w:cs="宋体"/>
          <w:sz w:val="24"/>
          <w:szCs w:val="24"/>
        </w:rPr>
      </w:pPr>
      <w:r>
        <w:rPr>
          <w:rFonts w:hint="eastAsia" w:ascii="宋体" w:hAnsi="宋体" w:eastAsia="宋体" w:cs="宋体"/>
          <w:sz w:val="24"/>
          <w:szCs w:val="24"/>
        </w:rPr>
        <w:t>质疑联系人：颜柳尧</w:t>
      </w:r>
    </w:p>
    <w:p>
      <w:pPr>
        <w:adjustRightInd w:val="0"/>
        <w:spacing w:line="360" w:lineRule="auto"/>
        <w:ind w:firstLine="480"/>
        <w:rPr>
          <w:rFonts w:ascii="宋体" w:hAnsi="宋体" w:eastAsia="宋体" w:cs="宋体"/>
          <w:sz w:val="24"/>
          <w:szCs w:val="24"/>
        </w:rPr>
      </w:pPr>
      <w:r>
        <w:rPr>
          <w:rFonts w:hint="eastAsia" w:ascii="宋体" w:hAnsi="宋体" w:eastAsia="宋体" w:cs="宋体"/>
          <w:sz w:val="24"/>
          <w:szCs w:val="24"/>
        </w:rPr>
        <w:t>质疑联系方式：0571-61708299</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2.采购代理机构信息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名    称：浙江蟠龙工程审计咨询有限公司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地    址：杭州市西湖区三墩镇西港发展中心西7幢501室</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传    真：0571-56075250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项目联系人（询问）：方洪胜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项目联系方式（询问）：18069796119</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质疑联系人：</w:t>
      </w:r>
      <w:r>
        <w:rPr>
          <w:rFonts w:hint="eastAsia" w:ascii="宋体" w:hAnsi="宋体" w:eastAsia="宋体" w:cs="宋体"/>
          <w:sz w:val="24"/>
          <w:szCs w:val="24"/>
          <w:lang w:eastAsia="zh-CN"/>
        </w:rPr>
        <w:t>蒋婷婷</w:t>
      </w:r>
      <w:r>
        <w:rPr>
          <w:rFonts w:hint="eastAsia" w:ascii="宋体" w:hAnsi="宋体" w:eastAsia="宋体" w:cs="宋体"/>
          <w:sz w:val="24"/>
          <w:szCs w:val="24"/>
        </w:rPr>
        <w:t xml:space="preserve">           </w:t>
      </w:r>
      <w:bookmarkStart w:id="379" w:name="_GoBack"/>
      <w:bookmarkEnd w:id="379"/>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质疑联系方式：</w:t>
      </w:r>
      <w:r>
        <w:rPr>
          <w:rFonts w:hint="eastAsia" w:ascii="宋体" w:hAnsi="宋体" w:eastAsia="宋体" w:cs="宋体"/>
          <w:sz w:val="24"/>
          <w:szCs w:val="24"/>
          <w:lang w:val="en-US" w:eastAsia="zh-CN"/>
        </w:rPr>
        <w:t>0571-56075250</w:t>
      </w:r>
      <w:r>
        <w:rPr>
          <w:rFonts w:hint="eastAsia" w:ascii="宋体" w:hAnsi="宋体" w:eastAsia="宋体" w:cs="宋体"/>
          <w:sz w:val="24"/>
          <w:szCs w:val="24"/>
        </w:rPr>
        <w:t xml:space="preserve">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3.同级政府采购监督管理部门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名    称：杭州市富阳区财政局政府采购监督管理科 </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地    址：杭州市富阳区富春街12号 </w:t>
      </w:r>
    </w:p>
    <w:p>
      <w:pPr>
        <w:adjustRightInd w:val="0"/>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传    真：0571-63325455</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联系人 ：赵靓</w:t>
      </w:r>
    </w:p>
    <w:p>
      <w:pPr>
        <w:adjustRightInd w:val="0"/>
        <w:spacing w:line="360" w:lineRule="auto"/>
        <w:rPr>
          <w:rFonts w:ascii="宋体" w:hAnsi="宋体" w:eastAsia="宋体" w:cs="宋体"/>
          <w:sz w:val="24"/>
          <w:szCs w:val="24"/>
        </w:rPr>
      </w:pPr>
      <w:r>
        <w:rPr>
          <w:rFonts w:hint="eastAsia" w:ascii="宋体" w:hAnsi="宋体" w:eastAsia="宋体" w:cs="宋体"/>
          <w:sz w:val="24"/>
          <w:szCs w:val="24"/>
        </w:rPr>
        <w:t xml:space="preserve">    监督投诉电话：0571-61772959         </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CA问题联系电话（人工）：汇信CA 400-888-4636；天谷CA 400-087-8198。</w:t>
      </w:r>
    </w:p>
    <w:p>
      <w:pPr>
        <w:adjustRightInd w:val="0"/>
        <w:spacing w:line="360" w:lineRule="auto"/>
        <w:ind w:firstLine="472" w:firstLineChars="196"/>
        <w:rPr>
          <w:rFonts w:ascii="宋体" w:hAnsi="宋体" w:eastAsia="宋体" w:cs="宋体"/>
          <w:b/>
          <w:snapToGrid w:val="0"/>
          <w:sz w:val="24"/>
          <w:szCs w:val="24"/>
        </w:rPr>
      </w:pPr>
    </w:p>
    <w:p>
      <w:pPr>
        <w:pStyle w:val="2"/>
        <w:numPr>
          <w:ilvl w:val="0"/>
          <w:numId w:val="0"/>
        </w:numPr>
        <w:rPr>
          <w:rFonts w:ascii="宋体" w:hAnsi="宋体" w:eastAsia="宋体" w:cs="宋体"/>
          <w:lang w:val="en-US"/>
        </w:rPr>
        <w:sectPr>
          <w:pgSz w:w="11906" w:h="16838"/>
          <w:pgMar w:top="680" w:right="1417" w:bottom="680" w:left="1417" w:header="851" w:footer="992" w:gutter="0"/>
          <w:cols w:space="425" w:num="1"/>
          <w:docGrid w:type="lines" w:linePitch="312" w:charSpace="0"/>
        </w:sectPr>
      </w:pPr>
    </w:p>
    <w:p>
      <w:pPr>
        <w:spacing w:line="360" w:lineRule="auto"/>
        <w:jc w:val="center"/>
        <w:outlineLvl w:val="0"/>
        <w:rPr>
          <w:rFonts w:ascii="宋体" w:hAnsi="宋体" w:eastAsia="宋体" w:cs="宋体"/>
          <w:b/>
          <w:sz w:val="36"/>
          <w:szCs w:val="20"/>
        </w:rPr>
      </w:pPr>
      <w:r>
        <w:rPr>
          <w:rFonts w:hint="eastAsia" w:ascii="宋体" w:hAnsi="宋体" w:eastAsia="宋体" w:cs="宋体"/>
          <w:b/>
          <w:sz w:val="36"/>
          <w:szCs w:val="20"/>
        </w:rPr>
        <w:t>第二部分 投标人须知</w:t>
      </w:r>
    </w:p>
    <w:p>
      <w:pPr>
        <w:adjustRightInd w:val="0"/>
        <w:snapToGrid w:val="0"/>
        <w:spacing w:line="360" w:lineRule="auto"/>
        <w:jc w:val="center"/>
        <w:rPr>
          <w:rFonts w:ascii="宋体" w:hAnsi="宋体" w:eastAsia="宋体" w:cs="宋体"/>
          <w:b/>
          <w:sz w:val="32"/>
          <w:szCs w:val="20"/>
        </w:rPr>
      </w:pPr>
      <w:r>
        <w:rPr>
          <w:rFonts w:hint="eastAsia" w:ascii="宋体" w:hAnsi="宋体" w:eastAsia="宋体" w:cs="宋体"/>
          <w:b/>
          <w:sz w:val="32"/>
          <w:szCs w:val="20"/>
        </w:rPr>
        <w:t>前附表</w:t>
      </w:r>
    </w:p>
    <w:tbl>
      <w:tblPr>
        <w:tblStyle w:val="16"/>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。征集文件未列明，而供应商认为必需的费用也需列入报价。提醒：验收时检测费用由采购人承担，不包含在响应总价中。</w:t>
            </w:r>
          </w:p>
          <w:p>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响应报价出现下列情形的，响应无效：</w:t>
            </w:r>
          </w:p>
          <w:p>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响应文件出现不是唯一的、有选择性响应报价的；</w:t>
            </w:r>
          </w:p>
          <w:p>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响应报价超过征集文件中规定的预算金额或者最高限制单价的;</w:t>
            </w:r>
          </w:p>
          <w:p>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报价明显低于其他通过符合性审查供应商的报价，有可能影响产品质量或者不能诚信履约的，未能按要求提供书面说明或者提交相关证明材料证明其报价合理性的;</w:t>
            </w:r>
          </w:p>
          <w:p>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 xml:space="preserve">供应商对根据修正原则修正后的报价不确认的。 </w:t>
            </w:r>
          </w:p>
          <w:p>
            <w:pPr>
              <w:snapToGrid w:val="0"/>
              <w:spacing w:line="360" w:lineRule="auto"/>
              <w:jc w:val="left"/>
              <w:rPr>
                <w:rFonts w:ascii="宋体" w:hAnsi="宋体" w:eastAsia="宋体" w:cs="宋体"/>
                <w:sz w:val="24"/>
                <w:szCs w:val="24"/>
              </w:rPr>
            </w:pPr>
            <w:r>
              <w:rPr>
                <w:rFonts w:hint="eastAsia" w:ascii="宋体" w:hAnsi="宋体" w:eastAsia="宋体" w:cs="宋体"/>
                <w:kern w:val="0"/>
                <w:sz w:val="24"/>
                <w:lang w:val="zh-CN"/>
              </w:rPr>
              <w:t>协议单位接受委托，根据每个项目分别计算服务费。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入围方式</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1、根据中华人民共和国财政部令第 110 号《政府采购框架协议采购方式管理办法》，确定第一阶段入围供应商的评审方法为</w:t>
            </w:r>
            <w:r>
              <w:rPr>
                <w:rFonts w:hint="eastAsia" w:ascii="宋体" w:hAnsi="宋体" w:eastAsia="宋体" w:cs="宋体"/>
                <w:color w:val="000000" w:themeColor="text1"/>
                <w:kern w:val="0"/>
                <w:sz w:val="24"/>
                <w:u w:val="single"/>
                <w14:textFill>
                  <w14:solidFill>
                    <w14:schemeClr w14:val="tx1"/>
                  </w14:solidFill>
                </w14:textFill>
              </w:rPr>
              <w:t>质量优先法</w:t>
            </w:r>
            <w:r>
              <w:rPr>
                <w:rFonts w:hint="eastAsia" w:ascii="宋体" w:hAnsi="宋体" w:eastAsia="宋体" w:cs="宋体"/>
                <w:color w:val="000000" w:themeColor="text1"/>
                <w:kern w:val="0"/>
                <w:sz w:val="24"/>
                <w14:textFill>
                  <w14:solidFill>
                    <w14:schemeClr w14:val="tx1"/>
                  </w14:solidFill>
                </w14:textFill>
              </w:rPr>
              <w:t>，确定第二阶段成交供应商的方式为</w:t>
            </w:r>
            <w:r>
              <w:rPr>
                <w:rFonts w:hint="eastAsia" w:ascii="宋体" w:hAnsi="宋体" w:eastAsia="宋体" w:cs="宋体"/>
                <w:color w:val="000000" w:themeColor="text1"/>
                <w:kern w:val="0"/>
                <w:sz w:val="24"/>
                <w:u w:val="single"/>
                <w14:textFill>
                  <w14:solidFill>
                    <w14:schemeClr w14:val="tx1"/>
                  </w14:solidFill>
                </w14:textFill>
              </w:rPr>
              <w:t>直接选定</w:t>
            </w:r>
            <w:r>
              <w:rPr>
                <w:rFonts w:hint="eastAsia" w:ascii="宋体" w:hAnsi="宋体" w:eastAsia="宋体" w:cs="宋体"/>
                <w:color w:val="000000" w:themeColor="text1"/>
                <w:kern w:val="0"/>
                <w:sz w:val="24"/>
                <w14:textFill>
                  <w14:solidFill>
                    <w14:schemeClr w14:val="tx1"/>
                  </w14:solidFill>
                </w14:textFill>
              </w:rPr>
              <w:t xml:space="preserve">。 </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直接选定是指确定第二阶段成交供应商应当由采购人或者服务对象依据入围产品价格、质量以及服务便利性、用户评价等因素，从第一阶段入围供应商中直接选定。 </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3、本项目给定了入围供应商的数量，评标委员会按照征集文件中规定的各项因素进行综合评审后，以评标总得分高低的顺序依次确定入围服务供应商。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color w:val="000000" w:themeColor="text1"/>
                <w:sz w:val="24"/>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2"/>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 xml:space="preserve"> A同意将非主体、非关键性的工作分包。</w:t>
            </w:r>
          </w:p>
          <w:p>
            <w:pPr>
              <w:spacing w:line="360" w:lineRule="auto"/>
              <w:rPr>
                <w:rFonts w:ascii="宋体" w:hAnsi="宋体" w:eastAsia="宋体" w:cs="宋体"/>
                <w:sz w:val="24"/>
                <w:szCs w:val="24"/>
              </w:rPr>
            </w:pPr>
            <w:sdt>
              <w:sdtPr>
                <w:rPr>
                  <w:rFonts w:hint="eastAsia" w:ascii="宋体" w:hAnsi="宋体" w:eastAsia="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jc w:val="cent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（1）资格证明文件：见征集文件第二部分11.1。</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投标人未提供有效的资格证明文件的，视为投标人不具备征集文件中规定的资格要求，投标无效。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（2）资信证明文件：根据征集文件第四部分评标标准提供。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color w:val="000000" w:themeColor="text1"/>
                <w:sz w:val="24"/>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A不组织。</w:t>
            </w:r>
          </w:p>
          <w:p>
            <w:pPr>
              <w:snapToGrid w:val="0"/>
              <w:spacing w:line="360" w:lineRule="auto"/>
              <w:rPr>
                <w:rFonts w:ascii="宋体" w:hAnsi="宋体" w:eastAsia="宋体" w:cs="宋体"/>
                <w:snapToGrid w:val="0"/>
                <w:sz w:val="24"/>
                <w:szCs w:val="20"/>
              </w:rPr>
            </w:pPr>
            <w:sdt>
              <w:sdtPr>
                <w:rPr>
                  <w:rFonts w:hint="eastAsia" w:ascii="宋体" w:hAnsi="宋体" w:eastAsia="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2"/>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B组织，时间：   /   ,地点：   /   ，联系人：   /   ，联系方式：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color w:val="000000" w:themeColor="text1"/>
                <w:sz w:val="24"/>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A不要求提供。</w:t>
            </w:r>
          </w:p>
          <w:p>
            <w:pPr>
              <w:snapToGrid w:val="0"/>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B要求提供，</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（1）样品：  /   ；</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（2）样品制作的标准和要求：/；</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（3）样品的评审方法以及评审标准：详见评标办法；</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（4）是否需要针对样品提交检测报告：</w:t>
            </w:r>
            <w:sdt>
              <w:sdtPr>
                <w:rPr>
                  <w:rFonts w:hint="eastAsia" w:ascii="宋体" w:hAnsi="宋体" w:eastAsia="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否；</w:t>
            </w:r>
            <w:sdt>
              <w:sdtPr>
                <w:rPr>
                  <w:rFonts w:hint="eastAsia" w:ascii="宋体" w:hAnsi="宋体" w:eastAsia="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是，检测机构的要求：   /  ；检测内容：  /  。检测报告编制在响应文件中。</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（5）提供样品的截止时间：  /  ；地点：  /  ；联系人：  /  ，联系电话：  /  。请投标人在上述时间内提供样品并按规定位置安装完毕。超过截止时间的，采购人或采购代理机构将不予接收，并将清场并封闭样品现场。</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360" w:lineRule="auto"/>
              <w:rPr>
                <w:rFonts w:ascii="宋体" w:hAnsi="宋体" w:eastAsia="宋体" w:cs="宋体"/>
                <w:b/>
                <w:sz w:val="24"/>
                <w:szCs w:val="24"/>
              </w:rPr>
            </w:pPr>
            <w:r>
              <w:rPr>
                <w:rFonts w:hint="eastAsia" w:ascii="宋体" w:hAnsi="宋体" w:eastAsia="宋体" w:cs="宋体"/>
                <w:color w:val="000000" w:themeColor="text1"/>
                <w:kern w:val="0"/>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A不组织。</w:t>
            </w:r>
          </w:p>
          <w:p>
            <w:pPr>
              <w:adjustRightInd w:val="0"/>
              <w:spacing w:line="360" w:lineRule="auto"/>
              <w:rPr>
                <w:rFonts w:hint="eastAsia" w:ascii="宋体" w:hAnsi="宋体" w:eastAsia="宋体" w:cs="宋体"/>
                <w:b/>
                <w:kern w:val="0"/>
                <w:sz w:val="24"/>
                <w:szCs w:val="20"/>
                <w:lang w:val="zh-CN" w:eastAsia="zh-CN"/>
              </w:rPr>
            </w:pPr>
            <w:sdt>
              <w:sdtPr>
                <w:rPr>
                  <w:rFonts w:hint="eastAsia" w:ascii="宋体" w:hAnsi="宋体" w:eastAsia="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2"/>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B组织</w:t>
            </w:r>
            <w:r>
              <w:rPr>
                <w:rFonts w:hint="eastAsia" w:ascii="宋体" w:hAnsi="宋体" w:eastAsia="宋体"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本项目不允许采购进口产品。</w:t>
            </w:r>
          </w:p>
          <w:p>
            <w:pPr>
              <w:snapToGrid w:val="0"/>
              <w:spacing w:line="360" w:lineRule="auto"/>
              <w:rPr>
                <w:rFonts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A货物类，单一产品或核心产品为：  /  。</w:t>
            </w:r>
          </w:p>
          <w:p>
            <w:pPr>
              <w:snapToGrid w:val="0"/>
              <w:spacing w:line="360" w:lineRule="auto"/>
              <w:rPr>
                <w:rFonts w:ascii="宋体" w:hAnsi="宋体" w:eastAsia="宋体" w:cs="宋体"/>
                <w:sz w:val="24"/>
                <w:szCs w:val="24"/>
              </w:rPr>
            </w:pPr>
            <w:sdt>
              <w:sdtPr>
                <w:rPr>
                  <w:rFonts w:hint="eastAsia" w:ascii="宋体" w:hAnsi="宋体" w:eastAsia="宋体" w:cs="宋体"/>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kern w:val="0"/>
                <w:sz w:val="24"/>
              </w:rPr>
              <w:t>标的：</w:t>
            </w:r>
            <w:r>
              <w:rPr>
                <w:rFonts w:hint="eastAsia" w:ascii="宋体" w:hAnsi="宋体" w:eastAsia="宋体" w:cs="宋体"/>
                <w:kern w:val="0"/>
                <w:sz w:val="24"/>
                <w:u w:val="single"/>
              </w:rPr>
              <w:t>概、预算审核咨询服务</w:t>
            </w:r>
            <w:r>
              <w:rPr>
                <w:rFonts w:hint="eastAsia" w:ascii="宋体" w:hAnsi="宋体" w:eastAsia="宋体" w:cs="宋体"/>
                <w:kern w:val="0"/>
                <w:sz w:val="24"/>
              </w:rPr>
              <w:t>，属于</w:t>
            </w:r>
            <w:r>
              <w:rPr>
                <w:rFonts w:hint="eastAsia" w:ascii="宋体" w:hAnsi="宋体" w:eastAsia="宋体" w:cs="宋体"/>
                <w:bCs/>
                <w:sz w:val="24"/>
                <w:szCs w:val="24"/>
              </w:rPr>
              <w:t>所属行业：根据《国民经济行业分类》（GB/T4754-2017）标准属于科学研究和技术服务业（即《中小企业标准暂行规定》中的其他未列明行业）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color w:val="000000" w:themeColor="text1"/>
                <w:sz w:val="24"/>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sz w:val="24"/>
                <w:szCs w:val="24"/>
              </w:rPr>
            </w:pPr>
            <w:r>
              <w:rPr>
                <w:rFonts w:hint="eastAsia" w:ascii="宋体" w:hAnsi="宋体" w:eastAsia="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color w:val="000000" w:themeColor="text1"/>
                <w:sz w:val="24"/>
                <w14:textFill>
                  <w14:solidFill>
                    <w14:schemeClr w14:val="tx1"/>
                  </w14:solidFill>
                </w14:textFill>
              </w:rPr>
              <w:t>12</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cs="宋体"/>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000000" w:themeColor="text1"/>
                <w:sz w:val="24"/>
                <w:highlight w:val="gree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备份响应文件送达地点和签收人员 </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备份响应文件送达地点：杭州市富阳区江连街27号行政服务中心A座4楼（杭州市公共资源交</w:t>
            </w:r>
            <w:r>
              <w:rPr>
                <w:rFonts w:hint="eastAsia" w:ascii="宋体" w:hAnsi="宋体" w:eastAsia="宋体" w:cs="宋体"/>
                <w:color w:val="000000" w:themeColor="text1"/>
                <w:kern w:val="0"/>
                <w:sz w:val="24"/>
                <w:highlight w:val="none"/>
                <w14:textFill>
                  <w14:solidFill>
                    <w14:schemeClr w14:val="tx1"/>
                  </w14:solidFill>
                </w14:textFill>
              </w:rPr>
              <w:t>易中心富阳分中心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号开标室） ；备份响应文件签收人员联系电话： 方洪胜， 18069796119 。</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采购人、采购机构不强制或变相强制投标人提交备份响应文件。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bCs/>
                <w:sz w:val="24"/>
                <w:szCs w:val="24"/>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肆万元人民币</w:t>
            </w:r>
          </w:p>
          <w:p>
            <w:pPr>
              <w:snapToGrid w:val="0"/>
              <w:spacing w:line="360" w:lineRule="auto"/>
              <w:rPr>
                <w:rFonts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以上费用由中标单位均摊支付。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专家评审费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由中标单位均摊支付。</w:t>
            </w:r>
          </w:p>
        </w:tc>
      </w:tr>
    </w:tbl>
    <w:p>
      <w:pPr>
        <w:spacing w:line="360" w:lineRule="auto"/>
        <w:ind w:firstLine="4176" w:firstLineChars="1300"/>
        <w:outlineLvl w:val="0"/>
        <w:rPr>
          <w:rFonts w:ascii="宋体" w:hAnsi="宋体" w:eastAsia="宋体" w:cs="宋体"/>
          <w:b/>
          <w:sz w:val="32"/>
          <w:szCs w:val="20"/>
        </w:rPr>
      </w:pPr>
      <w:r>
        <w:rPr>
          <w:rFonts w:hint="eastAsia" w:ascii="宋体" w:hAnsi="宋体" w:eastAsia="宋体" w:cs="宋体"/>
          <w:b/>
          <w:sz w:val="32"/>
          <w:szCs w:val="20"/>
        </w:rPr>
        <w:t>一、总则</w:t>
      </w:r>
    </w:p>
    <w:p>
      <w:pPr>
        <w:pStyle w:val="7"/>
        <w:ind w:firstLine="482"/>
        <w:rPr>
          <w:rFonts w:eastAsia="宋体"/>
          <w:b/>
          <w:bCs/>
        </w:rPr>
      </w:pPr>
      <w:r>
        <w:rPr>
          <w:rFonts w:hint="eastAsia" w:eastAsia="宋体"/>
          <w:b/>
          <w:bCs/>
        </w:rPr>
        <w:t>1. 适用范围</w:t>
      </w:r>
    </w:p>
    <w:p>
      <w:pPr>
        <w:pStyle w:val="7"/>
        <w:rPr>
          <w:rFonts w:eastAsia="宋体"/>
        </w:rPr>
      </w:pPr>
      <w:r>
        <w:rPr>
          <w:rFonts w:hint="eastAsia" w:eastAsia="宋体"/>
        </w:rPr>
        <w:t>本征集文件适用于该项目的招标、投标、开标、资格审查及信用信息查询、评标、定标、合同、验收等行为（法律、法规另有规定的，从其规定）。</w:t>
      </w:r>
    </w:p>
    <w:p>
      <w:pPr>
        <w:pStyle w:val="7"/>
        <w:ind w:firstLine="482"/>
        <w:rPr>
          <w:rFonts w:eastAsia="宋体"/>
          <w:b/>
          <w:bCs/>
        </w:rPr>
      </w:pPr>
      <w:r>
        <w:rPr>
          <w:rFonts w:hint="eastAsia" w:eastAsia="宋体"/>
          <w:b/>
          <w:bCs/>
        </w:rPr>
        <w:t>2.定义</w:t>
      </w:r>
    </w:p>
    <w:p>
      <w:pPr>
        <w:pStyle w:val="7"/>
        <w:rPr>
          <w:rFonts w:eastAsia="宋体"/>
        </w:rPr>
      </w:pPr>
      <w:r>
        <w:rPr>
          <w:rFonts w:hint="eastAsia" w:eastAsia="宋体"/>
        </w:rPr>
        <w:t xml:space="preserve">2.1 “征集人”、“采购人”和“甲方”是指依法进行政府采购的国家机关、事业单位、团体组织。 </w:t>
      </w:r>
    </w:p>
    <w:p>
      <w:pPr>
        <w:pStyle w:val="7"/>
        <w:rPr>
          <w:rFonts w:eastAsia="宋体"/>
        </w:rPr>
      </w:pPr>
      <w:r>
        <w:rPr>
          <w:rFonts w:hint="eastAsia" w:eastAsia="宋体"/>
        </w:rPr>
        <w:t>2.2 “征集人”是指（采购人）和（招标代理机构）。</w:t>
      </w:r>
    </w:p>
    <w:p>
      <w:pPr>
        <w:pStyle w:val="7"/>
        <w:rPr>
          <w:rFonts w:eastAsia="宋体"/>
        </w:rPr>
      </w:pPr>
      <w:r>
        <w:rPr>
          <w:rFonts w:hint="eastAsia" w:eastAsia="宋体"/>
        </w:rPr>
        <w:t>2.3 “投标人”“供应商”系指是指响应招标、参加投标竞争的法人、其他组织或者自然人。</w:t>
      </w:r>
    </w:p>
    <w:p>
      <w:pPr>
        <w:pStyle w:val="7"/>
        <w:rPr>
          <w:rFonts w:eastAsia="宋体"/>
        </w:rPr>
      </w:pPr>
      <w:r>
        <w:rPr>
          <w:rFonts w:hint="eastAsia" w:eastAsia="宋体"/>
        </w:rPr>
        <w:t>2.4 “负责人”系指法人企业的法定负责人，或其他组织为法律、行政法规规定代表单位行使职权的主要负责人，或自然人本人。</w:t>
      </w:r>
    </w:p>
    <w:p>
      <w:pPr>
        <w:pStyle w:val="7"/>
        <w:rPr>
          <w:rFonts w:eastAsia="宋体"/>
        </w:rPr>
      </w:pPr>
      <w:r>
        <w:rPr>
          <w:rFonts w:hint="eastAsia" w:eastAsia="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Style w:val="7"/>
        <w:rPr>
          <w:rFonts w:eastAsia="宋体"/>
        </w:rPr>
      </w:pPr>
      <w:r>
        <w:rPr>
          <w:rFonts w:hint="eastAsia" w:eastAsia="宋体"/>
        </w:rPr>
        <w:t>2.6“电子交易平台”是指本项目政府采购活动所依托的政府采购云平台（https://www.zcygov.cn/）。</w:t>
      </w:r>
    </w:p>
    <w:p>
      <w:pPr>
        <w:pStyle w:val="7"/>
        <w:rPr>
          <w:rFonts w:eastAsia="宋体"/>
        </w:rPr>
      </w:pPr>
      <w:r>
        <w:rPr>
          <w:rFonts w:hint="eastAsia" w:eastAsia="宋体"/>
        </w:rPr>
        <w:t>2.7 “▲” 系指实质性要求条款，“★”系产品采购项目中单一产品或核心产品，</w:t>
      </w:r>
    </w:p>
    <w:p>
      <w:pPr>
        <w:pStyle w:val="7"/>
        <w:rPr>
          <w:rFonts w:eastAsia="宋体"/>
        </w:rPr>
      </w:pPr>
      <w:r>
        <w:rPr>
          <w:rFonts w:hint="eastAsia" w:eastAsia="宋体"/>
        </w:rPr>
        <w:t xml:space="preserve"> “</w:t>
      </w:r>
      <w:sdt>
        <w:sdtPr>
          <w:rPr>
            <w:rFonts w:hint="eastAsia" w:eastAsia="宋体"/>
          </w:rPr>
          <w:id w:val="404888855"/>
          <w14:checkbox>
            <w14:checked w14:val="1"/>
            <w14:checkedState w14:val="00FE" w14:font="Wingdings"/>
            <w14:uncheckedState w14:val="2610" w14:font="MS Gothic"/>
          </w14:checkbox>
        </w:sdtPr>
        <w:sdtEndPr>
          <w:rPr>
            <w:rFonts w:hint="eastAsia" w:eastAsia="宋体"/>
          </w:rPr>
        </w:sdtEndPr>
        <w:sdtContent>
          <w:r>
            <w:rPr>
              <w:rFonts w:hint="eastAsia" w:ascii="Wingdings" w:hAnsi="Wingdings" w:eastAsia="宋体" w:cs="宋体"/>
              <w:kern w:val="2"/>
              <w:sz w:val="24"/>
              <w:szCs w:val="24"/>
              <w:lang w:val="en-US" w:eastAsia="zh-CN" w:bidi="ar-SA"/>
            </w:rPr>
            <w:t>þ</w:t>
          </w:r>
        </w:sdtContent>
      </w:sdt>
      <w:r>
        <w:rPr>
          <w:rFonts w:hint="eastAsia" w:eastAsia="宋体"/>
        </w:rPr>
        <w:t>”系指适用本项目的要求，“</w:t>
      </w:r>
      <w:sdt>
        <w:sdtPr>
          <w:rPr>
            <w:rFonts w:hint="eastAsia" w:eastAsia="宋体"/>
          </w:rPr>
          <w:id w:val="882526071"/>
          <w14:checkbox>
            <w14:checked w14:val="0"/>
            <w14:checkedState w14:val="00FE" w14:font="Wingdings"/>
            <w14:uncheckedState w14:val="2610" w14:font="MS Gothic"/>
          </w14:checkbox>
        </w:sdtPr>
        <w:sdtEndPr>
          <w:rPr>
            <w:rFonts w:hint="eastAsia" w:eastAsia="宋体"/>
          </w:rPr>
        </w:sdtEndPr>
        <w:sdtContent>
          <w:r>
            <w:rPr>
              <w:rFonts w:hint="eastAsia" w:ascii="MS Gothic" w:hAnsi="MS Gothic" w:eastAsia="宋体" w:cs="宋体"/>
              <w:kern w:val="2"/>
              <w:sz w:val="24"/>
              <w:szCs w:val="24"/>
              <w:lang w:val="en-US" w:eastAsia="zh-CN" w:bidi="ar-SA"/>
            </w:rPr>
            <w:t>☐</w:t>
          </w:r>
        </w:sdtContent>
      </w:sdt>
      <w:r>
        <w:rPr>
          <w:rFonts w:hint="eastAsia" w:eastAsia="宋体"/>
        </w:rPr>
        <w:t>” 系指不适用本项目的要求。</w:t>
      </w:r>
    </w:p>
    <w:p>
      <w:pPr>
        <w:pStyle w:val="7"/>
        <w:ind w:firstLine="482"/>
        <w:rPr>
          <w:rFonts w:eastAsia="宋体"/>
          <w:b/>
          <w:bCs/>
        </w:rPr>
      </w:pPr>
      <w:r>
        <w:rPr>
          <w:rFonts w:hint="eastAsia" w:eastAsia="宋体"/>
          <w:b/>
          <w:bCs/>
        </w:rPr>
        <w:t>3. 采购项目需要落实的政府采购政策</w:t>
      </w:r>
    </w:p>
    <w:p>
      <w:pPr>
        <w:pStyle w:val="7"/>
        <w:rPr>
          <w:rFonts w:eastAsia="宋体"/>
        </w:rPr>
      </w:pPr>
      <w:r>
        <w:rPr>
          <w:rFonts w:hint="eastAsia" w:eastAsia="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7"/>
        <w:rPr>
          <w:rFonts w:eastAsia="宋体"/>
        </w:rPr>
      </w:pPr>
      <w:r>
        <w:rPr>
          <w:rFonts w:hint="eastAsia" w:eastAsia="宋体"/>
        </w:rPr>
        <w:t>3.2 支持绿色发展</w:t>
      </w:r>
    </w:p>
    <w:p>
      <w:pPr>
        <w:pStyle w:val="7"/>
        <w:rPr>
          <w:rFonts w:eastAsia="宋体"/>
        </w:rPr>
      </w:pPr>
      <w:r>
        <w:rPr>
          <w:rFonts w:hint="eastAsia" w:eastAsia="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征集文件要求提供相关产品认证证书。</w:t>
      </w:r>
      <w:r>
        <w:rPr>
          <w:rFonts w:hint="eastAsia" w:eastAsia="宋体"/>
          <w:b/>
          <w:bCs/>
        </w:rPr>
        <w:t>▲采购人拟采购的产品属于政府强制采购的节能产品品目清单范围的，投标人未按征集文件要求提供国家确定的认证机构出具的、处于有效期之内的节能产品认证证书的，投标无效。</w:t>
      </w:r>
    </w:p>
    <w:p>
      <w:pPr>
        <w:pStyle w:val="7"/>
        <w:rPr>
          <w:rFonts w:eastAsia="宋体"/>
        </w:rPr>
      </w:pPr>
      <w:r>
        <w:rPr>
          <w:rFonts w:hint="eastAsia" w:eastAsia="宋体"/>
        </w:rPr>
        <w:t>3.2.2 修缮、装修类项目采购建材的，采购人应将绿色建筑和绿色建材性能、指标等作为实质性条件纳入征集文件和合同。</w:t>
      </w:r>
    </w:p>
    <w:p>
      <w:pPr>
        <w:pStyle w:val="7"/>
        <w:rPr>
          <w:rFonts w:eastAsia="宋体"/>
        </w:rPr>
      </w:pPr>
      <w:r>
        <w:rPr>
          <w:rFonts w:hint="eastAsia" w:eastAsia="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7"/>
        <w:rPr>
          <w:rFonts w:eastAsia="宋体"/>
        </w:rPr>
      </w:pPr>
      <w:r>
        <w:rPr>
          <w:rFonts w:hint="eastAsia" w:eastAsia="宋体"/>
        </w:rPr>
        <w:t>3.3支持中小企业发展</w:t>
      </w:r>
    </w:p>
    <w:p>
      <w:pPr>
        <w:pStyle w:val="7"/>
        <w:rPr>
          <w:rFonts w:eastAsia="宋体"/>
        </w:rPr>
      </w:pPr>
      <w:r>
        <w:rPr>
          <w:rFonts w:hint="eastAsia" w:eastAsia="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rPr>
          <w:rFonts w:eastAsia="宋体"/>
        </w:rPr>
      </w:pPr>
      <w:r>
        <w:rPr>
          <w:rFonts w:hint="eastAsia" w:eastAsia="宋体"/>
        </w:rPr>
        <w:t>符合中小企业划分标准的个体工商户，在政府采购活动中视同中小企业。</w:t>
      </w:r>
    </w:p>
    <w:p>
      <w:pPr>
        <w:pStyle w:val="7"/>
        <w:rPr>
          <w:rFonts w:eastAsia="宋体"/>
        </w:rPr>
      </w:pPr>
      <w:r>
        <w:rPr>
          <w:rFonts w:hint="eastAsia" w:eastAsia="宋体"/>
        </w:rPr>
        <w:t>3.3.2在政府采购活动中，投标人提供的货物、工程或者服务符合下列情形的，享受中小企业扶持政策：</w:t>
      </w:r>
    </w:p>
    <w:p>
      <w:pPr>
        <w:pStyle w:val="7"/>
        <w:rPr>
          <w:rFonts w:eastAsia="宋体"/>
        </w:rPr>
      </w:pPr>
      <w:r>
        <w:rPr>
          <w:rFonts w:hint="eastAsia" w:eastAsia="宋体"/>
        </w:rPr>
        <w:t>3.3.2.1在货物采购项目中，货物由中小企业制造，即货物由中小企业生产且使用该中小企业商号或者注册商标；</w:t>
      </w:r>
    </w:p>
    <w:p>
      <w:pPr>
        <w:pStyle w:val="7"/>
        <w:rPr>
          <w:rFonts w:eastAsia="宋体"/>
        </w:rPr>
      </w:pPr>
      <w:r>
        <w:rPr>
          <w:rFonts w:hint="eastAsia" w:eastAsia="宋体"/>
        </w:rPr>
        <w:t>3.3.2.2在工程采购项目中，工程由中小企业承建，即工程施工单位为中小企业；</w:t>
      </w:r>
    </w:p>
    <w:p>
      <w:pPr>
        <w:pStyle w:val="7"/>
        <w:rPr>
          <w:rFonts w:eastAsia="宋体"/>
        </w:rPr>
      </w:pPr>
      <w:r>
        <w:rPr>
          <w:rFonts w:hint="eastAsia" w:eastAsia="宋体"/>
        </w:rPr>
        <w:t>3.3.2.3在服务采购项目中，服务由中小企业承接，即提供服务的人员为中小企业依照《中华人民共和国劳动合同法》订立劳动合同的从业人员。</w:t>
      </w:r>
    </w:p>
    <w:p>
      <w:pPr>
        <w:pStyle w:val="7"/>
        <w:rPr>
          <w:rFonts w:eastAsia="宋体"/>
        </w:rPr>
      </w:pPr>
      <w:r>
        <w:rPr>
          <w:rFonts w:hint="eastAsia" w:eastAsia="宋体"/>
        </w:rPr>
        <w:t>在货物采购项目中，投标人提供的货物既有中小企业制造货物，也有大型企业制造货物的，不享受中小企业扶持政策。</w:t>
      </w:r>
    </w:p>
    <w:p>
      <w:pPr>
        <w:pStyle w:val="7"/>
        <w:rPr>
          <w:rFonts w:eastAsia="宋体"/>
        </w:rPr>
      </w:pPr>
      <w:r>
        <w:rPr>
          <w:rFonts w:hint="eastAsia" w:eastAsia="宋体"/>
        </w:rPr>
        <w:t>以联合体形式参加政府采购活动，联合体各方均为中小企业的，联合体视同中小企业。其中，联合体各方均为小微企业的，联合体视同小微企业。</w:t>
      </w:r>
    </w:p>
    <w:p>
      <w:pPr>
        <w:pStyle w:val="7"/>
        <w:rPr>
          <w:rFonts w:eastAsia="宋体"/>
          <w:b/>
          <w:bCs/>
        </w:rPr>
      </w:pPr>
      <w:r>
        <w:rPr>
          <w:rFonts w:hint="eastAsia" w:eastAsia="宋体"/>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hint="eastAsia" w:eastAsia="宋体"/>
          <w:b/>
          <w:bCs/>
        </w:rPr>
        <w:t>（本项目不实行价格扣除）</w:t>
      </w:r>
    </w:p>
    <w:p>
      <w:pPr>
        <w:pStyle w:val="7"/>
        <w:rPr>
          <w:rFonts w:eastAsia="宋体"/>
        </w:rPr>
      </w:pPr>
      <w:r>
        <w:rPr>
          <w:rFonts w:hint="eastAsia" w:eastAsia="宋体"/>
        </w:rPr>
        <w:t>3.3.4符合《关于促进残疾人就业政府采购政策的通知》（财库〔2017〕141号）规定的条件并提供《残疾人福利性单位声明函》（附件1）的残疾人福利性单位视同小型、微型企业；</w:t>
      </w:r>
    </w:p>
    <w:p>
      <w:pPr>
        <w:pStyle w:val="7"/>
        <w:rPr>
          <w:rFonts w:eastAsia="宋体"/>
        </w:rPr>
      </w:pPr>
      <w:r>
        <w:rPr>
          <w:rFonts w:hint="eastAsia" w:eastAsia="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7"/>
        <w:rPr>
          <w:rFonts w:eastAsia="宋体"/>
        </w:rPr>
      </w:pPr>
      <w:r>
        <w:rPr>
          <w:rFonts w:hint="eastAsia" w:eastAsia="宋体"/>
        </w:rPr>
        <w:t>3.3.6可享受中小企业扶持政策的投标人应按照征集文件格式要求提供《中小企业声明函》，投标人提供的《中小企业声明函》与实际情况不符的，不享受中小企业扶持政策。声明内容不实的，属于提供虚假材料谋取中标、成交的，依法承担法律责任。</w:t>
      </w:r>
    </w:p>
    <w:p>
      <w:pPr>
        <w:pStyle w:val="7"/>
        <w:rPr>
          <w:rFonts w:eastAsia="宋体"/>
        </w:rPr>
      </w:pPr>
      <w:r>
        <w:rPr>
          <w:rFonts w:hint="eastAsia" w:eastAsia="宋体"/>
        </w:rPr>
        <w:t>3.3.7中小企业享受扶持政策获得政府采购合同的，小微企业不得将合同分包给大中型企业，中型企业不得将合同分包给大型企业。</w:t>
      </w:r>
    </w:p>
    <w:p>
      <w:pPr>
        <w:pStyle w:val="7"/>
        <w:rPr>
          <w:rFonts w:eastAsia="宋体"/>
        </w:rPr>
      </w:pPr>
      <w:r>
        <w:rPr>
          <w:rFonts w:hint="eastAsia" w:eastAsia="宋体"/>
        </w:rPr>
        <w:t>3.4支持创新发展</w:t>
      </w:r>
    </w:p>
    <w:p>
      <w:pPr>
        <w:pStyle w:val="7"/>
        <w:rPr>
          <w:rFonts w:eastAsia="宋体"/>
        </w:rPr>
      </w:pPr>
      <w:r>
        <w:rPr>
          <w:rFonts w:hint="eastAsia" w:eastAsia="宋体"/>
        </w:rPr>
        <w:t>3.4.1 采购人优先采购被认定为首台套产品和“制造精品”的自主创新产品。</w:t>
      </w:r>
    </w:p>
    <w:p>
      <w:pPr>
        <w:pStyle w:val="7"/>
        <w:rPr>
          <w:rFonts w:eastAsia="宋体"/>
        </w:rPr>
      </w:pPr>
      <w:r>
        <w:rPr>
          <w:rFonts w:hint="eastAsia" w:eastAsia="宋体"/>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7"/>
        <w:rPr>
          <w:rFonts w:eastAsia="宋体"/>
        </w:rPr>
      </w:pPr>
      <w:r>
        <w:rPr>
          <w:rFonts w:hint="eastAsia" w:eastAsia="宋体"/>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pStyle w:val="7"/>
        <w:ind w:firstLine="482"/>
        <w:rPr>
          <w:rFonts w:eastAsia="宋体"/>
          <w:b/>
          <w:bCs/>
        </w:rPr>
      </w:pPr>
      <w:r>
        <w:rPr>
          <w:rFonts w:hint="eastAsia" w:eastAsia="宋体"/>
          <w:b/>
          <w:bCs/>
        </w:rPr>
        <w:t>4. 询问、质疑、投诉</w:t>
      </w:r>
    </w:p>
    <w:p>
      <w:pPr>
        <w:pStyle w:val="7"/>
        <w:rPr>
          <w:rFonts w:eastAsia="宋体"/>
          <w:lang w:val="zh-CN"/>
        </w:rPr>
      </w:pPr>
      <w:r>
        <w:rPr>
          <w:rFonts w:hint="eastAsia" w:eastAsia="宋体"/>
          <w:lang w:val="zh-CN"/>
        </w:rPr>
        <w:t>4.1供应商询问</w:t>
      </w:r>
    </w:p>
    <w:p>
      <w:pPr>
        <w:pStyle w:val="7"/>
        <w:rPr>
          <w:rFonts w:eastAsia="宋体"/>
          <w:lang w:val="zh-CN"/>
        </w:rPr>
      </w:pPr>
      <w:r>
        <w:rPr>
          <w:rFonts w:hint="eastAsia" w:eastAsia="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7"/>
        <w:rPr>
          <w:rFonts w:eastAsia="宋体"/>
          <w:lang w:val="zh-CN"/>
        </w:rPr>
      </w:pPr>
      <w:r>
        <w:rPr>
          <w:rFonts w:hint="eastAsia" w:eastAsia="宋体"/>
          <w:lang w:val="zh-CN"/>
        </w:rPr>
        <w:t>4.2供应商质疑</w:t>
      </w:r>
    </w:p>
    <w:p>
      <w:pPr>
        <w:pStyle w:val="7"/>
        <w:rPr>
          <w:rFonts w:eastAsia="宋体"/>
        </w:rPr>
      </w:pPr>
      <w:r>
        <w:rPr>
          <w:rFonts w:hint="eastAsia" w:eastAsia="宋体"/>
          <w:lang w:val="zh-CN"/>
        </w:rPr>
        <w:t>4.2</w:t>
      </w:r>
      <w:r>
        <w:rPr>
          <w:rFonts w:hint="eastAsia" w:eastAsia="宋体"/>
        </w:rPr>
        <w:t>.1提出质疑的供应商应当是参与所质疑项目采购活动的供应商。潜在供应商已依法获取其可质疑的征集文件的，可以对该文件提出质疑。</w:t>
      </w:r>
    </w:p>
    <w:p>
      <w:pPr>
        <w:pStyle w:val="7"/>
        <w:rPr>
          <w:rFonts w:eastAsia="宋体"/>
        </w:rPr>
      </w:pPr>
      <w:r>
        <w:rPr>
          <w:rFonts w:hint="eastAsia" w:eastAsia="宋体"/>
          <w:lang w:val="zh-CN"/>
        </w:rPr>
        <w:t>4.2</w:t>
      </w:r>
      <w:r>
        <w:rPr>
          <w:rFonts w:hint="eastAsia" w:eastAsia="宋体"/>
        </w:rPr>
        <w:t>.2供应商认为征集文件、采购过程和中标结果使自己的权益受到损害的，可以在知道或者应知其权益受到损害之日起七个工作日内，以书面形式向采购人或者采购机构提出质疑，否则，采购人或者采购机构不予受理：</w:t>
      </w:r>
    </w:p>
    <w:p>
      <w:pPr>
        <w:pStyle w:val="7"/>
        <w:rPr>
          <w:rFonts w:eastAsia="宋体"/>
        </w:rPr>
      </w:pPr>
      <w:r>
        <w:rPr>
          <w:rFonts w:hint="eastAsia" w:eastAsia="宋体"/>
        </w:rPr>
        <w:t>4.2.2.1对征集文件提出质疑的，质疑期限为供应商获得征集文件之日或者征集文件公告期限届满之日起计算。</w:t>
      </w:r>
    </w:p>
    <w:p>
      <w:pPr>
        <w:pStyle w:val="7"/>
        <w:rPr>
          <w:rFonts w:eastAsia="宋体"/>
        </w:rPr>
      </w:pPr>
      <w:r>
        <w:rPr>
          <w:rFonts w:hint="eastAsia" w:eastAsia="宋体"/>
        </w:rPr>
        <w:t>4.2.2.2对采购过程提出质疑的，质疑期限为各采购程序环节结束之日起计算。对同一采购程序环节的质疑，供应商须一次性提出。</w:t>
      </w:r>
    </w:p>
    <w:p>
      <w:pPr>
        <w:pStyle w:val="7"/>
        <w:rPr>
          <w:rFonts w:eastAsia="宋体"/>
        </w:rPr>
      </w:pPr>
      <w:r>
        <w:rPr>
          <w:rFonts w:hint="eastAsia" w:eastAsia="宋体"/>
        </w:rPr>
        <w:t>4.2.2.3对采购结果提出质疑的，质疑期限自采购结果公告期限届满之日起计算。</w:t>
      </w:r>
    </w:p>
    <w:p>
      <w:pPr>
        <w:pStyle w:val="7"/>
        <w:rPr>
          <w:rFonts w:eastAsia="宋体"/>
        </w:rPr>
      </w:pPr>
      <w:r>
        <w:rPr>
          <w:rFonts w:hint="eastAsia" w:eastAsia="宋体"/>
          <w:lang w:val="zh-CN"/>
        </w:rPr>
        <w:t>4.2.3</w:t>
      </w:r>
      <w:r>
        <w:rPr>
          <w:rFonts w:hint="eastAsia" w:eastAsia="宋体"/>
        </w:rPr>
        <w:t>供应商提出质疑应当提交质疑函和必要的证明材料。质疑函应当包括下列内容：</w:t>
      </w:r>
    </w:p>
    <w:p>
      <w:pPr>
        <w:pStyle w:val="7"/>
        <w:rPr>
          <w:rFonts w:eastAsia="宋体"/>
        </w:rPr>
      </w:pPr>
      <w:r>
        <w:rPr>
          <w:rFonts w:hint="eastAsia" w:eastAsia="宋体"/>
        </w:rPr>
        <w:t>　　</w:t>
      </w:r>
      <w:r>
        <w:rPr>
          <w:rFonts w:hint="eastAsia" w:eastAsia="宋体"/>
          <w:lang w:val="zh-CN"/>
        </w:rPr>
        <w:t>4.2.3.1</w:t>
      </w:r>
      <w:r>
        <w:rPr>
          <w:rFonts w:hint="eastAsia" w:eastAsia="宋体"/>
        </w:rPr>
        <w:t>供应商的姓名或者名称、地址、邮编、联系人及联系电话；</w:t>
      </w:r>
    </w:p>
    <w:p>
      <w:pPr>
        <w:pStyle w:val="7"/>
        <w:rPr>
          <w:rFonts w:eastAsia="宋体"/>
        </w:rPr>
      </w:pPr>
      <w:r>
        <w:rPr>
          <w:rFonts w:hint="eastAsia" w:eastAsia="宋体"/>
        </w:rPr>
        <w:t>　　</w:t>
      </w:r>
      <w:r>
        <w:rPr>
          <w:rFonts w:hint="eastAsia" w:eastAsia="宋体"/>
          <w:lang w:val="zh-CN"/>
        </w:rPr>
        <w:t>4.2.3.2</w:t>
      </w:r>
      <w:r>
        <w:rPr>
          <w:rFonts w:hint="eastAsia" w:eastAsia="宋体"/>
        </w:rPr>
        <w:t>质疑项目的名称、编号；</w:t>
      </w:r>
    </w:p>
    <w:p>
      <w:pPr>
        <w:pStyle w:val="7"/>
        <w:rPr>
          <w:rFonts w:eastAsia="宋体"/>
        </w:rPr>
      </w:pPr>
      <w:r>
        <w:rPr>
          <w:rFonts w:hint="eastAsia" w:eastAsia="宋体"/>
        </w:rPr>
        <w:t>　　</w:t>
      </w:r>
      <w:r>
        <w:rPr>
          <w:rFonts w:hint="eastAsia" w:eastAsia="宋体"/>
          <w:lang w:val="zh-CN"/>
        </w:rPr>
        <w:t>4.2.3.3</w:t>
      </w:r>
      <w:r>
        <w:rPr>
          <w:rFonts w:hint="eastAsia" w:eastAsia="宋体"/>
        </w:rPr>
        <w:t>具体、明确的质疑事项和与质疑事项相关的请求；</w:t>
      </w:r>
    </w:p>
    <w:p>
      <w:pPr>
        <w:pStyle w:val="7"/>
        <w:rPr>
          <w:rFonts w:eastAsia="宋体"/>
        </w:rPr>
      </w:pPr>
      <w:r>
        <w:rPr>
          <w:rFonts w:hint="eastAsia" w:eastAsia="宋体"/>
        </w:rPr>
        <w:t>　　</w:t>
      </w:r>
      <w:r>
        <w:rPr>
          <w:rFonts w:hint="eastAsia" w:eastAsia="宋体"/>
          <w:lang w:val="zh-CN"/>
        </w:rPr>
        <w:t>4.2.3.4</w:t>
      </w:r>
      <w:r>
        <w:rPr>
          <w:rFonts w:hint="eastAsia" w:eastAsia="宋体"/>
        </w:rPr>
        <w:t>事实依据；</w:t>
      </w:r>
    </w:p>
    <w:p>
      <w:pPr>
        <w:pStyle w:val="7"/>
        <w:rPr>
          <w:rFonts w:eastAsia="宋体"/>
        </w:rPr>
      </w:pPr>
      <w:r>
        <w:rPr>
          <w:rFonts w:hint="eastAsia" w:eastAsia="宋体"/>
        </w:rPr>
        <w:t>　　</w:t>
      </w:r>
      <w:r>
        <w:rPr>
          <w:rFonts w:hint="eastAsia" w:eastAsia="宋体"/>
          <w:lang w:val="zh-CN"/>
        </w:rPr>
        <w:t>4.2.3.5</w:t>
      </w:r>
      <w:r>
        <w:rPr>
          <w:rFonts w:hint="eastAsia" w:eastAsia="宋体"/>
        </w:rPr>
        <w:t>必要的法律依据；</w:t>
      </w:r>
    </w:p>
    <w:p>
      <w:pPr>
        <w:pStyle w:val="7"/>
        <w:rPr>
          <w:rFonts w:eastAsia="宋体"/>
        </w:rPr>
      </w:pPr>
      <w:r>
        <w:rPr>
          <w:rFonts w:hint="eastAsia" w:eastAsia="宋体"/>
          <w:lang w:val="zh-CN"/>
        </w:rPr>
        <w:t>4.2.3.6</w:t>
      </w:r>
      <w:r>
        <w:rPr>
          <w:rFonts w:hint="eastAsia" w:eastAsia="宋体"/>
        </w:rPr>
        <w:t>提出质疑的日期。</w:t>
      </w:r>
    </w:p>
    <w:p>
      <w:pPr>
        <w:pStyle w:val="7"/>
        <w:rPr>
          <w:rFonts w:eastAsia="宋体"/>
        </w:rPr>
      </w:pPr>
      <w:r>
        <w:rPr>
          <w:rFonts w:hint="eastAsia" w:eastAsia="宋体"/>
        </w:rPr>
        <w:t>供应商提交的质疑函需一式三份。供应商为自然人的，应当由本人签字；供应商为法人或者其他组织的，应当由法定代表人、主要负责人，或者其授权代表签字或者盖章，并加盖公章。</w:t>
      </w:r>
    </w:p>
    <w:p>
      <w:pPr>
        <w:pStyle w:val="7"/>
        <w:rPr>
          <w:rFonts w:eastAsia="宋体"/>
        </w:rPr>
      </w:pPr>
      <w:r>
        <w:rPr>
          <w:rFonts w:hint="eastAsia" w:eastAsia="宋体"/>
        </w:rPr>
        <w:t>质疑函范本及制作说明详见附件2。</w:t>
      </w:r>
    </w:p>
    <w:p>
      <w:pPr>
        <w:pStyle w:val="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.5询问或者质疑事项可能影响采购结果的，采购人应当暂停签订合同，已经签订合同的，应当中止履行合同。</w:t>
      </w:r>
    </w:p>
    <w:p>
      <w:pPr>
        <w:pStyle w:val="20"/>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4.3供应商投诉</w:t>
      </w:r>
    </w:p>
    <w:p>
      <w:pPr>
        <w:pStyle w:val="20"/>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20"/>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20"/>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20"/>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20"/>
        <w:shd w:val="clear" w:color="auto" w:fill="FFFFFF"/>
        <w:snapToGrid w:val="0"/>
        <w:spacing w:after="240" w:afterAutospacing="0" w:line="360" w:lineRule="auto"/>
        <w:ind w:firstLine="400"/>
        <w:contextualSpacing/>
      </w:pPr>
      <w:r>
        <w:rPr>
          <w:rFonts w:hint="eastAsia"/>
        </w:rPr>
        <w:t>投诉书范本及制作说明详见附件3。</w:t>
      </w:r>
    </w:p>
    <w:p>
      <w:pPr>
        <w:spacing w:line="360" w:lineRule="auto"/>
        <w:jc w:val="center"/>
        <w:outlineLvl w:val="0"/>
        <w:rPr>
          <w:rFonts w:ascii="宋体" w:hAnsi="宋体" w:eastAsia="宋体" w:cs="宋体"/>
          <w:b/>
          <w:sz w:val="32"/>
          <w:szCs w:val="20"/>
        </w:rPr>
      </w:pPr>
      <w:r>
        <w:rPr>
          <w:rFonts w:hint="eastAsia" w:ascii="宋体" w:hAnsi="宋体" w:eastAsia="宋体" w:cs="宋体"/>
          <w:b/>
          <w:sz w:val="32"/>
          <w:szCs w:val="20"/>
        </w:rPr>
        <w:t>二、征集文件的构成、澄清、修改</w:t>
      </w:r>
    </w:p>
    <w:p>
      <w:pPr>
        <w:pStyle w:val="20"/>
        <w:shd w:val="clear" w:color="auto" w:fill="FFFFFF"/>
        <w:snapToGrid w:val="0"/>
        <w:spacing w:after="240" w:afterAutospacing="0" w:line="360" w:lineRule="auto"/>
        <w:ind w:firstLine="400"/>
        <w:contextualSpacing/>
        <w:rPr>
          <w:b/>
          <w:bCs/>
        </w:rPr>
      </w:pPr>
      <w:r>
        <w:rPr>
          <w:rFonts w:hint="eastAsia"/>
          <w:b/>
          <w:bCs/>
        </w:rPr>
        <w:t>5．征集文件的构成</w:t>
      </w:r>
    </w:p>
    <w:p>
      <w:pPr>
        <w:pStyle w:val="20"/>
        <w:shd w:val="clear" w:color="auto" w:fill="FFFFFF"/>
        <w:snapToGrid w:val="0"/>
        <w:spacing w:after="240" w:afterAutospacing="0" w:line="360" w:lineRule="auto"/>
        <w:ind w:firstLine="400"/>
        <w:contextualSpacing/>
      </w:pPr>
      <w:r>
        <w:rPr>
          <w:rFonts w:hint="eastAsia"/>
        </w:rPr>
        <w:t>5.1 征集文件包括下列文件及附件：</w:t>
      </w:r>
    </w:p>
    <w:p>
      <w:pPr>
        <w:pStyle w:val="20"/>
        <w:shd w:val="clear" w:color="auto" w:fill="FFFFFF"/>
        <w:snapToGrid w:val="0"/>
        <w:spacing w:after="240" w:afterAutospacing="0" w:line="360" w:lineRule="auto"/>
        <w:ind w:firstLine="400"/>
        <w:contextualSpacing/>
      </w:pPr>
      <w:r>
        <w:rPr>
          <w:rFonts w:hint="eastAsia"/>
        </w:rPr>
        <w:t>5.1.1征集公告；</w:t>
      </w:r>
    </w:p>
    <w:p>
      <w:pPr>
        <w:pStyle w:val="20"/>
        <w:shd w:val="clear" w:color="auto" w:fill="FFFFFF"/>
        <w:snapToGrid w:val="0"/>
        <w:spacing w:after="240" w:afterAutospacing="0" w:line="360" w:lineRule="auto"/>
        <w:ind w:firstLine="400"/>
        <w:contextualSpacing/>
      </w:pPr>
      <w:r>
        <w:rPr>
          <w:rFonts w:hint="eastAsia"/>
        </w:rPr>
        <w:t>5.1.2投标人须知；</w:t>
      </w:r>
    </w:p>
    <w:p>
      <w:pPr>
        <w:pStyle w:val="20"/>
        <w:shd w:val="clear" w:color="auto" w:fill="FFFFFF"/>
        <w:snapToGrid w:val="0"/>
        <w:spacing w:after="240" w:afterAutospacing="0" w:line="360" w:lineRule="auto"/>
        <w:ind w:firstLine="400"/>
        <w:contextualSpacing/>
      </w:pPr>
      <w:r>
        <w:rPr>
          <w:rFonts w:hint="eastAsia"/>
        </w:rPr>
        <w:t>5.1.3采购需求；</w:t>
      </w:r>
    </w:p>
    <w:p>
      <w:pPr>
        <w:pStyle w:val="20"/>
        <w:shd w:val="clear" w:color="auto" w:fill="FFFFFF"/>
        <w:snapToGrid w:val="0"/>
        <w:spacing w:after="240" w:afterAutospacing="0" w:line="360" w:lineRule="auto"/>
        <w:ind w:firstLine="400"/>
        <w:contextualSpacing/>
      </w:pPr>
      <w:r>
        <w:rPr>
          <w:rFonts w:hint="eastAsia"/>
        </w:rPr>
        <w:t>5.1.4评标办法；</w:t>
      </w:r>
    </w:p>
    <w:p>
      <w:pPr>
        <w:pStyle w:val="20"/>
        <w:shd w:val="clear" w:color="auto" w:fill="FFFFFF"/>
        <w:snapToGrid w:val="0"/>
        <w:spacing w:after="240" w:afterAutospacing="0" w:line="360" w:lineRule="auto"/>
        <w:ind w:firstLine="400"/>
        <w:contextualSpacing/>
      </w:pPr>
      <w:r>
        <w:rPr>
          <w:rFonts w:hint="eastAsia"/>
        </w:rPr>
        <w:t>5.1.5拟签订的合同文本；</w:t>
      </w:r>
    </w:p>
    <w:p>
      <w:pPr>
        <w:pStyle w:val="20"/>
        <w:shd w:val="clear" w:color="auto" w:fill="FFFFFF"/>
        <w:snapToGrid w:val="0"/>
        <w:spacing w:after="240" w:afterAutospacing="0" w:line="360" w:lineRule="auto"/>
        <w:ind w:firstLine="400"/>
        <w:contextualSpacing/>
      </w:pPr>
      <w:r>
        <w:rPr>
          <w:rFonts w:hint="eastAsia"/>
        </w:rPr>
        <w:t>5.1.6应提交的有关格式范例。</w:t>
      </w:r>
    </w:p>
    <w:p>
      <w:pPr>
        <w:pStyle w:val="20"/>
        <w:shd w:val="clear" w:color="auto" w:fill="FFFFFF"/>
        <w:snapToGrid w:val="0"/>
        <w:spacing w:after="240" w:afterAutospacing="0" w:line="360" w:lineRule="auto"/>
        <w:ind w:firstLine="400"/>
        <w:contextualSpacing/>
      </w:pPr>
      <w:r>
        <w:rPr>
          <w:rFonts w:hint="eastAsia"/>
        </w:rPr>
        <w:t>5.2与本项目有关的澄清或者修改的内容为征集文件的组成部分。</w:t>
      </w:r>
    </w:p>
    <w:p>
      <w:pPr>
        <w:pStyle w:val="20"/>
        <w:shd w:val="clear" w:color="auto" w:fill="FFFFFF"/>
        <w:snapToGrid w:val="0"/>
        <w:spacing w:after="240" w:afterAutospacing="0" w:line="360" w:lineRule="auto"/>
        <w:ind w:firstLine="400"/>
        <w:contextualSpacing/>
        <w:rPr>
          <w:b/>
          <w:bCs/>
        </w:rPr>
      </w:pPr>
      <w:r>
        <w:rPr>
          <w:rFonts w:hint="eastAsia"/>
          <w:b/>
          <w:bCs/>
        </w:rPr>
        <w:t>6. 征集文件的澄清、修改</w:t>
      </w:r>
    </w:p>
    <w:p>
      <w:pPr>
        <w:pStyle w:val="20"/>
        <w:shd w:val="clear" w:color="auto" w:fill="FFFFFF"/>
        <w:snapToGrid w:val="0"/>
        <w:spacing w:after="240" w:afterAutospacing="0" w:line="360" w:lineRule="auto"/>
        <w:ind w:firstLine="400"/>
        <w:contextualSpacing/>
      </w:pPr>
      <w:r>
        <w:rPr>
          <w:rFonts w:hint="eastAsia"/>
        </w:rPr>
        <w:t>6.1已获取征集文件的潜在投标人，若有问题需要澄清，应于响应截止时间前，以书面形式向采购机构提出。</w:t>
      </w:r>
    </w:p>
    <w:p>
      <w:pPr>
        <w:pStyle w:val="20"/>
        <w:shd w:val="clear" w:color="auto" w:fill="FFFFFF"/>
        <w:snapToGrid w:val="0"/>
        <w:spacing w:after="240" w:afterAutospacing="0" w:line="360" w:lineRule="auto"/>
        <w:ind w:firstLine="400"/>
        <w:contextualSpacing/>
        <w:rPr>
          <w:b/>
          <w:sz w:val="30"/>
          <w:szCs w:val="20"/>
        </w:rPr>
      </w:pPr>
      <w:r>
        <w:rPr>
          <w:rFonts w:hint="eastAsia"/>
        </w:rPr>
        <w:t>6.2 采购机构对征集文件进行澄清或修改的，将同时通过电子交易平台通知已获取征集文件的潜在投标人。依法应当公告的，将按规定公告，同时视情况延长响应截止时间和开标时间。该澄清或者修改的内容为征集文件的组成部分。</w:t>
      </w:r>
    </w:p>
    <w:p>
      <w:pPr>
        <w:spacing w:line="360" w:lineRule="auto"/>
        <w:jc w:val="center"/>
        <w:outlineLvl w:val="0"/>
        <w:rPr>
          <w:rFonts w:ascii="宋体" w:hAnsi="宋体" w:eastAsia="宋体" w:cs="宋体"/>
          <w:b/>
          <w:sz w:val="30"/>
          <w:szCs w:val="20"/>
        </w:rPr>
      </w:pPr>
      <w:r>
        <w:rPr>
          <w:rFonts w:hint="eastAsia" w:ascii="宋体" w:hAnsi="宋体" w:eastAsia="宋体" w:cs="宋体"/>
          <w:b/>
          <w:sz w:val="30"/>
          <w:szCs w:val="20"/>
        </w:rPr>
        <w:t>三、投标</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7. 征集文件的获取</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详见征集公告中获取征集文件的时间期限、地点、方式及征集文件售价。</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8.开标前答疑会或现场考察</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征集人组织潜在投标人现场考察或者召开开标前答疑会的，潜在投标人按第二部分投标人须知前附表的规定参加现场考察或者开标前答疑会。</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9.投标保证金</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本项目不需缴纳投标保证金。</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10. 响应文件的语言</w:t>
      </w:r>
    </w:p>
    <w:p>
      <w:pPr>
        <w:adjustRightInd w:val="0"/>
        <w:snapToGrid w:val="0"/>
        <w:spacing w:after="120"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响应文件及投标人与采购有关的来往通知、函件和文件均应使用中文。</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11. 响应文件的组成</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11.1资格文件：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11.1.1符合参加政府采购活动应当具备的一般条件的承诺函；</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11.1.2落实政府采购政策需满足的资格要求；</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11.1.3本项目的特定资格要求。</w:t>
      </w:r>
    </w:p>
    <w:p>
      <w:pPr>
        <w:adjustRightInd w:val="0"/>
        <w:snapToGrid w:val="0"/>
        <w:spacing w:after="120"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2</w:t>
      </w: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商务技术</w:t>
      </w:r>
      <w:r>
        <w:rPr>
          <w:rFonts w:hint="eastAsia" w:ascii="宋体" w:hAnsi="宋体" w:eastAsia="宋体" w:cs="宋体"/>
          <w:kern w:val="0"/>
          <w:sz w:val="24"/>
          <w:szCs w:val="24"/>
          <w:lang w:val="zh-CN"/>
        </w:rPr>
        <w:t>文件：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11.2.1投标函；</w:t>
      </w:r>
      <w:r>
        <w:rPr>
          <w:rFonts w:hint="eastAsia" w:ascii="宋体" w:hAnsi="宋体" w:eastAsia="宋体" w:cs="宋体"/>
          <w:kern w:val="0"/>
          <w:sz w:val="24"/>
          <w:szCs w:val="24"/>
          <w:lang w:val="zh-CN"/>
        </w:rPr>
        <w:t xml:space="preserve">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11.2.2授权委托书或法定代表人（单位负责人、自然人本人）身份证明；</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11.2.3联合协议；</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11.2.4分包意向协议；</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11.2.5符合性审查资料；</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11.2.6评标标准相应的商务技术资料；</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11.2.7商务技术偏离表；</w:t>
      </w:r>
    </w:p>
    <w:p>
      <w:pPr>
        <w:adjustRightInd w:val="0"/>
        <w:snapToGrid w:val="0"/>
        <w:spacing w:after="120"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2</w:t>
      </w:r>
      <w:r>
        <w:rPr>
          <w:rFonts w:hint="eastAsia" w:ascii="宋体" w:hAnsi="宋体" w:eastAsia="宋体" w:cs="宋体"/>
          <w:kern w:val="0"/>
          <w:sz w:val="24"/>
          <w:szCs w:val="24"/>
          <w:lang w:val="zh-CN"/>
        </w:rPr>
        <w:t>.</w:t>
      </w:r>
      <w:r>
        <w:rPr>
          <w:rFonts w:hint="eastAsia" w:ascii="宋体" w:hAnsi="宋体" w:eastAsia="宋体" w:cs="宋体"/>
          <w:kern w:val="0"/>
          <w:sz w:val="24"/>
          <w:szCs w:val="24"/>
        </w:rPr>
        <w:t>8</w:t>
      </w:r>
      <w:r>
        <w:rPr>
          <w:rFonts w:hint="eastAsia" w:ascii="宋体" w:hAnsi="宋体" w:eastAsia="宋体" w:cs="宋体"/>
          <w:kern w:val="0"/>
          <w:sz w:val="24"/>
          <w:szCs w:val="24"/>
          <w:lang w:val="zh-CN"/>
        </w:rPr>
        <w:t>政府采购供应商廉洁自律承诺书；</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11.2.9 本项目主要技术人员一览表</w:t>
      </w:r>
    </w:p>
    <w:p>
      <w:pPr>
        <w:adjustRightInd w:val="0"/>
        <w:snapToGrid w:val="0"/>
        <w:spacing w:after="120"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 xml:space="preserve">3报价文件：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11.3.1开标一览表（报价表）。</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响应文件含有征集人不能接受的附加条件的，响应无效；</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投标人提供虚假材料响应的，响应无效。</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12</w:t>
      </w:r>
      <w:r>
        <w:rPr>
          <w:rFonts w:hint="eastAsia" w:ascii="宋体" w:hAnsi="宋体" w:eastAsia="宋体" w:cs="宋体"/>
          <w:b/>
          <w:bCs/>
          <w:kern w:val="0"/>
          <w:sz w:val="24"/>
          <w:szCs w:val="24"/>
          <w:lang w:val="zh-CN"/>
        </w:rPr>
        <w:t xml:space="preserve">. </w:t>
      </w:r>
      <w:r>
        <w:rPr>
          <w:rFonts w:hint="eastAsia" w:ascii="宋体" w:hAnsi="宋体" w:eastAsia="宋体" w:cs="宋体"/>
          <w:b/>
          <w:bCs/>
          <w:kern w:val="0"/>
          <w:sz w:val="24"/>
          <w:szCs w:val="24"/>
        </w:rPr>
        <w:t>响应文件的编制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lang w:val="zh-CN"/>
        </w:rPr>
        <w:t>12.1响应文件分为资格文件、商务技术文件、报价文件三部分。各投标人在编制响应文件时请按照征集文件第六部分规定的格式进行，混乱的编排导致响应文件被误读或评标委员会查找不到有效文件是投标人的风险。</w:t>
      </w:r>
    </w:p>
    <w:p>
      <w:pPr>
        <w:adjustRightInd w:val="0"/>
        <w:snapToGrid w:val="0"/>
        <w:spacing w:after="120"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12.2投标人进行电子投标应安装客户端软件—“政采云电子交易客户端”，并按照征集文件和电子交易平台的要求编制并加密响应文件。投标人未按规定加密的响应文件，电子交易平台将拒收并提示。</w:t>
      </w:r>
    </w:p>
    <w:p>
      <w:pPr>
        <w:adjustRightInd w:val="0"/>
        <w:snapToGrid w:val="0"/>
        <w:spacing w:after="120"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13.响应文件的签署、盖章</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13.1响应文件按照征集文件第六部分格式要求进行签署、盖章。▲投标人的响应文件未按照征集文件要求签署、盖章的，其响应无效。</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13.2为确保网上操作合法、有效和安全，投标人应当在响应截止时间前完成在“政府采购云平台”的身份认证，确保在电子投标过程中能够对相关数据电文进行加密和使用电子签名。</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13.3征集文件对响应文件签署、盖章的要求适用于电子签名。</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14. 响应文件的提交、补充、修改、撤回</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14.2电子交易平台收到响应文件，将妥善保存并即时向供应商发出确认回执通知。在响应截止时间前，除供应商补充、修改或者撤回响应文件外，任何单位和个人不得解密或提取响应文件。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14.3采购人、采购机构可以视情况延长响应文件提交的截止时间。在上述情况下，采购机构与投标人以前在响应截止期方面的全部权利、责任和义务，将适用于延长至新的响应截止期。</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15.备份响应文件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 15.1投标人在电子交易平台传输递交响应文件后，还可以在响应截止时间前直接提交或者以邮政快递方式递交备份响应文件1份，但采购人、采购机构不强制或变相强制投标人提交备份响应文件。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15.2备份响应文件须在“政采云投标客户端”制作生成，并储存在DVD光盘中。备份响应文件应当密封包装并在包装上加盖公章并注明投标项目名称，投标人名称(联合体响应的，包装物封面需注明联合体投标，并注明联合体成员各方的名称和联合协议中约定的牵头人的名称)。不符合上述制作、存储、密封规定的备份响应文件将被视为无效或者被拒绝接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15.3直接提交备份响应文件的，投标人应于响应截止时间前在招标公告中载明的开标地点将备份响应文件提交给采购机构，采购机构将拒绝接受逾期送达的备份响应文件。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15.4以邮政快递方式递交备份响应文件的，投标人应先将备份响应文件按要求密封和标记，再进行邮政快递包装后邮寄。备份响应文件须在响应截止时间之前送达征集文件第二部分投标人须知前附表规定的备份响应文件送达地点；送达时间以签收人签收时间为准。采购机构将拒绝接受逾期送达的备份响应文件。邮寄过程中，电子备份响应文件发生泄露、遗失、损坏或延期送达等情况的，由投标人自行负责。</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15.5投标人仅提交备份响应文件，没有在电子交易平台传输递交响应文件的，投标无效。</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16.响应文件的无效处理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有征集文件第四部分第13项规定的情形之一的，响应无效。</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17.投标有效期</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17.1投标有效期为从提交响应文件的截止之日起90天。▲投标人的响应文件中承诺的投标有效期少于征集文件中载明的投标有效期的，投标无效。</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17.2响应文件合格投递后，自响应截止日期起，在投标有效期内有效。</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17.3在原定投标有效期满之前，如果出现特殊情况，采购机构可以以书面形式通知投标人延长投标有效期。投标人同意延长的，不得要求或被允许修改其响应文件，投标人拒绝延长的，其响应无效。</w:t>
      </w:r>
    </w:p>
    <w:p>
      <w:pPr>
        <w:adjustRightInd w:val="0"/>
        <w:spacing w:after="120" w:line="360" w:lineRule="auto"/>
        <w:ind w:firstLine="1928" w:firstLineChars="600"/>
        <w:rPr>
          <w:rFonts w:ascii="宋体" w:hAnsi="宋体" w:eastAsia="宋体" w:cs="宋体"/>
          <w:b/>
          <w:sz w:val="32"/>
        </w:rPr>
      </w:pPr>
      <w:r>
        <w:rPr>
          <w:rFonts w:hint="eastAsia" w:ascii="宋体" w:hAnsi="宋体" w:eastAsia="宋体" w:cs="宋体"/>
          <w:b/>
          <w:sz w:val="32"/>
        </w:rPr>
        <w:t>四、开标、资格审查与信用信息查询</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 xml:space="preserve">18.开标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18.1采购机构按照征集文件规定的时间通过电子交易平台组织开标，所有投标人均应当准时在线参加。投标人不足3家的，不得开标。</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18.2开标时，电子交易平台按开标时间自动提取所有响应文件。采购机构依托电子交易平台发起开始解密指令，投标人按照平台提示和征集文件的规定在半小时内完成在线解密。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18.3响应文件未按时解密，投标人提供了备份响应文件的，以备份响应文件作为依据，否则视为响应文件撤回。响应文件已按时解密的，备份响应文件自动失效。</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19、资格审查</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19.1开标后，采购人或采购机构将依法对投标人的资格进行审查。</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19.2采购人或采购机构依据法律法规和征集文件的规定，对投标人的基本资格条件、特定资格条件进行审查。</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19.3投标人未按照征集文件要求提供与基本资格条件、特定资格条件相应的有效资格证明材料的，视为投标人不具备征集文件中规定的资格要求，其响应无效。</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19.4对未通过资格审查的投标人，采购人或采购机构告知其未通过的原因。</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19.5合格投标人不足3家的，不再评标。</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20、信用信息查询</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20.1信用信息查询渠道及截止时间：采购机构将通过“信用中国”网站(www.creditchina.gov.cn)、中国政府采购网(www.ccgp.gov.cn)渠道查询投标人投标截止时间当天的信用记录。</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20.2信用信息查询记录和证据留存的具体方式：现场查询的投标人的信用记录、查询结果经确认后将与采购文件一起存档。</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20.3信用信息的使用规则：经查询列入失信被执行人名单、重大税收违法案件当事人名单、政府采购严重违法失信行为记录名单的投标人将被拒绝参与政府采购活动，其相应将被作为无效投标处理。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360" w:lineRule="auto"/>
        <w:jc w:val="center"/>
        <w:outlineLvl w:val="0"/>
        <w:rPr>
          <w:rFonts w:ascii="宋体" w:hAnsi="宋体" w:eastAsia="宋体" w:cs="宋体"/>
          <w:b/>
          <w:sz w:val="36"/>
          <w:szCs w:val="36"/>
        </w:rPr>
      </w:pPr>
      <w:r>
        <w:rPr>
          <w:rFonts w:hint="eastAsia" w:ascii="宋体" w:hAnsi="宋体" w:eastAsia="宋体" w:cs="宋体"/>
          <w:b/>
          <w:sz w:val="36"/>
          <w:szCs w:val="36"/>
        </w:rPr>
        <w:t>五、评标</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21. 评标委员会将根据征集文件和有关规定，履行评标工作职责，并按照评标方法及评分标准，全面衡量各投标人对征集文件的响应情况。对实质上响应征集文件的投标人，按照评审因素的量化指标排出推荐入围供应商先后顺序，并按顺序提出授标建议。详见征集文件第四部分评标办法。</w:t>
      </w:r>
    </w:p>
    <w:p>
      <w:pPr>
        <w:adjustRightInd w:val="0"/>
        <w:snapToGrid w:val="0"/>
        <w:spacing w:line="360" w:lineRule="auto"/>
        <w:jc w:val="center"/>
        <w:outlineLvl w:val="0"/>
        <w:rPr>
          <w:rFonts w:ascii="宋体" w:hAnsi="宋体" w:eastAsia="宋体" w:cs="宋体"/>
          <w:b/>
          <w:sz w:val="36"/>
          <w:szCs w:val="36"/>
        </w:rPr>
      </w:pPr>
      <w:r>
        <w:rPr>
          <w:rFonts w:hint="eastAsia" w:ascii="宋体" w:hAnsi="宋体" w:eastAsia="宋体" w:cs="宋体"/>
          <w:b/>
          <w:sz w:val="36"/>
          <w:szCs w:val="36"/>
        </w:rPr>
        <w:t>六、定 标</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22. 确定入围供应商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采购代理机构将自评审结束之日起2个工作日内将评审报告送交采购人。采购人将自收到评审报告之日起5个工作日内按照评审报告推荐顺序确定入围供应商。</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23. 入围通知与入围结果公告</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23.1采购代理机构将在自中标人确定之日起2个工作日内，在发布征集公告的网站上公告入围结果,同时向入围供应商发出入围通知书。</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23.2入围结果公告应当包括以下主要内容：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（一）采购项目名称、编号；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（二）征集人的名称、地址、联系人和联系方式；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（三）入围供应商名称、地址及排序；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（四）最高入围价格或者最低入围分值；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（五）入围产品名称、规格型号或者主要服务内容及服务标准，入围单价；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（六）评审小组成员名单；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（七）采购代理服务收费标准及金额；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（八）公告期限；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（九）省级以上财政部门规定的其他事项。</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23.3公告期限为1个工作日。</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23.4入围供应商的清退和补充规则</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在下列情形下甲方有权清退入围供应商，而不需要承担任何责任：</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1）入围供应商实质性违反本协议约定的；</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2）入围供应商有违反合同约定或其职责、义务的行为，在采购人指定期限内未予以纠正或补救的；</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3）入围供应商资质吊销或注销的；</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4）入围供应商泄漏委托方的秘密或与第三方串通损害采购人利益的；由此造成的经济损失，入围方应予赔偿；存在违法违规行为的，由相关部门进行处理；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5）采购人针对项目服务时限、质量有权提出要求，由于入围供应商原因，项目服务时限超出委托时限或质量不合格的；</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6）入围供应商与项目相关单位或个人私下交易，接受财物、吃请等违纪行为经查实的；存在违法违规行为的，由相关部门进行处理；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7）入围供应商在审核咨询过程中将资料丢失的；由此造成的经济损失，入围供应商应予赔偿；存在违法违规行为的，由相关部门进行处理；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8）在入围供应商违约情形下，采购人有权对本项目合同进行必要的变更。 因入围供应商违约导致合同解除的，入围供应商应按本项目正常计算酬金的 20%支付违约金。</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9）入围供应商提供服务时，需按委托人要求时限完成，无正当理由，未按时完成的将解除合同。</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10）执行纠错机制，即因审核项目结果存在较大争议，相关单位提出投诉，并确认入围供应商为责任方的，采购人有权终止合同。</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12）如遇到政策变化或者其他不可抗力因素，本协议自动解除。</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除剩余入围供应商不足入围供应商总数70%且影响框架协议执行的情形外，框架协议有效期内，征集人不得补充征集供应商。</w:t>
      </w:r>
    </w:p>
    <w:p>
      <w:pPr>
        <w:rPr>
          <w:rFonts w:ascii="宋体" w:hAnsi="宋体" w:eastAsia="宋体" w:cs="宋体"/>
        </w:rPr>
      </w:pPr>
    </w:p>
    <w:p>
      <w:pPr>
        <w:numPr>
          <w:ilvl w:val="0"/>
          <w:numId w:val="3"/>
        </w:numPr>
        <w:adjustRightInd w:val="0"/>
        <w:spacing w:after="120" w:line="360" w:lineRule="auto"/>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合同授予</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24. 合同主要条款详见第五部分拟签订的合同文本。</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25. 合同的签订</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25.1 征集人与入围供应商应当通过电子交易平台在入围通知书发出之日起三十日内，按照征集文件确定的事项签订政府采购合同，并在合同签订之日起2个工作日内依法发布合同公告。</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lang w:val="zh-CN"/>
        </w:rPr>
        <w:t>25.2</w:t>
      </w:r>
      <w:r>
        <w:rPr>
          <w:rFonts w:hint="eastAsia" w:ascii="宋体" w:hAnsi="宋体" w:eastAsia="宋体" w:cs="宋体"/>
          <w:kern w:val="0"/>
          <w:sz w:val="24"/>
          <w:szCs w:val="24"/>
        </w:rPr>
        <w:t>入围供应商</w:t>
      </w:r>
      <w:r>
        <w:rPr>
          <w:rFonts w:hint="eastAsia" w:ascii="宋体" w:hAnsi="宋体" w:eastAsia="宋体" w:cs="宋体"/>
          <w:kern w:val="0"/>
          <w:sz w:val="24"/>
          <w:szCs w:val="24"/>
          <w:lang w:val="zh-CN"/>
        </w:rPr>
        <w:t>按规定的日期、时间、地点，由法定代表人或其授权代表与采购人代表签订合同。如</w:t>
      </w:r>
      <w:r>
        <w:rPr>
          <w:rFonts w:hint="eastAsia" w:ascii="宋体" w:hAnsi="宋体" w:eastAsia="宋体" w:cs="宋体"/>
          <w:kern w:val="0"/>
          <w:sz w:val="24"/>
          <w:szCs w:val="24"/>
        </w:rPr>
        <w:t>入围供应商</w:t>
      </w:r>
      <w:r>
        <w:rPr>
          <w:rFonts w:hint="eastAsia" w:ascii="宋体" w:hAnsi="宋体" w:eastAsia="宋体" w:cs="宋体"/>
          <w:kern w:val="0"/>
          <w:sz w:val="24"/>
          <w:szCs w:val="24"/>
          <w:lang w:val="zh-CN"/>
        </w:rPr>
        <w:t>为联合体的，由联合体成员各方法定代表人或其授权代表与采购人代表签订合同。</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25.4入围供应商拒绝与采购人签订合同的，采购人则将授予排序在该投标人之后的下一个投标人。</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25.5采购合同由采购人与中标供应商根据征集文件、响应文件等内容通过政府采购电子交易平台在线签订，自动备案。</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26. 履约保证金</w:t>
      </w:r>
    </w:p>
    <w:p>
      <w:pPr>
        <w:adjustRightInd w:val="0"/>
        <w:snapToGrid w:val="0"/>
        <w:spacing w:after="120" w:line="360" w:lineRule="auto"/>
        <w:ind w:firstLine="480" w:firstLineChars="200"/>
        <w:rPr>
          <w:rFonts w:ascii="宋体" w:hAnsi="宋体" w:eastAsia="宋体" w:cs="宋体"/>
          <w:b/>
          <w:bCs/>
          <w:kern w:val="0"/>
          <w:sz w:val="24"/>
          <w:szCs w:val="24"/>
        </w:rPr>
      </w:pPr>
      <w:r>
        <w:rPr>
          <w:rFonts w:hint="eastAsia" w:ascii="宋体" w:hAnsi="宋体" w:eastAsia="宋体" w:cs="宋体"/>
          <w:kern w:val="0"/>
          <w:sz w:val="24"/>
          <w:szCs w:val="24"/>
        </w:rPr>
        <w:t>拟签订的合同文本要求入围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宋体" w:hAnsi="宋体" w:eastAsia="宋体" w:cs="宋体"/>
          <w:b/>
          <w:bCs/>
          <w:kern w:val="0"/>
          <w:sz w:val="24"/>
          <w:szCs w:val="24"/>
        </w:rPr>
        <w:t>采购人不得拒收履约保函。</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adjustRightInd w:val="0"/>
        <w:snapToGrid w:val="0"/>
        <w:spacing w:line="360" w:lineRule="auto"/>
        <w:ind w:firstLine="3357" w:firstLineChars="1045"/>
        <w:rPr>
          <w:rFonts w:ascii="宋体" w:hAnsi="宋体" w:eastAsia="宋体" w:cs="宋体"/>
          <w:b/>
          <w:sz w:val="32"/>
          <w:szCs w:val="24"/>
        </w:rPr>
      </w:pPr>
    </w:p>
    <w:p>
      <w:pPr>
        <w:adjustRightInd w:val="0"/>
        <w:snapToGrid w:val="0"/>
        <w:spacing w:line="360" w:lineRule="auto"/>
        <w:ind w:firstLine="3357" w:firstLineChars="1045"/>
        <w:rPr>
          <w:rFonts w:ascii="宋体" w:hAnsi="宋体" w:eastAsia="宋体" w:cs="宋体"/>
          <w:b/>
          <w:sz w:val="24"/>
          <w:szCs w:val="24"/>
        </w:rPr>
      </w:pPr>
      <w:r>
        <w:rPr>
          <w:rFonts w:hint="eastAsia" w:ascii="宋体" w:hAnsi="宋体" w:eastAsia="宋体" w:cs="宋体"/>
          <w:b/>
          <w:sz w:val="32"/>
          <w:szCs w:val="24"/>
        </w:rPr>
        <w:t>八、电子交易活动的中止</w:t>
      </w:r>
    </w:p>
    <w:p>
      <w:pPr>
        <w:adjustRightInd w:val="0"/>
        <w:snapToGrid w:val="0"/>
        <w:spacing w:after="120"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27. 电子交易活动的中止</w:t>
      </w:r>
      <w:r>
        <w:rPr>
          <w:rFonts w:hint="eastAsia" w:ascii="宋体" w:hAnsi="宋体" w:eastAsia="宋体" w:cs="宋体"/>
          <w:kern w:val="0"/>
          <w:sz w:val="24"/>
          <w:szCs w:val="24"/>
        </w:rPr>
        <w:t>。征集过程中出现以下情形，导致电子交易平台无法正常运行，或者无法保证电子交易的公平、公正和安全时，采购机构可中止电子交易活动：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27.1电子交易平台发生故障而无法登录访问的；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27.2电子交易平台应用或数据库出现错误，不能进行正常操作的；</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27.3电子交易平台发现严重安全漏洞，有潜在泄密危险的；</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27.4病毒发作导致不能进行正常操作的； </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27.5其他无法保证电子交易的公平、公正和安全的情况。</w:t>
      </w:r>
    </w:p>
    <w:p>
      <w:pPr>
        <w:adjustRightInd w:val="0"/>
        <w:snapToGrid w:val="0"/>
        <w:spacing w:after="120"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28.</w:t>
      </w:r>
      <w:r>
        <w:rPr>
          <w:rFonts w:hint="eastAsia" w:ascii="宋体" w:hAnsi="宋体" w:eastAsia="宋体" w:cs="宋体"/>
          <w:kern w:val="0"/>
          <w:sz w:val="24"/>
          <w:szCs w:val="24"/>
        </w:rPr>
        <w:t>出现以上情形，不影响采购公平、公正性的，采购组织机构可以待上述情形消除后继续组织电子交易活动，也可以决定某些环节以纸质形式进行；影响或可能影响采购公平、公正性的，应当重新征集。</w:t>
      </w:r>
    </w:p>
    <w:p>
      <w:pPr>
        <w:adjustRightInd w:val="0"/>
        <w:snapToGrid w:val="0"/>
        <w:spacing w:line="360" w:lineRule="auto"/>
        <w:ind w:left="120" w:leftChars="57" w:firstLine="482" w:firstLineChars="150"/>
        <w:jc w:val="center"/>
        <w:rPr>
          <w:rFonts w:ascii="宋体" w:hAnsi="宋体" w:eastAsia="宋体" w:cs="宋体"/>
          <w:b/>
          <w:sz w:val="32"/>
          <w:szCs w:val="24"/>
        </w:rPr>
      </w:pPr>
      <w:r>
        <w:rPr>
          <w:rFonts w:hint="eastAsia" w:ascii="宋体" w:hAnsi="宋体" w:eastAsia="宋体" w:cs="宋体"/>
          <w:b/>
          <w:sz w:val="32"/>
          <w:szCs w:val="24"/>
        </w:rPr>
        <w:t>九、验收</w:t>
      </w:r>
    </w:p>
    <w:p>
      <w:pPr>
        <w:adjustRightInd w:val="0"/>
        <w:snapToGrid w:val="0"/>
        <w:spacing w:after="1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29.验收</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29.2采购人可以邀请参加本项目的其他投标人或者第三方机构参与验收。参与验收的投标人或者第三方机构的意见作为验收书的参考资料一并存档。</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pacing w:line="360" w:lineRule="auto"/>
        <w:jc w:val="center"/>
        <w:outlineLvl w:val="0"/>
        <w:rPr>
          <w:rFonts w:ascii="宋体" w:hAnsi="宋体" w:eastAsia="宋体" w:cs="宋体"/>
          <w:b/>
          <w:sz w:val="36"/>
          <w:szCs w:val="36"/>
        </w:rPr>
      </w:pPr>
    </w:p>
    <w:p>
      <w:pPr>
        <w:adjustRightInd w:val="0"/>
        <w:spacing w:line="360" w:lineRule="auto"/>
        <w:jc w:val="center"/>
        <w:outlineLvl w:val="0"/>
        <w:rPr>
          <w:rFonts w:ascii="宋体" w:hAnsi="宋体" w:eastAsia="宋体" w:cs="宋体"/>
          <w:b/>
          <w:sz w:val="36"/>
          <w:szCs w:val="36"/>
        </w:rPr>
      </w:pPr>
    </w:p>
    <w:p>
      <w:pPr>
        <w:adjustRightInd w:val="0"/>
        <w:spacing w:line="360" w:lineRule="auto"/>
        <w:outlineLvl w:val="0"/>
        <w:rPr>
          <w:rFonts w:ascii="宋体" w:hAnsi="宋体" w:eastAsia="宋体" w:cs="宋体"/>
          <w:b/>
          <w:sz w:val="36"/>
          <w:szCs w:val="36"/>
        </w:rPr>
      </w:pPr>
    </w:p>
    <w:p>
      <w:pPr>
        <w:adjustRightInd w:val="0"/>
        <w:spacing w:line="360" w:lineRule="auto"/>
        <w:ind w:firstLine="2891" w:firstLineChars="800"/>
        <w:outlineLvl w:val="0"/>
        <w:rPr>
          <w:rFonts w:ascii="宋体" w:hAnsi="宋体" w:eastAsia="宋体" w:cs="宋体"/>
          <w:b/>
          <w:sz w:val="36"/>
          <w:szCs w:val="36"/>
        </w:rPr>
      </w:pPr>
    </w:p>
    <w:p>
      <w:pPr>
        <w:adjustRightInd w:val="0"/>
        <w:spacing w:line="360" w:lineRule="auto"/>
        <w:ind w:firstLine="2891" w:firstLineChars="800"/>
        <w:outlineLvl w:val="0"/>
        <w:rPr>
          <w:rFonts w:ascii="宋体" w:hAnsi="宋体" w:eastAsia="宋体" w:cs="宋体"/>
          <w:b/>
          <w:sz w:val="36"/>
          <w:szCs w:val="36"/>
        </w:rPr>
      </w:pPr>
    </w:p>
    <w:p>
      <w:pPr>
        <w:adjustRightInd w:val="0"/>
        <w:spacing w:line="360" w:lineRule="auto"/>
        <w:ind w:firstLine="2891" w:firstLineChars="800"/>
        <w:outlineLvl w:val="0"/>
        <w:rPr>
          <w:rFonts w:ascii="宋体" w:hAnsi="宋体" w:eastAsia="宋体" w:cs="宋体"/>
          <w:b/>
          <w:sz w:val="36"/>
          <w:szCs w:val="36"/>
        </w:rPr>
      </w:pPr>
    </w:p>
    <w:p>
      <w:pPr>
        <w:adjustRightInd w:val="0"/>
        <w:spacing w:line="360" w:lineRule="auto"/>
        <w:ind w:firstLine="2891" w:firstLineChars="800"/>
        <w:outlineLvl w:val="0"/>
        <w:rPr>
          <w:rFonts w:ascii="宋体" w:hAnsi="宋体" w:eastAsia="宋体" w:cs="宋体"/>
          <w:b/>
          <w:sz w:val="36"/>
          <w:szCs w:val="36"/>
        </w:rPr>
      </w:pPr>
    </w:p>
    <w:p>
      <w:pPr>
        <w:adjustRightInd w:val="0"/>
        <w:spacing w:line="360" w:lineRule="auto"/>
        <w:ind w:firstLine="2891" w:firstLineChars="800"/>
        <w:outlineLvl w:val="0"/>
        <w:rPr>
          <w:rFonts w:ascii="宋体" w:hAnsi="宋体" w:eastAsia="宋体" w:cs="宋体"/>
          <w:b/>
          <w:sz w:val="36"/>
          <w:szCs w:val="36"/>
        </w:rPr>
      </w:pPr>
    </w:p>
    <w:p>
      <w:pPr>
        <w:adjustRightInd w:val="0"/>
        <w:spacing w:line="360" w:lineRule="auto"/>
        <w:ind w:firstLine="2891" w:firstLineChars="800"/>
        <w:outlineLvl w:val="0"/>
        <w:rPr>
          <w:rFonts w:ascii="宋体" w:hAnsi="宋体" w:eastAsia="宋体" w:cs="宋体"/>
          <w:b/>
          <w:sz w:val="36"/>
          <w:szCs w:val="36"/>
        </w:rPr>
      </w:pPr>
      <w:r>
        <w:rPr>
          <w:rFonts w:hint="eastAsia" w:ascii="宋体" w:hAnsi="宋体" w:eastAsia="宋体" w:cs="宋体"/>
          <w:b/>
          <w:sz w:val="36"/>
          <w:szCs w:val="36"/>
        </w:rPr>
        <w:t>第三部分   采购需求</w:t>
      </w:r>
    </w:p>
    <w:p>
      <w:pPr>
        <w:pStyle w:val="7"/>
        <w:ind w:firstLine="482"/>
        <w:rPr>
          <w:rFonts w:eastAsia="宋体"/>
          <w:b/>
          <w:bCs/>
        </w:rPr>
      </w:pPr>
      <w:r>
        <w:rPr>
          <w:rFonts w:hint="eastAsia" w:eastAsia="宋体"/>
          <w:b/>
          <w:bCs/>
        </w:rPr>
        <w:t>属于实质性要求条款的，已用符号“▲”标明，否则属于非实质性要求。“★”系产品采购项目中的核心产品。</w:t>
      </w:r>
    </w:p>
    <w:p>
      <w:pPr>
        <w:pStyle w:val="7"/>
        <w:ind w:firstLine="482"/>
        <w:rPr>
          <w:rFonts w:eastAsia="宋体"/>
          <w:b/>
          <w:bCs/>
        </w:rPr>
      </w:pPr>
      <w:r>
        <w:rPr>
          <w:rFonts w:hint="eastAsia" w:eastAsia="宋体"/>
          <w:b/>
          <w:bCs/>
        </w:rPr>
        <w:t>一、服务期限</w:t>
      </w:r>
    </w:p>
    <w:p>
      <w:pPr>
        <w:pStyle w:val="7"/>
        <w:rPr>
          <w:rFonts w:eastAsia="宋体"/>
        </w:rPr>
      </w:pPr>
      <w:r>
        <w:rPr>
          <w:rFonts w:hint="eastAsia" w:eastAsia="宋体"/>
        </w:rPr>
        <w:t>服务期限为自合同签订之日起2年内至委托项目完成审核通过验收之日止。</w:t>
      </w:r>
    </w:p>
    <w:p>
      <w:pPr>
        <w:pStyle w:val="7"/>
        <w:ind w:firstLine="482"/>
        <w:rPr>
          <w:rFonts w:eastAsia="宋体"/>
          <w:b/>
          <w:bCs/>
        </w:rPr>
      </w:pPr>
      <w:r>
        <w:rPr>
          <w:rFonts w:hint="eastAsia" w:eastAsia="宋体"/>
          <w:b/>
          <w:bCs/>
        </w:rPr>
        <w:t>二、征集数量</w:t>
      </w:r>
    </w:p>
    <w:p>
      <w:pPr>
        <w:pStyle w:val="7"/>
        <w:rPr>
          <w:rFonts w:eastAsia="宋体"/>
        </w:rPr>
      </w:pPr>
      <w:r>
        <w:rPr>
          <w:rFonts w:hint="eastAsia" w:eastAsia="宋体"/>
        </w:rPr>
        <w:t>征集的中介机构数量最多为36家，若评审结束或在框架协议签署阶段，因投标人或框架协议乙方原因造成实际入围家数不足36家的，按照实际入围家数确定本次征集的中介机构数量。</w:t>
      </w:r>
    </w:p>
    <w:p>
      <w:pPr>
        <w:pStyle w:val="7"/>
        <w:ind w:firstLine="482"/>
        <w:rPr>
          <w:rFonts w:eastAsia="宋体"/>
          <w:b/>
          <w:bCs/>
        </w:rPr>
      </w:pPr>
      <w:r>
        <w:rPr>
          <w:rFonts w:hint="eastAsia" w:eastAsia="宋体"/>
          <w:b/>
          <w:bCs/>
        </w:rPr>
        <w:t>三、选取方式</w:t>
      </w:r>
    </w:p>
    <w:p>
      <w:pPr>
        <w:pStyle w:val="7"/>
        <w:rPr>
          <w:rFonts w:eastAsia="宋体"/>
        </w:rPr>
      </w:pPr>
      <w:r>
        <w:rPr>
          <w:rFonts w:hint="eastAsia" w:eastAsia="宋体"/>
        </w:rPr>
        <w:t>采用框架协议的方式，第二阶段采用“直接选定”的形式从协议单位中选取实施单位。</w:t>
      </w:r>
    </w:p>
    <w:p>
      <w:pPr>
        <w:pStyle w:val="7"/>
        <w:ind w:firstLine="482"/>
        <w:rPr>
          <w:rFonts w:eastAsia="宋体"/>
          <w:b/>
          <w:bCs/>
        </w:rPr>
      </w:pPr>
      <w:r>
        <w:rPr>
          <w:rFonts w:hint="eastAsia" w:eastAsia="宋体"/>
          <w:b/>
          <w:bCs/>
        </w:rPr>
        <w:t>四、最高限制单价</w:t>
      </w:r>
    </w:p>
    <w:p>
      <w:pPr>
        <w:pStyle w:val="7"/>
        <w:rPr>
          <w:rFonts w:eastAsia="宋体"/>
        </w:rPr>
      </w:pPr>
      <w:r>
        <w:rPr>
          <w:rFonts w:hint="eastAsia" w:eastAsia="宋体"/>
        </w:rPr>
        <w:t>以杭州市富阳区财政局造价咨询历年付费标准为本次最高限价。</w:t>
      </w:r>
    </w:p>
    <w:p>
      <w:pPr>
        <w:pStyle w:val="7"/>
        <w:ind w:firstLine="482"/>
        <w:rPr>
          <w:rFonts w:eastAsia="宋体"/>
          <w:b/>
          <w:bCs/>
        </w:rPr>
      </w:pPr>
      <w:r>
        <w:rPr>
          <w:rFonts w:hint="eastAsia" w:eastAsia="宋体"/>
          <w:b/>
          <w:bCs/>
        </w:rPr>
        <w:t>五、支付形式</w:t>
      </w:r>
    </w:p>
    <w:p>
      <w:pPr>
        <w:pStyle w:val="7"/>
        <w:rPr>
          <w:rFonts w:eastAsia="宋体"/>
        </w:rPr>
      </w:pPr>
      <w:r>
        <w:rPr>
          <w:rFonts w:hint="eastAsia" w:eastAsia="宋体"/>
        </w:rPr>
        <w:t>政府与国企投资类项目的财政委托审核，由区财政局统一向中介咨询机构支付咨询服务费。支付方式为每年集中付费两次，具体付费时间按区财政局年度预算安排为准。具体按照《富阳区政府与国企投资类项目财政审核管理办法》约定执行。</w:t>
      </w:r>
    </w:p>
    <w:p>
      <w:pPr>
        <w:pStyle w:val="7"/>
        <w:ind w:firstLine="482"/>
        <w:rPr>
          <w:rFonts w:eastAsia="宋体"/>
          <w:b/>
          <w:bCs/>
        </w:rPr>
      </w:pPr>
      <w:r>
        <w:rPr>
          <w:rFonts w:hint="eastAsia" w:eastAsia="宋体"/>
          <w:b/>
          <w:bCs/>
        </w:rPr>
        <w:t>六、服务内容</w:t>
      </w:r>
    </w:p>
    <w:p>
      <w:pPr>
        <w:pStyle w:val="7"/>
        <w:rPr>
          <w:rFonts w:eastAsia="宋体"/>
        </w:rPr>
      </w:pPr>
      <w:r>
        <w:rPr>
          <w:rFonts w:hint="eastAsia" w:eastAsia="宋体"/>
        </w:rPr>
        <w:t>1.审核范围：政府与国企投资类项目概预算审核工作范围包括概算审核范围和预算审核范围。</w:t>
      </w:r>
    </w:p>
    <w:p>
      <w:pPr>
        <w:pStyle w:val="7"/>
        <w:rPr>
          <w:rFonts w:eastAsia="宋体"/>
        </w:rPr>
      </w:pPr>
      <w:r>
        <w:rPr>
          <w:rFonts w:hint="eastAsia" w:eastAsia="宋体"/>
        </w:rPr>
        <w:t>（1）概算审核范围：</w:t>
      </w:r>
    </w:p>
    <w:p>
      <w:pPr>
        <w:pStyle w:val="7"/>
        <w:rPr>
          <w:rFonts w:eastAsia="宋体"/>
        </w:rPr>
      </w:pPr>
      <w:r>
        <w:rPr>
          <w:rFonts w:hint="eastAsia" w:eastAsia="宋体"/>
        </w:rPr>
        <w:t>（1.1）纳入富阳区投资项目计划总投资500万（含）以上的概算项目。</w:t>
      </w:r>
    </w:p>
    <w:p>
      <w:pPr>
        <w:pStyle w:val="7"/>
        <w:rPr>
          <w:rFonts w:eastAsia="宋体"/>
        </w:rPr>
      </w:pPr>
      <w:r>
        <w:rPr>
          <w:rFonts w:hint="eastAsia" w:eastAsia="宋体"/>
        </w:rPr>
        <w:t>（1.2）各乡镇（街道）、部门、区属国有企业使用自筹资金，工程造价在500万元（含）以上的工程建设类项目（含经营性项目），尚未实施的，可以委托区财政局进行概算审核。</w:t>
      </w:r>
    </w:p>
    <w:p>
      <w:pPr>
        <w:pStyle w:val="7"/>
        <w:rPr>
          <w:rFonts w:eastAsia="宋体"/>
        </w:rPr>
      </w:pPr>
      <w:r>
        <w:rPr>
          <w:rFonts w:hint="eastAsia" w:eastAsia="宋体"/>
        </w:rPr>
        <w:t>（1.3）其他需要审核的政府专项概算项目。</w:t>
      </w:r>
    </w:p>
    <w:p>
      <w:pPr>
        <w:pStyle w:val="7"/>
        <w:rPr>
          <w:rFonts w:eastAsia="宋体"/>
        </w:rPr>
      </w:pPr>
      <w:r>
        <w:rPr>
          <w:rFonts w:hint="eastAsia" w:eastAsia="宋体"/>
        </w:rPr>
        <w:t xml:space="preserve">（2）预算审核范围： </w:t>
      </w:r>
    </w:p>
    <w:p>
      <w:pPr>
        <w:pStyle w:val="7"/>
        <w:rPr>
          <w:rFonts w:eastAsia="宋体"/>
        </w:rPr>
      </w:pPr>
      <w:r>
        <w:rPr>
          <w:rFonts w:hint="eastAsia" w:eastAsia="宋体"/>
        </w:rPr>
        <w:t>（2.1）富阳区投资项目计划内项目；</w:t>
      </w:r>
    </w:p>
    <w:p>
      <w:pPr>
        <w:pStyle w:val="7"/>
        <w:rPr>
          <w:rFonts w:eastAsia="宋体"/>
        </w:rPr>
      </w:pPr>
      <w:r>
        <w:rPr>
          <w:rFonts w:hint="eastAsia" w:eastAsia="宋体"/>
        </w:rPr>
        <w:t>（2.2）政府专项（项目类）；</w:t>
      </w:r>
    </w:p>
    <w:p>
      <w:pPr>
        <w:pStyle w:val="7"/>
        <w:rPr>
          <w:rFonts w:eastAsia="宋体"/>
        </w:rPr>
      </w:pPr>
      <w:r>
        <w:rPr>
          <w:rFonts w:hint="eastAsia" w:eastAsia="宋体"/>
        </w:rPr>
        <w:t>（2.3）国家、省、市及本级财政拼盘项目；</w:t>
      </w:r>
    </w:p>
    <w:p>
      <w:pPr>
        <w:pStyle w:val="7"/>
        <w:rPr>
          <w:rFonts w:eastAsia="宋体"/>
        </w:rPr>
      </w:pPr>
      <w:r>
        <w:rPr>
          <w:rFonts w:hint="eastAsia" w:eastAsia="宋体"/>
        </w:rPr>
        <w:t>（2.4）定额补助、比例补助、以奖代补等补助项目（基本建设类）；</w:t>
      </w:r>
    </w:p>
    <w:p>
      <w:pPr>
        <w:pStyle w:val="7"/>
        <w:rPr>
          <w:rFonts w:eastAsia="宋体"/>
        </w:rPr>
      </w:pPr>
      <w:r>
        <w:rPr>
          <w:rFonts w:hint="eastAsia" w:eastAsia="宋体"/>
        </w:rPr>
        <w:t>（2.5）各乡镇（街道）、部门、区属国有企业使用自筹资金，工程造价在30万元（含）以上的工程建设类项目（含经营性项目），尚未实施的，可以委托区财政局进行预算审核。</w:t>
      </w:r>
    </w:p>
    <w:p>
      <w:pPr>
        <w:pStyle w:val="7"/>
        <w:rPr>
          <w:rFonts w:eastAsia="宋体"/>
        </w:rPr>
      </w:pPr>
      <w:r>
        <w:rPr>
          <w:rFonts w:hint="eastAsia" w:eastAsia="宋体"/>
        </w:rPr>
        <w:t>（2.6）其他需财政审核的项目。</w:t>
      </w:r>
    </w:p>
    <w:p>
      <w:pPr>
        <w:pStyle w:val="7"/>
        <w:ind w:firstLine="482"/>
        <w:rPr>
          <w:rFonts w:eastAsia="宋体"/>
          <w:b/>
          <w:bCs/>
        </w:rPr>
      </w:pPr>
      <w:r>
        <w:rPr>
          <w:rFonts w:hint="eastAsia" w:eastAsia="宋体"/>
          <w:b/>
          <w:bCs/>
        </w:rPr>
        <w:t>七、服务要求</w:t>
      </w:r>
    </w:p>
    <w:p>
      <w:pPr>
        <w:pStyle w:val="7"/>
        <w:rPr>
          <w:rFonts w:eastAsia="宋体"/>
        </w:rPr>
      </w:pPr>
      <w:r>
        <w:rPr>
          <w:rFonts w:hint="eastAsia" w:eastAsia="宋体"/>
        </w:rPr>
        <w:t>1.服务质量要求</w:t>
      </w:r>
    </w:p>
    <w:p>
      <w:pPr>
        <w:pStyle w:val="7"/>
        <w:rPr>
          <w:rFonts w:eastAsia="宋体"/>
        </w:rPr>
      </w:pPr>
      <w:r>
        <w:rPr>
          <w:rFonts w:hint="eastAsia" w:eastAsia="宋体"/>
        </w:rPr>
        <w:t xml:space="preserve">（1.1）乙方应确保项目审核工作质量，按甲方时间要求完成审核工作。项目审核应当严格遵守国家的有关法律、法规、制度及有关执业规范要求，乙方对审核意见的真实性、完整性、合法性、准确性负法律责任。乙方出具的审核报告只向甲方提供，不得自行提供给清单编制单位、建设单位或其他单位，自行对外提供审核报告的，甲方可终止委托审核协议，情节严重的，将依法追究乙方和相关责任人的法律责任。 </w:t>
      </w:r>
    </w:p>
    <w:p>
      <w:pPr>
        <w:pStyle w:val="7"/>
        <w:rPr>
          <w:rFonts w:eastAsia="宋体"/>
        </w:rPr>
      </w:pPr>
      <w:r>
        <w:rPr>
          <w:rFonts w:hint="eastAsia" w:eastAsia="宋体"/>
        </w:rPr>
        <w:t xml:space="preserve">（1.2）乙方应建立三级复核制度,并在提交审核稿的同时提交内部复核流程意见单(需要三级签字盖章并签署明确复核意见)。 </w:t>
      </w:r>
    </w:p>
    <w:p>
      <w:pPr>
        <w:pStyle w:val="7"/>
        <w:rPr>
          <w:rFonts w:eastAsia="宋体"/>
        </w:rPr>
      </w:pPr>
      <w:r>
        <w:rPr>
          <w:rFonts w:hint="eastAsia" w:eastAsia="宋体"/>
        </w:rPr>
        <w:t xml:space="preserve">（1.3）在完成项目审核时，乙方需出具审核报告，并按要求做好造价指标统计,并按照相关法律法规要求做好资料归档工作。 </w:t>
      </w:r>
    </w:p>
    <w:p>
      <w:pPr>
        <w:pStyle w:val="7"/>
        <w:rPr>
          <w:rFonts w:eastAsia="宋体"/>
        </w:rPr>
      </w:pPr>
      <w:r>
        <w:rPr>
          <w:rFonts w:hint="eastAsia" w:eastAsia="宋体"/>
        </w:rPr>
        <w:t>（1.4）乙方在合同签订时确定审核人员名单，未经甲方批准不得随意更换审核人员。乙方对审核业务不得转包，不得用未经批准的审核人员进行审核。</w:t>
      </w:r>
    </w:p>
    <w:p>
      <w:pPr>
        <w:pStyle w:val="7"/>
        <w:rPr>
          <w:rFonts w:eastAsia="宋体"/>
        </w:rPr>
      </w:pPr>
      <w:r>
        <w:rPr>
          <w:rFonts w:hint="eastAsia" w:eastAsia="宋体"/>
        </w:rPr>
        <w:t>（1.5）具体参照《富阳区政府与国企投资类项目财政审核管理办法》执行。如富阳区有新文件出台，按新文件执行。</w:t>
      </w:r>
    </w:p>
    <w:p>
      <w:pPr>
        <w:pStyle w:val="7"/>
        <w:rPr>
          <w:rFonts w:eastAsia="宋体"/>
        </w:rPr>
      </w:pPr>
      <w:r>
        <w:rPr>
          <w:rFonts w:hint="eastAsia" w:eastAsia="宋体"/>
        </w:rPr>
        <w:t>2.时限要求</w:t>
      </w:r>
    </w:p>
    <w:p>
      <w:pPr>
        <w:pStyle w:val="7"/>
        <w:rPr>
          <w:rFonts w:eastAsia="宋体"/>
        </w:rPr>
      </w:pPr>
      <w:r>
        <w:rPr>
          <w:rFonts w:hint="eastAsia" w:eastAsia="宋体"/>
        </w:rPr>
        <w:t>在建设单位正确、完整地提交概预算审核资料的前提下，概预算审核完成时限按送审项目金额划分如下：</w:t>
      </w:r>
    </w:p>
    <w:p>
      <w:pPr>
        <w:pStyle w:val="7"/>
        <w:rPr>
          <w:rFonts w:eastAsia="宋体"/>
        </w:rPr>
      </w:pPr>
      <w:r>
        <w:rPr>
          <w:rFonts w:hint="eastAsia" w:eastAsia="宋体"/>
        </w:rPr>
        <w:t>（2.1）概算审核（按工程费用划分档次）：</w:t>
      </w:r>
    </w:p>
    <w:p>
      <w:pPr>
        <w:pStyle w:val="7"/>
        <w:rPr>
          <w:rFonts w:eastAsia="宋体"/>
        </w:rPr>
      </w:pPr>
      <w:r>
        <w:rPr>
          <w:rFonts w:hint="eastAsia" w:eastAsia="宋体"/>
        </w:rPr>
        <w:t>5000万元（含）以上：10个工作日；</w:t>
      </w:r>
    </w:p>
    <w:p>
      <w:pPr>
        <w:pStyle w:val="7"/>
        <w:rPr>
          <w:rFonts w:eastAsia="宋体"/>
        </w:rPr>
      </w:pPr>
      <w:r>
        <w:rPr>
          <w:rFonts w:hint="eastAsia" w:eastAsia="宋体"/>
        </w:rPr>
        <w:t>5000万元以下：7个工作日。</w:t>
      </w:r>
    </w:p>
    <w:p>
      <w:pPr>
        <w:pStyle w:val="7"/>
        <w:rPr>
          <w:rFonts w:eastAsia="宋体"/>
        </w:rPr>
      </w:pPr>
      <w:r>
        <w:rPr>
          <w:rFonts w:hint="eastAsia" w:eastAsia="宋体"/>
        </w:rPr>
        <w:t>（2.2）预算审核（按项目送审金额划分档次，其中同时送审的若干项目因特殊原因需同一个中介咨询机构审核的，按合计金额划分）：</w:t>
      </w:r>
    </w:p>
    <w:p>
      <w:pPr>
        <w:pStyle w:val="7"/>
        <w:rPr>
          <w:rFonts w:eastAsia="宋体"/>
        </w:rPr>
      </w:pPr>
      <w:r>
        <w:rPr>
          <w:rFonts w:hint="eastAsia" w:eastAsia="宋体"/>
        </w:rPr>
        <w:t>5000万元（含）以上：15个工作日；</w:t>
      </w:r>
    </w:p>
    <w:p>
      <w:pPr>
        <w:pStyle w:val="7"/>
        <w:rPr>
          <w:rFonts w:eastAsia="宋体"/>
        </w:rPr>
      </w:pPr>
      <w:r>
        <w:rPr>
          <w:rFonts w:hint="eastAsia" w:eastAsia="宋体"/>
        </w:rPr>
        <w:t>200万元（含）至5000万元：10个工作日；</w:t>
      </w:r>
    </w:p>
    <w:p>
      <w:pPr>
        <w:pStyle w:val="7"/>
        <w:rPr>
          <w:rFonts w:eastAsia="宋体"/>
        </w:rPr>
      </w:pPr>
      <w:r>
        <w:rPr>
          <w:rFonts w:hint="eastAsia" w:eastAsia="宋体"/>
        </w:rPr>
        <w:t>200万元以下：7个工作日。</w:t>
      </w:r>
    </w:p>
    <w:p>
      <w:pPr>
        <w:pStyle w:val="7"/>
        <w:rPr>
          <w:rFonts w:eastAsia="宋体"/>
        </w:rPr>
      </w:pPr>
      <w:r>
        <w:rPr>
          <w:rFonts w:hint="eastAsia" w:eastAsia="宋体"/>
        </w:rPr>
        <w:t>（2.3）变更预算审核：无特殊情况变更预算项目审核承诺完成时限为10个工作日。</w:t>
      </w:r>
    </w:p>
    <w:p>
      <w:pPr>
        <w:pStyle w:val="7"/>
        <w:rPr>
          <w:rFonts w:eastAsia="宋体"/>
        </w:rPr>
      </w:pPr>
      <w:r>
        <w:rPr>
          <w:rFonts w:hint="eastAsia" w:eastAsia="宋体"/>
        </w:rPr>
        <w:t>（2.4）PPP、EPC、片区开发等项目合同另有规定的，概预算审核时限按照合同约定执行。</w:t>
      </w:r>
    </w:p>
    <w:p>
      <w:pPr>
        <w:pStyle w:val="7"/>
        <w:ind w:firstLine="482"/>
        <w:rPr>
          <w:rFonts w:eastAsia="宋体"/>
          <w:b/>
          <w:bCs/>
        </w:rPr>
      </w:pPr>
      <w:r>
        <w:rPr>
          <w:rFonts w:hint="eastAsia" w:eastAsia="宋体"/>
          <w:b/>
          <w:bCs/>
        </w:rPr>
        <w:t>八、项目组人员组成及技术保障要求</w:t>
      </w:r>
    </w:p>
    <w:p>
      <w:pPr>
        <w:pStyle w:val="7"/>
        <w:rPr>
          <w:rFonts w:eastAsia="宋体"/>
        </w:rPr>
      </w:pPr>
      <w:r>
        <w:rPr>
          <w:rFonts w:hint="eastAsia" w:eastAsia="宋体"/>
        </w:rPr>
        <w:t>项目组成员包括：具有相应的造价执业资格证书的项目组成员不得少于6名，其中一级注册造价师不得少于3名（或在有效期内的原注册造价师资格）。</w:t>
      </w:r>
    </w:p>
    <w:p>
      <w:pPr>
        <w:pStyle w:val="7"/>
        <w:ind w:firstLine="482"/>
        <w:rPr>
          <w:rFonts w:eastAsia="宋体"/>
        </w:rPr>
      </w:pPr>
      <w:r>
        <w:rPr>
          <w:rFonts w:hint="eastAsia" w:eastAsia="宋体"/>
          <w:b/>
          <w:bCs/>
        </w:rPr>
        <w:t>九、考核标准</w:t>
      </w:r>
    </w:p>
    <w:p>
      <w:pPr>
        <w:pStyle w:val="7"/>
        <w:rPr>
          <w:rFonts w:eastAsia="宋体"/>
        </w:rPr>
      </w:pPr>
      <w:r>
        <w:rPr>
          <w:rFonts w:hint="eastAsia" w:eastAsia="宋体"/>
        </w:rPr>
        <w:t>审核中心负责对中介咨询机构的预算编制、概预算审核、综合考评、快件办理、附加分等方面进行考核考评。单位考核以年度总分计，年度总分由预算编制、概预算审核、综合考评、快件办理、附加分等五部分组成，其中：预算编制占20%、概预算审核占60%、综合考评占10%、快件办理占10%，共计100分，附加分不超过5分。未参与富阳区政府与国企投资项目预算编制的中介咨询机构，概预算审核部分占80%。具体考核标准详见《富阳区政府与国企投资类项目财政审核管理办法》。</w:t>
      </w:r>
    </w:p>
    <w:p>
      <w:pPr>
        <w:rPr>
          <w:rFonts w:ascii="宋体" w:hAnsi="宋体" w:eastAsia="宋体" w:cs="宋体"/>
        </w:rPr>
      </w:pPr>
    </w:p>
    <w:p>
      <w:pPr>
        <w:pStyle w:val="7"/>
        <w:ind w:firstLine="0" w:firstLineChars="0"/>
        <w:rPr>
          <w:rFonts w:eastAsia="宋体"/>
        </w:rPr>
      </w:pPr>
    </w:p>
    <w:p>
      <w:pPr>
        <w:rPr>
          <w:rFonts w:ascii="宋体" w:hAnsi="宋体" w:eastAsia="宋体" w:cs="宋体"/>
        </w:rPr>
      </w:pPr>
    </w:p>
    <w:p>
      <w:pPr>
        <w:rPr>
          <w:rFonts w:ascii="宋体" w:hAnsi="宋体" w:eastAsia="宋体" w:cs="宋体"/>
        </w:rPr>
      </w:pPr>
    </w:p>
    <w:p>
      <w:pPr>
        <w:pStyle w:val="2"/>
        <w:numPr>
          <w:ilvl w:val="0"/>
          <w:numId w:val="0"/>
        </w:numPr>
        <w:rPr>
          <w:rFonts w:ascii="宋体" w:hAnsi="宋体" w:eastAsia="宋体" w:cs="宋体"/>
        </w:rPr>
      </w:pPr>
    </w:p>
    <w:p>
      <w:pPr>
        <w:rPr>
          <w:rFonts w:ascii="宋体" w:hAnsi="宋体" w:eastAsia="宋体" w:cs="宋体"/>
        </w:rPr>
      </w:pPr>
    </w:p>
    <w:p>
      <w:pPr>
        <w:pStyle w:val="2"/>
        <w:numPr>
          <w:ilvl w:val="0"/>
          <w:numId w:val="0"/>
        </w:numPr>
        <w:rPr>
          <w:rFonts w:ascii="宋体" w:hAnsi="宋体" w:eastAsia="宋体" w:cs="宋体"/>
        </w:rPr>
      </w:pPr>
    </w:p>
    <w:p>
      <w:pPr>
        <w:pStyle w:val="2"/>
        <w:numPr>
          <w:ilvl w:val="0"/>
          <w:numId w:val="0"/>
        </w:numPr>
        <w:rPr>
          <w:rFonts w:ascii="宋体" w:hAnsi="宋体" w:eastAsia="宋体" w:cs="宋体"/>
        </w:rPr>
      </w:pPr>
    </w:p>
    <w:p/>
    <w:tbl>
      <w:tblPr>
        <w:tblStyle w:val="16"/>
        <w:tblpPr w:leftFromText="180" w:rightFromText="180" w:vertAnchor="text" w:horzAnchor="page" w:tblpX="1607" w:tblpY="405"/>
        <w:tblOverlap w:val="never"/>
        <w:tblW w:w="0" w:type="auto"/>
        <w:tblInd w:w="0" w:type="dxa"/>
        <w:tblLayout w:type="fixed"/>
        <w:tblCellMar>
          <w:top w:w="0" w:type="dxa"/>
          <w:left w:w="108" w:type="dxa"/>
          <w:bottom w:w="0" w:type="dxa"/>
          <w:right w:w="108" w:type="dxa"/>
        </w:tblCellMar>
      </w:tblPr>
      <w:tblGrid>
        <w:gridCol w:w="7455"/>
        <w:gridCol w:w="1605"/>
      </w:tblGrid>
      <w:tr>
        <w:tblPrEx>
          <w:tblCellMar>
            <w:top w:w="0" w:type="dxa"/>
            <w:left w:w="108" w:type="dxa"/>
            <w:bottom w:w="0" w:type="dxa"/>
            <w:right w:w="108" w:type="dxa"/>
          </w:tblCellMar>
        </w:tblPrEx>
        <w:trPr>
          <w:trHeight w:val="1204" w:hRule="atLeast"/>
        </w:trPr>
        <w:tc>
          <w:tcPr>
            <w:tcW w:w="7455" w:type="dxa"/>
            <w:vAlign w:val="center"/>
          </w:tcPr>
          <w:p>
            <w:pPr>
              <w:jc w:val="distribute"/>
              <w:rPr>
                <w:rFonts w:ascii="宋体" w:hAnsi="宋体" w:eastAsia="宋体" w:cs="宋体"/>
                <w:color w:val="FF0000"/>
                <w:sz w:val="68"/>
                <w:szCs w:val="72"/>
              </w:rPr>
            </w:pPr>
            <w:bookmarkStart w:id="0" w:name="docHead"/>
            <w:r>
              <w:rPr>
                <w:rFonts w:hint="eastAsia" w:ascii="宋体" w:hAnsi="宋体" w:eastAsia="宋体" w:cs="宋体"/>
                <w:color w:val="FF0000"/>
                <w:sz w:val="68"/>
                <w:szCs w:val="72"/>
              </w:rPr>
              <w:t>富阳区财政局</w:t>
            </w:r>
            <w:bookmarkEnd w:id="0"/>
          </w:p>
        </w:tc>
        <w:tc>
          <w:tcPr>
            <w:tcW w:w="1605" w:type="dxa"/>
            <w:vAlign w:val="center"/>
          </w:tcPr>
          <w:p>
            <w:pPr>
              <w:rPr>
                <w:rFonts w:ascii="宋体" w:hAnsi="宋体" w:eastAsia="宋体" w:cs="宋体"/>
                <w:color w:val="FF0000"/>
                <w:sz w:val="68"/>
                <w:szCs w:val="72"/>
              </w:rPr>
            </w:pPr>
            <w:bookmarkStart w:id="1" w:name="docHeadType"/>
            <w:r>
              <w:rPr>
                <w:rFonts w:hint="eastAsia" w:ascii="宋体" w:hAnsi="宋体" w:eastAsia="宋体" w:cs="宋体"/>
                <w:color w:val="FF0000"/>
                <w:sz w:val="68"/>
                <w:szCs w:val="72"/>
              </w:rPr>
              <w:t>文件</w:t>
            </w:r>
            <w:bookmarkEnd w:id="1"/>
          </w:p>
        </w:tc>
      </w:tr>
    </w:tbl>
    <w:p>
      <w:pPr>
        <w:rPr>
          <w:rFonts w:ascii="宋体" w:hAnsi="宋体" w:eastAsia="宋体" w:cs="宋体"/>
          <w:sz w:val="10"/>
          <w:szCs w:val="10"/>
        </w:rPr>
      </w:pPr>
    </w:p>
    <w:p>
      <w:pPr>
        <w:spacing w:line="800" w:lineRule="exact"/>
        <w:jc w:val="center"/>
        <w:rPr>
          <w:rFonts w:ascii="宋体" w:hAnsi="宋体" w:eastAsia="宋体" w:cs="宋体"/>
          <w:sz w:val="32"/>
          <w:szCs w:val="32"/>
        </w:rPr>
      </w:pPr>
      <w:bookmarkStart w:id="2" w:name="filetype2_2"/>
      <w:bookmarkEnd w:id="2"/>
      <w:bookmarkStart w:id="3" w:name="docSendNo"/>
      <w:r>
        <w:rPr>
          <w:rFonts w:hint="eastAsia" w:ascii="宋体" w:hAnsi="宋体" w:eastAsia="宋体" w:cs="宋体"/>
          <w:sz w:val="32"/>
          <w:szCs w:val="32"/>
        </w:rPr>
        <w:t>富财预审〔2022〕191号</w:t>
      </w:r>
      <w:bookmarkEnd w:id="3"/>
      <w:r>
        <w:rPr>
          <w:rFonts w:hint="eastAsia" w:ascii="宋体" w:hAnsi="宋体" w:eastAsia="宋体" w:cs="宋体"/>
          <w:sz w:val="32"/>
          <w:szCs w:val="32"/>
        </w:rPr>
        <w:t xml:space="preserve"> </w:t>
      </w:r>
    </w:p>
    <w:p>
      <w:pPr>
        <w:rPr>
          <w:rFonts w:ascii="宋体" w:hAnsi="宋体" w:eastAsia="宋体" w:cs="宋体"/>
        </w:rPr>
      </w:pPr>
    </w:p>
    <w:p>
      <w:pPr>
        <w:jc w:val="center"/>
        <w:rPr>
          <w:rFonts w:ascii="宋体" w:hAnsi="宋体" w:eastAsia="宋体" w:cs="宋体"/>
          <w:sz w:val="44"/>
          <w:szCs w:val="44"/>
        </w:rPr>
      </w:pPr>
      <w:r>
        <w:rPr>
          <w:rFonts w:hint="eastAsia" w:ascii="宋体" w:hAnsi="宋体" w:eastAsia="宋体" w:cs="宋体"/>
        </w:rPr>
        <mc:AlternateContent>
          <mc:Choice Requires="wps">
            <w:drawing>
              <wp:anchor distT="0" distB="0" distL="114300" distR="114300" simplePos="0" relativeHeight="251665408" behindDoc="0" locked="0" layoutInCell="0" allowOverlap="1">
                <wp:simplePos x="0" y="0"/>
                <wp:positionH relativeFrom="column">
                  <wp:posOffset>-35560</wp:posOffset>
                </wp:positionH>
                <wp:positionV relativeFrom="paragraph">
                  <wp:posOffset>192405</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8pt;margin-top:15.15pt;height:0pt;width:441pt;z-index:251665408;mso-width-relative:page;mso-height-relative:page;" filled="f" stroked="t" coordsize="21600,21600" o:allowincell="f" o:gfxdata="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vURX1wAAAAgBAAAPAAAAAAAAAAEAIAAAACIAAABkcnMvZG93bnJldi54bWxQSwECFAAUAAAA&#10;CACHTuJA09HrRO8BAADZAwAADgAAAAAAAAABACAAAAAmAQAAZHJzL2Uyb0RvYy54bWxQSwUGAAAA&#10;AAYABgBZAQAAhwUAAAAA&#10;">
                <v:fill on="f" focussize="0,0"/>
                <v:stroke weight="2.25pt" color="#FF0000" joinstyle="round"/>
                <v:imagedata o:title=""/>
                <o:lock v:ext="edit" aspectratio="f"/>
              </v:line>
            </w:pict>
          </mc:Fallback>
        </mc:AlternateContent>
      </w:r>
    </w:p>
    <w:p>
      <w:pPr>
        <w:adjustRightInd w:val="0"/>
        <w:snapToGrid w:val="0"/>
        <w:spacing w:line="460" w:lineRule="exact"/>
        <w:jc w:val="center"/>
        <w:rPr>
          <w:rFonts w:ascii="宋体" w:hAnsi="宋体" w:eastAsia="宋体" w:cs="宋体"/>
          <w:sz w:val="44"/>
          <w:szCs w:val="44"/>
        </w:rPr>
      </w:pPr>
      <w:bookmarkStart w:id="4" w:name="docTitle"/>
      <w:r>
        <w:rPr>
          <w:rFonts w:hint="eastAsia" w:ascii="宋体" w:hAnsi="宋体" w:eastAsia="宋体" w:cs="宋体"/>
          <w:sz w:val="44"/>
          <w:szCs w:val="44"/>
        </w:rPr>
        <w:t>关于印发《富阳区政府与国企投资类项目财政审核管理办法》的通知</w:t>
      </w:r>
      <w:bookmarkEnd w:id="4"/>
      <w:r>
        <w:rPr>
          <w:rFonts w:hint="eastAsia" w:ascii="宋体" w:hAnsi="宋体" w:eastAsia="宋体" w:cs="宋体"/>
          <w:sz w:val="44"/>
          <w:szCs w:val="44"/>
        </w:rPr>
        <w:t xml:space="preserve"> </w:t>
      </w:r>
    </w:p>
    <w:p>
      <w:pPr>
        <w:spacing w:line="460" w:lineRule="exact"/>
        <w:ind w:firstLine="643" w:firstLineChars="200"/>
        <w:outlineLvl w:val="0"/>
        <w:rPr>
          <w:rFonts w:ascii="宋体" w:hAnsi="宋体" w:eastAsia="宋体" w:cs="宋体"/>
          <w:b/>
          <w:sz w:val="32"/>
          <w:szCs w:val="32"/>
        </w:rPr>
      </w:pPr>
    </w:p>
    <w:p>
      <w:pPr>
        <w:spacing w:line="460" w:lineRule="exact"/>
        <w:rPr>
          <w:rFonts w:ascii="宋体" w:hAnsi="宋体" w:eastAsia="宋体" w:cs="宋体"/>
          <w:sz w:val="32"/>
          <w:szCs w:val="32"/>
        </w:rPr>
      </w:pPr>
      <w:bookmarkStart w:id="5" w:name="mainSend"/>
      <w:r>
        <w:rPr>
          <w:rFonts w:hint="eastAsia" w:ascii="宋体" w:hAnsi="宋体" w:eastAsia="宋体" w:cs="宋体"/>
          <w:sz w:val="32"/>
          <w:szCs w:val="32"/>
        </w:rPr>
        <w:t>局相关科室，各中介咨询机构</w:t>
      </w:r>
      <w:bookmarkEnd w:id="5"/>
      <w:r>
        <w:rPr>
          <w:rFonts w:hint="eastAsia" w:ascii="宋体" w:hAnsi="宋体" w:eastAsia="宋体" w:cs="宋体"/>
          <w:sz w:val="32"/>
          <w:szCs w:val="32"/>
        </w:rPr>
        <w:t>：</w:t>
      </w:r>
    </w:p>
    <w:p>
      <w:pPr>
        <w:spacing w:line="460" w:lineRule="exact"/>
        <w:ind w:firstLine="640" w:firstLineChars="200"/>
        <w:rPr>
          <w:rFonts w:ascii="宋体" w:hAnsi="宋体" w:eastAsia="宋体" w:cs="宋体"/>
          <w:sz w:val="32"/>
          <w:szCs w:val="32"/>
        </w:rPr>
      </w:pPr>
      <w:r>
        <w:rPr>
          <w:rFonts w:hint="eastAsia" w:ascii="宋体" w:hAnsi="宋体" w:eastAsia="宋体" w:cs="宋体"/>
          <w:sz w:val="32"/>
          <w:szCs w:val="32"/>
        </w:rPr>
        <w:t>《富阳区政府与国企投资类项目财政审核管理办法》已经局党委同意，现印发给你们，请认真贯彻执行。</w:t>
      </w:r>
    </w:p>
    <w:p>
      <w:pPr>
        <w:spacing w:line="460" w:lineRule="exact"/>
        <w:ind w:firstLine="640" w:firstLineChars="200"/>
        <w:rPr>
          <w:rFonts w:ascii="宋体" w:hAnsi="宋体" w:eastAsia="宋体" w:cs="宋体"/>
          <w:sz w:val="32"/>
          <w:szCs w:val="32"/>
        </w:rPr>
      </w:pPr>
    </w:p>
    <w:p>
      <w:pPr>
        <w:spacing w:line="460" w:lineRule="exact"/>
        <w:ind w:firstLine="640" w:firstLineChars="200"/>
        <w:jc w:val="center"/>
        <w:rPr>
          <w:rFonts w:ascii="宋体" w:hAnsi="宋体" w:eastAsia="宋体" w:cs="宋体"/>
          <w:sz w:val="32"/>
          <w:szCs w:val="32"/>
        </w:rPr>
      </w:pPr>
      <w:r>
        <w:rPr>
          <w:rFonts w:hint="eastAsia" w:ascii="宋体" w:hAnsi="宋体" w:eastAsia="宋体" w:cs="宋体"/>
          <w:sz w:val="32"/>
          <w:szCs w:val="32"/>
        </w:rPr>
        <w:t xml:space="preserve">                           杭州市富阳区财政局</w:t>
      </w:r>
    </w:p>
    <w:p>
      <w:pPr>
        <w:spacing w:line="460" w:lineRule="exact"/>
        <w:ind w:right="160" w:firstLine="640" w:firstLineChars="200"/>
        <w:jc w:val="center"/>
        <w:rPr>
          <w:rFonts w:ascii="宋体" w:hAnsi="宋体" w:eastAsia="宋体" w:cs="宋体"/>
          <w:sz w:val="32"/>
          <w:szCs w:val="32"/>
        </w:rPr>
      </w:pPr>
      <w:r>
        <w:rPr>
          <w:rFonts w:hint="eastAsia" w:ascii="宋体" w:hAnsi="宋体" w:eastAsia="宋体" w:cs="宋体"/>
          <w:sz w:val="32"/>
          <w:szCs w:val="32"/>
        </w:rPr>
        <w:t xml:space="preserve">                             2022年7月29日</w:t>
      </w:r>
    </w:p>
    <w:p>
      <w:pPr>
        <w:rPr>
          <w:rFonts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377190</wp:posOffset>
                </wp:positionV>
                <wp:extent cx="5433060"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54330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7pt;height:0pt;width:427.8pt;z-index:251667456;mso-width-relative:page;mso-height-relative:page;" filled="f" stroked="t" coordsize="21600,21600" o:gfxdata="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g6mOdUAAAAGAQAADwAAAAAAAAABACAAAAAiAAAAZHJzL2Rvd25yZXYu&#10;eG1sUEsBAhQAFAAAAAgAh07iQMatOR3+AQAA7gMAAA4AAAAAAAAAAQAgAAAAJAEAAGRycy9lMm9E&#10;b2MueG1sUEsFBgAAAAAGAAYAWQEAAJQFAAAAAA==&#10;">
                <v:fill on="f" focussize="0,0"/>
                <v:stroke color="#000000" joinstyle="round"/>
                <v:imagedata o:title=""/>
                <o:lock v:ext="edit" aspectratio="f"/>
              </v:shape>
            </w:pict>
          </mc:Fallback>
        </mc:AlternateContent>
      </w:r>
    </w:p>
    <w:p>
      <w:pPr>
        <w:ind w:firstLine="280" w:firstLineChars="100"/>
        <w:rPr>
          <w:rFonts w:ascii="宋体" w:hAnsi="宋体" w:eastAsia="宋体" w:cs="宋体"/>
          <w:sz w:val="28"/>
          <w:szCs w:val="28"/>
        </w:rPr>
      </w:pPr>
      <w:r>
        <w:rPr>
          <w:rFonts w:hint="eastAsia" w:ascii="宋体" w:hAnsi="宋体" w:eastAsia="宋体" w:cs="宋体"/>
          <w:sz w:val="28"/>
          <w:szCs w:val="28"/>
        </w:rPr>
        <w:t>抄送：各乡镇人民政府，各街道办事处，区政府各部门，各区属国有企业。</w:t>
      </w:r>
    </w:p>
    <w:p>
      <w:pPr>
        <w:ind w:firstLine="280" w:firstLineChars="100"/>
        <w:rPr>
          <w:rFonts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13335</wp:posOffset>
                </wp:positionV>
                <wp:extent cx="543306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54330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05pt;height:0pt;width:427.8pt;z-index:251669504;mso-width-relative:page;mso-height-relative:page;" filled="f" stroked="t" coordsize="21600,21600" o:gfxdata="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aoBTTAAAABAEAAA8AAAAAAAAAAQAgAAAAIgAAAGRycy9kb3ducmV2Lnht&#10;bFBLAQIUABQAAAAIAIdO4kDcIBIP/gEAAO4DAAAOAAAAAAAAAAEAIAAAACI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426720</wp:posOffset>
                </wp:positionV>
                <wp:extent cx="541147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4114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pt;margin-top:33.6pt;height:0pt;width:426.1pt;z-index:251668480;mso-width-relative:page;mso-height-relative:page;" filled="f" stroked="t" coordsize="21600,21600" o:gfxdata="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wOL51QAAAAcBAAAPAAAAAAAAAAEAIAAAACIAAABkcnMvZG93bnJldi54&#10;bWxQSwECFAAUAAAACACHTuJAb40q3P0BAADsAwAADgAAAAAAAAABACAAAAAkAQAAZHJzL2Uyb0Rv&#10;Yy54bWxQSwUGAAAAAAYABgBZAQAAkwUAAAAA&#10;">
                <v:fill on="f" focussize="0,0"/>
                <v:stroke color="#000000" joinstyle="round"/>
                <v:imagedata o:title=""/>
                <o:lock v:ext="edit" aspectratio="f"/>
              </v:shape>
            </w:pict>
          </mc:Fallback>
        </mc:AlternateContent>
      </w:r>
      <w:r>
        <w:rPr>
          <w:rFonts w:hint="eastAsia" w:ascii="宋体" w:hAnsi="宋体" w:eastAsia="宋体" w:cs="宋体"/>
          <w:sz w:val="28"/>
          <w:szCs w:val="28"/>
        </w:rPr>
        <w:t>杭州市富阳区财政局                    2022年7月29日印发</w:t>
      </w:r>
    </w:p>
    <w:p>
      <w:pPr>
        <w:spacing w:line="700" w:lineRule="exact"/>
        <w:rPr>
          <w:rFonts w:ascii="宋体" w:hAnsi="宋体" w:eastAsia="宋体" w:cs="宋体"/>
          <w:sz w:val="28"/>
          <w:szCs w:val="28"/>
        </w:rPr>
      </w:pPr>
      <w:r>
        <w:rPr>
          <w:rFonts w:hint="eastAsia" w:ascii="宋体" w:hAnsi="宋体" w:eastAsia="宋体" w:cs="宋体"/>
          <w:sz w:val="30"/>
          <w:szCs w:val="30"/>
        </w:rPr>
        <w:t xml:space="preserve">  </w:t>
      </w:r>
      <w:r>
        <w:rPr>
          <w:rFonts w:hint="eastAsia" w:ascii="宋体" w:hAnsi="宋体" w:eastAsia="宋体" w:cs="宋体"/>
          <w:sz w:val="28"/>
          <w:szCs w:val="28"/>
        </w:rPr>
        <w:t>校对人：预算审核中心  颜柳尧</w:t>
      </w:r>
    </w:p>
    <w:p>
      <w:pPr>
        <w:spacing w:before="100" w:beforeAutospacing="1" w:after="100" w:afterAutospacing="1" w:line="600" w:lineRule="exact"/>
        <w:jc w:val="center"/>
        <w:rPr>
          <w:rFonts w:ascii="宋体" w:hAnsi="宋体" w:eastAsia="宋体" w:cs="宋体"/>
          <w:sz w:val="40"/>
          <w:szCs w:val="40"/>
        </w:rPr>
      </w:pPr>
    </w:p>
    <w:p>
      <w:pPr>
        <w:spacing w:before="100" w:beforeAutospacing="1" w:after="100" w:afterAutospacing="1" w:line="600" w:lineRule="exact"/>
        <w:jc w:val="center"/>
        <w:rPr>
          <w:rFonts w:ascii="宋体" w:hAnsi="宋体" w:eastAsia="宋体" w:cs="宋体"/>
          <w:sz w:val="40"/>
          <w:szCs w:val="40"/>
        </w:rPr>
      </w:pPr>
    </w:p>
    <w:p>
      <w:pPr>
        <w:spacing w:before="100" w:beforeAutospacing="1" w:after="100" w:afterAutospacing="1" w:line="600" w:lineRule="exact"/>
        <w:jc w:val="center"/>
        <w:rPr>
          <w:rFonts w:ascii="宋体" w:hAnsi="宋体" w:eastAsia="宋体" w:cs="宋体"/>
          <w:sz w:val="40"/>
          <w:szCs w:val="40"/>
        </w:rPr>
      </w:pPr>
    </w:p>
    <w:p>
      <w:pPr>
        <w:spacing w:before="100" w:beforeAutospacing="1" w:after="100" w:afterAutospacing="1" w:line="600" w:lineRule="exact"/>
        <w:jc w:val="center"/>
        <w:rPr>
          <w:rFonts w:ascii="宋体" w:hAnsi="宋体" w:eastAsia="宋体" w:cs="宋体"/>
          <w:sz w:val="36"/>
          <w:szCs w:val="36"/>
        </w:rPr>
      </w:pPr>
      <w:r>
        <w:rPr>
          <w:rFonts w:hint="eastAsia" w:ascii="宋体" w:hAnsi="宋体" w:eastAsia="宋体" w:cs="宋体"/>
          <w:sz w:val="40"/>
          <w:szCs w:val="40"/>
        </w:rPr>
        <w:t>富阳区政府与国企投资类项目财政审核管理办法</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总则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为规范政府与国企投资类项目概预算财政审核工作，加强对中介咨询机构的监督管理，规范中介咨询机构执业行为，提高财政审核质量和时效，确保项目有序、高效推进，制定本办法。</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本办法所称政府投资类项目是指运用政府预算资金和纳入财政预算管理的各类专项建设资金，政府性融资以及其他政府性资金，对社会公益事业以及需要政府扶持发展的产业技术开发等领域进行的基本建设投资项目；国企投资类项目是指区属国有企业出资建设或区属国有企业与社会资本合作的基本建设投资项目。</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本办法所称杭州市富阳区财政项目预算审核中心（以下简称“审核中心”）主要承担以下职责：</w:t>
      </w:r>
    </w:p>
    <w:p>
      <w:pPr>
        <w:numPr>
          <w:ilvl w:val="0"/>
          <w:numId w:val="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贯彻执行中央、省、市财政项目预算审核规范及标准。</w:t>
      </w:r>
    </w:p>
    <w:p>
      <w:pPr>
        <w:numPr>
          <w:ilvl w:val="0"/>
          <w:numId w:val="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参与政府投资项目可行性研究、初步设计、扩初设计、施工图会审等有关工作。</w:t>
      </w:r>
    </w:p>
    <w:p>
      <w:pPr>
        <w:numPr>
          <w:ilvl w:val="0"/>
          <w:numId w:val="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协助开展区级政府投资项目资金管理、估概算论证审核工作，协助开展区级重大项目财政资金使用情况的监督检查和绩效评审。</w:t>
      </w:r>
    </w:p>
    <w:p>
      <w:pPr>
        <w:numPr>
          <w:ilvl w:val="0"/>
          <w:numId w:val="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参与区级部门项目支出预算审核工作。</w:t>
      </w:r>
    </w:p>
    <w:p>
      <w:pPr>
        <w:numPr>
          <w:ilvl w:val="0"/>
          <w:numId w:val="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负责对财政性安排的基本建设投资项目依法进行概算和预算审查等具体工作。</w:t>
      </w:r>
    </w:p>
    <w:p>
      <w:pPr>
        <w:numPr>
          <w:ilvl w:val="0"/>
          <w:numId w:val="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完成杭州市富阳区财政局交办的其他任务。</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本办法所称中介咨询机构是指经公开招标，入围后接受委托，对项目投资、工程造价的确定与控制提供专业咨询服务的企业。</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本办法所称专业技术人员是指通过工程造价资格考试，取得相应资格证书，并经登记注册取得执业印章，从事工程造价活动的专业人员。</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本办法所称年度为签订合同后连续12个月为一个年度。</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富阳区政府与国企投资类项目的财政审核范围、审核流程、审核资料、审核时限、单位及人员管理、委托审核、考核考评、费用结算、档案管理等内容，依照本办法执行。</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审核范围</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政府与国企投资类项目概预算审核工作范围包括概算审核范围和预算审核范围。</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概算审核范围：</w:t>
      </w:r>
    </w:p>
    <w:p>
      <w:pPr>
        <w:numPr>
          <w:ilvl w:val="0"/>
          <w:numId w:val="7"/>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纳入富阳区投资项目计划总投资500万（含）以上的概算项目。</w:t>
      </w:r>
    </w:p>
    <w:p>
      <w:pPr>
        <w:numPr>
          <w:ilvl w:val="0"/>
          <w:numId w:val="7"/>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各乡镇（街道）、部门、区属国有企业使用自筹资金，工程造价在500万元（含）以上的工程建设类项目（含经营性项目），尚未实施的，可以委托区财政局进行概算审核。</w:t>
      </w:r>
    </w:p>
    <w:p>
      <w:pPr>
        <w:numPr>
          <w:ilvl w:val="0"/>
          <w:numId w:val="7"/>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其他需要审核的政府专项概算项目。</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预算审核范围：</w:t>
      </w:r>
    </w:p>
    <w:p>
      <w:pPr>
        <w:numPr>
          <w:ilvl w:val="0"/>
          <w:numId w:val="8"/>
        </w:numPr>
        <w:spacing w:line="600" w:lineRule="exact"/>
        <w:rPr>
          <w:rFonts w:ascii="宋体" w:hAnsi="宋体" w:eastAsia="宋体" w:cs="宋体"/>
          <w:sz w:val="32"/>
          <w:szCs w:val="32"/>
        </w:rPr>
      </w:pPr>
      <w:r>
        <w:rPr>
          <w:rFonts w:hint="eastAsia" w:ascii="宋体" w:hAnsi="宋体" w:eastAsia="宋体" w:cs="宋体"/>
          <w:sz w:val="32"/>
          <w:szCs w:val="32"/>
        </w:rPr>
        <w:t>富阳区投资项目计划内项目；</w:t>
      </w:r>
    </w:p>
    <w:p>
      <w:pPr>
        <w:numPr>
          <w:ilvl w:val="0"/>
          <w:numId w:val="8"/>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政府专项（项目类）；</w:t>
      </w:r>
    </w:p>
    <w:p>
      <w:pPr>
        <w:numPr>
          <w:ilvl w:val="0"/>
          <w:numId w:val="8"/>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国家、省、市及本级财政拼盘项目；</w:t>
      </w:r>
    </w:p>
    <w:p>
      <w:pPr>
        <w:numPr>
          <w:ilvl w:val="0"/>
          <w:numId w:val="8"/>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定额补助、比例补助、以奖代补等补助项目（基本建设类）；</w:t>
      </w:r>
    </w:p>
    <w:p>
      <w:pPr>
        <w:numPr>
          <w:ilvl w:val="0"/>
          <w:numId w:val="8"/>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各乡镇（街道）、部门、区属国有企业使用自筹资金，工程造价在30万元（含）以上的工程建设类项目（含经营性项目），尚未实施的，可以委托区财政局进行预算审核。</w:t>
      </w:r>
    </w:p>
    <w:p>
      <w:pPr>
        <w:numPr>
          <w:ilvl w:val="0"/>
          <w:numId w:val="8"/>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其他需财政审核的项目。</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不予审核的预算项目：</w:t>
      </w:r>
    </w:p>
    <w:p>
      <w:pPr>
        <w:numPr>
          <w:ilvl w:val="0"/>
          <w:numId w:val="9"/>
        </w:numPr>
        <w:spacing w:line="600" w:lineRule="exact"/>
        <w:rPr>
          <w:rFonts w:ascii="宋体" w:hAnsi="宋体" w:eastAsia="宋体" w:cs="宋体"/>
          <w:sz w:val="32"/>
          <w:szCs w:val="32"/>
        </w:rPr>
      </w:pPr>
      <w:r>
        <w:rPr>
          <w:rFonts w:hint="eastAsia" w:ascii="宋体" w:hAnsi="宋体" w:eastAsia="宋体" w:cs="宋体"/>
          <w:sz w:val="32"/>
          <w:szCs w:val="32"/>
        </w:rPr>
        <w:t>村级自筹资金项目；</w:t>
      </w:r>
    </w:p>
    <w:p>
      <w:pPr>
        <w:numPr>
          <w:ilvl w:val="0"/>
          <w:numId w:val="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补助金、救助金、保险金等专项政策计划项目；</w:t>
      </w:r>
    </w:p>
    <w:p>
      <w:pPr>
        <w:numPr>
          <w:ilvl w:val="0"/>
          <w:numId w:val="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规划编制、创意、策划、文化艺术、宣传等工作经费项目；</w:t>
      </w:r>
    </w:p>
    <w:p>
      <w:pPr>
        <w:numPr>
          <w:ilvl w:val="0"/>
          <w:numId w:val="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检测、监测、试验、勘探、设计、软件系统、评估等市场收费类项目；</w:t>
      </w:r>
    </w:p>
    <w:p>
      <w:pPr>
        <w:numPr>
          <w:ilvl w:val="0"/>
          <w:numId w:val="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家具、设备等可单独采购的非建设工程类项目；</w:t>
      </w:r>
    </w:p>
    <w:p>
      <w:pPr>
        <w:numPr>
          <w:ilvl w:val="0"/>
          <w:numId w:val="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其他符合文件规定的项目。</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预算项目送审实行限价归口管理。</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为加快项目推进速度，对于造价小的项目在审批流程上进行精简，实行不同的归口管理：</w:t>
      </w:r>
    </w:p>
    <w:p>
      <w:pPr>
        <w:numPr>
          <w:ilvl w:val="0"/>
          <w:numId w:val="10"/>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工程造价在30万元（含）以上的基本建设投资项目由区财政局审核并出具预算核准函，进入招投标程序；</w:t>
      </w:r>
    </w:p>
    <w:p>
      <w:pPr>
        <w:numPr>
          <w:ilvl w:val="0"/>
          <w:numId w:val="10"/>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工程造价在30万元（不含）以下的基本建设投资项目由项目主管部门、乡镇（街道）、区属国企根据自身实际和项目特点自行确定审核方式。</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属于政府与国企投资类项目的专业设备、无价材料、艺术文化类等无法定性定量审核项目，招标时应设立最高限价，最高限价由招标人组织（委托）询价并报区财政局相关管理科室备案，审核中心不再审核。属于同一工程中不可独立招标部分的，可将最高限价在预算核准函中列明。</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审核流程</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政府与国企投资类项目财政审核工作流程如下图所示：</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drawing>
          <wp:anchor distT="0" distB="0" distL="114300" distR="114300" simplePos="0" relativeHeight="251666432" behindDoc="1" locked="0" layoutInCell="1" allowOverlap="1">
            <wp:simplePos x="0" y="0"/>
            <wp:positionH relativeFrom="margin">
              <wp:align>center</wp:align>
            </wp:positionH>
            <wp:positionV relativeFrom="margin">
              <wp:posOffset>22860</wp:posOffset>
            </wp:positionV>
            <wp:extent cx="5611495" cy="4993005"/>
            <wp:effectExtent l="0" t="0" r="8255" b="17145"/>
            <wp:wrapTopAndBottom/>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5611495" cy="4993005"/>
                    </a:xfrm>
                    <a:prstGeom prst="rect">
                      <a:avLst/>
                    </a:prstGeom>
                    <a:noFill/>
                    <a:ln>
                      <a:noFill/>
                    </a:ln>
                  </pic:spPr>
                </pic:pic>
              </a:graphicData>
            </a:graphic>
          </wp:anchor>
        </w:drawing>
      </w:r>
      <w:r>
        <w:rPr>
          <w:rFonts w:hint="eastAsia" w:ascii="宋体" w:hAnsi="宋体" w:eastAsia="宋体" w:cs="宋体"/>
          <w:b/>
          <w:bCs/>
          <w:sz w:val="32"/>
          <w:szCs w:val="32"/>
        </w:rPr>
        <w:t>审核资料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财政审核工作开展前，建设单位填写概预算审核登记审批表（附表1），属于自筹资金项目的，需同时填报自筹资金项目委托财政审核申请表（附表2），并将送审资料报送区财政局相关财政管理科室，建设单位对送审资料的真实性、完整性、合法性负责，送审资料不符合要求的不予接收。</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概算项目送审资料如下（根据具体情况选择报送）：</w:t>
      </w:r>
    </w:p>
    <w:p>
      <w:pPr>
        <w:numPr>
          <w:ilvl w:val="0"/>
          <w:numId w:val="11"/>
        </w:numPr>
        <w:spacing w:line="600" w:lineRule="exact"/>
        <w:rPr>
          <w:rFonts w:ascii="宋体" w:hAnsi="宋体" w:eastAsia="宋体" w:cs="宋体"/>
          <w:sz w:val="32"/>
          <w:szCs w:val="32"/>
        </w:rPr>
      </w:pPr>
      <w:r>
        <w:rPr>
          <w:rFonts w:hint="eastAsia" w:ascii="宋体" w:hAnsi="宋体" w:eastAsia="宋体" w:cs="宋体"/>
          <w:sz w:val="32"/>
          <w:szCs w:val="32"/>
        </w:rPr>
        <w:t>项目建议书或可研批复（赋码信息表）；</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初步设计文本；</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初步设计审查会议纪要；</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概算书（含电子版）；</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工程量计算稿；</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土地预审批复及有关用地、拆迁费用的说明；</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渣土消纳场地的说明；</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EPC、社会资本合作模式项目的合同、会议纪要；</w:t>
      </w:r>
    </w:p>
    <w:p>
      <w:pPr>
        <w:numPr>
          <w:ilvl w:val="0"/>
          <w:numId w:val="1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其他相关资料。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预算项目送审资料如下（根据具体情况选择报送）：</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初步设计批复（无初步设计批复的小型项目需提供年度计划、项目批复、会议纪要等）；</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地质勘察报告；</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全套施工图（含CAD版施工图）；</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施工图审查报告；</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工程预算书（含电子版）；</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工程量计算稿；</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国网公司业务联系单；</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相关会议纪要或专家论证报告；</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无价材料清单及价格确认表、最高限价审批表、询价报告；</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渣土外运的运距说明；</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EPC、社会资本合作模式项目的合同、会议纪要；</w:t>
      </w:r>
    </w:p>
    <w:p>
      <w:pPr>
        <w:numPr>
          <w:ilvl w:val="0"/>
          <w:numId w:val="1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其他相关资料。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变更预算项目送审时应当包括下列资料：</w:t>
      </w:r>
    </w:p>
    <w:p>
      <w:pPr>
        <w:numPr>
          <w:ilvl w:val="0"/>
          <w:numId w:val="13"/>
        </w:numPr>
        <w:spacing w:line="600" w:lineRule="exact"/>
        <w:rPr>
          <w:rFonts w:ascii="宋体" w:hAnsi="宋体" w:eastAsia="宋体" w:cs="宋体"/>
          <w:sz w:val="32"/>
          <w:szCs w:val="32"/>
        </w:rPr>
      </w:pPr>
      <w:r>
        <w:rPr>
          <w:rFonts w:hint="eastAsia" w:ascii="宋体" w:hAnsi="宋体" w:eastAsia="宋体" w:cs="宋体"/>
          <w:sz w:val="32"/>
          <w:szCs w:val="32"/>
        </w:rPr>
        <w:t>初步设计批复；</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变更审批表（现场踏勘表）</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设计联系单；</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变更部分前后对应施工图（含CAD版施工图）；</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变更预算书（含电子版）；</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工程量计算稿；</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招标文件；</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投标文件；</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施工合同及补充合同（协议）；</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相关变更会议纪要；</w:t>
      </w:r>
    </w:p>
    <w:p>
      <w:pPr>
        <w:numPr>
          <w:ilvl w:val="0"/>
          <w:numId w:val="13"/>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其他相关资料。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建设单位送审资料出现下列情形，区财政局相关财政管理科室不予接收，待主管部门出具计划调整手续后再予以接收送审：</w:t>
      </w:r>
    </w:p>
    <w:p>
      <w:pPr>
        <w:numPr>
          <w:ilvl w:val="0"/>
          <w:numId w:val="14"/>
        </w:numPr>
        <w:spacing w:line="600" w:lineRule="exact"/>
        <w:rPr>
          <w:rFonts w:ascii="宋体" w:hAnsi="宋体" w:eastAsia="宋体" w:cs="宋体"/>
          <w:sz w:val="32"/>
          <w:szCs w:val="32"/>
        </w:rPr>
      </w:pPr>
      <w:r>
        <w:rPr>
          <w:rFonts w:hint="eastAsia" w:ascii="宋体" w:hAnsi="宋体" w:eastAsia="宋体" w:cs="宋体"/>
          <w:sz w:val="32"/>
          <w:szCs w:val="32"/>
        </w:rPr>
        <w:t>送审金额超过主管部门立项计划下达数的；</w:t>
      </w:r>
    </w:p>
    <w:p>
      <w:pPr>
        <w:numPr>
          <w:ilvl w:val="0"/>
          <w:numId w:val="14"/>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送审建设内容与立项计划不一致的。</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不涉及区级财政资金增加的专项项目出现送审金额超过主管部门立项计划下达数的，由建设单位出具超计划金额处理说明，经主管部门同意后，再予以接收送审。</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审核时限</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在正确、完整地提交上述概预算审核资料的前提下，概预算审核完成时限按送审项目金额划分如下：</w:t>
      </w:r>
    </w:p>
    <w:p>
      <w:pPr>
        <w:numPr>
          <w:ilvl w:val="0"/>
          <w:numId w:val="15"/>
        </w:numPr>
        <w:spacing w:line="600" w:lineRule="exact"/>
        <w:rPr>
          <w:rFonts w:ascii="宋体" w:hAnsi="宋体" w:eastAsia="宋体" w:cs="宋体"/>
          <w:sz w:val="32"/>
          <w:szCs w:val="32"/>
        </w:rPr>
      </w:pPr>
      <w:r>
        <w:rPr>
          <w:rFonts w:hint="eastAsia" w:ascii="宋体" w:hAnsi="宋体" w:eastAsia="宋体" w:cs="宋体"/>
          <w:sz w:val="32"/>
          <w:szCs w:val="32"/>
        </w:rPr>
        <w:t>概算审核（按工程费用划分档次）：</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1.5000万元（含）以上：10个工作日；</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2.5000万元以下：7个工作日。</w:t>
      </w:r>
    </w:p>
    <w:p>
      <w:pPr>
        <w:numPr>
          <w:ilvl w:val="0"/>
          <w:numId w:val="1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预算审核（按项目送审金额划分档次，其中同时送审的若干项目因特殊原因需同一个中介咨询机构审核的，按合计金额划分）：</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1.5000万元（含）以上：15个工作日；</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2.200万元（含）至5000万元：10个工作日；</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3.200万元以下：7个工作日。</w:t>
      </w:r>
    </w:p>
    <w:p>
      <w:pPr>
        <w:numPr>
          <w:ilvl w:val="0"/>
          <w:numId w:val="1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变更预算审核：无特殊情况变更预算项目审核承诺完成时限为10个工作日。</w:t>
      </w:r>
    </w:p>
    <w:p>
      <w:pPr>
        <w:numPr>
          <w:ilvl w:val="0"/>
          <w:numId w:val="1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PPP、EPC、片区开发等项目合同另有规定的，概预算审核时限按照合同约定执行。</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各中介咨询机构接收项目送审资料后，应在1个工作日内审查相关资料是否齐全，并将所缺资料以概（预）算项目审核资料补充通知单（附表3）的形式一次性告知送审单位，审核计时暂停，待资料补充完整后继续计时。同时，中介咨询机构应报送财政委托审核项目概预算审核小组成员表（附表4），明确各专业技术人员负责审核的内容，做到审核人员专业能力和审核内容相匹配。</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各中介咨询机构在审核过程中因资料不完整等原因需建设单位补充相关资料的，须及时将所缺资料以概（预）算项目审核资料补充通知单的形式一次性告知送审单位，审核计时暂停，待资料补充完整后继续计时。</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资料补充通知单可以采用纸质、电子文档、短信、微信、QQ等形式，但应有建设单位确认收到的回复。</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各中介咨询机构必须严格按要求在承诺时限内完成项目审核，若逾期则按本办法进行扣分扣费。</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单位及人员管理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中介咨询机构发生各项变更、升级、注销等情形时应进行变更登记，填报中介咨询机构变更登记表（附表5），并提交相关资料。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审核团队成员发生执业资格增项、注销等情形，所在中介咨询机构应填报专业技术人员专业增销登记表（附表6），并提交相应的证明电子资料清单（扫描件或照片）。</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团队成员发生人员变更替换的，替换人员应为本单位自有人员且执业资格、职称、业绩等条件不得低于被替换人员，替换人员应在本单位缴纳社保满1个月，方可开展业务审核，并填报专业技术人员变更登记表（附表7），提交以下电子资料清单（扫描件或照片）：</w:t>
      </w:r>
    </w:p>
    <w:p>
      <w:pPr>
        <w:numPr>
          <w:ilvl w:val="0"/>
          <w:numId w:val="16"/>
        </w:numPr>
        <w:spacing w:line="600" w:lineRule="exact"/>
        <w:rPr>
          <w:rFonts w:ascii="宋体" w:hAnsi="宋体" w:eastAsia="宋体" w:cs="宋体"/>
          <w:sz w:val="32"/>
          <w:szCs w:val="32"/>
        </w:rPr>
      </w:pPr>
      <w:r>
        <w:rPr>
          <w:rFonts w:hint="eastAsia" w:ascii="宋体" w:hAnsi="宋体" w:eastAsia="宋体" w:cs="宋体"/>
          <w:sz w:val="32"/>
          <w:szCs w:val="32"/>
        </w:rPr>
        <w:t>身份证扫描件；</w:t>
      </w:r>
    </w:p>
    <w:p>
      <w:pPr>
        <w:numPr>
          <w:ilvl w:val="0"/>
          <w:numId w:val="1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与中介咨询机构签订的劳动合同；</w:t>
      </w:r>
    </w:p>
    <w:p>
      <w:pPr>
        <w:numPr>
          <w:ilvl w:val="0"/>
          <w:numId w:val="1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社会基本养老保险证明；</w:t>
      </w:r>
    </w:p>
    <w:p>
      <w:pPr>
        <w:numPr>
          <w:ilvl w:val="0"/>
          <w:numId w:val="16"/>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专业技术人员执业资格证书（含变更页）、印章。</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上述变更事项应在变更后5个工作日内书面报告审核中心，因人员变动导致相关专业或行业不满足审核要求，则暂停该专业或行业的委托审核业务，逾期报告的按第十二章综合考评评分标准扣分。</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委托审核</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政府与国企投资类项目概预算委托审核的业务分配原则：按专业按轮次随机抽签。</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中心按建筑、安装、水利、交通四个专业和大型桥梁、隧道、铁路、城市轨道以及土地整理、地质灾害、仿古建筑、变配电、通信、水运等特殊业务特殊行业建立相应抽签池，每个抽签池按轮次进行抽签，每一项目的中签单位由审核管理系统随机抽取，抽签后中签单位退出本轮抽签，等待本轮结束后，进入下一轮抽签。如遇加急项目，中签单位因人员力量不满足，无法按时胜任自愿放弃的，由中签单位以书面或其他形式提交放弃审核说明，参与下一项目抽签，本项目重新抽签。以下情形视同一轮：</w:t>
      </w:r>
    </w:p>
    <w:p>
      <w:pPr>
        <w:numPr>
          <w:ilvl w:val="0"/>
          <w:numId w:val="17"/>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建设工程的主体项目预算审核由原概算审核单位延续审核的；</w:t>
      </w:r>
    </w:p>
    <w:p>
      <w:pPr>
        <w:numPr>
          <w:ilvl w:val="0"/>
          <w:numId w:val="17"/>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同一建设单位的同一系列工程或者同一项目（线路）的不同标段工程等系列项目委托同一单位审核的。</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如因中介咨询机构自身原因，主动申请暂停业务的，需书面提交申请，写明申请暂停的理由、专业、期限等，暂停业务期间退出相应的抽签池。</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为确保财政审核质量和时效，对中介机构实行动态管理，审核团队成员实际持证在岗不少于6人（一级造价师不少于3人）的单位可以参与所有业务审核。因人员变动导致审核团队成员减少的，实际持证在岗为4-5人（一级造价师不少于2人）的单位，只能参与2亿元以下的业务；实际持证在岗少于4人（一级造价师少于2人）的单位，暂停业务，限期3个月整改，整改不到位的解除框架协议。</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团队成员同时满足下列条件，认定为实际持证在岗。与本单位签订劳动合同，在本单位缴纳社会基本养老保险，执业资格证书注册在本单位，入职后三个月内参与过本单位与工程造价有关的编制、审核业务（以签字为准），不同时满足的，认定为非实际持证在岗。</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中介咨询机构在审核过程中，某一专业或行业项目连续退回达到3次的，视同该单位没有开展该专业或行业的审核能力，审核中心将停止该专业或行业的业务分配。</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中介咨询机构应当本着“不唯增、不唯减、只唯实”的审核理念，遵循依法、公正、客观、独立的审核原则进行政府与国企投资类项目概预算审核，并对其出具的项目审核报告承担相应法律责任。</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执行“谁审核谁负责”的原则，审核报告应当由主审人员提交，严禁审核人员在中介咨询机构间串岗审核。</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中介咨询机构在完成初审报告后，须经内部三级复核（附表8）,并在附表中注明存在问题及处理情况。</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项目审核实行回避制度，项目审核中介咨询机构、审核人员与被审核项目单位有直接关系有可能影响审核公正性的应当回避。</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考核考评</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中心负责对中介咨询机构的预算编制、概预算审核、综合考评、快件办理、附加分等方面进行考核考评。单位考核以年度总分计，年度总分由预算编制、概预算审核、综合考评、快件办理、附加分等五部分组成，其中：预算编制占20%、概预算审核占60%、综合考评占10%、快件办理占10%，共计100分，附加分不超过5分。未参与富阳区政府与国企投资类项目预算编制的中介咨询机构，概预算审核部分占80%。</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单位考核按季以一定的方式进行公示，实行过程管理，审核中心对季度考核排名靠后的单位进行提醒约谈。</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预算编制</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编制考核总分100分，以差错扣分的原则进行考核，以20%计入年度总分。考核内容：主要单项造价误差率30%以上（含）的、总造价绝对误差率3%（含）以上的、其他依据。主要单项是指金额占工程总造价2%（含）以上的单项。总造价绝对误差率是指编制项目核增造价误差绝对值与核减造价误差绝对值之和与预算编制总造价的相比值。</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预算编制因单价、工程量原因导致单项造价绝对误差率30%（含）以上的，每项扣5分。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预算编制总造价绝对误差3%（含）以上的，视项目大小和情节轻重扣5-20分。考核标准根据项目金额大小和绝对误差率多少划分档次，具体扣分标准如下表：</w:t>
      </w:r>
    </w:p>
    <w:tbl>
      <w:tblPr>
        <w:tblStyle w:val="16"/>
        <w:tblW w:w="8845"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85"/>
        <w:gridCol w:w="884"/>
        <w:gridCol w:w="885"/>
        <w:gridCol w:w="884"/>
        <w:gridCol w:w="885"/>
        <w:gridCol w:w="884"/>
        <w:gridCol w:w="885"/>
        <w:gridCol w:w="884"/>
        <w:gridCol w:w="885"/>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4" w:hRule="atLeast"/>
          <w:tblHeader/>
          <w:jc w:val="center"/>
        </w:trPr>
        <w:tc>
          <w:tcPr>
            <w:tcW w:w="8845" w:type="dxa"/>
            <w:gridSpan w:val="10"/>
            <w:tcBorders>
              <w:bottom w:val="single" w:color="auto" w:sz="4" w:space="0"/>
            </w:tcBorders>
            <w:shd w:val="clear" w:color="auto" w:fill="auto"/>
            <w:vAlign w:val="center"/>
          </w:tcPr>
          <w:p>
            <w:pPr>
              <w:spacing w:line="276" w:lineRule="auto"/>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预算编制总造价绝对误差率考核标准</w:t>
            </w:r>
          </w:p>
          <w:p>
            <w:pPr>
              <w:spacing w:line="240" w:lineRule="exact"/>
              <w:jc w:val="right"/>
              <w:rPr>
                <w:rFonts w:ascii="宋体" w:hAnsi="宋体" w:eastAsia="宋体" w:cs="宋体"/>
                <w:b/>
                <w:color w:val="000000"/>
                <w:kern w:val="0"/>
                <w:sz w:val="18"/>
                <w:szCs w:val="18"/>
              </w:rPr>
            </w:pPr>
            <w:r>
              <w:rPr>
                <w:rFonts w:hint="eastAsia" w:ascii="宋体" w:hAnsi="宋体" w:eastAsia="宋体" w:cs="宋体"/>
                <w:b/>
                <w:bCs/>
                <w:color w:val="000000"/>
                <w:kern w:val="0"/>
                <w:szCs w:val="21"/>
              </w:rPr>
              <w:t>单位：亿元</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vMerge w:val="restart"/>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绝对</w:t>
            </w:r>
          </w:p>
          <w:p>
            <w:pPr>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误差率</w:t>
            </w:r>
          </w:p>
          <w:p>
            <w:pPr>
              <w:spacing w:line="240" w:lineRule="exact"/>
              <w:jc w:val="center"/>
              <w:rPr>
                <w:rFonts w:ascii="宋体" w:hAnsi="宋体" w:eastAsia="宋体" w:cs="宋体"/>
                <w:b/>
                <w:color w:val="000000"/>
                <w:szCs w:val="21"/>
              </w:rPr>
            </w:pPr>
            <w:r>
              <w:rPr>
                <w:rFonts w:hint="eastAsia" w:ascii="宋体" w:hAnsi="宋体" w:eastAsia="宋体" w:cs="宋体"/>
                <w:b/>
                <w:bCs/>
                <w:color w:val="000000"/>
                <w:kern w:val="0"/>
                <w:szCs w:val="21"/>
              </w:rPr>
              <w:t>（%）</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0.01以内</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0.01～0.1</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0.1～0.2</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0.2～0.5</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0.5～1</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1～5</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5～10</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10～20</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b/>
                <w:color w:val="000000"/>
                <w:szCs w:val="21"/>
              </w:rPr>
            </w:pPr>
            <w:r>
              <w:rPr>
                <w:rFonts w:hint="eastAsia" w:ascii="宋体" w:hAnsi="宋体" w:eastAsia="宋体" w:cs="宋体"/>
                <w:b/>
                <w:color w:val="000000"/>
                <w:kern w:val="0"/>
                <w:szCs w:val="21"/>
              </w:rPr>
              <w:t>20以上</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vMerge w:val="continue"/>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color w:val="000000"/>
                <w:szCs w:val="21"/>
              </w:rPr>
            </w:pP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szCs w:val="21"/>
              </w:rPr>
              <w:t>扣分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5～10</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15</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10～15</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18</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15～20</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19</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84" w:type="dxa"/>
            <w:tcBorders>
              <w:top w:val="single" w:color="auto" w:sz="4" w:space="0"/>
              <w:lef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20以上</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885"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884" w:type="dxa"/>
            <w:tcBorders>
              <w:top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19</w:t>
            </w:r>
          </w:p>
        </w:tc>
        <w:tc>
          <w:tcPr>
            <w:tcW w:w="885" w:type="dxa"/>
            <w:tcBorders>
              <w:top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Cs w:val="21"/>
              </w:rPr>
            </w:pPr>
            <w:r>
              <w:rPr>
                <w:rFonts w:hint="eastAsia" w:ascii="宋体" w:hAnsi="宋体" w:eastAsia="宋体" w:cs="宋体"/>
                <w:color w:val="000000"/>
                <w:kern w:val="0"/>
                <w:szCs w:val="21"/>
              </w:rPr>
              <w:t>20</w:t>
            </w:r>
          </w:p>
        </w:tc>
      </w:tr>
    </w:tbl>
    <w:p>
      <w:pPr>
        <w:numPr>
          <w:ilvl w:val="0"/>
          <w:numId w:val="5"/>
        </w:numPr>
        <w:spacing w:before="100" w:beforeAutospacing="1"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其他依据是指送审的预算编制存在以下问题的，每发现一次视情节轻重扣5至10分：</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1.提供的预算书与设计图纸不一致的，扣5分；</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2.由于编制单位编制问题造成超计划投资或远低计划投资的，需要退回重新设计和编制预算的扣5分；</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3.编制单位违背编制原则，按建设单位意图编制预算，扣10分；</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4.违背其他未列明考核项目每项扣5分。</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概预算审核</w:t>
      </w:r>
    </w:p>
    <w:p>
      <w:pPr>
        <w:numPr>
          <w:ilvl w:val="0"/>
          <w:numId w:val="5"/>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概预算审核考核满分100分，对每个项目的审核成果进行复核抽查，计算月度平均得分和年度平均得分，年终以60%或80%计入年度总分。概预算审核考核的内容为：响应时间和审核时限、审核报告文本质量、审核成果质量。</w:t>
      </w:r>
    </w:p>
    <w:p>
      <w:pPr>
        <w:numPr>
          <w:ilvl w:val="0"/>
          <w:numId w:val="5"/>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响应时间和审核时限考核满分20分。</w:t>
      </w:r>
    </w:p>
    <w:p>
      <w:pPr>
        <w:numPr>
          <w:ilvl w:val="0"/>
          <w:numId w:val="18"/>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响应时间考核内容为以各中介咨询机构投标服务响应时间为标准，接到审核中心通知后，未在投标服务响应时间内到达审核中心的，扣1分，每推迟一天扣2分/天，累计扣减不超过4分，响应时间超过48小时的，视为拒接业务，该项目重新抽签，该中介机构不再参加本轮业务抽签。</w:t>
      </w:r>
    </w:p>
    <w:p>
      <w:pPr>
        <w:numPr>
          <w:ilvl w:val="0"/>
          <w:numId w:val="18"/>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时限考核内容为中介咨询机构接受项目委托并确认资料齐全并之日起，在规定期限内是否完成项目审核。概预算审核（包括变更审核）逾期的，每天扣减该项目1%的基础审核费，累计扣减不超过该项目审核费用的总额；扣2分/天，累计扣减不超过16分。符合本办法第二十一条、第二十二条、第二十三条规定的，审核时间可剔除补充资料时间。</w:t>
      </w:r>
    </w:p>
    <w:p>
      <w:pPr>
        <w:numPr>
          <w:ilvl w:val="0"/>
          <w:numId w:val="5"/>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审核报告文本质量考核满分10分，审核报告文本未符合下列要求的，每处扣0.5分，累计扣减不超过10分。</w:t>
      </w:r>
    </w:p>
    <w:p>
      <w:pPr>
        <w:spacing w:line="590" w:lineRule="exact"/>
        <w:ind w:firstLine="640" w:firstLineChars="200"/>
        <w:rPr>
          <w:rFonts w:ascii="宋体" w:hAnsi="宋体" w:eastAsia="宋体" w:cs="宋体"/>
          <w:sz w:val="32"/>
          <w:szCs w:val="32"/>
        </w:rPr>
      </w:pPr>
      <w:r>
        <w:rPr>
          <w:rFonts w:hint="eastAsia" w:ascii="宋体" w:hAnsi="宋体" w:eastAsia="宋体" w:cs="宋体"/>
          <w:sz w:val="32"/>
          <w:szCs w:val="32"/>
        </w:rPr>
        <w:t>1.审核报告应加盖中介咨询机构公章，并经具体审核人员、中介咨询机构负责人签字盖章确认；</w:t>
      </w:r>
    </w:p>
    <w:p>
      <w:pPr>
        <w:spacing w:line="590" w:lineRule="exact"/>
        <w:ind w:firstLine="640" w:firstLineChars="200"/>
        <w:rPr>
          <w:rFonts w:ascii="宋体" w:hAnsi="宋体" w:eastAsia="宋体" w:cs="宋体"/>
          <w:sz w:val="32"/>
          <w:szCs w:val="32"/>
        </w:rPr>
      </w:pPr>
      <w:r>
        <w:rPr>
          <w:rFonts w:hint="eastAsia" w:ascii="宋体" w:hAnsi="宋体" w:eastAsia="宋体" w:cs="宋体"/>
          <w:sz w:val="32"/>
          <w:szCs w:val="32"/>
        </w:rPr>
        <w:t>2.审核报告应反映项目基本情况、审核依据、审核过程中发现的主要问题及审核结果等；</w:t>
      </w:r>
    </w:p>
    <w:p>
      <w:pPr>
        <w:spacing w:line="590" w:lineRule="exact"/>
        <w:ind w:firstLine="640" w:firstLineChars="200"/>
        <w:rPr>
          <w:rFonts w:ascii="宋体" w:hAnsi="宋体" w:eastAsia="宋体" w:cs="宋体"/>
          <w:sz w:val="32"/>
          <w:szCs w:val="32"/>
        </w:rPr>
      </w:pPr>
      <w:r>
        <w:rPr>
          <w:rFonts w:hint="eastAsia" w:ascii="宋体" w:hAnsi="宋体" w:eastAsia="宋体" w:cs="宋体"/>
          <w:sz w:val="32"/>
          <w:szCs w:val="32"/>
        </w:rPr>
        <w:t>3.审核报告需提供核定金额确认表（附表9、附表10）和对比表；</w:t>
      </w:r>
    </w:p>
    <w:p>
      <w:pPr>
        <w:spacing w:line="590" w:lineRule="exact"/>
        <w:ind w:firstLine="640" w:firstLineChars="200"/>
        <w:rPr>
          <w:rFonts w:ascii="宋体" w:hAnsi="宋体" w:eastAsia="宋体" w:cs="宋体"/>
          <w:sz w:val="32"/>
          <w:szCs w:val="32"/>
        </w:rPr>
      </w:pPr>
      <w:r>
        <w:rPr>
          <w:rFonts w:hint="eastAsia" w:ascii="宋体" w:hAnsi="宋体" w:eastAsia="宋体" w:cs="宋体"/>
          <w:sz w:val="32"/>
          <w:szCs w:val="32"/>
        </w:rPr>
        <w:t>4.提供审核报告的同时应提供相应造价软件电子版本和真实、明确、清晰的对账资料。</w:t>
      </w:r>
    </w:p>
    <w:p>
      <w:pPr>
        <w:numPr>
          <w:ilvl w:val="0"/>
          <w:numId w:val="5"/>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成果质量考核满分为70分，以复查退回次数和绝对误差率为考核标准。复查退回的，同一个项目一次退回扣项目考核分值10分，基础审核费用5%，绩效奖励费用70%；二次退回扣项目考核分值20分，基础审核费用15%，绩效奖励费用100%；三次退回扣项目考核分值30分，基础审核费用30%，绩效奖励费用100%，并按本办法第三十四条执行。同时，对工程费用绝对误差金额在300万元以上的，扣项目考核分值30分和基础审核费用30%，绩效奖励费用按退回次数扣减。</w:t>
      </w:r>
    </w:p>
    <w:p>
      <w:pPr>
        <w:numPr>
          <w:ilvl w:val="0"/>
          <w:numId w:val="5"/>
        </w:numPr>
        <w:spacing w:line="590" w:lineRule="exact"/>
        <w:ind w:left="0" w:firstLine="640" w:firstLineChars="200"/>
        <w:rPr>
          <w:rFonts w:ascii="宋体" w:hAnsi="宋体" w:eastAsia="宋体" w:cs="宋体"/>
          <w:sz w:val="32"/>
          <w:szCs w:val="32"/>
        </w:rPr>
      </w:pPr>
      <w:r>
        <w:rPr>
          <w:rFonts w:hint="eastAsia" w:ascii="宋体" w:hAnsi="宋体" w:eastAsia="宋体" w:cs="宋体"/>
          <w:sz w:val="32"/>
          <w:szCs w:val="32"/>
        </w:rPr>
        <w:t>编制单位和审核单位如对项目考核有异议的，须在审核结束后3个工作日内书面向审核中心提交考核异议申请表（附表11），并附相关证明材料。</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快件办理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快件办理考核总分100分，以10%计入年度总分。考核内容：项目审核节约时间。</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因项目进度等客观因素确需加急审核的项目，按照本办法第五章规定的完成时限每提前完成1天加0.5分，单个项目最高加5分，一个中介咨询机构年度最高加100分。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资料补充通知单仅作为项目审核是否逾期凭证，不作快件办理缩减时间依据。</w:t>
      </w:r>
    </w:p>
    <w:p>
      <w:pPr>
        <w:numPr>
          <w:ilvl w:val="1"/>
          <w:numId w:val="4"/>
        </w:numPr>
        <w:spacing w:before="100" w:beforeAutospacing="1" w:after="100" w:afterAutospacing="1"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综合考评</w:t>
      </w:r>
    </w:p>
    <w:p>
      <w:pPr>
        <w:numPr>
          <w:ilvl w:val="0"/>
          <w:numId w:val="5"/>
        </w:numPr>
        <w:spacing w:after="100" w:afterAutospacing="1"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综合考评总分100分，考核内容包括：中介咨询机构的专业配置、办公条件、制度建设、档案管理、执业态度、有无投诉、服务对象评价等情况。综合考评以10%计入年度总分。具体计分标准如下表：</w:t>
      </w:r>
    </w:p>
    <w:p>
      <w:pPr>
        <w:ind w:left="840"/>
        <w:jc w:val="center"/>
        <w:rPr>
          <w:rFonts w:ascii="宋体" w:hAnsi="宋体" w:eastAsia="宋体" w:cs="宋体"/>
          <w:b/>
          <w:color w:val="000000"/>
          <w:sz w:val="30"/>
          <w:szCs w:val="30"/>
        </w:rPr>
      </w:pPr>
      <w:r>
        <w:rPr>
          <w:rFonts w:hint="eastAsia" w:ascii="宋体" w:hAnsi="宋体" w:eastAsia="宋体" w:cs="宋体"/>
          <w:b/>
          <w:color w:val="000000"/>
          <w:sz w:val="30"/>
          <w:szCs w:val="30"/>
        </w:rPr>
        <w:t>中介咨询机构综合考评表</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619"/>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0" w:type="dxa"/>
            <w:shd w:val="clear" w:color="auto" w:fill="auto"/>
            <w:vAlign w:val="center"/>
          </w:tcPr>
          <w:p>
            <w:pPr>
              <w:spacing w:line="280" w:lineRule="exact"/>
              <w:jc w:val="center"/>
              <w:rPr>
                <w:rFonts w:ascii="宋体" w:hAnsi="宋体" w:eastAsia="宋体" w:cs="宋体"/>
                <w:color w:val="000000"/>
                <w:sz w:val="18"/>
                <w:szCs w:val="18"/>
              </w:rPr>
            </w:pPr>
            <w:bookmarkStart w:id="6" w:name="_Hlk13579001"/>
            <w:r>
              <w:rPr>
                <w:rFonts w:hint="eastAsia" w:ascii="宋体" w:hAnsi="宋体" w:eastAsia="宋体" w:cs="宋体"/>
                <w:color w:val="000000"/>
                <w:sz w:val="18"/>
                <w:szCs w:val="18"/>
              </w:rPr>
              <w:t>项目</w:t>
            </w:r>
          </w:p>
        </w:tc>
        <w:tc>
          <w:tcPr>
            <w:tcW w:w="4394" w:type="dxa"/>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考核内容</w:t>
            </w:r>
          </w:p>
        </w:tc>
        <w:tc>
          <w:tcPr>
            <w:tcW w:w="619" w:type="dxa"/>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总分</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3122" w:type="dxa"/>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0" w:type="dxa"/>
            <w:vMerge w:val="restart"/>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专业</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配置</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35</w:t>
            </w: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专业结构配置齐全、合理。</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建筑、交通、水利、安装每个专业2.5分。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审核团队成员一级造价师、二级造价师数量。</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对照投标拟派审核团队成员和人员变更登记表，一级造价师1分/人，二级造价师0.5分/人。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单位、人员、专业变动报告情况。</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单位、人员、专业变动未按时书面报告的，每次（项）扣1分。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审核团队成员人事档案关系清楚，社会基本养老保险与投标承诺一致。</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对照投标承诺，一级造价师每少一个扣1分，二级造价师每少一个扣0.5分。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审核团队成员人员稳定性。</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对照投标时拟派审核团队成员名单，变动率20%以内的得5分，超过的，每增加10%扣1分。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restart"/>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办公</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条件</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审核团队成员响应服务能力。</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在富阳区设立总公司或分公司的得5分，未设立的得0分。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办公设备齐全，有各类造价软件、电脑、打印机、复印机、文件柜等。</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每缺一样扣0.5分。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办公功能区域划分合理（造价部、打印室、档案室、会议室）。</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每缺一区域扣0.5分。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restart"/>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制度</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管理</w:t>
            </w:r>
          </w:p>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具有完善合理的质量控制制度、内部流程管理制度。</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有制度5分，有执行5分。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具有完善的技术档案管理制度。</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有制度3分，有执行2分。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具有规范的业务承接、审核、复核，不得转包分包等管理制度。</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有制度3分，有执行2分。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continue"/>
            <w:shd w:val="clear" w:color="auto" w:fill="auto"/>
            <w:vAlign w:val="center"/>
          </w:tcPr>
          <w:p>
            <w:pPr>
              <w:spacing w:line="280" w:lineRule="exact"/>
              <w:jc w:val="center"/>
              <w:rPr>
                <w:rFonts w:ascii="宋体" w:hAnsi="宋体" w:eastAsia="宋体" w:cs="宋体"/>
                <w:color w:val="000000"/>
                <w:sz w:val="18"/>
                <w:szCs w:val="18"/>
              </w:rPr>
            </w:pP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具有完善的财务管理制度。</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有制度3分，有执行2分。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其他10</w:t>
            </w: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有无投诉情况，执业态度不好、沟通协调不及时等情况。</w:t>
            </w:r>
          </w:p>
        </w:tc>
        <w:tc>
          <w:tcPr>
            <w:tcW w:w="619" w:type="dxa"/>
            <w:shd w:val="clear" w:color="auto" w:fill="auto"/>
            <w:vAlign w:val="center"/>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投诉情况属实每一次扣2分；</w:t>
            </w:r>
          </w:p>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其他情况经核实每一次扣1分。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0" w:type="dxa"/>
            <w:shd w:val="clear" w:color="auto" w:fill="auto"/>
            <w:vAlign w:val="center"/>
          </w:tcPr>
          <w:p>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满意度评价20</w:t>
            </w:r>
          </w:p>
        </w:tc>
        <w:tc>
          <w:tcPr>
            <w:tcW w:w="4394"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服务对象满意度评价。</w:t>
            </w:r>
          </w:p>
        </w:tc>
        <w:tc>
          <w:tcPr>
            <w:tcW w:w="619" w:type="dxa"/>
            <w:shd w:val="clear" w:color="auto" w:fill="auto"/>
          </w:tcPr>
          <w:p>
            <w:pPr>
              <w:spacing w:line="5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20</w:t>
            </w:r>
          </w:p>
        </w:tc>
        <w:tc>
          <w:tcPr>
            <w:tcW w:w="3122" w:type="dxa"/>
            <w:shd w:val="clear" w:color="auto" w:fill="auto"/>
            <w:vAlign w:val="center"/>
          </w:tcPr>
          <w:p>
            <w:pPr>
              <w:spacing w:line="280" w:lineRule="exact"/>
              <w:rPr>
                <w:rFonts w:ascii="宋体" w:hAnsi="宋体" w:eastAsia="宋体" w:cs="宋体"/>
                <w:color w:val="000000"/>
                <w:sz w:val="18"/>
                <w:szCs w:val="18"/>
              </w:rPr>
            </w:pPr>
            <w:r>
              <w:rPr>
                <w:rFonts w:hint="eastAsia" w:ascii="宋体" w:hAnsi="宋体" w:eastAsia="宋体" w:cs="宋体"/>
                <w:color w:val="000000"/>
                <w:sz w:val="18"/>
                <w:szCs w:val="18"/>
              </w:rPr>
              <w:t>评价分“满意”、“较满意”、“一般”“不满意”四个等次，对应分数分别为20分、16分、12分、8分，按回收评价表平均值赋分。</w:t>
            </w:r>
          </w:p>
        </w:tc>
      </w:tr>
      <w:bookmarkEnd w:id="6"/>
    </w:tbl>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附加分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附加分包括附加加分和附加扣分，是在年度总分基础上直接加扣的分。附加加分、附加扣分分值均在5分范围内。</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附加加分考核内容包括审核单位发现编制单位重大错误（漏项）、专项审核重大贡献；提出重大改进、重大贡献的合理化建议或设计方案优化意见采纳等。审核单位发现编制单位重大错误（漏项），且该重大错误（漏项）非建设单位、设计单位、勘察单位等职能、技术部门调整引起，而是因提出合理化建议扣减或编制原因出现该重大错误（漏项）引起的，则按占项目造价比例划分三个档次（含下限，不含上限）：10%～15%、15%～20%、20%以上，分别奖励0.2分、0.4分、0.6分，其中合理化建议或设计方案优化意见被建设单位采纳，节约投资30万元以上，未达到项目造价比例10%的，加0.1分。其他附加加分比照审核单位发现编制单位重大错误（漏项）类执行，</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对中介咨询机构审核中未发现编制重大错误(漏项)等，按占项目造价比例划分三个档次（含下限，不含上限）：10%～15%、15%～20%、20%以上，分别扣0.2分、0.4分、0.6分。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入围中介咨询机构审核人员存在机构间串岗审核的扣0.2分/次，拒接业务的扣0.2分/次（不含加急项目）。</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中介咨询机构被区纪（监）委，区住建局、区审计局等部门警告或通报批评等处理或处罚的，视情节严重程度扣1-3分。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中介咨询机构及其审核人员有下列情形的，暂停3个月审核业务，并扣除年度考核分值0.3分。</w:t>
      </w:r>
    </w:p>
    <w:p>
      <w:pPr>
        <w:numPr>
          <w:ilvl w:val="0"/>
          <w:numId w:val="1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审核中拖沓延误造成不良影响的；</w:t>
      </w:r>
    </w:p>
    <w:p>
      <w:pPr>
        <w:numPr>
          <w:ilvl w:val="0"/>
          <w:numId w:val="1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项目退回两次以上（含）的情况发生2次的；</w:t>
      </w:r>
    </w:p>
    <w:p>
      <w:pPr>
        <w:numPr>
          <w:ilvl w:val="0"/>
          <w:numId w:val="1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主动申请暂停业务达到3次的；</w:t>
      </w:r>
    </w:p>
    <w:p>
      <w:pPr>
        <w:numPr>
          <w:ilvl w:val="0"/>
          <w:numId w:val="1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复核中发现具体审核人员与审核团队成员不一致，也未书面报告人员变动情况的；</w:t>
      </w:r>
    </w:p>
    <w:p>
      <w:pPr>
        <w:numPr>
          <w:ilvl w:val="0"/>
          <w:numId w:val="19"/>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工作态度不端正或审核不负责的。如：具体审核人员对图纸情况不了解、无法提供或提供虚假工程量计算稿计算模型、未认真审核工程量或单价、大部分工程量或单价计算错误等。</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中介咨询机构及其审核人员有下列情形的，暂停6个月审核业务，并扣除年度考核分值0.5分。</w:t>
      </w:r>
    </w:p>
    <w:p>
      <w:pPr>
        <w:numPr>
          <w:ilvl w:val="0"/>
          <w:numId w:val="20"/>
        </w:numPr>
        <w:spacing w:line="600" w:lineRule="exact"/>
        <w:rPr>
          <w:rFonts w:ascii="宋体" w:hAnsi="宋体" w:eastAsia="宋体" w:cs="宋体"/>
          <w:sz w:val="32"/>
          <w:szCs w:val="32"/>
        </w:rPr>
      </w:pPr>
      <w:r>
        <w:rPr>
          <w:rFonts w:hint="eastAsia" w:ascii="宋体" w:hAnsi="宋体" w:eastAsia="宋体" w:cs="宋体"/>
          <w:sz w:val="32"/>
          <w:szCs w:val="32"/>
        </w:rPr>
        <w:t>年度考核排名末2位的；</w:t>
      </w:r>
    </w:p>
    <w:p>
      <w:pPr>
        <w:numPr>
          <w:ilvl w:val="0"/>
          <w:numId w:val="20"/>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将财政委托审核业务委托非本单位固定职工审核的；</w:t>
      </w:r>
    </w:p>
    <w:p>
      <w:pPr>
        <w:numPr>
          <w:ilvl w:val="0"/>
          <w:numId w:val="20"/>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连续3次逾期；</w:t>
      </w:r>
    </w:p>
    <w:p>
      <w:pPr>
        <w:numPr>
          <w:ilvl w:val="0"/>
          <w:numId w:val="20"/>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一个考核年度内累计5次逾期且占已完成项目数量10%（含）以上的。</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中介咨询机构及其审核人员有下列情形的，区财政局可解除框架协议，追回审核费用。</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没有按照造价咨询服务程序和步骤开展工作，导致造价咨询服务结果产生负面影响的，或重大违纪违规问题应当披露而未披露的；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发生将委托的造价咨询服务业务分包、转包给其他单位或个人的；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在项目审核过程中不履行回避义务的；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审核中未发现编制中重大错误造成实质性损失或严重后果的；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向审核项目相关单位或个人索要财物，接受馈赠或参加违反“依法、公正、客观、独立”原则的其他活动被查实的;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违反保密规定泄漏审核资料或私自交于其他单位查实的;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中介咨询机构或其审核人员有其他违背执业原则损害委托人利益的事项的；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被富阳区各行业监督管理部门列为“黑名单”的；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服务期限内累计暂停业务达到3次的（不含主动申请）或暂停业务时间累计超过9个月的或拒接财政委托的审核业务达到3次的（不含加急项目）。</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实际持证在岗少于4人（一级造价师少于2人）的单位，3个月内未整改到位的。</w:t>
      </w:r>
    </w:p>
    <w:p>
      <w:pPr>
        <w:numPr>
          <w:ilvl w:val="0"/>
          <w:numId w:val="21"/>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其他违反法律、行政法规等行为。</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考核结果应用</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区财政局根据年度考核情况发布考核结果通报，确定考核排名前25%（含）为优秀，25%(不含)-50%（含）为良好。</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对年度考核前50%的单位予以奖励，当年中介机构业务考核总扣减费用按排名全额奖励给考核前50%的单位。具体奖励金额为：</w:t>
      </w:r>
      <w:r>
        <w:rPr>
          <w:rFonts w:hint="eastAsia" w:ascii="宋体" w:hAnsi="宋体" w:eastAsia="宋体" w:cs="宋体"/>
          <w:sz w:val="32"/>
          <w:szCs w:val="32"/>
        </w:rPr>
        <w:drawing>
          <wp:inline distT="0" distB="0" distL="114300" distR="114300">
            <wp:extent cx="1147445" cy="236220"/>
            <wp:effectExtent l="0" t="0" r="14605"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147445" cy="236220"/>
                    </a:xfrm>
                    <a:prstGeom prst="rect">
                      <a:avLst/>
                    </a:prstGeom>
                    <a:noFill/>
                    <a:ln>
                      <a:noFill/>
                    </a:ln>
                  </pic:spPr>
                </pic:pic>
              </a:graphicData>
            </a:graphic>
          </wp:inline>
        </w:drawing>
      </w:r>
      <w:r>
        <w:rPr>
          <w:rFonts w:hint="eastAsia" w:ascii="宋体" w:hAnsi="宋体" w:eastAsia="宋体" w:cs="宋体"/>
          <w:sz w:val="32"/>
          <w:szCs w:val="32"/>
        </w:rPr>
        <w:t>，其中n为中介机构排名，k=入围造价咨询企业当年业务考核排名前50%的企业数量值。年度内被区纪委、区住建、区财政等相关部门处理处罚、通报或列入警示名单的中介不得计取奖励费用。</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费用结算</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政府与国企投资类项目的财政委托审核，由区财政局统一向中介咨询机构支付咨询服务费。支付方式为每年集中付费两次，具体付费时间按区财政局年度预算安排为准。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咨询服务费计费采用业务基础咨询收费和业务绩效奖励收费相结合的办法计算。</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咨询服务费基础费用以委托项目审定工程费用为计费基数，绩效奖励费用以净核减工程费用为计费基数。具体根据合同约定执行。</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单个审核项目的咨询服务基础费用计费不足2000元的，按2000元计费。</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咨询服务费原则上一个项目计费一次，因项目流标需要重审的，由原审核中介咨询机构审核，费用视项目调整内容适当补助。因项目方案调整、未及时发布招标信息等原因，建设单位要求对已审定项目再重新报审的，该项目咨询服务费由建设单位承担。</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档案管理</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政府与国企投资类项目概预算审核档案是指能反映项目审核流程、保留项目重大事项痕迹、辅助中介机构考核、测定指标数据等事宜，在项目审核过程中形成的具有保存价值的文件和资料。包括：</w:t>
      </w:r>
    </w:p>
    <w:p>
      <w:pPr>
        <w:numPr>
          <w:ilvl w:val="0"/>
          <w:numId w:val="22"/>
        </w:numPr>
        <w:spacing w:line="600" w:lineRule="exact"/>
        <w:rPr>
          <w:rFonts w:ascii="宋体" w:hAnsi="宋体" w:eastAsia="宋体" w:cs="宋体"/>
          <w:sz w:val="32"/>
          <w:szCs w:val="32"/>
        </w:rPr>
      </w:pPr>
      <w:r>
        <w:rPr>
          <w:rFonts w:hint="eastAsia" w:ascii="宋体" w:hAnsi="宋体" w:eastAsia="宋体" w:cs="宋体"/>
          <w:sz w:val="32"/>
          <w:szCs w:val="32"/>
        </w:rPr>
        <w:t>政府与国企投资项目概预算审核报告呈批单；</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概（预）算审核委托书；</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概（预）算审核登记审批表（自筹资金项目委托财政审核申请表）；</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概（预）算审核报告；</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中介机构三级复核流转单；</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工程造价审核对账纪要；</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相关会议纪要及文件说明等；</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财政委托审核项目概预算审核小组成员表；</w:t>
      </w:r>
    </w:p>
    <w:p>
      <w:pPr>
        <w:numPr>
          <w:ilvl w:val="0"/>
          <w:numId w:val="22"/>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其他相关文件和资料。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初步设计文本、施工图纸、招投标文件、施工合同等资料管理，由建设单位、编制单位及审核单位按《浙江省建设工程造价咨询执业操作规程》执行。</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政府与国企投资类项目概预算审核档案，在当年审核年度结束后，由区财政局统一组织整理归档。</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参照《浙江省建设工程造价咨询执业操作规程》中对档案保存期限条款规定，政府与国企投资类项目概预算审核档案保存期限定为短期（10年）。</w:t>
      </w:r>
    </w:p>
    <w:p>
      <w:pPr>
        <w:numPr>
          <w:ilvl w:val="1"/>
          <w:numId w:val="4"/>
        </w:numPr>
        <w:spacing w:before="289" w:beforeLines="50" w:after="289" w:afterLines="50" w:line="600" w:lineRule="exact"/>
        <w:ind w:left="0" w:firstLine="0"/>
        <w:jc w:val="center"/>
        <w:rPr>
          <w:rFonts w:ascii="宋体" w:hAnsi="宋体" w:eastAsia="宋体" w:cs="宋体"/>
          <w:b/>
          <w:bCs/>
          <w:sz w:val="32"/>
          <w:szCs w:val="32"/>
        </w:rPr>
      </w:pPr>
      <w:r>
        <w:rPr>
          <w:rFonts w:hint="eastAsia" w:ascii="宋体" w:hAnsi="宋体" w:eastAsia="宋体" w:cs="宋体"/>
          <w:b/>
          <w:bCs/>
          <w:sz w:val="32"/>
          <w:szCs w:val="32"/>
        </w:rPr>
        <w:t>附则</w:t>
      </w:r>
    </w:p>
    <w:p>
      <w:pPr>
        <w:numPr>
          <w:ilvl w:val="0"/>
          <w:numId w:val="5"/>
        </w:numPr>
        <w:spacing w:line="600" w:lineRule="exact"/>
        <w:ind w:left="0" w:firstLine="640" w:firstLineChars="200"/>
        <w:rPr>
          <w:rFonts w:ascii="宋体" w:hAnsi="宋体" w:eastAsia="宋体" w:cs="宋体"/>
          <w:sz w:val="32"/>
          <w:szCs w:val="32"/>
        </w:rPr>
      </w:pPr>
      <w:r>
        <w:rPr>
          <w:rFonts w:hint="eastAsia" w:ascii="宋体" w:hAnsi="宋体" w:eastAsia="宋体" w:cs="宋体"/>
          <w:sz w:val="32"/>
          <w:szCs w:val="32"/>
        </w:rPr>
        <w:t>本办法出台后原《富阳区政府性投资项目审核管理办法》（富财预审〔2021〕72号）、《杭州市富阳区财政局关于扩大财政预算审核范围的通知》（富财预审〔2020〕553号）同时废止。</w:t>
      </w:r>
    </w:p>
    <w:p>
      <w:pPr>
        <w:spacing w:line="600" w:lineRule="exact"/>
        <w:ind w:firstLine="640" w:firstLineChars="200"/>
        <w:rPr>
          <w:rFonts w:ascii="宋体" w:hAnsi="宋体" w:eastAsia="宋体" w:cs="宋体"/>
          <w:sz w:val="32"/>
          <w:szCs w:val="32"/>
        </w:rPr>
        <w:sectPr>
          <w:footerReference r:id="rId5" w:type="default"/>
          <w:pgSz w:w="11906" w:h="16838"/>
          <w:pgMar w:top="1304" w:right="1191" w:bottom="1304" w:left="1134" w:header="851" w:footer="397" w:gutter="0"/>
          <w:pgNumType w:fmt="numberInDash"/>
          <w:cols w:space="425" w:num="1"/>
          <w:docGrid w:type="lines" w:linePitch="579" w:charSpace="21679"/>
        </w:sectPr>
      </w:pPr>
      <w:r>
        <w:rPr>
          <w:rFonts w:hint="eastAsia" w:ascii="宋体" w:hAnsi="宋体" w:eastAsia="宋体" w:cs="宋体"/>
          <w:sz w:val="32"/>
          <w:szCs w:val="32"/>
        </w:rPr>
        <w:t>本办法由杭州市富阳区财政局负责解释。</w:t>
      </w:r>
    </w:p>
    <w:p>
      <w:pPr>
        <w:widowControl/>
        <w:jc w:val="left"/>
        <w:rPr>
          <w:rFonts w:ascii="宋体" w:hAnsi="宋体" w:eastAsia="宋体" w:cs="宋体"/>
          <w:color w:val="000000"/>
          <w:sz w:val="30"/>
          <w:szCs w:val="30"/>
        </w:rPr>
      </w:pPr>
      <w:r>
        <w:rPr>
          <w:rFonts w:hint="eastAsia" w:ascii="宋体" w:hAnsi="宋体" w:eastAsia="宋体" w:cs="宋体"/>
          <w:color w:val="000000"/>
          <w:sz w:val="30"/>
          <w:szCs w:val="30"/>
        </w:rPr>
        <w:t>附表1</w:t>
      </w:r>
    </w:p>
    <w:tbl>
      <w:tblPr>
        <w:tblStyle w:val="16"/>
        <w:tblW w:w="5000" w:type="pct"/>
        <w:jc w:val="center"/>
        <w:tblLayout w:type="fixed"/>
        <w:tblCellMar>
          <w:top w:w="0" w:type="dxa"/>
          <w:left w:w="108" w:type="dxa"/>
          <w:bottom w:w="0" w:type="dxa"/>
          <w:right w:w="108" w:type="dxa"/>
        </w:tblCellMar>
      </w:tblPr>
      <w:tblGrid>
        <w:gridCol w:w="427"/>
        <w:gridCol w:w="849"/>
        <w:gridCol w:w="1989"/>
        <w:gridCol w:w="2557"/>
        <w:gridCol w:w="1244"/>
        <w:gridCol w:w="1456"/>
      </w:tblGrid>
      <w:tr>
        <w:tblPrEx>
          <w:tblCellMar>
            <w:top w:w="0" w:type="dxa"/>
            <w:left w:w="108" w:type="dxa"/>
            <w:bottom w:w="0" w:type="dxa"/>
            <w:right w:w="108" w:type="dxa"/>
          </w:tblCellMar>
        </w:tblPrEx>
        <w:trPr>
          <w:trHeight w:val="496" w:hRule="atLeast"/>
          <w:jc w:val="center"/>
        </w:trPr>
        <w:tc>
          <w:tcPr>
            <w:tcW w:w="5000" w:type="pct"/>
            <w:gridSpan w:val="6"/>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color w:val="000000"/>
                <w:kern w:val="0"/>
                <w:sz w:val="32"/>
                <w:szCs w:val="32"/>
              </w:rPr>
              <w:t>概预算审核登记审批表</w:t>
            </w:r>
          </w:p>
        </w:tc>
      </w:tr>
      <w:tr>
        <w:tblPrEx>
          <w:tblCellMar>
            <w:top w:w="0" w:type="dxa"/>
            <w:left w:w="108" w:type="dxa"/>
            <w:bottom w:w="0" w:type="dxa"/>
            <w:right w:w="108" w:type="dxa"/>
          </w:tblCellMar>
        </w:tblPrEx>
        <w:trPr>
          <w:trHeight w:val="425" w:hRule="atLeast"/>
          <w:jc w:val="center"/>
        </w:trPr>
        <w:tc>
          <w:tcPr>
            <w:tcW w:w="5000" w:type="pct"/>
            <w:gridSpan w:val="6"/>
            <w:tcBorders>
              <w:bottom w:val="single" w:color="auto" w:sz="8" w:space="0"/>
            </w:tcBorders>
            <w:shd w:val="clear" w:color="auto" w:fill="auto"/>
            <w:noWrap/>
            <w:vAlign w:val="center"/>
          </w:tcPr>
          <w:p>
            <w:pPr>
              <w:widowControl/>
              <w:spacing w:line="280" w:lineRule="exact"/>
              <w:rPr>
                <w:rFonts w:ascii="宋体" w:hAnsi="宋体" w:eastAsia="宋体" w:cs="宋体"/>
                <w:color w:val="000000"/>
                <w:kern w:val="0"/>
              </w:rPr>
            </w:pPr>
            <w:r>
              <w:rPr>
                <w:rFonts w:hint="eastAsia" w:ascii="宋体" w:hAnsi="宋体" w:eastAsia="宋体" w:cs="宋体"/>
                <w:color w:val="000000"/>
                <w:kern w:val="0"/>
              </w:rPr>
              <w:t>送审单位（盖章）：                               联系人及联系方式：</w:t>
            </w:r>
          </w:p>
        </w:tc>
      </w:tr>
      <w:tr>
        <w:tblPrEx>
          <w:tblCellMar>
            <w:top w:w="0" w:type="dxa"/>
            <w:left w:w="108" w:type="dxa"/>
            <w:bottom w:w="0" w:type="dxa"/>
            <w:right w:w="108" w:type="dxa"/>
          </w:tblCellMar>
        </w:tblPrEx>
        <w:trPr>
          <w:trHeight w:val="454" w:hRule="atLeast"/>
          <w:jc w:val="center"/>
        </w:trPr>
        <w:tc>
          <w:tcPr>
            <w:tcW w:w="749" w:type="pct"/>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项目名称</w:t>
            </w:r>
          </w:p>
        </w:tc>
        <w:tc>
          <w:tcPr>
            <w:tcW w:w="2667" w:type="pct"/>
            <w:gridSpan w:val="2"/>
            <w:tcBorders>
              <w:top w:val="single" w:color="auto" w:sz="8"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p>
        </w:tc>
        <w:tc>
          <w:tcPr>
            <w:tcW w:w="729" w:type="pct"/>
            <w:tcBorders>
              <w:top w:val="single" w:color="auto" w:sz="8"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总投资</w:t>
            </w:r>
          </w:p>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（万元）</w:t>
            </w:r>
          </w:p>
        </w:tc>
        <w:tc>
          <w:tcPr>
            <w:tcW w:w="853" w:type="pct"/>
            <w:tcBorders>
              <w:top w:val="single" w:color="auto" w:sz="8" w:space="0"/>
              <w:left w:val="nil"/>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467" w:hRule="atLeast"/>
          <w:jc w:val="center"/>
        </w:trPr>
        <w:tc>
          <w:tcPr>
            <w:tcW w:w="749"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子项目名称</w:t>
            </w:r>
          </w:p>
        </w:tc>
        <w:tc>
          <w:tcPr>
            <w:tcW w:w="266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p>
        </w:tc>
        <w:tc>
          <w:tcPr>
            <w:tcW w:w="72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送审金额</w:t>
            </w:r>
          </w:p>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（万元）</w:t>
            </w:r>
          </w:p>
        </w:tc>
        <w:tc>
          <w:tcPr>
            <w:tcW w:w="853" w:type="pct"/>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352" w:hRule="atLeast"/>
          <w:jc w:val="center"/>
        </w:trPr>
        <w:tc>
          <w:tcPr>
            <w:tcW w:w="749"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编制单位</w:t>
            </w:r>
          </w:p>
        </w:tc>
        <w:tc>
          <w:tcPr>
            <w:tcW w:w="4250" w:type="pct"/>
            <w:gridSpan w:val="4"/>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color w:val="000000"/>
                <w:kern w:val="0"/>
              </w:rPr>
            </w:pPr>
          </w:p>
        </w:tc>
      </w:tr>
      <w:tr>
        <w:tblPrEx>
          <w:tblCellMar>
            <w:top w:w="0" w:type="dxa"/>
            <w:left w:w="108" w:type="dxa"/>
            <w:bottom w:w="0" w:type="dxa"/>
            <w:right w:w="108" w:type="dxa"/>
          </w:tblCellMar>
        </w:tblPrEx>
        <w:trPr>
          <w:trHeight w:val="324" w:hRule="atLeast"/>
          <w:jc w:val="center"/>
        </w:trPr>
        <w:tc>
          <w:tcPr>
            <w:tcW w:w="749"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联系人</w:t>
            </w:r>
          </w:p>
        </w:tc>
        <w:tc>
          <w:tcPr>
            <w:tcW w:w="266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p>
        </w:tc>
        <w:tc>
          <w:tcPr>
            <w:tcW w:w="72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联系电话</w:t>
            </w:r>
          </w:p>
        </w:tc>
        <w:tc>
          <w:tcPr>
            <w:tcW w:w="853" w:type="pct"/>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544" w:hRule="atLeast"/>
          <w:jc w:val="center"/>
        </w:trPr>
        <w:tc>
          <w:tcPr>
            <w:tcW w:w="749"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项目建设</w:t>
            </w:r>
          </w:p>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内容及规模</w:t>
            </w:r>
          </w:p>
        </w:tc>
        <w:tc>
          <w:tcPr>
            <w:tcW w:w="4250" w:type="pct"/>
            <w:gridSpan w:val="4"/>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送</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审</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项</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目</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提</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供</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资</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料</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类型</w:t>
            </w: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资料名称</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是否送审</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备注</w:t>
            </w: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概算</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审核</w:t>
            </w: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项目建议书或可研批复（赋码信息表）</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初步设计文本</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初步设计审查会议纪要</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概算书（含电子版）</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工程量计算稿</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土地预审批复及有关用地、拆迁费用的说明</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渣土消纳场地的说明</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EPC、社会资本合作模式项目的合同、会议纪要</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预算</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审核</w:t>
            </w: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初步设计批复（或年度计划、项目批复、会议纪要等）</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地质勘察报告</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全套施工图（含CAD版施工图）</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施工图审查报告</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工程预算书（含电子版）</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工程量计算稿</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国网公司业务联系单</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会议纪要或专家论证报告</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rPr>
              <w:t>无价材料清单及价格确认表等</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rPr>
            </w:pPr>
            <w:r>
              <w:rPr>
                <w:rFonts w:hint="eastAsia" w:ascii="宋体" w:hAnsi="宋体" w:eastAsia="宋体" w:cs="宋体"/>
                <w:color w:val="000000"/>
                <w:kern w:val="0"/>
              </w:rPr>
              <w:t>渣土外运的运距说明</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EPC、社会资本合作模式项目的合同、会议纪要</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变更</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审核</w:t>
            </w: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初步设计批复</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变更审批表（现场踏勘表）</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设计联系单</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变更内容对应前后施工图（含CAD版施工图）</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工程变更预算书（含电子版）</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工程量计算稿</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工程招标文件</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工程投标文件</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施工合同及补充合同（协议）</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26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color w:val="000000"/>
                <w:kern w:val="0"/>
              </w:rPr>
            </w:pPr>
            <w:r>
              <w:rPr>
                <w:rFonts w:hint="eastAsia" w:ascii="宋体" w:hAnsi="宋体" w:eastAsia="宋体" w:cs="宋体"/>
                <w:color w:val="000000"/>
                <w:kern w:val="0"/>
              </w:rPr>
              <w:t>相关变更会议纪要</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w:t>
            </w:r>
          </w:p>
        </w:tc>
        <w:tc>
          <w:tcPr>
            <w:tcW w:w="853"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313" w:hRule="atLeast"/>
          <w:jc w:val="center"/>
        </w:trPr>
        <w:tc>
          <w:tcPr>
            <w:tcW w:w="1916"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建设单位送审人</w:t>
            </w:r>
          </w:p>
        </w:tc>
        <w:tc>
          <w:tcPr>
            <w:tcW w:w="223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eastAsia="宋体" w:cs="宋体"/>
                <w:color w:val="000000"/>
                <w:kern w:val="0"/>
              </w:rPr>
            </w:pPr>
            <w:r>
              <w:rPr>
                <w:rFonts w:hint="eastAsia" w:ascii="宋体" w:hAnsi="宋体" w:eastAsia="宋体" w:cs="宋体"/>
                <w:color w:val="000000"/>
                <w:kern w:val="0"/>
              </w:rPr>
              <w:t>签名：</w:t>
            </w:r>
          </w:p>
        </w:tc>
        <w:tc>
          <w:tcPr>
            <w:tcW w:w="853" w:type="pct"/>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right"/>
              <w:rPr>
                <w:rFonts w:ascii="宋体" w:hAnsi="宋体" w:eastAsia="宋体" w:cs="宋体"/>
                <w:color w:val="000000"/>
                <w:kern w:val="0"/>
              </w:rPr>
            </w:pPr>
            <w:r>
              <w:rPr>
                <w:rFonts w:hint="eastAsia" w:ascii="宋体" w:hAnsi="宋体" w:eastAsia="宋体" w:cs="宋体"/>
                <w:color w:val="000000"/>
                <w:kern w:val="0"/>
              </w:rPr>
              <w:t>年  月  日</w:t>
            </w:r>
          </w:p>
        </w:tc>
      </w:tr>
      <w:tr>
        <w:tblPrEx>
          <w:tblCellMar>
            <w:top w:w="0" w:type="dxa"/>
            <w:left w:w="108" w:type="dxa"/>
            <w:bottom w:w="0" w:type="dxa"/>
            <w:right w:w="108" w:type="dxa"/>
          </w:tblCellMar>
        </w:tblPrEx>
        <w:trPr>
          <w:trHeight w:val="331" w:hRule="atLeast"/>
          <w:jc w:val="center"/>
        </w:trPr>
        <w:tc>
          <w:tcPr>
            <w:tcW w:w="1916" w:type="pct"/>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财政管理科室意见</w:t>
            </w:r>
          </w:p>
        </w:tc>
        <w:tc>
          <w:tcPr>
            <w:tcW w:w="223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eastAsia="宋体" w:cs="宋体"/>
                <w:color w:val="000000"/>
                <w:kern w:val="0"/>
              </w:rPr>
            </w:pPr>
            <w:r>
              <w:rPr>
                <w:rFonts w:hint="eastAsia" w:ascii="宋体" w:hAnsi="宋体" w:eastAsia="宋体" w:cs="宋体"/>
                <w:color w:val="000000"/>
                <w:kern w:val="0"/>
              </w:rPr>
              <w:t>签名：</w:t>
            </w:r>
          </w:p>
        </w:tc>
        <w:tc>
          <w:tcPr>
            <w:tcW w:w="853" w:type="pct"/>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right"/>
              <w:rPr>
                <w:rFonts w:ascii="宋体" w:hAnsi="宋体" w:eastAsia="宋体" w:cs="宋体"/>
                <w:color w:val="000000"/>
                <w:kern w:val="0"/>
              </w:rPr>
            </w:pPr>
            <w:r>
              <w:rPr>
                <w:rFonts w:hint="eastAsia" w:ascii="宋体" w:hAnsi="宋体" w:eastAsia="宋体" w:cs="宋体"/>
                <w:color w:val="000000"/>
                <w:kern w:val="0"/>
              </w:rPr>
              <w:t>年  月  日</w:t>
            </w:r>
          </w:p>
        </w:tc>
      </w:tr>
      <w:tr>
        <w:tblPrEx>
          <w:tblCellMar>
            <w:top w:w="0" w:type="dxa"/>
            <w:left w:w="108" w:type="dxa"/>
            <w:bottom w:w="0" w:type="dxa"/>
            <w:right w:w="108" w:type="dxa"/>
          </w:tblCellMar>
        </w:tblPrEx>
        <w:trPr>
          <w:trHeight w:val="397" w:hRule="atLeast"/>
          <w:jc w:val="center"/>
        </w:trPr>
        <w:tc>
          <w:tcPr>
            <w:tcW w:w="749" w:type="pct"/>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审核中心</w:t>
            </w:r>
          </w:p>
        </w:tc>
        <w:tc>
          <w:tcPr>
            <w:tcW w:w="116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资料初审</w:t>
            </w:r>
          </w:p>
        </w:tc>
        <w:tc>
          <w:tcPr>
            <w:tcW w:w="3083" w:type="pct"/>
            <w:gridSpan w:val="3"/>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397" w:hRule="atLeast"/>
          <w:jc w:val="center"/>
        </w:trPr>
        <w:tc>
          <w:tcPr>
            <w:tcW w:w="749" w:type="pct"/>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rPr>
            </w:pPr>
          </w:p>
        </w:tc>
        <w:tc>
          <w:tcPr>
            <w:tcW w:w="116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委托中介机构</w:t>
            </w:r>
          </w:p>
        </w:tc>
        <w:tc>
          <w:tcPr>
            <w:tcW w:w="150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p>
        </w:tc>
        <w:tc>
          <w:tcPr>
            <w:tcW w:w="72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委托时间</w:t>
            </w:r>
          </w:p>
        </w:tc>
        <w:tc>
          <w:tcPr>
            <w:tcW w:w="853" w:type="pct"/>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right"/>
              <w:rPr>
                <w:rFonts w:ascii="宋体" w:hAnsi="宋体" w:eastAsia="宋体" w:cs="宋体"/>
                <w:color w:val="000000"/>
                <w:kern w:val="0"/>
              </w:rPr>
            </w:pPr>
            <w:r>
              <w:rPr>
                <w:rFonts w:hint="eastAsia" w:ascii="宋体" w:hAnsi="宋体" w:eastAsia="宋体" w:cs="宋体"/>
                <w:color w:val="000000"/>
                <w:kern w:val="0"/>
              </w:rPr>
              <w:t>年  月  日</w:t>
            </w:r>
          </w:p>
        </w:tc>
      </w:tr>
      <w:tr>
        <w:tblPrEx>
          <w:tblCellMar>
            <w:top w:w="0" w:type="dxa"/>
            <w:left w:w="108" w:type="dxa"/>
            <w:bottom w:w="0" w:type="dxa"/>
            <w:right w:w="108" w:type="dxa"/>
          </w:tblCellMar>
        </w:tblPrEx>
        <w:trPr>
          <w:trHeight w:val="397" w:hRule="atLeast"/>
          <w:jc w:val="center"/>
        </w:trPr>
        <w:tc>
          <w:tcPr>
            <w:tcW w:w="749" w:type="pct"/>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rPr>
            </w:pPr>
          </w:p>
        </w:tc>
        <w:tc>
          <w:tcPr>
            <w:tcW w:w="116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经办人员</w:t>
            </w:r>
          </w:p>
        </w:tc>
        <w:tc>
          <w:tcPr>
            <w:tcW w:w="150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p>
        </w:tc>
        <w:tc>
          <w:tcPr>
            <w:tcW w:w="72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备注</w:t>
            </w:r>
          </w:p>
        </w:tc>
        <w:tc>
          <w:tcPr>
            <w:tcW w:w="853" w:type="pct"/>
            <w:tcBorders>
              <w:top w:val="single" w:color="auto" w:sz="4" w:space="0"/>
              <w:left w:val="nil"/>
              <w:bottom w:val="single" w:color="auto" w:sz="4" w:space="0"/>
              <w:right w:val="single" w:color="auto" w:sz="8" w:space="0"/>
            </w:tcBorders>
            <w:shd w:val="clear" w:color="auto" w:fill="auto"/>
            <w:noWrap/>
            <w:vAlign w:val="center"/>
          </w:tcPr>
          <w:p>
            <w:pPr>
              <w:widowControl/>
              <w:spacing w:line="280" w:lineRule="exact"/>
              <w:jc w:val="right"/>
              <w:rPr>
                <w:rFonts w:ascii="宋体" w:hAnsi="宋体" w:eastAsia="宋体" w:cs="宋体"/>
                <w:color w:val="000000"/>
                <w:kern w:val="0"/>
              </w:rPr>
            </w:pPr>
          </w:p>
        </w:tc>
      </w:tr>
      <w:tr>
        <w:tblPrEx>
          <w:tblCellMar>
            <w:top w:w="0" w:type="dxa"/>
            <w:left w:w="108" w:type="dxa"/>
            <w:bottom w:w="0" w:type="dxa"/>
            <w:right w:w="108" w:type="dxa"/>
          </w:tblCellMar>
        </w:tblPrEx>
        <w:trPr>
          <w:trHeight w:val="397" w:hRule="atLeast"/>
          <w:jc w:val="center"/>
        </w:trPr>
        <w:tc>
          <w:tcPr>
            <w:tcW w:w="749" w:type="pct"/>
            <w:gridSpan w:val="2"/>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rPr>
            </w:pPr>
          </w:p>
        </w:tc>
        <w:tc>
          <w:tcPr>
            <w:tcW w:w="1166" w:type="pct"/>
            <w:tcBorders>
              <w:top w:val="single" w:color="auto" w:sz="4" w:space="0"/>
              <w:left w:val="nil"/>
              <w:bottom w:val="single" w:color="auto" w:sz="8"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rPr>
            </w:pPr>
            <w:r>
              <w:rPr>
                <w:rFonts w:hint="eastAsia" w:ascii="宋体" w:hAnsi="宋体" w:eastAsia="宋体" w:cs="宋体"/>
                <w:color w:val="000000"/>
                <w:kern w:val="0"/>
              </w:rPr>
              <w:t>审核中心主任意见</w:t>
            </w:r>
          </w:p>
        </w:tc>
        <w:tc>
          <w:tcPr>
            <w:tcW w:w="3083" w:type="pct"/>
            <w:gridSpan w:val="3"/>
            <w:tcBorders>
              <w:top w:val="single" w:color="auto" w:sz="4" w:space="0"/>
              <w:left w:val="nil"/>
              <w:bottom w:val="single" w:color="auto" w:sz="8" w:space="0"/>
              <w:right w:val="single" w:color="auto" w:sz="8" w:space="0"/>
            </w:tcBorders>
            <w:shd w:val="clear" w:color="auto" w:fill="auto"/>
            <w:noWrap/>
            <w:vAlign w:val="center"/>
          </w:tcPr>
          <w:p>
            <w:pPr>
              <w:widowControl/>
              <w:spacing w:line="280" w:lineRule="exact"/>
              <w:jc w:val="center"/>
              <w:rPr>
                <w:rFonts w:ascii="宋体" w:hAnsi="宋体" w:eastAsia="宋体" w:cs="宋体"/>
                <w:color w:val="000000"/>
                <w:kern w:val="0"/>
              </w:rPr>
            </w:pPr>
          </w:p>
        </w:tc>
      </w:tr>
    </w:tbl>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附表2</w:t>
      </w:r>
    </w:p>
    <w:tbl>
      <w:tblPr>
        <w:tblStyle w:val="16"/>
        <w:tblW w:w="5000" w:type="pct"/>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27"/>
        <w:gridCol w:w="2769"/>
        <w:gridCol w:w="1633"/>
        <w:gridCol w:w="2501"/>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5000" w:type="pct"/>
            <w:gridSpan w:val="4"/>
            <w:tcBorders>
              <w:bottom w:val="single" w:color="auto" w:sz="8" w:space="0"/>
            </w:tcBorders>
            <w:noWrap/>
            <w:tcMar>
              <w:top w:w="12" w:type="dxa"/>
              <w:left w:w="12" w:type="dxa"/>
              <w:right w:w="12" w:type="dxa"/>
            </w:tcMar>
            <w:vAlign w:val="center"/>
          </w:tcPr>
          <w:p>
            <w:pPr>
              <w:jc w:val="center"/>
              <w:rPr>
                <w:rFonts w:ascii="宋体" w:hAnsi="宋体" w:eastAsia="宋体" w:cs="宋体"/>
                <w:color w:val="000000"/>
                <w:sz w:val="22"/>
              </w:rPr>
            </w:pPr>
            <w:r>
              <w:rPr>
                <w:rFonts w:hint="eastAsia" w:ascii="宋体" w:hAnsi="宋体" w:eastAsia="宋体" w:cs="宋体"/>
                <w:sz w:val="32"/>
                <w:szCs w:val="40"/>
              </w:rPr>
              <w:t>自筹资金项目委托财政审核申请表</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7" w:type="pct"/>
            <w:tcBorders>
              <w:top w:val="single" w:color="auto" w:sz="8" w:space="0"/>
              <w:left w:val="single" w:color="auto" w:sz="8" w:space="0"/>
              <w:bottom w:val="single" w:color="auto" w:sz="4" w:space="0"/>
              <w:right w:val="single" w:color="auto" w:sz="4" w:space="0"/>
            </w:tcBorders>
            <w:noWrap/>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项目名称</w:t>
            </w:r>
          </w:p>
        </w:tc>
        <w:tc>
          <w:tcPr>
            <w:tcW w:w="1662" w:type="pct"/>
            <w:tcBorders>
              <w:top w:val="single" w:color="auto" w:sz="8"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eastAsia="宋体" w:cs="宋体"/>
                <w:color w:val="000000"/>
              </w:rPr>
            </w:pPr>
          </w:p>
        </w:tc>
        <w:tc>
          <w:tcPr>
            <w:tcW w:w="980" w:type="pct"/>
            <w:tcBorders>
              <w:top w:val="single" w:color="auto" w:sz="8"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送审金额</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（万元）</w:t>
            </w:r>
          </w:p>
        </w:tc>
        <w:tc>
          <w:tcPr>
            <w:tcW w:w="1500" w:type="pct"/>
            <w:tcBorders>
              <w:top w:val="single" w:color="auto" w:sz="8" w:space="0"/>
              <w:left w:val="single" w:color="auto" w:sz="4" w:space="0"/>
              <w:bottom w:val="single" w:color="auto" w:sz="4" w:space="0"/>
              <w:right w:val="single" w:color="auto" w:sz="8" w:space="0"/>
            </w:tcBorders>
            <w:noWrap/>
            <w:tcMar>
              <w:top w:w="12" w:type="dxa"/>
              <w:left w:w="12" w:type="dxa"/>
              <w:right w:w="12" w:type="dxa"/>
            </w:tcMar>
            <w:vAlign w:val="center"/>
          </w:tcPr>
          <w:p>
            <w:pPr>
              <w:jc w:val="center"/>
              <w:rPr>
                <w:rFonts w:ascii="宋体" w:hAnsi="宋体" w:eastAsia="宋体" w:cs="宋体"/>
                <w:color w:val="000000"/>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7" w:type="pct"/>
            <w:tcBorders>
              <w:top w:val="single" w:color="auto" w:sz="4" w:space="0"/>
              <w:left w:val="single" w:color="auto" w:sz="8" w:space="0"/>
              <w:bottom w:val="single" w:color="auto" w:sz="4" w:space="0"/>
              <w:right w:val="single" w:color="auto" w:sz="4" w:space="0"/>
            </w:tcBorders>
            <w:noWrap/>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建设地址</w:t>
            </w:r>
          </w:p>
        </w:tc>
        <w:tc>
          <w:tcPr>
            <w:tcW w:w="166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eastAsia="宋体" w:cs="宋体"/>
                <w:color w:val="000000"/>
              </w:rPr>
            </w:pPr>
          </w:p>
        </w:tc>
        <w:tc>
          <w:tcPr>
            <w:tcW w:w="980"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计划建设</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开竣工时间</w:t>
            </w:r>
          </w:p>
        </w:tc>
        <w:tc>
          <w:tcPr>
            <w:tcW w:w="1500" w:type="pct"/>
            <w:tcBorders>
              <w:top w:val="single" w:color="auto" w:sz="4" w:space="0"/>
              <w:left w:val="single" w:color="auto" w:sz="4" w:space="0"/>
              <w:bottom w:val="single" w:color="auto" w:sz="4" w:space="0"/>
              <w:right w:val="single" w:color="auto" w:sz="8" w:space="0"/>
            </w:tcBorders>
            <w:noWrap/>
            <w:tcMar>
              <w:top w:w="12" w:type="dxa"/>
              <w:left w:w="12" w:type="dxa"/>
              <w:right w:w="12" w:type="dxa"/>
            </w:tcMar>
            <w:vAlign w:val="center"/>
          </w:tcPr>
          <w:p>
            <w:pPr>
              <w:jc w:val="center"/>
              <w:rPr>
                <w:rFonts w:ascii="宋体" w:hAnsi="宋体" w:eastAsia="宋体" w:cs="宋体"/>
                <w:color w:val="000000"/>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7" w:type="pct"/>
            <w:tcBorders>
              <w:top w:val="single" w:color="auto" w:sz="4" w:space="0"/>
              <w:left w:val="single" w:color="auto" w:sz="8" w:space="0"/>
              <w:bottom w:val="single" w:color="auto" w:sz="4" w:space="0"/>
              <w:right w:val="single" w:color="auto" w:sz="4" w:space="0"/>
            </w:tcBorders>
            <w:noWrap/>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资金来源</w:t>
            </w:r>
          </w:p>
        </w:tc>
        <w:tc>
          <w:tcPr>
            <w:tcW w:w="166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eastAsia="宋体" w:cs="宋体"/>
                <w:color w:val="000000"/>
              </w:rPr>
            </w:pPr>
          </w:p>
        </w:tc>
        <w:tc>
          <w:tcPr>
            <w:tcW w:w="980"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项目总投资</w:t>
            </w:r>
          </w:p>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控制额</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（万元）</w:t>
            </w:r>
          </w:p>
        </w:tc>
        <w:tc>
          <w:tcPr>
            <w:tcW w:w="1500" w:type="pct"/>
            <w:tcBorders>
              <w:top w:val="single" w:color="auto" w:sz="4" w:space="0"/>
              <w:left w:val="single" w:color="auto" w:sz="4" w:space="0"/>
              <w:bottom w:val="single" w:color="auto" w:sz="4" w:space="0"/>
              <w:right w:val="single" w:color="auto" w:sz="8" w:space="0"/>
            </w:tcBorders>
            <w:noWrap/>
            <w:tcMar>
              <w:top w:w="12" w:type="dxa"/>
              <w:left w:w="12" w:type="dxa"/>
              <w:right w:w="12" w:type="dxa"/>
            </w:tcMar>
            <w:vAlign w:val="center"/>
          </w:tcPr>
          <w:p>
            <w:pPr>
              <w:jc w:val="center"/>
              <w:rPr>
                <w:rFonts w:ascii="宋体" w:hAnsi="宋体" w:eastAsia="宋体" w:cs="宋体"/>
                <w:color w:val="000000"/>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7" w:type="pct"/>
            <w:tcBorders>
              <w:top w:val="single" w:color="auto" w:sz="4" w:space="0"/>
              <w:left w:val="single" w:color="auto" w:sz="8" w:space="0"/>
              <w:bottom w:val="single" w:color="auto" w:sz="4" w:space="0"/>
              <w:right w:val="single" w:color="auto" w:sz="4" w:space="0"/>
            </w:tcBorders>
            <w:noWrap/>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立项文件</w:t>
            </w:r>
          </w:p>
        </w:tc>
        <w:tc>
          <w:tcPr>
            <w:tcW w:w="166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eastAsia="宋体" w:cs="宋体"/>
                <w:color w:val="000000"/>
              </w:rPr>
            </w:pPr>
          </w:p>
        </w:tc>
        <w:tc>
          <w:tcPr>
            <w:tcW w:w="980"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工程建安费</w:t>
            </w:r>
          </w:p>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控制额</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（万元）</w:t>
            </w:r>
          </w:p>
        </w:tc>
        <w:tc>
          <w:tcPr>
            <w:tcW w:w="1500" w:type="pct"/>
            <w:tcBorders>
              <w:top w:val="single" w:color="auto" w:sz="4" w:space="0"/>
              <w:left w:val="single" w:color="auto" w:sz="4" w:space="0"/>
              <w:bottom w:val="single" w:color="auto" w:sz="4" w:space="0"/>
              <w:right w:val="single" w:color="auto" w:sz="8" w:space="0"/>
            </w:tcBorders>
            <w:noWrap/>
            <w:tcMar>
              <w:top w:w="12" w:type="dxa"/>
              <w:left w:w="12" w:type="dxa"/>
              <w:right w:w="12" w:type="dxa"/>
            </w:tcMar>
            <w:vAlign w:val="center"/>
          </w:tcPr>
          <w:p>
            <w:pPr>
              <w:jc w:val="center"/>
              <w:rPr>
                <w:rFonts w:ascii="宋体" w:hAnsi="宋体" w:eastAsia="宋体" w:cs="宋体"/>
                <w:color w:val="000000"/>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857" w:type="pct"/>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审核结果</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的应用</w:t>
            </w:r>
          </w:p>
        </w:tc>
        <w:tc>
          <w:tcPr>
            <w:tcW w:w="4142" w:type="pct"/>
            <w:gridSpan w:val="3"/>
            <w:tcBorders>
              <w:top w:val="single" w:color="auto" w:sz="4" w:space="0"/>
              <w:left w:val="single" w:color="auto" w:sz="4" w:space="0"/>
              <w:bottom w:val="single" w:color="auto" w:sz="4" w:space="0"/>
              <w:right w:val="single" w:color="auto" w:sz="8" w:space="0"/>
            </w:tcBorders>
            <w:noWrap/>
            <w:tcMar>
              <w:top w:w="12" w:type="dxa"/>
              <w:left w:w="12" w:type="dxa"/>
              <w:right w:w="12" w:type="dxa"/>
            </w:tcMar>
            <w:vAlign w:val="center"/>
          </w:tcPr>
          <w:p>
            <w:pPr>
              <w:jc w:val="center"/>
              <w:rPr>
                <w:rFonts w:ascii="宋体" w:hAnsi="宋体" w:eastAsia="宋体" w:cs="宋体"/>
                <w:color w:val="000000"/>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857" w:type="pct"/>
            <w:tcBorders>
              <w:top w:val="single" w:color="auto" w:sz="4" w:space="0"/>
              <w:left w:val="single" w:color="auto" w:sz="8" w:space="0"/>
              <w:bottom w:val="single" w:color="auto" w:sz="4" w:space="0"/>
              <w:right w:val="single" w:color="auto" w:sz="4" w:space="0"/>
            </w:tcBorders>
            <w:noWrap/>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建设内容</w:t>
            </w:r>
          </w:p>
        </w:tc>
        <w:tc>
          <w:tcPr>
            <w:tcW w:w="4142" w:type="pct"/>
            <w:gridSpan w:val="3"/>
            <w:tcBorders>
              <w:top w:val="single" w:color="auto" w:sz="4" w:space="0"/>
              <w:left w:val="single" w:color="auto" w:sz="4" w:space="0"/>
              <w:bottom w:val="single" w:color="auto" w:sz="4" w:space="0"/>
              <w:right w:val="single" w:color="auto" w:sz="8" w:space="0"/>
            </w:tcBorders>
            <w:noWrap/>
            <w:tcMar>
              <w:top w:w="12" w:type="dxa"/>
              <w:left w:w="12" w:type="dxa"/>
              <w:right w:w="12" w:type="dxa"/>
            </w:tcMar>
            <w:vAlign w:val="center"/>
          </w:tcPr>
          <w:p>
            <w:pPr>
              <w:jc w:val="center"/>
              <w:rPr>
                <w:rFonts w:ascii="宋体" w:hAnsi="宋体" w:eastAsia="宋体" w:cs="宋体"/>
                <w:color w:val="000000"/>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74" w:hRule="atLeast"/>
          <w:jc w:val="center"/>
        </w:trPr>
        <w:tc>
          <w:tcPr>
            <w:tcW w:w="857" w:type="pct"/>
            <w:tcBorders>
              <w:top w:val="single" w:color="auto" w:sz="4" w:space="0"/>
              <w:left w:val="single" w:color="auto" w:sz="8" w:space="0"/>
              <w:bottom w:val="single" w:color="auto" w:sz="8" w:space="0"/>
              <w:right w:val="single" w:color="auto" w:sz="4" w:space="0"/>
            </w:tcBorders>
            <w:tcMar>
              <w:top w:w="12" w:type="dxa"/>
              <w:left w:w="12" w:type="dxa"/>
              <w:right w:w="12" w:type="dxa"/>
            </w:tcMar>
            <w:vAlign w:val="center"/>
          </w:tcPr>
          <w:p>
            <w:pPr>
              <w:widowControl/>
              <w:spacing w:line="320" w:lineRule="exact"/>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其他需说明</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的情况</w:t>
            </w:r>
          </w:p>
        </w:tc>
        <w:tc>
          <w:tcPr>
            <w:tcW w:w="4142" w:type="pct"/>
            <w:gridSpan w:val="3"/>
            <w:tcBorders>
              <w:top w:val="single" w:color="auto" w:sz="4" w:space="0"/>
              <w:left w:val="single" w:color="auto" w:sz="4" w:space="0"/>
              <w:bottom w:val="single" w:color="auto" w:sz="8" w:space="0"/>
              <w:right w:val="single" w:color="auto" w:sz="8" w:space="0"/>
            </w:tcBorders>
            <w:tcMar>
              <w:top w:w="12" w:type="dxa"/>
              <w:left w:w="12" w:type="dxa"/>
              <w:right w:w="12" w:type="dxa"/>
            </w:tcMar>
            <w:vAlign w:val="center"/>
          </w:tcPr>
          <w:p>
            <w:pPr>
              <w:widowControl/>
              <w:ind w:firstLine="2520" w:firstLineChars="1200"/>
              <w:textAlignment w:val="bottom"/>
              <w:rPr>
                <w:rFonts w:ascii="宋体" w:hAnsi="宋体" w:eastAsia="宋体" w:cs="宋体"/>
                <w:color w:val="000000"/>
                <w:kern w:val="0"/>
                <w:lang w:bidi="ar"/>
              </w:rPr>
            </w:pPr>
          </w:p>
          <w:p>
            <w:pPr>
              <w:widowControl/>
              <w:ind w:firstLine="2520" w:firstLineChars="1200"/>
              <w:textAlignment w:val="bottom"/>
              <w:rPr>
                <w:rFonts w:ascii="宋体" w:hAnsi="宋体" w:eastAsia="宋体" w:cs="宋体"/>
                <w:color w:val="000000"/>
                <w:kern w:val="0"/>
                <w:lang w:bidi="ar"/>
              </w:rPr>
            </w:pPr>
          </w:p>
          <w:p>
            <w:pPr>
              <w:widowControl/>
              <w:ind w:firstLine="2520" w:firstLineChars="1200"/>
              <w:textAlignment w:val="bottom"/>
              <w:rPr>
                <w:rFonts w:ascii="宋体" w:hAnsi="宋体" w:eastAsia="宋体" w:cs="宋体"/>
                <w:color w:val="000000"/>
                <w:kern w:val="0"/>
                <w:lang w:bidi="ar"/>
              </w:rPr>
            </w:pPr>
          </w:p>
          <w:p>
            <w:pPr>
              <w:widowControl/>
              <w:ind w:firstLine="2520" w:firstLineChars="1200"/>
              <w:textAlignment w:val="bottom"/>
              <w:rPr>
                <w:rFonts w:ascii="宋体" w:hAnsi="宋体" w:eastAsia="宋体" w:cs="宋体"/>
                <w:color w:val="000000"/>
                <w:kern w:val="0"/>
                <w:lang w:bidi="ar"/>
              </w:rPr>
            </w:pPr>
            <w:r>
              <w:rPr>
                <w:rFonts w:hint="eastAsia" w:ascii="宋体" w:hAnsi="宋体" w:eastAsia="宋体" w:cs="宋体"/>
                <w:color w:val="000000"/>
                <w:kern w:val="0"/>
                <w:lang w:bidi="ar"/>
              </w:rPr>
              <w:t xml:space="preserve">建设单位（盖章）： </w:t>
            </w:r>
          </w:p>
          <w:p>
            <w:pPr>
              <w:widowControl/>
              <w:ind w:firstLine="2520" w:firstLineChars="1200"/>
              <w:textAlignment w:val="bottom"/>
              <w:rPr>
                <w:rFonts w:ascii="宋体" w:hAnsi="宋体" w:eastAsia="宋体" w:cs="宋体"/>
                <w:color w:val="000000"/>
                <w:kern w:val="0"/>
                <w:lang w:bidi="ar"/>
              </w:rPr>
            </w:pPr>
            <w:r>
              <w:rPr>
                <w:rFonts w:hint="eastAsia" w:ascii="宋体" w:hAnsi="宋体" w:eastAsia="宋体" w:cs="宋体"/>
                <w:color w:val="000000"/>
                <w:kern w:val="0"/>
                <w:lang w:bidi="ar"/>
              </w:rPr>
              <w:t>负责人（签字）：</w:t>
            </w:r>
          </w:p>
          <w:p>
            <w:pPr>
              <w:widowControl/>
              <w:ind w:firstLine="2520" w:firstLineChars="1200"/>
              <w:textAlignment w:val="bottom"/>
              <w:rPr>
                <w:rFonts w:ascii="宋体" w:hAnsi="宋体" w:eastAsia="宋体" w:cs="宋体"/>
                <w:color w:val="000000"/>
                <w:kern w:val="0"/>
                <w:lang w:bidi="ar"/>
              </w:rPr>
            </w:pPr>
            <w:r>
              <w:rPr>
                <w:rFonts w:hint="eastAsia" w:ascii="宋体" w:hAnsi="宋体" w:eastAsia="宋体" w:cs="宋体"/>
                <w:color w:val="000000"/>
                <w:kern w:val="0"/>
                <w:lang w:bidi="ar"/>
              </w:rPr>
              <w:t>日期：      年    月    日</w:t>
            </w:r>
          </w:p>
          <w:p>
            <w:pPr>
              <w:pStyle w:val="7"/>
              <w:rPr>
                <w:rFonts w:eastAsia="宋体"/>
                <w:lang w:bidi="ar"/>
              </w:rPr>
            </w:pPr>
          </w:p>
        </w:tc>
      </w:tr>
    </w:tbl>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附表3</w:t>
      </w:r>
    </w:p>
    <w:tbl>
      <w:tblPr>
        <w:tblStyle w:val="16"/>
        <w:tblW w:w="5000" w:type="pct"/>
        <w:jc w:val="center"/>
        <w:tblLayout w:type="fixed"/>
        <w:tblCellMar>
          <w:top w:w="0" w:type="dxa"/>
          <w:left w:w="108" w:type="dxa"/>
          <w:bottom w:w="0" w:type="dxa"/>
          <w:right w:w="108" w:type="dxa"/>
        </w:tblCellMar>
      </w:tblPr>
      <w:tblGrid>
        <w:gridCol w:w="428"/>
        <w:gridCol w:w="837"/>
        <w:gridCol w:w="119"/>
        <w:gridCol w:w="2257"/>
        <w:gridCol w:w="1449"/>
        <w:gridCol w:w="2067"/>
        <w:gridCol w:w="837"/>
        <w:gridCol w:w="528"/>
      </w:tblGrid>
      <w:tr>
        <w:tblPrEx>
          <w:tblCellMar>
            <w:top w:w="0" w:type="dxa"/>
            <w:left w:w="108" w:type="dxa"/>
            <w:bottom w:w="0" w:type="dxa"/>
            <w:right w:w="108" w:type="dxa"/>
          </w:tblCellMar>
        </w:tblPrEx>
        <w:trPr>
          <w:cantSplit/>
          <w:trHeight w:val="20" w:hRule="atLeast"/>
          <w:jc w:val="center"/>
        </w:trPr>
        <w:tc>
          <w:tcPr>
            <w:tcW w:w="5000" w:type="pct"/>
            <w:gridSpan w:val="8"/>
            <w:tcBorders>
              <w:bottom w:val="single" w:color="auto" w:sz="8" w:space="0"/>
            </w:tcBorders>
            <w:shd w:val="clear" w:color="auto" w:fill="auto"/>
            <w:noWrap/>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概预算项目审核资料补充通知单</w:t>
            </w:r>
          </w:p>
        </w:tc>
      </w:tr>
      <w:tr>
        <w:tblPrEx>
          <w:tblCellMar>
            <w:top w:w="0" w:type="dxa"/>
            <w:left w:w="108" w:type="dxa"/>
            <w:bottom w:w="0" w:type="dxa"/>
            <w:right w:w="108" w:type="dxa"/>
          </w:tblCellMar>
        </w:tblPrEx>
        <w:trPr>
          <w:cantSplit/>
          <w:trHeight w:val="324" w:hRule="atLeast"/>
          <w:jc w:val="center"/>
        </w:trPr>
        <w:tc>
          <w:tcPr>
            <w:tcW w:w="742" w:type="pct"/>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项目名称</w:t>
            </w:r>
          </w:p>
        </w:tc>
        <w:tc>
          <w:tcPr>
            <w:tcW w:w="4257" w:type="pct"/>
            <w:gridSpan w:val="6"/>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333" w:hRule="atLeast"/>
          <w:jc w:val="center"/>
        </w:trPr>
        <w:tc>
          <w:tcPr>
            <w:tcW w:w="742"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建设单位</w:t>
            </w:r>
          </w:p>
        </w:tc>
        <w:tc>
          <w:tcPr>
            <w:tcW w:w="4257" w:type="pct"/>
            <w:gridSpan w:val="6"/>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470" w:hRule="atLeast"/>
          <w:jc w:val="center"/>
        </w:trPr>
        <w:tc>
          <w:tcPr>
            <w:tcW w:w="251" w:type="pct"/>
            <w:vMerge w:val="restart"/>
            <w:tcBorders>
              <w:top w:val="single" w:color="auto" w:sz="4" w:space="0"/>
              <w:left w:val="single" w:color="auto" w:sz="8" w:space="0"/>
              <w:bottom w:val="single" w:color="auto" w:sz="4" w:space="0"/>
              <w:right w:val="single" w:color="auto" w:sz="4" w:space="0"/>
            </w:tcBorders>
            <w:shd w:val="clear" w:color="auto" w:fill="auto"/>
            <w:noWrap/>
            <w:textDirection w:val="tbRlV"/>
            <w:vAlign w:val="center"/>
          </w:tcPr>
          <w:p>
            <w:pPr>
              <w:widowControl/>
              <w:spacing w:line="280" w:lineRule="exact"/>
              <w:jc w:val="center"/>
              <w:rPr>
                <w:rFonts w:ascii="宋体" w:hAnsi="宋体" w:eastAsia="宋体" w:cs="宋体"/>
                <w:b/>
                <w:bCs/>
                <w:kern w:val="0"/>
              </w:rPr>
            </w:pPr>
            <w:r>
              <w:rPr>
                <w:rFonts w:hint="eastAsia" w:ascii="宋体" w:hAnsi="宋体" w:eastAsia="宋体" w:cs="宋体"/>
                <w:b/>
                <w:bCs/>
                <w:kern w:val="0"/>
              </w:rPr>
              <w:t>送审项目需补充资料</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审核类型</w:t>
            </w: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资料名称</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是否补充</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备注</w:t>
            </w: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概算</w:t>
            </w:r>
          </w:p>
          <w:p>
            <w:pPr>
              <w:widowControl/>
              <w:spacing w:line="280" w:lineRule="exact"/>
              <w:jc w:val="center"/>
              <w:rPr>
                <w:rFonts w:ascii="宋体" w:hAnsi="宋体" w:eastAsia="宋体" w:cs="宋体"/>
                <w:kern w:val="0"/>
              </w:rPr>
            </w:pPr>
            <w:r>
              <w:rPr>
                <w:rFonts w:hint="eastAsia" w:ascii="宋体" w:hAnsi="宋体" w:eastAsia="宋体" w:cs="宋体"/>
                <w:kern w:val="0"/>
              </w:rPr>
              <w:t>审核</w:t>
            </w: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项目建议书或可研批复（赋码信息表）</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初步设计文本</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初步设计审查会议纪要</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概算书（含电子版）</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工程量计算稿</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土地预审批复及有关用地、拆迁费用的说明</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color w:val="000000"/>
                <w:kern w:val="0"/>
              </w:rPr>
              <w:t>渣土消纳场地的说明</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color w:val="000000"/>
                <w:kern w:val="0"/>
              </w:rPr>
              <w:t>EPC、社会资本合作模式项目的合同、会议纪要</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预算</w:t>
            </w:r>
          </w:p>
          <w:p>
            <w:pPr>
              <w:widowControl/>
              <w:spacing w:line="280" w:lineRule="exact"/>
              <w:jc w:val="center"/>
              <w:rPr>
                <w:rFonts w:ascii="宋体" w:hAnsi="宋体" w:eastAsia="宋体" w:cs="宋体"/>
                <w:kern w:val="0"/>
              </w:rPr>
            </w:pPr>
            <w:r>
              <w:rPr>
                <w:rFonts w:hint="eastAsia" w:ascii="宋体" w:hAnsi="宋体" w:eastAsia="宋体" w:cs="宋体"/>
                <w:kern w:val="0"/>
              </w:rPr>
              <w:t>审核</w:t>
            </w: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初步设计批复（或年度计划、项目批复、会议纪要等）</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地质勘察报告</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全套施工图（含CAD版施工图）</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施工图审查报告</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工程预算书（含电子版）</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工程量计算稿</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国网公司业务联系单</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会议纪要或专家论证报告</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color w:val="000000"/>
              </w:rPr>
              <w:t>无价材料清单及价格确认表等</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sym w:font="Wingdings 2" w:char="00A3"/>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color w:val="000000"/>
              </w:rPr>
            </w:pPr>
            <w:r>
              <w:rPr>
                <w:rFonts w:hint="eastAsia" w:ascii="宋体" w:hAnsi="宋体" w:eastAsia="宋体" w:cs="宋体"/>
                <w:kern w:val="0"/>
              </w:rPr>
              <w:t>渣土外运的运距说明</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sym w:font="Wingdings 2" w:char="00A3"/>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color w:val="000000"/>
                <w:kern w:val="0"/>
              </w:rPr>
              <w:t>EPC、社会资本合作模式项目的合同、会议纪要</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变更</w:t>
            </w:r>
          </w:p>
          <w:p>
            <w:pPr>
              <w:widowControl/>
              <w:spacing w:line="280" w:lineRule="exact"/>
              <w:jc w:val="center"/>
              <w:rPr>
                <w:rFonts w:ascii="宋体" w:hAnsi="宋体" w:eastAsia="宋体" w:cs="宋体"/>
                <w:kern w:val="0"/>
              </w:rPr>
            </w:pPr>
            <w:r>
              <w:rPr>
                <w:rFonts w:hint="eastAsia" w:ascii="宋体" w:hAnsi="宋体" w:eastAsia="宋体" w:cs="宋体"/>
                <w:kern w:val="0"/>
              </w:rPr>
              <w:t>审核</w:t>
            </w: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初步设计批复</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变更审批表（现场踏勘表）</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设计联系单</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sym w:font="Wingdings 2" w:char="00A3"/>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变更内容对应前后施工图（含CAD版施工图）</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工程变更预算书（含电子版）</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工程量计算稿</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工程招标文件</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工程投标文件</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施工合同及补充合同（协议）</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83"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34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kern w:val="0"/>
              </w:rPr>
            </w:pPr>
            <w:r>
              <w:rPr>
                <w:rFonts w:hint="eastAsia" w:ascii="宋体" w:hAnsi="宋体" w:eastAsia="宋体" w:cs="宋体"/>
                <w:kern w:val="0"/>
              </w:rPr>
              <w:t>相关变更会议纪要</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50" w:hRule="atLeast"/>
          <w:jc w:val="center"/>
        </w:trPr>
        <w:tc>
          <w:tcPr>
            <w:tcW w:w="25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b/>
                <w:bCs/>
                <w:kern w:val="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其他</w:t>
            </w:r>
          </w:p>
        </w:tc>
        <w:tc>
          <w:tcPr>
            <w:tcW w:w="3457" w:type="pct"/>
            <w:gridSpan w:val="4"/>
            <w:tcBorders>
              <w:top w:val="single" w:color="auto" w:sz="4" w:space="0"/>
              <w:left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p>
        </w:tc>
        <w:tc>
          <w:tcPr>
            <w:tcW w:w="491" w:type="pct"/>
            <w:tcBorders>
              <w:top w:val="single" w:color="auto" w:sz="4" w:space="0"/>
              <w:left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w:t>
            </w:r>
          </w:p>
        </w:tc>
        <w:tc>
          <w:tcPr>
            <w:tcW w:w="309"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91" w:hRule="atLeast"/>
          <w:jc w:val="center"/>
        </w:trPr>
        <w:tc>
          <w:tcPr>
            <w:tcW w:w="2986" w:type="pct"/>
            <w:gridSpan w:val="5"/>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××有限公司（审核单位公章）</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项目审核人</w:t>
            </w:r>
          </w:p>
        </w:tc>
        <w:tc>
          <w:tcPr>
            <w:tcW w:w="800" w:type="pct"/>
            <w:gridSpan w:val="2"/>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25" w:hRule="atLeast"/>
          <w:jc w:val="center"/>
        </w:trPr>
        <w:tc>
          <w:tcPr>
            <w:tcW w:w="2986" w:type="pct"/>
            <w:gridSpan w:val="5"/>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联系电话</w:t>
            </w:r>
          </w:p>
        </w:tc>
        <w:tc>
          <w:tcPr>
            <w:tcW w:w="800" w:type="pct"/>
            <w:gridSpan w:val="2"/>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680" w:hRule="atLeast"/>
          <w:jc w:val="center"/>
        </w:trPr>
        <w:tc>
          <w:tcPr>
            <w:tcW w:w="812" w:type="pct"/>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通知说明</w:t>
            </w:r>
          </w:p>
        </w:tc>
        <w:tc>
          <w:tcPr>
            <w:tcW w:w="4187" w:type="pct"/>
            <w:gridSpan w:val="5"/>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exact"/>
              <w:rPr>
                <w:rFonts w:ascii="宋体" w:hAnsi="宋体" w:eastAsia="宋体" w:cs="宋体"/>
                <w:kern w:val="0"/>
              </w:rPr>
            </w:pPr>
            <w:r>
              <w:rPr>
                <w:rFonts w:hint="eastAsia" w:ascii="宋体" w:hAnsi="宋体" w:eastAsia="宋体" w:cs="宋体"/>
                <w:kern w:val="0"/>
              </w:rPr>
              <w:t>为了顺利开展项目概预算审核，确保在规定工作日内完成审核，请建设单位在收到该通知书及时提交以上需补充的资料，审核时间暂停，待资料齐全后重新计时。</w:t>
            </w:r>
          </w:p>
        </w:tc>
      </w:tr>
      <w:tr>
        <w:tblPrEx>
          <w:tblCellMar>
            <w:top w:w="0" w:type="dxa"/>
            <w:left w:w="108" w:type="dxa"/>
            <w:bottom w:w="0" w:type="dxa"/>
            <w:right w:w="108" w:type="dxa"/>
          </w:tblCellMar>
        </w:tblPrEx>
        <w:trPr>
          <w:cantSplit/>
          <w:trHeight w:val="398" w:hRule="atLeast"/>
          <w:jc w:val="center"/>
        </w:trPr>
        <w:tc>
          <w:tcPr>
            <w:tcW w:w="812"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建设单位</w:t>
            </w:r>
          </w:p>
          <w:p>
            <w:pPr>
              <w:widowControl/>
              <w:spacing w:line="280" w:lineRule="exact"/>
              <w:jc w:val="center"/>
              <w:rPr>
                <w:rFonts w:ascii="宋体" w:hAnsi="宋体" w:eastAsia="宋体" w:cs="宋体"/>
                <w:kern w:val="0"/>
              </w:rPr>
            </w:pPr>
            <w:r>
              <w:rPr>
                <w:rFonts w:hint="eastAsia" w:ascii="宋体" w:hAnsi="宋体" w:eastAsia="宋体" w:cs="宋体"/>
                <w:kern w:val="0"/>
              </w:rPr>
              <w:t>项目联系人</w:t>
            </w:r>
          </w:p>
        </w:tc>
        <w:tc>
          <w:tcPr>
            <w:tcW w:w="13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8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联系电话</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接收时间</w:t>
            </w:r>
          </w:p>
        </w:tc>
        <w:tc>
          <w:tcPr>
            <w:tcW w:w="309"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390" w:hRule="atLeast"/>
          <w:jc w:val="center"/>
        </w:trPr>
        <w:tc>
          <w:tcPr>
            <w:tcW w:w="812" w:type="pct"/>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建设单位</w:t>
            </w:r>
          </w:p>
          <w:p>
            <w:pPr>
              <w:widowControl/>
              <w:spacing w:line="280" w:lineRule="exact"/>
              <w:jc w:val="center"/>
              <w:rPr>
                <w:rFonts w:ascii="宋体" w:hAnsi="宋体" w:eastAsia="宋体" w:cs="宋体"/>
                <w:kern w:val="0"/>
              </w:rPr>
            </w:pPr>
            <w:r>
              <w:rPr>
                <w:rFonts w:hint="eastAsia" w:ascii="宋体" w:hAnsi="宋体" w:eastAsia="宋体" w:cs="宋体"/>
                <w:kern w:val="0"/>
              </w:rPr>
              <w:t>资料补交人</w:t>
            </w:r>
          </w:p>
        </w:tc>
        <w:tc>
          <w:tcPr>
            <w:tcW w:w="1324"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p>
        </w:tc>
        <w:tc>
          <w:tcPr>
            <w:tcW w:w="850"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联系电话</w:t>
            </w:r>
          </w:p>
        </w:tc>
        <w:tc>
          <w:tcPr>
            <w:tcW w:w="1212"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p>
        </w:tc>
        <w:tc>
          <w:tcPr>
            <w:tcW w:w="491"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spacing w:line="280" w:lineRule="exact"/>
              <w:jc w:val="center"/>
              <w:rPr>
                <w:rFonts w:ascii="宋体" w:hAnsi="宋体" w:eastAsia="宋体" w:cs="宋体"/>
                <w:kern w:val="0"/>
              </w:rPr>
            </w:pPr>
            <w:r>
              <w:rPr>
                <w:rFonts w:hint="eastAsia" w:ascii="宋体" w:hAnsi="宋体" w:eastAsia="宋体" w:cs="宋体"/>
                <w:kern w:val="0"/>
              </w:rPr>
              <w:t>补交时间</w:t>
            </w:r>
          </w:p>
        </w:tc>
        <w:tc>
          <w:tcPr>
            <w:tcW w:w="309" w:type="pct"/>
            <w:tcBorders>
              <w:top w:val="single" w:color="auto" w:sz="4" w:space="0"/>
              <w:left w:val="single" w:color="auto" w:sz="4" w:space="0"/>
              <w:bottom w:val="single" w:color="auto" w:sz="8" w:space="0"/>
              <w:right w:val="single" w:color="auto" w:sz="8" w:space="0"/>
            </w:tcBorders>
            <w:shd w:val="clear" w:color="auto" w:fill="auto"/>
            <w:noWrap/>
            <w:vAlign w:val="center"/>
          </w:tcPr>
          <w:p>
            <w:pPr>
              <w:widowControl/>
              <w:spacing w:line="280" w:lineRule="exact"/>
              <w:jc w:val="center"/>
              <w:rPr>
                <w:rFonts w:ascii="宋体" w:hAnsi="宋体" w:eastAsia="宋体" w:cs="宋体"/>
                <w:kern w:val="0"/>
              </w:rPr>
            </w:pPr>
          </w:p>
        </w:tc>
      </w:tr>
      <w:tr>
        <w:tblPrEx>
          <w:tblCellMar>
            <w:top w:w="0" w:type="dxa"/>
            <w:left w:w="108" w:type="dxa"/>
            <w:bottom w:w="0" w:type="dxa"/>
            <w:right w:w="108" w:type="dxa"/>
          </w:tblCellMar>
        </w:tblPrEx>
        <w:trPr>
          <w:cantSplit/>
          <w:trHeight w:val="20" w:hRule="atLeast"/>
          <w:jc w:val="center"/>
        </w:trPr>
        <w:tc>
          <w:tcPr>
            <w:tcW w:w="5000" w:type="pct"/>
            <w:gridSpan w:val="8"/>
            <w:tcBorders>
              <w:top w:val="single" w:color="auto" w:sz="8" w:space="0"/>
            </w:tcBorders>
            <w:shd w:val="clear" w:color="auto" w:fill="auto"/>
            <w:vAlign w:val="center"/>
          </w:tcPr>
          <w:p>
            <w:pPr>
              <w:widowControl/>
              <w:spacing w:line="280" w:lineRule="exact"/>
              <w:rPr>
                <w:rFonts w:ascii="宋体" w:hAnsi="宋体" w:eastAsia="宋体" w:cs="宋体"/>
                <w:kern w:val="0"/>
              </w:rPr>
            </w:pPr>
            <w:r>
              <w:rPr>
                <w:rFonts w:hint="eastAsia" w:ascii="宋体" w:hAnsi="宋体" w:eastAsia="宋体" w:cs="宋体"/>
                <w:kern w:val="0"/>
                <w:sz w:val="20"/>
                <w:szCs w:val="20"/>
              </w:rPr>
              <w:t>注：本通知一式三份，建设单位、审核中心、审核单位各执一份</w:t>
            </w:r>
          </w:p>
        </w:tc>
      </w:tr>
    </w:tbl>
    <w:p>
      <w:pPr>
        <w:pStyle w:val="26"/>
        <w:spacing w:line="560" w:lineRule="exact"/>
        <w:ind w:left="5250" w:firstLine="0" w:firstLineChars="0"/>
        <w:rPr>
          <w:rFonts w:ascii="宋体" w:hAnsi="宋体" w:eastAsia="宋体" w:cs="宋体"/>
          <w:color w:val="000000"/>
          <w:sz w:val="30"/>
          <w:szCs w:val="30"/>
        </w:rPr>
        <w:sectPr>
          <w:pgSz w:w="11906" w:h="16838"/>
          <w:pgMar w:top="1440" w:right="1800" w:bottom="1440" w:left="1800" w:header="851" w:footer="397" w:gutter="0"/>
          <w:pgNumType w:fmt="numberInDash"/>
          <w:cols w:space="425" w:num="1"/>
          <w:docGrid w:type="lines" w:linePitch="579" w:charSpace="21679"/>
        </w:sectPr>
      </w:pPr>
    </w:p>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附表4</w:t>
      </w:r>
    </w:p>
    <w:tbl>
      <w:tblPr>
        <w:tblStyle w:val="16"/>
        <w:tblW w:w="5000" w:type="pct"/>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884"/>
        <w:gridCol w:w="2080"/>
        <w:gridCol w:w="2080"/>
        <w:gridCol w:w="1884"/>
        <w:gridCol w:w="108"/>
        <w:gridCol w:w="2032"/>
        <w:gridCol w:w="21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tcBorders>
              <w:bottom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sz w:val="32"/>
                <w:szCs w:val="36"/>
              </w:rPr>
              <w:t>财政委托审核项目概预算审核小组成员表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1" w:type="pct"/>
            <w:gridSpan w:val="6"/>
            <w:tcBorders>
              <w:top w:val="single" w:color="auto" w:sz="8" w:space="0"/>
              <w:left w:val="single" w:color="auto" w:sz="8" w:space="0"/>
              <w:right w:val="single" w:color="auto" w:sz="4" w:space="0"/>
            </w:tcBorders>
            <w:shd w:val="clear" w:color="auto" w:fill="auto"/>
            <w:vAlign w:val="center"/>
          </w:tcPr>
          <w:p>
            <w:pPr>
              <w:rPr>
                <w:rFonts w:ascii="宋体" w:hAnsi="宋体" w:eastAsia="宋体" w:cs="宋体"/>
              </w:rPr>
            </w:pPr>
            <w:r>
              <w:rPr>
                <w:rFonts w:hint="eastAsia" w:ascii="宋体" w:hAnsi="宋体" w:eastAsia="宋体" w:cs="宋体"/>
              </w:rPr>
              <w:t>项目名称：</w:t>
            </w:r>
          </w:p>
        </w:tc>
        <w:tc>
          <w:tcPr>
            <w:tcW w:w="1549" w:type="pct"/>
            <w:gridSpan w:val="2"/>
            <w:tcBorders>
              <w:top w:val="single" w:color="auto" w:sz="8" w:space="0"/>
              <w:left w:val="single" w:color="auto" w:sz="4" w:space="0"/>
              <w:right w:val="single" w:color="auto" w:sz="8" w:space="0"/>
            </w:tcBorders>
            <w:shd w:val="clear" w:color="auto" w:fill="auto"/>
            <w:vAlign w:val="center"/>
          </w:tcPr>
          <w:p>
            <w:pPr>
              <w:rPr>
                <w:rFonts w:ascii="宋体" w:hAnsi="宋体" w:eastAsia="宋体" w:cs="宋体"/>
              </w:rPr>
            </w:pPr>
            <w:r>
              <w:rPr>
                <w:rFonts w:hint="eastAsia" w:ascii="宋体" w:hAnsi="宋体" w:eastAsia="宋体" w:cs="宋体"/>
              </w:rPr>
              <w:t>送审金额（元）：</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1" w:type="pct"/>
            <w:gridSpan w:val="6"/>
            <w:tcBorders>
              <w:top w:val="single" w:color="auto" w:sz="4" w:space="0"/>
              <w:left w:val="single" w:color="auto" w:sz="8" w:space="0"/>
              <w:right w:val="single" w:color="auto" w:sz="4" w:space="0"/>
            </w:tcBorders>
            <w:shd w:val="clear" w:color="auto" w:fill="auto"/>
            <w:vAlign w:val="center"/>
          </w:tcPr>
          <w:p>
            <w:pPr>
              <w:rPr>
                <w:rFonts w:ascii="宋体" w:hAnsi="宋体" w:eastAsia="宋体" w:cs="宋体"/>
              </w:rPr>
            </w:pPr>
            <w:r>
              <w:rPr>
                <w:rFonts w:hint="eastAsia" w:ascii="宋体" w:hAnsi="宋体" w:eastAsia="宋体" w:cs="宋体"/>
              </w:rPr>
              <w:t>项目审核负责人：</w:t>
            </w:r>
          </w:p>
        </w:tc>
        <w:tc>
          <w:tcPr>
            <w:tcW w:w="1549" w:type="pct"/>
            <w:gridSpan w:val="2"/>
            <w:tcBorders>
              <w:top w:val="single" w:color="auto" w:sz="4" w:space="0"/>
              <w:left w:val="single" w:color="auto" w:sz="4" w:space="0"/>
              <w:right w:val="single" w:color="auto" w:sz="8" w:space="0"/>
            </w:tcBorders>
            <w:shd w:val="clear" w:color="auto" w:fill="auto"/>
            <w:vAlign w:val="center"/>
          </w:tcPr>
          <w:p>
            <w:pPr>
              <w:rPr>
                <w:rFonts w:ascii="宋体" w:hAnsi="宋体" w:eastAsia="宋体" w:cs="宋体"/>
              </w:rPr>
            </w:pPr>
            <w:r>
              <w:rPr>
                <w:rFonts w:hint="eastAsia" w:ascii="宋体" w:hAnsi="宋体" w:eastAsia="宋体" w:cs="宋体"/>
              </w:rPr>
              <w:t>联系电话：</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tcBorders>
              <w:top w:val="single" w:color="auto" w:sz="4" w:space="0"/>
              <w:left w:val="single" w:color="auto" w:sz="8" w:space="0"/>
              <w:right w:val="single" w:color="auto" w:sz="8" w:space="0"/>
            </w:tcBorders>
            <w:shd w:val="clear" w:color="auto" w:fill="auto"/>
            <w:vAlign w:val="center"/>
          </w:tcPr>
          <w:p>
            <w:pPr>
              <w:rPr>
                <w:rFonts w:ascii="宋体" w:hAnsi="宋体" w:eastAsia="宋体" w:cs="宋体"/>
              </w:rPr>
            </w:pPr>
            <w:r>
              <w:rPr>
                <w:rFonts w:hint="eastAsia" w:ascii="宋体" w:hAnsi="宋体" w:eastAsia="宋体" w:cs="宋体"/>
              </w:rPr>
              <w:t>中介咨询机构（盖章）：                                                                                       年    月    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rPr>
              <w:t>序号</w:t>
            </w:r>
          </w:p>
        </w:tc>
        <w:tc>
          <w:tcPr>
            <w:tcW w:w="700" w:type="pct"/>
            <w:tcBorders>
              <w:top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姓名</w:t>
            </w:r>
          </w:p>
        </w:tc>
        <w:tc>
          <w:tcPr>
            <w:tcW w:w="773" w:type="pct"/>
            <w:tcBorders>
              <w:top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专业</w:t>
            </w:r>
          </w:p>
        </w:tc>
        <w:tc>
          <w:tcPr>
            <w:tcW w:w="773" w:type="pct"/>
            <w:tcBorders>
              <w:top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职业资格</w:t>
            </w:r>
          </w:p>
        </w:tc>
        <w:tc>
          <w:tcPr>
            <w:tcW w:w="700" w:type="pct"/>
            <w:tcBorders>
              <w:top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联系电话</w:t>
            </w:r>
          </w:p>
        </w:tc>
        <w:tc>
          <w:tcPr>
            <w:tcW w:w="795" w:type="pct"/>
            <w:gridSpan w:val="2"/>
            <w:tcBorders>
              <w:top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负责审核范围</w:t>
            </w:r>
          </w:p>
        </w:tc>
        <w:tc>
          <w:tcPr>
            <w:tcW w:w="794" w:type="pct"/>
            <w:tcBorders>
              <w:top w:val="single" w:color="auto" w:sz="4" w:space="0"/>
              <w:right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rPr>
              <w:t>签名</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rPr>
              <w:t>1</w:t>
            </w:r>
          </w:p>
        </w:tc>
        <w:tc>
          <w:tcPr>
            <w:tcW w:w="700" w:type="pct"/>
            <w:tcBorders>
              <w:top w:val="single" w:color="auto" w:sz="4" w:space="0"/>
            </w:tcBorders>
            <w:shd w:val="clear" w:color="auto" w:fill="auto"/>
            <w:vAlign w:val="center"/>
          </w:tcPr>
          <w:p>
            <w:pPr>
              <w:jc w:val="center"/>
              <w:rPr>
                <w:rFonts w:ascii="宋体" w:hAnsi="宋体" w:eastAsia="宋体" w:cs="宋体"/>
              </w:rPr>
            </w:pPr>
          </w:p>
        </w:tc>
        <w:tc>
          <w:tcPr>
            <w:tcW w:w="773" w:type="pct"/>
            <w:tcBorders>
              <w:top w:val="single" w:color="auto" w:sz="4" w:space="0"/>
            </w:tcBorders>
            <w:shd w:val="clear" w:color="auto" w:fill="auto"/>
            <w:vAlign w:val="center"/>
          </w:tcPr>
          <w:p>
            <w:pPr>
              <w:jc w:val="center"/>
              <w:rPr>
                <w:rFonts w:ascii="宋体" w:hAnsi="宋体" w:eastAsia="宋体" w:cs="宋体"/>
              </w:rPr>
            </w:pPr>
          </w:p>
        </w:tc>
        <w:tc>
          <w:tcPr>
            <w:tcW w:w="773" w:type="pct"/>
            <w:tcBorders>
              <w:top w:val="single" w:color="auto" w:sz="4" w:space="0"/>
            </w:tcBorders>
            <w:shd w:val="clear" w:color="auto" w:fill="auto"/>
            <w:vAlign w:val="center"/>
          </w:tcPr>
          <w:p>
            <w:pPr>
              <w:jc w:val="center"/>
              <w:rPr>
                <w:rFonts w:ascii="宋体" w:hAnsi="宋体" w:eastAsia="宋体" w:cs="宋体"/>
              </w:rPr>
            </w:pPr>
          </w:p>
        </w:tc>
        <w:tc>
          <w:tcPr>
            <w:tcW w:w="700" w:type="pct"/>
            <w:tcBorders>
              <w:top w:val="single" w:color="auto" w:sz="4" w:space="0"/>
            </w:tcBorders>
            <w:shd w:val="clear" w:color="auto" w:fill="auto"/>
            <w:vAlign w:val="center"/>
          </w:tcPr>
          <w:p>
            <w:pPr>
              <w:jc w:val="center"/>
              <w:rPr>
                <w:rFonts w:ascii="宋体" w:hAnsi="宋体" w:eastAsia="宋体" w:cs="宋体"/>
              </w:rPr>
            </w:pPr>
          </w:p>
        </w:tc>
        <w:tc>
          <w:tcPr>
            <w:tcW w:w="795" w:type="pct"/>
            <w:gridSpan w:val="2"/>
            <w:tcBorders>
              <w:top w:val="single" w:color="auto" w:sz="4" w:space="0"/>
            </w:tcBorders>
            <w:shd w:val="clear" w:color="auto" w:fill="auto"/>
            <w:vAlign w:val="center"/>
          </w:tcPr>
          <w:p>
            <w:pPr>
              <w:jc w:val="center"/>
              <w:rPr>
                <w:rFonts w:ascii="宋体" w:hAnsi="宋体" w:eastAsia="宋体" w:cs="宋体"/>
              </w:rPr>
            </w:pPr>
          </w:p>
        </w:tc>
        <w:tc>
          <w:tcPr>
            <w:tcW w:w="794" w:type="pct"/>
            <w:tcBorders>
              <w:top w:val="single" w:color="auto" w:sz="4" w:space="0"/>
              <w:right w:val="single" w:color="auto" w:sz="8" w:space="0"/>
            </w:tcBorders>
            <w:shd w:val="clear" w:color="auto" w:fill="auto"/>
            <w:vAlign w:val="center"/>
          </w:tcPr>
          <w:p>
            <w:pPr>
              <w:jc w:val="center"/>
              <w:rPr>
                <w:rFonts w:ascii="宋体" w:hAnsi="宋体" w:eastAsia="宋体" w:cs="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rPr>
              <w:t>2</w:t>
            </w:r>
          </w:p>
        </w:tc>
        <w:tc>
          <w:tcPr>
            <w:tcW w:w="700" w:type="pct"/>
            <w:tcBorders>
              <w:top w:val="single" w:color="auto" w:sz="4" w:space="0"/>
            </w:tcBorders>
            <w:shd w:val="clear" w:color="auto" w:fill="auto"/>
            <w:vAlign w:val="center"/>
          </w:tcPr>
          <w:p>
            <w:pPr>
              <w:jc w:val="center"/>
              <w:rPr>
                <w:rFonts w:ascii="宋体" w:hAnsi="宋体" w:eastAsia="宋体" w:cs="宋体"/>
              </w:rPr>
            </w:pPr>
          </w:p>
        </w:tc>
        <w:tc>
          <w:tcPr>
            <w:tcW w:w="773" w:type="pct"/>
            <w:tcBorders>
              <w:top w:val="single" w:color="auto" w:sz="4" w:space="0"/>
            </w:tcBorders>
            <w:shd w:val="clear" w:color="auto" w:fill="auto"/>
            <w:vAlign w:val="center"/>
          </w:tcPr>
          <w:p>
            <w:pPr>
              <w:jc w:val="center"/>
              <w:rPr>
                <w:rFonts w:ascii="宋体" w:hAnsi="宋体" w:eastAsia="宋体" w:cs="宋体"/>
              </w:rPr>
            </w:pPr>
          </w:p>
        </w:tc>
        <w:tc>
          <w:tcPr>
            <w:tcW w:w="773" w:type="pct"/>
            <w:tcBorders>
              <w:top w:val="single" w:color="auto" w:sz="4" w:space="0"/>
            </w:tcBorders>
            <w:shd w:val="clear" w:color="auto" w:fill="auto"/>
            <w:vAlign w:val="center"/>
          </w:tcPr>
          <w:p>
            <w:pPr>
              <w:jc w:val="center"/>
              <w:rPr>
                <w:rFonts w:ascii="宋体" w:hAnsi="宋体" w:eastAsia="宋体" w:cs="宋体"/>
              </w:rPr>
            </w:pPr>
          </w:p>
        </w:tc>
        <w:tc>
          <w:tcPr>
            <w:tcW w:w="700" w:type="pct"/>
            <w:tcBorders>
              <w:top w:val="single" w:color="auto" w:sz="4" w:space="0"/>
            </w:tcBorders>
            <w:shd w:val="clear" w:color="auto" w:fill="auto"/>
            <w:vAlign w:val="center"/>
          </w:tcPr>
          <w:p>
            <w:pPr>
              <w:jc w:val="center"/>
              <w:rPr>
                <w:rFonts w:ascii="宋体" w:hAnsi="宋体" w:eastAsia="宋体" w:cs="宋体"/>
              </w:rPr>
            </w:pPr>
          </w:p>
        </w:tc>
        <w:tc>
          <w:tcPr>
            <w:tcW w:w="795" w:type="pct"/>
            <w:gridSpan w:val="2"/>
            <w:tcBorders>
              <w:top w:val="single" w:color="auto" w:sz="4" w:space="0"/>
            </w:tcBorders>
            <w:shd w:val="clear" w:color="auto" w:fill="auto"/>
            <w:vAlign w:val="center"/>
          </w:tcPr>
          <w:p>
            <w:pPr>
              <w:jc w:val="center"/>
              <w:rPr>
                <w:rFonts w:ascii="宋体" w:hAnsi="宋体" w:eastAsia="宋体" w:cs="宋体"/>
              </w:rPr>
            </w:pPr>
          </w:p>
        </w:tc>
        <w:tc>
          <w:tcPr>
            <w:tcW w:w="794" w:type="pct"/>
            <w:tcBorders>
              <w:top w:val="single" w:color="auto" w:sz="4" w:space="0"/>
              <w:right w:val="single" w:color="auto" w:sz="8" w:space="0"/>
            </w:tcBorders>
            <w:shd w:val="clear" w:color="auto" w:fill="auto"/>
            <w:vAlign w:val="center"/>
          </w:tcPr>
          <w:p>
            <w:pPr>
              <w:jc w:val="center"/>
              <w:rPr>
                <w:rFonts w:ascii="宋体" w:hAnsi="宋体" w:eastAsia="宋体" w:cs="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rPr>
              <w:t>3</w:t>
            </w:r>
          </w:p>
        </w:tc>
        <w:tc>
          <w:tcPr>
            <w:tcW w:w="700" w:type="pct"/>
            <w:tcBorders>
              <w:top w:val="single" w:color="auto" w:sz="4" w:space="0"/>
            </w:tcBorders>
            <w:shd w:val="clear" w:color="auto" w:fill="auto"/>
            <w:vAlign w:val="center"/>
          </w:tcPr>
          <w:p>
            <w:pPr>
              <w:jc w:val="center"/>
              <w:rPr>
                <w:rFonts w:ascii="宋体" w:hAnsi="宋体" w:eastAsia="宋体" w:cs="宋体"/>
              </w:rPr>
            </w:pPr>
          </w:p>
        </w:tc>
        <w:tc>
          <w:tcPr>
            <w:tcW w:w="773" w:type="pct"/>
            <w:tcBorders>
              <w:top w:val="single" w:color="auto" w:sz="4" w:space="0"/>
            </w:tcBorders>
            <w:shd w:val="clear" w:color="auto" w:fill="auto"/>
            <w:vAlign w:val="center"/>
          </w:tcPr>
          <w:p>
            <w:pPr>
              <w:jc w:val="center"/>
              <w:rPr>
                <w:rFonts w:ascii="宋体" w:hAnsi="宋体" w:eastAsia="宋体" w:cs="宋体"/>
              </w:rPr>
            </w:pPr>
          </w:p>
        </w:tc>
        <w:tc>
          <w:tcPr>
            <w:tcW w:w="773" w:type="pct"/>
            <w:tcBorders>
              <w:top w:val="single" w:color="auto" w:sz="4" w:space="0"/>
            </w:tcBorders>
            <w:shd w:val="clear" w:color="auto" w:fill="auto"/>
            <w:vAlign w:val="center"/>
          </w:tcPr>
          <w:p>
            <w:pPr>
              <w:jc w:val="center"/>
              <w:rPr>
                <w:rFonts w:ascii="宋体" w:hAnsi="宋体" w:eastAsia="宋体" w:cs="宋体"/>
              </w:rPr>
            </w:pPr>
          </w:p>
        </w:tc>
        <w:tc>
          <w:tcPr>
            <w:tcW w:w="700" w:type="pct"/>
            <w:tcBorders>
              <w:top w:val="single" w:color="auto" w:sz="4" w:space="0"/>
            </w:tcBorders>
            <w:shd w:val="clear" w:color="auto" w:fill="auto"/>
            <w:vAlign w:val="center"/>
          </w:tcPr>
          <w:p>
            <w:pPr>
              <w:jc w:val="center"/>
              <w:rPr>
                <w:rFonts w:ascii="宋体" w:hAnsi="宋体" w:eastAsia="宋体" w:cs="宋体"/>
              </w:rPr>
            </w:pPr>
          </w:p>
        </w:tc>
        <w:tc>
          <w:tcPr>
            <w:tcW w:w="795" w:type="pct"/>
            <w:gridSpan w:val="2"/>
            <w:tcBorders>
              <w:top w:val="single" w:color="auto" w:sz="4" w:space="0"/>
            </w:tcBorders>
            <w:shd w:val="clear" w:color="auto" w:fill="auto"/>
            <w:vAlign w:val="center"/>
          </w:tcPr>
          <w:p>
            <w:pPr>
              <w:jc w:val="center"/>
              <w:rPr>
                <w:rFonts w:ascii="宋体" w:hAnsi="宋体" w:eastAsia="宋体" w:cs="宋体"/>
              </w:rPr>
            </w:pPr>
          </w:p>
        </w:tc>
        <w:tc>
          <w:tcPr>
            <w:tcW w:w="794" w:type="pct"/>
            <w:tcBorders>
              <w:top w:val="single" w:color="auto" w:sz="4" w:space="0"/>
              <w:right w:val="single" w:color="auto" w:sz="8" w:space="0"/>
            </w:tcBorders>
            <w:shd w:val="clear" w:color="auto" w:fill="auto"/>
            <w:vAlign w:val="center"/>
          </w:tcPr>
          <w:p>
            <w:pPr>
              <w:jc w:val="center"/>
              <w:rPr>
                <w:rFonts w:ascii="宋体" w:hAnsi="宋体" w:eastAsia="宋体" w:cs="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8" w:space="0"/>
              <w:bottom w:val="single" w:color="auto" w:sz="8" w:space="0"/>
            </w:tcBorders>
            <w:shd w:val="clear" w:color="auto" w:fill="auto"/>
            <w:vAlign w:val="center"/>
          </w:tcPr>
          <w:p>
            <w:pPr>
              <w:jc w:val="center"/>
              <w:rPr>
                <w:rFonts w:ascii="宋体" w:hAnsi="宋体" w:eastAsia="宋体" w:cs="宋体"/>
              </w:rPr>
            </w:pPr>
            <w:r>
              <w:rPr>
                <w:rFonts w:hint="eastAsia" w:ascii="宋体" w:hAnsi="宋体" w:eastAsia="宋体" w:cs="宋体"/>
              </w:rPr>
              <w:t>4</w:t>
            </w:r>
          </w:p>
        </w:tc>
        <w:tc>
          <w:tcPr>
            <w:tcW w:w="700" w:type="pct"/>
            <w:tcBorders>
              <w:top w:val="single" w:color="auto" w:sz="4" w:space="0"/>
              <w:bottom w:val="single" w:color="auto" w:sz="8" w:space="0"/>
            </w:tcBorders>
            <w:shd w:val="clear" w:color="auto" w:fill="auto"/>
            <w:vAlign w:val="center"/>
          </w:tcPr>
          <w:p>
            <w:pPr>
              <w:jc w:val="center"/>
              <w:rPr>
                <w:rFonts w:ascii="宋体" w:hAnsi="宋体" w:eastAsia="宋体" w:cs="宋体"/>
              </w:rPr>
            </w:pPr>
          </w:p>
        </w:tc>
        <w:tc>
          <w:tcPr>
            <w:tcW w:w="773" w:type="pct"/>
            <w:tcBorders>
              <w:top w:val="single" w:color="auto" w:sz="4" w:space="0"/>
              <w:bottom w:val="single" w:color="auto" w:sz="8" w:space="0"/>
            </w:tcBorders>
            <w:shd w:val="clear" w:color="auto" w:fill="auto"/>
            <w:vAlign w:val="center"/>
          </w:tcPr>
          <w:p>
            <w:pPr>
              <w:jc w:val="center"/>
              <w:rPr>
                <w:rFonts w:ascii="宋体" w:hAnsi="宋体" w:eastAsia="宋体" w:cs="宋体"/>
              </w:rPr>
            </w:pPr>
          </w:p>
        </w:tc>
        <w:tc>
          <w:tcPr>
            <w:tcW w:w="773" w:type="pct"/>
            <w:tcBorders>
              <w:top w:val="single" w:color="auto" w:sz="4" w:space="0"/>
              <w:bottom w:val="single" w:color="auto" w:sz="8" w:space="0"/>
            </w:tcBorders>
            <w:shd w:val="clear" w:color="auto" w:fill="auto"/>
            <w:vAlign w:val="center"/>
          </w:tcPr>
          <w:p>
            <w:pPr>
              <w:jc w:val="center"/>
              <w:rPr>
                <w:rFonts w:ascii="宋体" w:hAnsi="宋体" w:eastAsia="宋体" w:cs="宋体"/>
              </w:rPr>
            </w:pPr>
          </w:p>
        </w:tc>
        <w:tc>
          <w:tcPr>
            <w:tcW w:w="700" w:type="pct"/>
            <w:tcBorders>
              <w:top w:val="single" w:color="auto" w:sz="4" w:space="0"/>
              <w:bottom w:val="single" w:color="auto" w:sz="8" w:space="0"/>
            </w:tcBorders>
            <w:shd w:val="clear" w:color="auto" w:fill="auto"/>
            <w:vAlign w:val="center"/>
          </w:tcPr>
          <w:p>
            <w:pPr>
              <w:jc w:val="center"/>
              <w:rPr>
                <w:rFonts w:ascii="宋体" w:hAnsi="宋体" w:eastAsia="宋体" w:cs="宋体"/>
              </w:rPr>
            </w:pPr>
          </w:p>
        </w:tc>
        <w:tc>
          <w:tcPr>
            <w:tcW w:w="795" w:type="pct"/>
            <w:gridSpan w:val="2"/>
            <w:tcBorders>
              <w:top w:val="single" w:color="auto" w:sz="4" w:space="0"/>
              <w:bottom w:val="single" w:color="auto" w:sz="8" w:space="0"/>
            </w:tcBorders>
            <w:shd w:val="clear" w:color="auto" w:fill="auto"/>
            <w:vAlign w:val="center"/>
          </w:tcPr>
          <w:p>
            <w:pPr>
              <w:jc w:val="center"/>
              <w:rPr>
                <w:rFonts w:ascii="宋体" w:hAnsi="宋体" w:eastAsia="宋体" w:cs="宋体"/>
              </w:rPr>
            </w:pPr>
          </w:p>
        </w:tc>
        <w:tc>
          <w:tcPr>
            <w:tcW w:w="794" w:type="pct"/>
            <w:tcBorders>
              <w:top w:val="single" w:color="auto" w:sz="4" w:space="0"/>
              <w:bottom w:val="single" w:color="auto" w:sz="8" w:space="0"/>
              <w:right w:val="single" w:color="auto" w:sz="8" w:space="0"/>
            </w:tcBorders>
            <w:shd w:val="clear" w:color="auto" w:fill="auto"/>
            <w:vAlign w:val="center"/>
          </w:tcPr>
          <w:p>
            <w:pPr>
              <w:jc w:val="center"/>
              <w:rPr>
                <w:rFonts w:ascii="宋体" w:hAnsi="宋体" w:eastAsia="宋体" w:cs="宋体"/>
              </w:rPr>
            </w:pPr>
          </w:p>
        </w:tc>
      </w:tr>
    </w:tbl>
    <w:p>
      <w:pPr>
        <w:spacing w:line="320" w:lineRule="exact"/>
        <w:rPr>
          <w:rFonts w:ascii="宋体" w:hAnsi="宋体" w:eastAsia="宋体" w:cs="宋体"/>
          <w:sz w:val="20"/>
        </w:rPr>
      </w:pPr>
      <w:r>
        <w:rPr>
          <w:rFonts w:hint="eastAsia" w:ascii="宋体" w:hAnsi="宋体" w:eastAsia="宋体" w:cs="宋体"/>
          <w:sz w:val="20"/>
        </w:rPr>
        <w:t>说明：1.请依据项目专业、规模、时间要求等情况合理配置审核人员；</w:t>
      </w:r>
    </w:p>
    <w:p>
      <w:pPr>
        <w:spacing w:line="320" w:lineRule="exact"/>
        <w:ind w:firstLine="600" w:firstLineChars="300"/>
        <w:rPr>
          <w:rFonts w:ascii="宋体" w:hAnsi="宋体" w:eastAsia="宋体" w:cs="宋体"/>
          <w:sz w:val="20"/>
        </w:rPr>
      </w:pPr>
      <w:r>
        <w:rPr>
          <w:rFonts w:hint="eastAsia" w:ascii="宋体" w:hAnsi="宋体" w:eastAsia="宋体" w:cs="宋体"/>
          <w:sz w:val="20"/>
        </w:rPr>
        <w:t>2.本表请于接受项目审核委托后一个工作日内报备。</w:t>
      </w:r>
    </w:p>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附表5</w:t>
      </w:r>
    </w:p>
    <w:tbl>
      <w:tblPr>
        <w:tblStyle w:val="16"/>
        <w:tblW w:w="5000" w:type="pct"/>
        <w:jc w:val="center"/>
        <w:tblLayout w:type="autofit"/>
        <w:tblCellMar>
          <w:top w:w="0" w:type="dxa"/>
          <w:left w:w="108" w:type="dxa"/>
          <w:bottom w:w="0" w:type="dxa"/>
          <w:right w:w="108" w:type="dxa"/>
        </w:tblCellMar>
      </w:tblPr>
      <w:tblGrid>
        <w:gridCol w:w="1808"/>
        <w:gridCol w:w="1561"/>
        <w:gridCol w:w="850"/>
        <w:gridCol w:w="1275"/>
        <w:gridCol w:w="1528"/>
        <w:gridCol w:w="1405"/>
        <w:gridCol w:w="2336"/>
        <w:gridCol w:w="1170"/>
        <w:gridCol w:w="1521"/>
      </w:tblGrid>
      <w:tr>
        <w:tblPrEx>
          <w:tblCellMar>
            <w:top w:w="0" w:type="dxa"/>
            <w:left w:w="108" w:type="dxa"/>
            <w:bottom w:w="0" w:type="dxa"/>
            <w:right w:w="108" w:type="dxa"/>
          </w:tblCellMar>
        </w:tblPrEx>
        <w:trPr>
          <w:trHeight w:val="624" w:hRule="atLeast"/>
          <w:jc w:val="center"/>
        </w:trPr>
        <w:tc>
          <w:tcPr>
            <w:tcW w:w="5000" w:type="pct"/>
            <w:gridSpan w:val="9"/>
            <w:tcBorders>
              <w:bottom w:val="single" w:color="auto" w:sz="8" w:space="0"/>
            </w:tcBorders>
            <w:shd w:val="clear" w:color="auto" w:fill="auto"/>
            <w:noWrap/>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中介咨询机构变更登记表</w:t>
            </w:r>
          </w:p>
        </w:tc>
      </w:tr>
      <w:tr>
        <w:tblPrEx>
          <w:tblCellMar>
            <w:top w:w="0" w:type="dxa"/>
            <w:left w:w="108" w:type="dxa"/>
            <w:bottom w:w="0" w:type="dxa"/>
            <w:right w:w="108" w:type="dxa"/>
          </w:tblCellMar>
        </w:tblPrEx>
        <w:trPr>
          <w:trHeight w:val="624" w:hRule="atLeast"/>
          <w:jc w:val="center"/>
        </w:trPr>
        <w:tc>
          <w:tcPr>
            <w:tcW w:w="672"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中介咨询机构</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名称</w:t>
            </w:r>
          </w:p>
        </w:tc>
        <w:tc>
          <w:tcPr>
            <w:tcW w:w="4328" w:type="pct"/>
            <w:gridSpan w:val="8"/>
            <w:tcBorders>
              <w:top w:val="single" w:color="auto" w:sz="8"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申报事项</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（请选择打"√"）</w:t>
            </w:r>
          </w:p>
        </w:tc>
        <w:tc>
          <w:tcPr>
            <w:tcW w:w="5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法人代表人</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（驻富负责人）变更</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原法人姓名</w:t>
            </w:r>
          </w:p>
        </w:tc>
        <w:tc>
          <w:tcPr>
            <w:tcW w:w="5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52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身份证号码</w:t>
            </w:r>
          </w:p>
        </w:tc>
        <w:tc>
          <w:tcPr>
            <w:tcW w:w="8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3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联系电话</w:t>
            </w:r>
          </w:p>
        </w:tc>
        <w:tc>
          <w:tcPr>
            <w:tcW w:w="565" w:type="pct"/>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5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3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现法人姓名</w:t>
            </w:r>
          </w:p>
        </w:tc>
        <w:tc>
          <w:tcPr>
            <w:tcW w:w="5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52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身份证号码</w:t>
            </w:r>
          </w:p>
        </w:tc>
        <w:tc>
          <w:tcPr>
            <w:tcW w:w="8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3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联系电话</w:t>
            </w:r>
          </w:p>
        </w:tc>
        <w:tc>
          <w:tcPr>
            <w:tcW w:w="565" w:type="pct"/>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5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中介机构名称变更</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原机构名称</w:t>
            </w:r>
          </w:p>
        </w:tc>
        <w:tc>
          <w:tcPr>
            <w:tcW w:w="2958" w:type="pct"/>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5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p>
        </w:tc>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现机构名称</w:t>
            </w:r>
          </w:p>
        </w:tc>
        <w:tc>
          <w:tcPr>
            <w:tcW w:w="2958" w:type="pct"/>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5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办公场所</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变更</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原办公场所</w:t>
            </w:r>
          </w:p>
        </w:tc>
        <w:tc>
          <w:tcPr>
            <w:tcW w:w="195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3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面积</w:t>
            </w:r>
          </w:p>
        </w:tc>
        <w:tc>
          <w:tcPr>
            <w:tcW w:w="565" w:type="pct"/>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5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3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现办公场所</w:t>
            </w:r>
          </w:p>
        </w:tc>
        <w:tc>
          <w:tcPr>
            <w:tcW w:w="195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3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面积</w:t>
            </w:r>
          </w:p>
        </w:tc>
        <w:tc>
          <w:tcPr>
            <w:tcW w:w="565" w:type="pct"/>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624" w:hRule="atLeast"/>
          <w:jc w:val="center"/>
        </w:trPr>
        <w:tc>
          <w:tcPr>
            <w:tcW w:w="672"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rPr>
            </w:pPr>
          </w:p>
        </w:tc>
        <w:tc>
          <w:tcPr>
            <w:tcW w:w="5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企业注销</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（退出市场）</w:t>
            </w:r>
          </w:p>
        </w:tc>
        <w:tc>
          <w:tcPr>
            <w:tcW w:w="31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47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批复文号</w:t>
            </w:r>
          </w:p>
        </w:tc>
        <w:tc>
          <w:tcPr>
            <w:tcW w:w="109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p>
        </w:tc>
        <w:tc>
          <w:tcPr>
            <w:tcW w:w="8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批复时间</w:t>
            </w:r>
          </w:p>
        </w:tc>
        <w:tc>
          <w:tcPr>
            <w:tcW w:w="1000" w:type="pct"/>
            <w:gridSpan w:val="2"/>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2721" w:hRule="atLeast"/>
          <w:jc w:val="center"/>
        </w:trPr>
        <w:tc>
          <w:tcPr>
            <w:tcW w:w="672"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中介咨询机构</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意见</w:t>
            </w:r>
          </w:p>
        </w:tc>
        <w:tc>
          <w:tcPr>
            <w:tcW w:w="4328" w:type="pct"/>
            <w:gridSpan w:val="8"/>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rPr>
            </w:pPr>
          </w:p>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中介咨询机构（盖章）：</w:t>
            </w:r>
          </w:p>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法人代表人（驻富负责人）签字：</w:t>
            </w:r>
          </w:p>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日期：      年     月     日</w:t>
            </w:r>
          </w:p>
        </w:tc>
      </w:tr>
    </w:tbl>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附表6</w:t>
      </w:r>
    </w:p>
    <w:tbl>
      <w:tblPr>
        <w:tblStyle w:val="16"/>
        <w:tblW w:w="5000" w:type="pct"/>
        <w:jc w:val="center"/>
        <w:tblLayout w:type="autofit"/>
        <w:tblCellMar>
          <w:top w:w="0" w:type="dxa"/>
          <w:left w:w="108" w:type="dxa"/>
          <w:bottom w:w="0" w:type="dxa"/>
          <w:right w:w="108" w:type="dxa"/>
        </w:tblCellMar>
      </w:tblPr>
      <w:tblGrid>
        <w:gridCol w:w="2661"/>
        <w:gridCol w:w="1744"/>
        <w:gridCol w:w="1652"/>
        <w:gridCol w:w="2957"/>
        <w:gridCol w:w="1483"/>
        <w:gridCol w:w="2957"/>
      </w:tblGrid>
      <w:tr>
        <w:tblPrEx>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auto"/>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专业技术人员专业增销登记表</w:t>
            </w:r>
          </w:p>
        </w:tc>
      </w:tr>
      <w:tr>
        <w:tblPrEx>
          <w:tblCellMar>
            <w:top w:w="0" w:type="dxa"/>
            <w:left w:w="108" w:type="dxa"/>
            <w:bottom w:w="0" w:type="dxa"/>
            <w:right w:w="108" w:type="dxa"/>
          </w:tblCellMar>
        </w:tblPrEx>
        <w:trPr>
          <w:trHeight w:val="454" w:hRule="atLeast"/>
          <w:jc w:val="center"/>
        </w:trPr>
        <w:tc>
          <w:tcPr>
            <w:tcW w:w="989"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姓   名</w:t>
            </w:r>
          </w:p>
        </w:tc>
        <w:tc>
          <w:tcPr>
            <w:tcW w:w="648" w:type="pct"/>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14" w:type="pct"/>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身份证号码</w:t>
            </w:r>
          </w:p>
        </w:tc>
        <w:tc>
          <w:tcPr>
            <w:tcW w:w="1099" w:type="pct"/>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551" w:type="pct"/>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社保编号</w:t>
            </w:r>
          </w:p>
        </w:tc>
        <w:tc>
          <w:tcPr>
            <w:tcW w:w="1099" w:type="pct"/>
            <w:tcBorders>
              <w:top w:val="single" w:color="auto" w:sz="8"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454" w:hRule="atLeast"/>
          <w:jc w:val="center"/>
        </w:trPr>
        <w:tc>
          <w:tcPr>
            <w:tcW w:w="989"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执业资格</w:t>
            </w:r>
          </w:p>
        </w:tc>
        <w:tc>
          <w:tcPr>
            <w:tcW w:w="64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执业证章号</w:t>
            </w:r>
          </w:p>
        </w:tc>
        <w:tc>
          <w:tcPr>
            <w:tcW w:w="109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551"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专业类别</w:t>
            </w:r>
          </w:p>
        </w:tc>
        <w:tc>
          <w:tcPr>
            <w:tcW w:w="1099" w:type="pct"/>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b/>
                <w:bCs/>
                <w:color w:val="000000"/>
                <w:kern w:val="0"/>
              </w:rPr>
            </w:pPr>
            <w:r>
              <w:rPr>
                <w:rFonts w:hint="eastAsia" w:ascii="宋体" w:hAnsi="宋体" w:eastAsia="宋体" w:cs="宋体"/>
                <w:b/>
                <w:bCs/>
                <w:color w:val="000000"/>
                <w:kern w:val="0"/>
              </w:rPr>
              <w:t>执业资格增项</w:t>
            </w:r>
          </w:p>
        </w:tc>
      </w:tr>
      <w:tr>
        <w:tblPrEx>
          <w:tblCellMar>
            <w:top w:w="0" w:type="dxa"/>
            <w:left w:w="108" w:type="dxa"/>
            <w:bottom w:w="0" w:type="dxa"/>
            <w:right w:w="108" w:type="dxa"/>
          </w:tblCellMar>
        </w:tblPrEx>
        <w:trPr>
          <w:trHeight w:val="454" w:hRule="atLeast"/>
          <w:jc w:val="center"/>
        </w:trPr>
        <w:tc>
          <w:tcPr>
            <w:tcW w:w="989"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增项专业类别</w:t>
            </w:r>
          </w:p>
        </w:tc>
        <w:tc>
          <w:tcPr>
            <w:tcW w:w="64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专业增项时间</w:t>
            </w:r>
          </w:p>
        </w:tc>
        <w:tc>
          <w:tcPr>
            <w:tcW w:w="109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551"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批准机关</w:t>
            </w:r>
          </w:p>
        </w:tc>
        <w:tc>
          <w:tcPr>
            <w:tcW w:w="1099" w:type="pct"/>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1304" w:hRule="atLeast"/>
          <w:jc w:val="center"/>
        </w:trPr>
        <w:tc>
          <w:tcPr>
            <w:tcW w:w="989"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增项专业盖章处</w:t>
            </w:r>
          </w:p>
        </w:tc>
        <w:tc>
          <w:tcPr>
            <w:tcW w:w="4011" w:type="pct"/>
            <w:gridSpan w:val="5"/>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b/>
                <w:bCs/>
                <w:color w:val="000000"/>
                <w:kern w:val="0"/>
              </w:rPr>
            </w:pPr>
            <w:r>
              <w:rPr>
                <w:rFonts w:hint="eastAsia" w:ascii="宋体" w:hAnsi="宋体" w:eastAsia="宋体" w:cs="宋体"/>
                <w:b/>
                <w:bCs/>
                <w:color w:val="000000"/>
                <w:kern w:val="0"/>
              </w:rPr>
              <w:t>执业资格注销</w:t>
            </w:r>
          </w:p>
        </w:tc>
      </w:tr>
      <w:tr>
        <w:tblPrEx>
          <w:tblCellMar>
            <w:top w:w="0" w:type="dxa"/>
            <w:left w:w="108" w:type="dxa"/>
            <w:bottom w:w="0" w:type="dxa"/>
            <w:right w:w="108" w:type="dxa"/>
          </w:tblCellMar>
        </w:tblPrEx>
        <w:trPr>
          <w:trHeight w:val="454" w:hRule="atLeast"/>
          <w:jc w:val="center"/>
        </w:trPr>
        <w:tc>
          <w:tcPr>
            <w:tcW w:w="989"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注销时间</w:t>
            </w:r>
          </w:p>
        </w:tc>
        <w:tc>
          <w:tcPr>
            <w:tcW w:w="64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注销批准文件</w:t>
            </w:r>
          </w:p>
        </w:tc>
        <w:tc>
          <w:tcPr>
            <w:tcW w:w="109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551"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批准机关</w:t>
            </w:r>
          </w:p>
        </w:tc>
        <w:tc>
          <w:tcPr>
            <w:tcW w:w="1099" w:type="pct"/>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1701" w:hRule="atLeast"/>
          <w:jc w:val="center"/>
        </w:trPr>
        <w:tc>
          <w:tcPr>
            <w:tcW w:w="989"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专业技术人员</w:t>
            </w:r>
          </w:p>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意见</w:t>
            </w:r>
          </w:p>
        </w:tc>
        <w:tc>
          <w:tcPr>
            <w:tcW w:w="4011" w:type="pct"/>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签名：</w:t>
            </w:r>
          </w:p>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日期：      年    月     日</w:t>
            </w:r>
          </w:p>
        </w:tc>
      </w:tr>
      <w:tr>
        <w:tblPrEx>
          <w:tblCellMar>
            <w:top w:w="0" w:type="dxa"/>
            <w:left w:w="108" w:type="dxa"/>
            <w:bottom w:w="0" w:type="dxa"/>
            <w:right w:w="108" w:type="dxa"/>
          </w:tblCellMar>
        </w:tblPrEx>
        <w:trPr>
          <w:trHeight w:val="1984" w:hRule="atLeast"/>
          <w:jc w:val="center"/>
        </w:trPr>
        <w:tc>
          <w:tcPr>
            <w:tcW w:w="989"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中介咨询机构意见</w:t>
            </w:r>
          </w:p>
        </w:tc>
        <w:tc>
          <w:tcPr>
            <w:tcW w:w="4011" w:type="pct"/>
            <w:gridSpan w:val="5"/>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中介咨询机构（盖章）：</w:t>
            </w:r>
          </w:p>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法人代表人（驻富负责人）签名：</w:t>
            </w:r>
          </w:p>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日期：      年    月     日</w:t>
            </w:r>
          </w:p>
        </w:tc>
      </w:tr>
    </w:tbl>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附表7</w:t>
      </w:r>
    </w:p>
    <w:tbl>
      <w:tblPr>
        <w:tblStyle w:val="16"/>
        <w:tblW w:w="5000" w:type="pct"/>
        <w:jc w:val="center"/>
        <w:tblLayout w:type="autofit"/>
        <w:tblCellMar>
          <w:top w:w="0" w:type="dxa"/>
          <w:left w:w="108" w:type="dxa"/>
          <w:bottom w:w="0" w:type="dxa"/>
          <w:right w:w="108" w:type="dxa"/>
        </w:tblCellMar>
      </w:tblPr>
      <w:tblGrid>
        <w:gridCol w:w="3048"/>
        <w:gridCol w:w="2032"/>
        <w:gridCol w:w="2034"/>
        <w:gridCol w:w="2032"/>
        <w:gridCol w:w="1822"/>
        <w:gridCol w:w="2486"/>
      </w:tblGrid>
      <w:tr>
        <w:tblPrEx>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auto"/>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专业技术人员变更登记表</w:t>
            </w:r>
          </w:p>
        </w:tc>
      </w:tr>
      <w:tr>
        <w:tblPrEx>
          <w:tblCellMar>
            <w:top w:w="0" w:type="dxa"/>
            <w:left w:w="108" w:type="dxa"/>
            <w:bottom w:w="0" w:type="dxa"/>
            <w:right w:w="108" w:type="dxa"/>
          </w:tblCellMar>
        </w:tblPrEx>
        <w:trPr>
          <w:trHeight w:val="340" w:hRule="atLeast"/>
          <w:jc w:val="center"/>
        </w:trPr>
        <w:tc>
          <w:tcPr>
            <w:tcW w:w="1133"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姓名</w:t>
            </w:r>
          </w:p>
        </w:tc>
        <w:tc>
          <w:tcPr>
            <w:tcW w:w="1511" w:type="pct"/>
            <w:gridSpan w:val="2"/>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755" w:type="pct"/>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身份证号码</w:t>
            </w:r>
          </w:p>
        </w:tc>
        <w:tc>
          <w:tcPr>
            <w:tcW w:w="1601" w:type="pct"/>
            <w:gridSpan w:val="2"/>
            <w:tcBorders>
              <w:top w:val="single" w:color="auto" w:sz="8"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340"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执业资格</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756"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执业证章号</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专业类别</w:t>
            </w:r>
          </w:p>
        </w:tc>
        <w:tc>
          <w:tcPr>
            <w:tcW w:w="924" w:type="pct"/>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340" w:hRule="atLeast"/>
          <w:jc w:val="center"/>
        </w:trPr>
        <w:tc>
          <w:tcPr>
            <w:tcW w:w="5000" w:type="pct"/>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b/>
                <w:bCs/>
                <w:color w:val="000000"/>
                <w:kern w:val="0"/>
              </w:rPr>
            </w:pPr>
            <w:r>
              <w:rPr>
                <w:rFonts w:hint="eastAsia" w:ascii="宋体" w:hAnsi="宋体" w:eastAsia="宋体" w:cs="宋体"/>
                <w:b/>
                <w:bCs/>
                <w:color w:val="000000"/>
                <w:kern w:val="0"/>
              </w:rPr>
              <w:t>变更前资料</w:t>
            </w:r>
          </w:p>
        </w:tc>
      </w:tr>
      <w:tr>
        <w:tblPrEx>
          <w:tblCellMar>
            <w:top w:w="0" w:type="dxa"/>
            <w:left w:w="108" w:type="dxa"/>
            <w:bottom w:w="0" w:type="dxa"/>
            <w:right w:w="108" w:type="dxa"/>
          </w:tblCellMar>
        </w:tblPrEx>
        <w:trPr>
          <w:trHeight w:val="340"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中介咨询机构名称</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756"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合同编号</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社保编号</w:t>
            </w:r>
          </w:p>
        </w:tc>
        <w:tc>
          <w:tcPr>
            <w:tcW w:w="924" w:type="pct"/>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850"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执业证章盖章处</w:t>
            </w:r>
          </w:p>
        </w:tc>
        <w:tc>
          <w:tcPr>
            <w:tcW w:w="3867" w:type="pct"/>
            <w:gridSpan w:val="5"/>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340" w:hRule="atLeast"/>
          <w:jc w:val="center"/>
        </w:trPr>
        <w:tc>
          <w:tcPr>
            <w:tcW w:w="5000" w:type="pct"/>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b/>
                <w:bCs/>
                <w:color w:val="000000"/>
                <w:kern w:val="0"/>
              </w:rPr>
            </w:pPr>
            <w:r>
              <w:rPr>
                <w:rFonts w:hint="eastAsia" w:ascii="宋体" w:hAnsi="宋体" w:eastAsia="宋体" w:cs="宋体"/>
                <w:b/>
                <w:bCs/>
                <w:color w:val="000000"/>
                <w:kern w:val="0"/>
              </w:rPr>
              <w:t>变更后资料</w:t>
            </w:r>
          </w:p>
        </w:tc>
      </w:tr>
      <w:tr>
        <w:tblPrEx>
          <w:tblCellMar>
            <w:top w:w="0" w:type="dxa"/>
            <w:left w:w="108" w:type="dxa"/>
            <w:bottom w:w="0" w:type="dxa"/>
            <w:right w:w="108" w:type="dxa"/>
          </w:tblCellMar>
        </w:tblPrEx>
        <w:trPr>
          <w:trHeight w:val="340"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中介咨询机构名称</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756"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合同编号</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rPr>
              <w:t>社保编号</w:t>
            </w:r>
          </w:p>
        </w:tc>
        <w:tc>
          <w:tcPr>
            <w:tcW w:w="924" w:type="pct"/>
            <w:tcBorders>
              <w:top w:val="single" w:color="auto" w:sz="4" w:space="0"/>
              <w:left w:val="nil"/>
              <w:bottom w:val="single" w:color="auto" w:sz="4" w:space="0"/>
              <w:right w:val="single" w:color="auto" w:sz="8" w:space="0"/>
            </w:tcBorders>
            <w:shd w:val="clear" w:color="auto" w:fill="auto"/>
            <w:vAlign w:val="center"/>
          </w:tcPr>
          <w:p>
            <w:pPr>
              <w:widowControl/>
              <w:spacing w:line="32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850"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执业证章盖章处</w:t>
            </w:r>
          </w:p>
        </w:tc>
        <w:tc>
          <w:tcPr>
            <w:tcW w:w="3867" w:type="pct"/>
            <w:gridSpan w:val="5"/>
            <w:tcBorders>
              <w:top w:val="single" w:color="auto" w:sz="4" w:space="0"/>
              <w:left w:val="nil"/>
              <w:bottom w:val="single" w:color="auto" w:sz="4" w:space="0"/>
              <w:right w:val="single" w:color="auto" w:sz="8" w:space="0"/>
            </w:tcBorders>
            <w:shd w:val="clear" w:color="auto" w:fill="auto"/>
            <w:vAlign w:val="center"/>
          </w:tcPr>
          <w:p>
            <w:pPr>
              <w:widowControl/>
              <w:spacing w:line="440" w:lineRule="exact"/>
              <w:jc w:val="center"/>
              <w:rPr>
                <w:rFonts w:ascii="宋体" w:hAnsi="宋体" w:eastAsia="宋体" w:cs="宋体"/>
                <w:color w:val="000000"/>
                <w:kern w:val="0"/>
              </w:rPr>
            </w:pPr>
          </w:p>
        </w:tc>
      </w:tr>
      <w:tr>
        <w:tblPrEx>
          <w:tblCellMar>
            <w:top w:w="0" w:type="dxa"/>
            <w:left w:w="108" w:type="dxa"/>
            <w:bottom w:w="0" w:type="dxa"/>
            <w:right w:w="108" w:type="dxa"/>
          </w:tblCellMar>
        </w:tblPrEx>
        <w:trPr>
          <w:trHeight w:val="1134"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专业技术人员</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意见</w:t>
            </w:r>
          </w:p>
        </w:tc>
        <w:tc>
          <w:tcPr>
            <w:tcW w:w="3867" w:type="pct"/>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xml:space="preserve">                                          签名：</w:t>
            </w:r>
          </w:p>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日期：      年    月     日</w:t>
            </w:r>
          </w:p>
        </w:tc>
      </w:tr>
      <w:tr>
        <w:tblPrEx>
          <w:tblCellMar>
            <w:top w:w="0" w:type="dxa"/>
            <w:left w:w="108" w:type="dxa"/>
            <w:bottom w:w="0" w:type="dxa"/>
            <w:right w:w="108" w:type="dxa"/>
          </w:tblCellMar>
        </w:tblPrEx>
        <w:trPr>
          <w:trHeight w:val="1417" w:hRule="atLeast"/>
          <w:jc w:val="center"/>
        </w:trPr>
        <w:tc>
          <w:tcPr>
            <w:tcW w:w="11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原中介咨询机构意见</w:t>
            </w:r>
          </w:p>
        </w:tc>
        <w:tc>
          <w:tcPr>
            <w:tcW w:w="3867" w:type="pct"/>
            <w:gridSpan w:val="5"/>
            <w:tcBorders>
              <w:top w:val="single" w:color="auto" w:sz="4" w:space="0"/>
              <w:left w:val="nil"/>
              <w:bottom w:val="single" w:color="auto" w:sz="4" w:space="0"/>
              <w:right w:val="single" w:color="auto" w:sz="8" w:space="0"/>
            </w:tcBorders>
            <w:shd w:val="clear" w:color="auto" w:fill="auto"/>
            <w:vAlign w:val="center"/>
          </w:tcPr>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中介咨询机构（盖章）：</w:t>
            </w:r>
          </w:p>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法人代表（驻富负责人）签名：</w:t>
            </w:r>
          </w:p>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日期：      年    月     日</w:t>
            </w:r>
          </w:p>
        </w:tc>
      </w:tr>
      <w:tr>
        <w:tblPrEx>
          <w:tblCellMar>
            <w:top w:w="0" w:type="dxa"/>
            <w:left w:w="108" w:type="dxa"/>
            <w:bottom w:w="0" w:type="dxa"/>
            <w:right w:w="108" w:type="dxa"/>
          </w:tblCellMar>
        </w:tblPrEx>
        <w:trPr>
          <w:trHeight w:val="1417" w:hRule="atLeast"/>
          <w:jc w:val="center"/>
        </w:trPr>
        <w:tc>
          <w:tcPr>
            <w:tcW w:w="11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变更后</w:t>
            </w:r>
          </w:p>
          <w:p>
            <w:pPr>
              <w:widowControl/>
              <w:spacing w:line="240" w:lineRule="exact"/>
              <w:jc w:val="center"/>
              <w:rPr>
                <w:rFonts w:ascii="宋体" w:hAnsi="宋体" w:eastAsia="宋体" w:cs="宋体"/>
                <w:color w:val="000000"/>
                <w:kern w:val="0"/>
              </w:rPr>
            </w:pPr>
            <w:r>
              <w:rPr>
                <w:rFonts w:hint="eastAsia" w:ascii="宋体" w:hAnsi="宋体" w:eastAsia="宋体" w:cs="宋体"/>
                <w:color w:val="000000"/>
                <w:kern w:val="0"/>
              </w:rPr>
              <w:t>中介咨询机构意见</w:t>
            </w:r>
          </w:p>
        </w:tc>
        <w:tc>
          <w:tcPr>
            <w:tcW w:w="3867" w:type="pct"/>
            <w:gridSpan w:val="5"/>
            <w:tcBorders>
              <w:top w:val="single" w:color="auto" w:sz="4" w:space="0"/>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中介咨询机构（盖章）：</w:t>
            </w:r>
          </w:p>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法人代表（驻富负责人）签名：</w:t>
            </w:r>
          </w:p>
          <w:p>
            <w:pPr>
              <w:widowControl/>
              <w:spacing w:line="440" w:lineRule="exact"/>
              <w:jc w:val="center"/>
              <w:rPr>
                <w:rFonts w:ascii="宋体" w:hAnsi="宋体" w:eastAsia="宋体" w:cs="宋体"/>
                <w:color w:val="000000"/>
                <w:kern w:val="0"/>
              </w:rPr>
            </w:pPr>
            <w:r>
              <w:rPr>
                <w:rFonts w:hint="eastAsia" w:ascii="宋体" w:hAnsi="宋体" w:eastAsia="宋体" w:cs="宋体"/>
                <w:color w:val="000000"/>
                <w:kern w:val="0"/>
              </w:rPr>
              <w:t xml:space="preserve">                                                               日期：      年    月     日</w:t>
            </w:r>
          </w:p>
        </w:tc>
      </w:tr>
    </w:tbl>
    <w:p>
      <w:pPr>
        <w:pStyle w:val="26"/>
        <w:spacing w:line="560" w:lineRule="exact"/>
        <w:ind w:left="5250" w:firstLine="0" w:firstLineChars="0"/>
        <w:rPr>
          <w:rFonts w:ascii="宋体" w:hAnsi="宋体" w:eastAsia="宋体" w:cs="宋体"/>
          <w:color w:val="000000"/>
          <w:sz w:val="30"/>
          <w:szCs w:val="30"/>
        </w:rPr>
        <w:sectPr>
          <w:pgSz w:w="16838" w:h="11906" w:orient="landscape"/>
          <w:pgMar w:top="1440" w:right="1800" w:bottom="1440" w:left="1800" w:header="851" w:footer="397" w:gutter="0"/>
          <w:pgNumType w:fmt="numberInDash"/>
          <w:cols w:space="425" w:num="1"/>
          <w:docGrid w:type="lines" w:linePitch="579" w:charSpace="21679"/>
        </w:sectPr>
      </w:pPr>
    </w:p>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附表8</w:t>
      </w:r>
    </w:p>
    <w:tbl>
      <w:tblPr>
        <w:tblStyle w:val="16"/>
        <w:tblW w:w="5000" w:type="pct"/>
        <w:jc w:val="center"/>
        <w:tblLayout w:type="autofit"/>
        <w:tblCellMar>
          <w:top w:w="0" w:type="dxa"/>
          <w:left w:w="108" w:type="dxa"/>
          <w:bottom w:w="0" w:type="dxa"/>
          <w:right w:w="108" w:type="dxa"/>
        </w:tblCellMar>
      </w:tblPr>
      <w:tblGrid>
        <w:gridCol w:w="1476"/>
        <w:gridCol w:w="1581"/>
        <w:gridCol w:w="1200"/>
        <w:gridCol w:w="1451"/>
        <w:gridCol w:w="1297"/>
        <w:gridCol w:w="1511"/>
      </w:tblGrid>
      <w:tr>
        <w:tblPrEx>
          <w:tblCellMar>
            <w:top w:w="0" w:type="dxa"/>
            <w:left w:w="108" w:type="dxa"/>
            <w:bottom w:w="0" w:type="dxa"/>
            <w:right w:w="108" w:type="dxa"/>
          </w:tblCellMar>
        </w:tblPrEx>
        <w:trPr>
          <w:trHeight w:val="559" w:hRule="atLeast"/>
          <w:jc w:val="center"/>
        </w:trPr>
        <w:tc>
          <w:tcPr>
            <w:tcW w:w="5000" w:type="pct"/>
            <w:gridSpan w:val="6"/>
            <w:tcBorders>
              <w:bottom w:val="single" w:color="auto" w:sz="8" w:space="0"/>
            </w:tcBorders>
            <w:shd w:val="clear" w:color="auto" w:fill="auto"/>
            <w:noWrap/>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中介咨询机构三级复核流转单</w:t>
            </w:r>
          </w:p>
        </w:tc>
      </w:tr>
      <w:tr>
        <w:tblPrEx>
          <w:tblCellMar>
            <w:top w:w="0" w:type="dxa"/>
            <w:left w:w="108" w:type="dxa"/>
            <w:bottom w:w="0" w:type="dxa"/>
            <w:right w:w="108" w:type="dxa"/>
          </w:tblCellMar>
        </w:tblPrEx>
        <w:trPr>
          <w:trHeight w:val="624" w:hRule="atLeast"/>
          <w:jc w:val="center"/>
        </w:trPr>
        <w:tc>
          <w:tcPr>
            <w:tcW w:w="864"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项目名称</w:t>
            </w:r>
          </w:p>
        </w:tc>
        <w:tc>
          <w:tcPr>
            <w:tcW w:w="2471" w:type="pct"/>
            <w:gridSpan w:val="3"/>
            <w:tcBorders>
              <w:top w:val="single" w:color="auto" w:sz="8"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770" w:type="pct"/>
            <w:tcBorders>
              <w:top w:val="single" w:color="auto" w:sz="8"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审核类别</w:t>
            </w:r>
          </w:p>
        </w:tc>
        <w:tc>
          <w:tcPr>
            <w:tcW w:w="895" w:type="pct"/>
            <w:tcBorders>
              <w:top w:val="single" w:color="auto" w:sz="8"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624" w:hRule="atLeast"/>
          <w:jc w:val="center"/>
        </w:trPr>
        <w:tc>
          <w:tcPr>
            <w:tcW w:w="864"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中介咨询机构</w:t>
            </w:r>
          </w:p>
        </w:tc>
        <w:tc>
          <w:tcPr>
            <w:tcW w:w="2471"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77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项目编号</w:t>
            </w:r>
          </w:p>
        </w:tc>
        <w:tc>
          <w:tcPr>
            <w:tcW w:w="895" w:type="pct"/>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p>
        </w:tc>
      </w:tr>
      <w:tr>
        <w:tblPrEx>
          <w:tblCellMar>
            <w:top w:w="0" w:type="dxa"/>
            <w:left w:w="108" w:type="dxa"/>
            <w:bottom w:w="0" w:type="dxa"/>
            <w:right w:w="108" w:type="dxa"/>
          </w:tblCellMar>
        </w:tblPrEx>
        <w:trPr>
          <w:trHeight w:val="624" w:hRule="atLeast"/>
          <w:jc w:val="center"/>
        </w:trPr>
        <w:tc>
          <w:tcPr>
            <w:tcW w:w="864"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约定作业期</w:t>
            </w:r>
          </w:p>
        </w:tc>
        <w:tc>
          <w:tcPr>
            <w:tcW w:w="2471"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77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项目负责人</w:t>
            </w:r>
          </w:p>
        </w:tc>
        <w:tc>
          <w:tcPr>
            <w:tcW w:w="895" w:type="pct"/>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86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专业审核</w:t>
            </w:r>
          </w:p>
          <w:p>
            <w:pPr>
              <w:widowControl/>
              <w:spacing w:line="240" w:lineRule="exact"/>
              <w:jc w:val="center"/>
              <w:rPr>
                <w:rFonts w:ascii="宋体" w:hAnsi="宋体" w:eastAsia="宋体" w:cs="宋体"/>
                <w:kern w:val="0"/>
              </w:rPr>
            </w:pPr>
            <w:r>
              <w:rPr>
                <w:rFonts w:hint="eastAsia" w:ascii="宋体" w:hAnsi="宋体" w:eastAsia="宋体" w:cs="宋体"/>
                <w:kern w:val="0"/>
              </w:rPr>
              <w:t>人员</w:t>
            </w:r>
          </w:p>
        </w:tc>
        <w:tc>
          <w:tcPr>
            <w:tcW w:w="16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姓名</w:t>
            </w:r>
          </w:p>
        </w:tc>
        <w:tc>
          <w:tcPr>
            <w:tcW w:w="86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专业</w:t>
            </w:r>
          </w:p>
        </w:tc>
        <w:tc>
          <w:tcPr>
            <w:tcW w:w="1666" w:type="pct"/>
            <w:gridSpan w:val="2"/>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资格</w:t>
            </w:r>
          </w:p>
        </w:tc>
      </w:tr>
      <w:tr>
        <w:tblPrEx>
          <w:tblCellMar>
            <w:top w:w="0" w:type="dxa"/>
            <w:left w:w="108" w:type="dxa"/>
            <w:bottom w:w="0" w:type="dxa"/>
            <w:right w:w="108" w:type="dxa"/>
          </w:tblCellMar>
        </w:tblPrEx>
        <w:trPr>
          <w:trHeight w:val="567"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16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86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1666" w:type="pct"/>
            <w:gridSpan w:val="2"/>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16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rPr>
            </w:pPr>
          </w:p>
        </w:tc>
        <w:tc>
          <w:tcPr>
            <w:tcW w:w="86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1666" w:type="pct"/>
            <w:gridSpan w:val="2"/>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16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rPr>
            </w:pPr>
          </w:p>
        </w:tc>
        <w:tc>
          <w:tcPr>
            <w:tcW w:w="86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p>
        </w:tc>
        <w:tc>
          <w:tcPr>
            <w:tcW w:w="1666" w:type="pct"/>
            <w:gridSpan w:val="2"/>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86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自校意见</w:t>
            </w:r>
          </w:p>
        </w:tc>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一级复核金额:</w:t>
            </w:r>
          </w:p>
        </w:tc>
        <w:tc>
          <w:tcPr>
            <w:tcW w:w="3238" w:type="pct"/>
            <w:gridSpan w:val="4"/>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1020"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4136" w:type="pct"/>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r>
              <w:rPr>
                <w:rFonts w:hint="eastAsia" w:ascii="宋体" w:hAnsi="宋体" w:eastAsia="宋体" w:cs="宋体"/>
                <w:kern w:val="0"/>
              </w:rPr>
              <w:t>专业审核人员1签名（并盖资格章）：                  年   月   日</w:t>
            </w:r>
          </w:p>
        </w:tc>
      </w:tr>
      <w:tr>
        <w:tblPrEx>
          <w:tblCellMar>
            <w:top w:w="0" w:type="dxa"/>
            <w:left w:w="108" w:type="dxa"/>
            <w:bottom w:w="0" w:type="dxa"/>
            <w:right w:w="108" w:type="dxa"/>
          </w:tblCellMar>
        </w:tblPrEx>
        <w:trPr>
          <w:trHeight w:val="1020"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4136" w:type="pct"/>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r>
              <w:rPr>
                <w:rFonts w:hint="eastAsia" w:ascii="宋体" w:hAnsi="宋体" w:eastAsia="宋体" w:cs="宋体"/>
                <w:kern w:val="0"/>
              </w:rPr>
              <w:t>专业审核人员2签名（并盖资格章）：                  年   月   日</w:t>
            </w:r>
          </w:p>
        </w:tc>
      </w:tr>
      <w:tr>
        <w:tblPrEx>
          <w:tblCellMar>
            <w:top w:w="0" w:type="dxa"/>
            <w:left w:w="108" w:type="dxa"/>
            <w:bottom w:w="0" w:type="dxa"/>
            <w:right w:w="108" w:type="dxa"/>
          </w:tblCellMar>
        </w:tblPrEx>
        <w:trPr>
          <w:trHeight w:val="1020"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4136" w:type="pct"/>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r>
              <w:rPr>
                <w:rFonts w:hint="eastAsia" w:ascii="宋体" w:hAnsi="宋体" w:eastAsia="宋体" w:cs="宋体"/>
                <w:kern w:val="0"/>
              </w:rPr>
              <w:t>专业组负责人签名（并盖资格章）：                    年   月   日</w:t>
            </w:r>
          </w:p>
        </w:tc>
      </w:tr>
      <w:tr>
        <w:tblPrEx>
          <w:tblCellMar>
            <w:top w:w="0" w:type="dxa"/>
            <w:left w:w="108" w:type="dxa"/>
            <w:bottom w:w="0" w:type="dxa"/>
            <w:right w:w="108" w:type="dxa"/>
          </w:tblCellMar>
        </w:tblPrEx>
        <w:trPr>
          <w:trHeight w:val="850" w:hRule="atLeast"/>
          <w:jc w:val="center"/>
        </w:trPr>
        <w:tc>
          <w:tcPr>
            <w:tcW w:w="86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二级复核</w:t>
            </w:r>
          </w:p>
          <w:p>
            <w:pPr>
              <w:widowControl/>
              <w:spacing w:line="240" w:lineRule="exact"/>
              <w:jc w:val="center"/>
              <w:rPr>
                <w:rFonts w:ascii="宋体" w:hAnsi="宋体" w:eastAsia="宋体" w:cs="宋体"/>
                <w:kern w:val="0"/>
              </w:rPr>
            </w:pPr>
            <w:r>
              <w:rPr>
                <w:rFonts w:hint="eastAsia" w:ascii="宋体" w:hAnsi="宋体" w:eastAsia="宋体" w:cs="宋体"/>
                <w:kern w:val="0"/>
              </w:rPr>
              <w:t>意见</w:t>
            </w:r>
          </w:p>
        </w:tc>
        <w:tc>
          <w:tcPr>
            <w:tcW w:w="8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rPr>
            </w:pPr>
            <w:r>
              <w:rPr>
                <w:rFonts w:hint="eastAsia" w:ascii="宋体" w:hAnsi="宋体" w:eastAsia="宋体" w:cs="宋体"/>
                <w:kern w:val="0"/>
              </w:rPr>
              <w:t>复核发现的问题及调整情况：</w:t>
            </w:r>
          </w:p>
        </w:tc>
        <w:tc>
          <w:tcPr>
            <w:tcW w:w="7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问题</w:t>
            </w:r>
          </w:p>
        </w:tc>
        <w:tc>
          <w:tcPr>
            <w:tcW w:w="2525" w:type="pct"/>
            <w:gridSpan w:val="3"/>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850"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8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7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调整情况</w:t>
            </w:r>
          </w:p>
        </w:tc>
        <w:tc>
          <w:tcPr>
            <w:tcW w:w="2525" w:type="pct"/>
            <w:gridSpan w:val="3"/>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624"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4136" w:type="pct"/>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r>
              <w:rPr>
                <w:rFonts w:hint="eastAsia" w:ascii="宋体" w:hAnsi="宋体" w:eastAsia="宋体" w:cs="宋体"/>
                <w:kern w:val="0"/>
              </w:rPr>
              <w:t>技术负责人签名（并盖资格章）                        年   月   日</w:t>
            </w:r>
          </w:p>
        </w:tc>
      </w:tr>
      <w:tr>
        <w:tblPrEx>
          <w:tblCellMar>
            <w:top w:w="0" w:type="dxa"/>
            <w:left w:w="108" w:type="dxa"/>
            <w:bottom w:w="0" w:type="dxa"/>
            <w:right w:w="108" w:type="dxa"/>
          </w:tblCellMar>
        </w:tblPrEx>
        <w:trPr>
          <w:trHeight w:val="850" w:hRule="atLeast"/>
          <w:jc w:val="center"/>
        </w:trPr>
        <w:tc>
          <w:tcPr>
            <w:tcW w:w="86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三级复核</w:t>
            </w:r>
          </w:p>
          <w:p>
            <w:pPr>
              <w:widowControl/>
              <w:spacing w:line="240" w:lineRule="exact"/>
              <w:jc w:val="center"/>
              <w:rPr>
                <w:rFonts w:ascii="宋体" w:hAnsi="宋体" w:eastAsia="宋体" w:cs="宋体"/>
                <w:kern w:val="0"/>
              </w:rPr>
            </w:pPr>
            <w:r>
              <w:rPr>
                <w:rFonts w:hint="eastAsia" w:ascii="宋体" w:hAnsi="宋体" w:eastAsia="宋体" w:cs="宋体"/>
                <w:kern w:val="0"/>
              </w:rPr>
              <w:t>意见</w:t>
            </w:r>
          </w:p>
        </w:tc>
        <w:tc>
          <w:tcPr>
            <w:tcW w:w="8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rPr>
            </w:pPr>
            <w:r>
              <w:rPr>
                <w:rFonts w:hint="eastAsia" w:ascii="宋体" w:hAnsi="宋体" w:eastAsia="宋体" w:cs="宋体"/>
                <w:kern w:val="0"/>
              </w:rPr>
              <w:t>复核发现的问题及调整情况：</w:t>
            </w:r>
          </w:p>
        </w:tc>
        <w:tc>
          <w:tcPr>
            <w:tcW w:w="7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问题</w:t>
            </w:r>
          </w:p>
        </w:tc>
        <w:tc>
          <w:tcPr>
            <w:tcW w:w="2525" w:type="pct"/>
            <w:gridSpan w:val="3"/>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850" w:hRule="atLeast"/>
          <w:jc w:val="center"/>
        </w:trPr>
        <w:tc>
          <w:tcPr>
            <w:tcW w:w="86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8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7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kern w:val="0"/>
              </w:rPr>
            </w:pPr>
            <w:r>
              <w:rPr>
                <w:rFonts w:hint="eastAsia" w:ascii="宋体" w:hAnsi="宋体" w:eastAsia="宋体" w:cs="宋体"/>
                <w:kern w:val="0"/>
              </w:rPr>
              <w:t>调整情况</w:t>
            </w:r>
          </w:p>
        </w:tc>
        <w:tc>
          <w:tcPr>
            <w:tcW w:w="2525" w:type="pct"/>
            <w:gridSpan w:val="3"/>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exact"/>
              <w:jc w:val="center"/>
              <w:rPr>
                <w:rFonts w:ascii="宋体" w:hAnsi="宋体" w:eastAsia="宋体" w:cs="宋体"/>
                <w:kern w:val="0"/>
              </w:rPr>
            </w:pPr>
          </w:p>
        </w:tc>
      </w:tr>
      <w:tr>
        <w:tblPrEx>
          <w:tblCellMar>
            <w:top w:w="0" w:type="dxa"/>
            <w:left w:w="108" w:type="dxa"/>
            <w:bottom w:w="0" w:type="dxa"/>
            <w:right w:w="108" w:type="dxa"/>
          </w:tblCellMar>
        </w:tblPrEx>
        <w:trPr>
          <w:trHeight w:val="624" w:hRule="atLeast"/>
          <w:jc w:val="center"/>
        </w:trPr>
        <w:tc>
          <w:tcPr>
            <w:tcW w:w="864" w:type="pct"/>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40" w:lineRule="exact"/>
              <w:jc w:val="left"/>
              <w:rPr>
                <w:rFonts w:ascii="宋体" w:hAnsi="宋体" w:eastAsia="宋体" w:cs="宋体"/>
                <w:kern w:val="0"/>
              </w:rPr>
            </w:pPr>
          </w:p>
        </w:tc>
        <w:tc>
          <w:tcPr>
            <w:tcW w:w="4136" w:type="pct"/>
            <w:gridSpan w:val="5"/>
            <w:tcBorders>
              <w:top w:val="single" w:color="auto" w:sz="4" w:space="0"/>
              <w:left w:val="nil"/>
              <w:bottom w:val="single" w:color="auto" w:sz="8" w:space="0"/>
              <w:right w:val="single" w:color="auto" w:sz="8" w:space="0"/>
            </w:tcBorders>
            <w:shd w:val="clear" w:color="auto" w:fill="auto"/>
            <w:noWrap/>
            <w:vAlign w:val="center"/>
          </w:tcPr>
          <w:p>
            <w:pPr>
              <w:widowControl/>
              <w:spacing w:line="240" w:lineRule="exact"/>
              <w:jc w:val="left"/>
              <w:rPr>
                <w:rFonts w:ascii="宋体" w:hAnsi="宋体" w:eastAsia="宋体" w:cs="宋体"/>
                <w:kern w:val="0"/>
              </w:rPr>
            </w:pPr>
            <w:r>
              <w:rPr>
                <w:rFonts w:hint="eastAsia" w:ascii="宋体" w:hAnsi="宋体" w:eastAsia="宋体" w:cs="宋体"/>
                <w:kern w:val="0"/>
              </w:rPr>
              <w:t>负责人签名（并盖资格章）                            年   月   日</w:t>
            </w:r>
          </w:p>
        </w:tc>
      </w:tr>
    </w:tbl>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附表9</w:t>
      </w:r>
    </w:p>
    <w:tbl>
      <w:tblPr>
        <w:tblStyle w:val="16"/>
        <w:tblW w:w="4992" w:type="pct"/>
        <w:jc w:val="center"/>
        <w:tblLayout w:type="autofit"/>
        <w:tblCellMar>
          <w:top w:w="0" w:type="dxa"/>
          <w:left w:w="108" w:type="dxa"/>
          <w:bottom w:w="0" w:type="dxa"/>
          <w:right w:w="108" w:type="dxa"/>
        </w:tblCellMar>
      </w:tblPr>
      <w:tblGrid>
        <w:gridCol w:w="674"/>
        <w:gridCol w:w="2004"/>
        <w:gridCol w:w="1121"/>
        <w:gridCol w:w="1121"/>
        <w:gridCol w:w="1121"/>
        <w:gridCol w:w="1121"/>
        <w:gridCol w:w="1340"/>
      </w:tblGrid>
      <w:tr>
        <w:tblPrEx>
          <w:tblCellMar>
            <w:top w:w="0" w:type="dxa"/>
            <w:left w:w="108" w:type="dxa"/>
            <w:bottom w:w="0" w:type="dxa"/>
            <w:right w:w="108" w:type="dxa"/>
          </w:tblCellMar>
        </w:tblPrEx>
        <w:trPr>
          <w:trHeight w:val="15" w:hRule="atLeast"/>
          <w:jc w:val="center"/>
        </w:trPr>
        <w:tc>
          <w:tcPr>
            <w:tcW w:w="5000" w:type="pct"/>
            <w:gridSpan w:val="7"/>
            <w:tcBorders>
              <w:bottom w:val="single" w:color="auto" w:sz="8" w:space="0"/>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kern w:val="0"/>
                <w:sz w:val="32"/>
                <w:szCs w:val="32"/>
              </w:rPr>
              <w:t>概算核定金额确认表</w:t>
            </w:r>
          </w:p>
        </w:tc>
      </w:tr>
      <w:tr>
        <w:tblPrEx>
          <w:tblCellMar>
            <w:top w:w="0" w:type="dxa"/>
            <w:left w:w="108" w:type="dxa"/>
            <w:bottom w:w="0" w:type="dxa"/>
            <w:right w:w="108" w:type="dxa"/>
          </w:tblCellMar>
        </w:tblPrEx>
        <w:trPr>
          <w:trHeight w:val="436" w:hRule="atLeast"/>
          <w:jc w:val="center"/>
        </w:trPr>
        <w:tc>
          <w:tcPr>
            <w:tcW w:w="1576" w:type="pct"/>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项目名称</w:t>
            </w:r>
          </w:p>
        </w:tc>
        <w:tc>
          <w:tcPr>
            <w:tcW w:w="3424" w:type="pct"/>
            <w:gridSpan w:val="5"/>
            <w:tcBorders>
              <w:top w:val="single" w:color="auto" w:sz="8"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1576"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专业类别</w:t>
            </w:r>
          </w:p>
        </w:tc>
        <w:tc>
          <w:tcPr>
            <w:tcW w:w="131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审核类型</w:t>
            </w:r>
          </w:p>
        </w:tc>
        <w:tc>
          <w:tcPr>
            <w:tcW w:w="1448" w:type="pct"/>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概算审核</w:t>
            </w:r>
          </w:p>
        </w:tc>
      </w:tr>
      <w:tr>
        <w:tblPrEx>
          <w:tblCellMar>
            <w:top w:w="0" w:type="dxa"/>
            <w:left w:w="108" w:type="dxa"/>
            <w:bottom w:w="0" w:type="dxa"/>
            <w:right w:w="108" w:type="dxa"/>
          </w:tblCellMar>
        </w:tblPrEx>
        <w:trPr>
          <w:trHeight w:val="436" w:hRule="atLeast"/>
          <w:jc w:val="center"/>
        </w:trPr>
        <w:tc>
          <w:tcPr>
            <w:tcW w:w="1576"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建设单位</w:t>
            </w:r>
          </w:p>
        </w:tc>
        <w:tc>
          <w:tcPr>
            <w:tcW w:w="3424" w:type="pct"/>
            <w:gridSpan w:val="5"/>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1576"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编制单位</w:t>
            </w:r>
          </w:p>
        </w:tc>
        <w:tc>
          <w:tcPr>
            <w:tcW w:w="3424" w:type="pct"/>
            <w:gridSpan w:val="5"/>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right"/>
              <w:rPr>
                <w:rFonts w:ascii="宋体" w:hAnsi="宋体" w:eastAsia="宋体" w:cs="宋体"/>
                <w:b/>
                <w:bCs/>
                <w:kern w:val="0"/>
              </w:rPr>
            </w:pPr>
            <w:r>
              <w:rPr>
                <w:rFonts w:hint="eastAsia" w:ascii="宋体" w:hAnsi="宋体" w:eastAsia="宋体" w:cs="宋体"/>
                <w:b/>
                <w:bCs/>
                <w:kern w:val="0"/>
              </w:rPr>
              <w:t xml:space="preserve">审核汇总情况                        </w:t>
            </w:r>
            <w:r>
              <w:rPr>
                <w:rFonts w:hint="eastAsia" w:ascii="宋体" w:hAnsi="宋体" w:eastAsia="宋体" w:cs="宋体"/>
                <w:kern w:val="0"/>
              </w:rPr>
              <w:t>单位：万元</w:t>
            </w:r>
          </w:p>
        </w:tc>
      </w:tr>
      <w:tr>
        <w:tblPrEx>
          <w:tblCellMar>
            <w:top w:w="0" w:type="dxa"/>
            <w:left w:w="108" w:type="dxa"/>
            <w:bottom w:w="0" w:type="dxa"/>
            <w:right w:w="108" w:type="dxa"/>
          </w:tblCellMar>
        </w:tblPrEx>
        <w:trPr>
          <w:trHeight w:val="436" w:hRule="atLeast"/>
          <w:jc w:val="center"/>
        </w:trPr>
        <w:tc>
          <w:tcPr>
            <w:tcW w:w="397"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序号</w:t>
            </w:r>
          </w:p>
        </w:tc>
        <w:tc>
          <w:tcPr>
            <w:tcW w:w="11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单位工程名称</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送审金额</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审定金额</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核增金额</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核减金额</w:t>
            </w:r>
          </w:p>
        </w:tc>
        <w:tc>
          <w:tcPr>
            <w:tcW w:w="789"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净核减金额</w:t>
            </w:r>
          </w:p>
        </w:tc>
      </w:tr>
      <w:tr>
        <w:tblPrEx>
          <w:tblCellMar>
            <w:top w:w="0" w:type="dxa"/>
            <w:left w:w="108" w:type="dxa"/>
            <w:bottom w:w="0" w:type="dxa"/>
            <w:right w:w="108" w:type="dxa"/>
          </w:tblCellMar>
        </w:tblPrEx>
        <w:trPr>
          <w:trHeight w:val="436" w:hRule="atLeast"/>
          <w:jc w:val="center"/>
        </w:trPr>
        <w:tc>
          <w:tcPr>
            <w:tcW w:w="397"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w:t>
            </w:r>
          </w:p>
        </w:tc>
        <w:tc>
          <w:tcPr>
            <w:tcW w:w="11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工程费用</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89"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397"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w:t>
            </w:r>
          </w:p>
        </w:tc>
        <w:tc>
          <w:tcPr>
            <w:tcW w:w="11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工程建设其他费用</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89"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397"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w:t>
            </w:r>
          </w:p>
        </w:tc>
        <w:tc>
          <w:tcPr>
            <w:tcW w:w="11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工程预备费</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89"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397"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4</w:t>
            </w:r>
          </w:p>
        </w:tc>
        <w:tc>
          <w:tcPr>
            <w:tcW w:w="11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建设期贷款利息</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89"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436" w:hRule="atLeast"/>
          <w:jc w:val="center"/>
        </w:trPr>
        <w:tc>
          <w:tcPr>
            <w:tcW w:w="1576"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合计</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789"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kern w:val="0"/>
              </w:rPr>
            </w:pPr>
          </w:p>
        </w:tc>
      </w:tr>
      <w:tr>
        <w:tblPrEx>
          <w:tblCellMar>
            <w:top w:w="0" w:type="dxa"/>
            <w:left w:w="108" w:type="dxa"/>
            <w:bottom w:w="0" w:type="dxa"/>
            <w:right w:w="108" w:type="dxa"/>
          </w:tblCellMar>
        </w:tblPrEx>
        <w:trPr>
          <w:trHeight w:val="436" w:hRule="atLeast"/>
          <w:jc w:val="center"/>
        </w:trPr>
        <w:tc>
          <w:tcPr>
            <w:tcW w:w="2234" w:type="pct"/>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审定金额（大写）</w:t>
            </w:r>
          </w:p>
        </w:tc>
        <w:tc>
          <w:tcPr>
            <w:tcW w:w="2766" w:type="pct"/>
            <w:gridSpan w:val="4"/>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kern w:val="0"/>
              </w:rPr>
            </w:pPr>
          </w:p>
        </w:tc>
      </w:tr>
      <w:tr>
        <w:tblPrEx>
          <w:tblCellMar>
            <w:top w:w="0" w:type="dxa"/>
            <w:left w:w="108" w:type="dxa"/>
            <w:bottom w:w="0" w:type="dxa"/>
            <w:right w:w="108" w:type="dxa"/>
          </w:tblCellMar>
        </w:tblPrEx>
        <w:trPr>
          <w:trHeight w:val="1177"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建设单位（盖章）：                         经办人：</w:t>
            </w:r>
          </w:p>
          <w:p>
            <w:pPr>
              <w:widowControl/>
              <w:jc w:val="left"/>
              <w:rPr>
                <w:rFonts w:ascii="宋体" w:hAnsi="宋体" w:eastAsia="宋体" w:cs="宋体"/>
                <w:kern w:val="0"/>
              </w:rPr>
            </w:pPr>
          </w:p>
          <w:p>
            <w:pPr>
              <w:ind w:firstLine="4515" w:firstLineChars="2150"/>
              <w:jc w:val="left"/>
              <w:rPr>
                <w:rFonts w:ascii="宋体" w:hAnsi="宋体" w:eastAsia="宋体" w:cs="宋体"/>
                <w:kern w:val="0"/>
              </w:rPr>
            </w:pPr>
            <w:r>
              <w:rPr>
                <w:rFonts w:hint="eastAsia" w:ascii="宋体" w:hAnsi="宋体" w:eastAsia="宋体" w:cs="宋体"/>
                <w:kern w:val="0"/>
              </w:rPr>
              <w:t>日期：      年      月      日</w:t>
            </w:r>
          </w:p>
        </w:tc>
      </w:tr>
      <w:tr>
        <w:tblPrEx>
          <w:tblCellMar>
            <w:top w:w="0" w:type="dxa"/>
            <w:left w:w="108" w:type="dxa"/>
            <w:bottom w:w="0" w:type="dxa"/>
            <w:right w:w="108" w:type="dxa"/>
          </w:tblCellMar>
        </w:tblPrEx>
        <w:trPr>
          <w:trHeight w:val="1178"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编制单位（盖章）：                         经办人：</w:t>
            </w:r>
          </w:p>
          <w:p>
            <w:pPr>
              <w:widowControl/>
              <w:jc w:val="left"/>
              <w:rPr>
                <w:rFonts w:ascii="宋体" w:hAnsi="宋体" w:eastAsia="宋体" w:cs="宋体"/>
                <w:kern w:val="0"/>
              </w:rPr>
            </w:pPr>
          </w:p>
          <w:p>
            <w:pPr>
              <w:ind w:firstLine="4515" w:firstLineChars="2150"/>
              <w:jc w:val="left"/>
              <w:rPr>
                <w:rFonts w:ascii="宋体" w:hAnsi="宋体" w:eastAsia="宋体" w:cs="宋体"/>
                <w:kern w:val="0"/>
              </w:rPr>
            </w:pPr>
            <w:r>
              <w:rPr>
                <w:rFonts w:hint="eastAsia" w:ascii="宋体" w:hAnsi="宋体" w:eastAsia="宋体" w:cs="宋体"/>
                <w:kern w:val="0"/>
              </w:rPr>
              <w:t>日期：      年      月      日</w:t>
            </w:r>
          </w:p>
        </w:tc>
      </w:tr>
      <w:tr>
        <w:tblPrEx>
          <w:tblCellMar>
            <w:top w:w="0" w:type="dxa"/>
            <w:left w:w="108" w:type="dxa"/>
            <w:bottom w:w="0" w:type="dxa"/>
            <w:right w:w="108" w:type="dxa"/>
          </w:tblCellMar>
        </w:tblPrEx>
        <w:trPr>
          <w:trHeight w:val="1960" w:hRule="atLeast"/>
          <w:jc w:val="center"/>
        </w:trPr>
        <w:tc>
          <w:tcPr>
            <w:tcW w:w="5000" w:type="pct"/>
            <w:gridSpan w:val="7"/>
            <w:tcBorders>
              <w:top w:val="single" w:color="auto" w:sz="4" w:space="0"/>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中介咨询机构名称（盖章）：                 审核人员（证章）：</w:t>
            </w:r>
          </w:p>
          <w:p>
            <w:pPr>
              <w:widowControl/>
              <w:jc w:val="left"/>
              <w:rPr>
                <w:rFonts w:ascii="宋体" w:hAnsi="宋体" w:eastAsia="宋体" w:cs="宋体"/>
                <w:kern w:val="0"/>
              </w:rPr>
            </w:pPr>
          </w:p>
          <w:p>
            <w:pPr>
              <w:widowControl/>
              <w:ind w:firstLine="4515" w:firstLineChars="2150"/>
              <w:jc w:val="left"/>
              <w:rPr>
                <w:rFonts w:ascii="宋体" w:hAnsi="宋体" w:eastAsia="宋体" w:cs="宋体"/>
                <w:kern w:val="0"/>
              </w:rPr>
            </w:pPr>
            <w:r>
              <w:rPr>
                <w:rFonts w:hint="eastAsia" w:ascii="宋体" w:hAnsi="宋体" w:eastAsia="宋体" w:cs="宋体"/>
                <w:kern w:val="0"/>
              </w:rPr>
              <w:t>复核人员（证章）：</w:t>
            </w:r>
          </w:p>
          <w:p>
            <w:pPr>
              <w:widowControl/>
              <w:ind w:firstLine="4515" w:firstLineChars="2150"/>
              <w:jc w:val="left"/>
              <w:rPr>
                <w:rFonts w:ascii="宋体" w:hAnsi="宋体" w:eastAsia="宋体" w:cs="宋体"/>
                <w:kern w:val="0"/>
              </w:rPr>
            </w:pPr>
          </w:p>
          <w:p>
            <w:pPr>
              <w:widowControl/>
              <w:ind w:right="630"/>
              <w:jc w:val="right"/>
              <w:rPr>
                <w:rFonts w:ascii="宋体" w:hAnsi="宋体" w:eastAsia="宋体" w:cs="宋体"/>
                <w:kern w:val="0"/>
              </w:rPr>
            </w:pPr>
            <w:r>
              <w:rPr>
                <w:rFonts w:hint="eastAsia" w:ascii="宋体" w:hAnsi="宋体" w:eastAsia="宋体" w:cs="宋体"/>
                <w:kern w:val="0"/>
              </w:rPr>
              <w:t>日期：      年      月      日　</w:t>
            </w:r>
          </w:p>
        </w:tc>
      </w:tr>
    </w:tbl>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附表10</w:t>
      </w:r>
    </w:p>
    <w:tbl>
      <w:tblPr>
        <w:tblStyle w:val="16"/>
        <w:tblW w:w="5000" w:type="pct"/>
        <w:jc w:val="center"/>
        <w:tblLayout w:type="autofit"/>
        <w:tblCellMar>
          <w:top w:w="0" w:type="dxa"/>
          <w:left w:w="108" w:type="dxa"/>
          <w:bottom w:w="0" w:type="dxa"/>
          <w:right w:w="108" w:type="dxa"/>
        </w:tblCellMar>
      </w:tblPr>
      <w:tblGrid>
        <w:gridCol w:w="743"/>
        <w:gridCol w:w="1948"/>
        <w:gridCol w:w="1153"/>
        <w:gridCol w:w="1153"/>
        <w:gridCol w:w="1104"/>
        <w:gridCol w:w="1100"/>
        <w:gridCol w:w="1315"/>
      </w:tblGrid>
      <w:tr>
        <w:tblPrEx>
          <w:tblCellMar>
            <w:top w:w="0" w:type="dxa"/>
            <w:left w:w="108" w:type="dxa"/>
            <w:bottom w:w="0" w:type="dxa"/>
            <w:right w:w="108" w:type="dxa"/>
          </w:tblCellMar>
        </w:tblPrEx>
        <w:trPr>
          <w:trHeight w:val="20" w:hRule="atLeast"/>
          <w:jc w:val="center"/>
        </w:trPr>
        <w:tc>
          <w:tcPr>
            <w:tcW w:w="5000" w:type="pct"/>
            <w:gridSpan w:val="7"/>
            <w:tcBorders>
              <w:bottom w:val="single" w:color="auto" w:sz="8" w:space="0"/>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kern w:val="0"/>
                <w:sz w:val="32"/>
                <w:szCs w:val="32"/>
              </w:rPr>
              <w:t>预算（变更）核定金额确认表</w:t>
            </w:r>
          </w:p>
        </w:tc>
      </w:tr>
      <w:tr>
        <w:tblPrEx>
          <w:tblCellMar>
            <w:top w:w="0" w:type="dxa"/>
            <w:left w:w="108" w:type="dxa"/>
            <w:bottom w:w="0" w:type="dxa"/>
            <w:right w:w="108" w:type="dxa"/>
          </w:tblCellMar>
        </w:tblPrEx>
        <w:trPr>
          <w:trHeight w:val="567" w:hRule="atLeast"/>
          <w:jc w:val="center"/>
        </w:trPr>
        <w:tc>
          <w:tcPr>
            <w:tcW w:w="1580" w:type="pct"/>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项目名称</w:t>
            </w:r>
          </w:p>
        </w:tc>
        <w:tc>
          <w:tcPr>
            <w:tcW w:w="3420" w:type="pct"/>
            <w:gridSpan w:val="5"/>
            <w:tcBorders>
              <w:top w:val="single" w:color="auto" w:sz="8"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1580"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专业类别</w:t>
            </w:r>
          </w:p>
        </w:tc>
        <w:tc>
          <w:tcPr>
            <w:tcW w:w="135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审核类型</w:t>
            </w:r>
          </w:p>
        </w:tc>
        <w:tc>
          <w:tcPr>
            <w:tcW w:w="1418" w:type="pct"/>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1580"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建设单位</w:t>
            </w:r>
          </w:p>
        </w:tc>
        <w:tc>
          <w:tcPr>
            <w:tcW w:w="3420" w:type="pct"/>
            <w:gridSpan w:val="5"/>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1580"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编制单位</w:t>
            </w:r>
          </w:p>
        </w:tc>
        <w:tc>
          <w:tcPr>
            <w:tcW w:w="3420" w:type="pct"/>
            <w:gridSpan w:val="5"/>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rPr>
            </w:pPr>
            <w:r>
              <w:rPr>
                <w:rFonts w:hint="eastAsia" w:ascii="宋体" w:hAnsi="宋体" w:eastAsia="宋体" w:cs="宋体"/>
                <w:b/>
                <w:bCs/>
                <w:kern w:val="0"/>
              </w:rPr>
              <w:t xml:space="preserve">审核汇总情况                         </w:t>
            </w:r>
            <w:r>
              <w:rPr>
                <w:rFonts w:hint="eastAsia" w:ascii="宋体" w:hAnsi="宋体" w:eastAsia="宋体" w:cs="宋体"/>
                <w:kern w:val="0"/>
              </w:rPr>
              <w:t>单位：元</w:t>
            </w:r>
          </w:p>
        </w:tc>
      </w:tr>
      <w:tr>
        <w:tblPrEx>
          <w:tblCellMar>
            <w:top w:w="0" w:type="dxa"/>
            <w:left w:w="108" w:type="dxa"/>
            <w:bottom w:w="0" w:type="dxa"/>
            <w:right w:w="108" w:type="dxa"/>
          </w:tblCellMar>
        </w:tblPrEx>
        <w:trPr>
          <w:trHeight w:val="567" w:hRule="atLeast"/>
          <w:jc w:val="center"/>
        </w:trPr>
        <w:tc>
          <w:tcPr>
            <w:tcW w:w="43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序号</w:t>
            </w:r>
          </w:p>
        </w:tc>
        <w:tc>
          <w:tcPr>
            <w:tcW w:w="11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单位工程名称</w:t>
            </w: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送审金额</w:t>
            </w: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审定金额</w:t>
            </w: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核增金额</w:t>
            </w: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核减金额</w:t>
            </w:r>
          </w:p>
        </w:tc>
        <w:tc>
          <w:tcPr>
            <w:tcW w:w="772"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净核减金额</w:t>
            </w:r>
          </w:p>
        </w:tc>
      </w:tr>
      <w:tr>
        <w:tblPrEx>
          <w:tblCellMar>
            <w:top w:w="0" w:type="dxa"/>
            <w:left w:w="108" w:type="dxa"/>
            <w:bottom w:w="0" w:type="dxa"/>
            <w:right w:w="108" w:type="dxa"/>
          </w:tblCellMar>
        </w:tblPrEx>
        <w:trPr>
          <w:trHeight w:val="567" w:hRule="atLeast"/>
          <w:jc w:val="center"/>
        </w:trPr>
        <w:tc>
          <w:tcPr>
            <w:tcW w:w="43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w:t>
            </w:r>
          </w:p>
        </w:tc>
        <w:tc>
          <w:tcPr>
            <w:tcW w:w="11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72"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43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w:t>
            </w:r>
          </w:p>
        </w:tc>
        <w:tc>
          <w:tcPr>
            <w:tcW w:w="11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72"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43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w:t>
            </w:r>
          </w:p>
        </w:tc>
        <w:tc>
          <w:tcPr>
            <w:tcW w:w="11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72"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43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4</w:t>
            </w:r>
          </w:p>
        </w:tc>
        <w:tc>
          <w:tcPr>
            <w:tcW w:w="11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p>
        </w:tc>
        <w:tc>
          <w:tcPr>
            <w:tcW w:w="772"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rPr>
            </w:pPr>
          </w:p>
        </w:tc>
      </w:tr>
      <w:tr>
        <w:tblPrEx>
          <w:tblCellMar>
            <w:top w:w="0" w:type="dxa"/>
            <w:left w:w="108" w:type="dxa"/>
            <w:bottom w:w="0" w:type="dxa"/>
            <w:right w:w="108" w:type="dxa"/>
          </w:tblCellMar>
        </w:tblPrEx>
        <w:trPr>
          <w:trHeight w:val="567" w:hRule="atLeast"/>
          <w:jc w:val="center"/>
        </w:trPr>
        <w:tc>
          <w:tcPr>
            <w:tcW w:w="1580"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合计</w:t>
            </w: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p>
        </w:tc>
        <w:tc>
          <w:tcPr>
            <w:tcW w:w="772" w:type="pct"/>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kern w:val="0"/>
              </w:rPr>
            </w:pPr>
          </w:p>
        </w:tc>
      </w:tr>
      <w:tr>
        <w:tblPrEx>
          <w:tblCellMar>
            <w:top w:w="0" w:type="dxa"/>
            <w:left w:w="108" w:type="dxa"/>
            <w:bottom w:w="0" w:type="dxa"/>
            <w:right w:w="108" w:type="dxa"/>
          </w:tblCellMar>
        </w:tblPrEx>
        <w:trPr>
          <w:trHeight w:val="567" w:hRule="atLeast"/>
          <w:jc w:val="center"/>
        </w:trPr>
        <w:tc>
          <w:tcPr>
            <w:tcW w:w="2257" w:type="pct"/>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审定金额（大写）</w:t>
            </w:r>
          </w:p>
        </w:tc>
        <w:tc>
          <w:tcPr>
            <w:tcW w:w="2743" w:type="pct"/>
            <w:gridSpan w:val="4"/>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kern w:val="0"/>
              </w:rPr>
            </w:pPr>
          </w:p>
        </w:tc>
      </w:tr>
      <w:tr>
        <w:tblPrEx>
          <w:tblCellMar>
            <w:top w:w="0" w:type="dxa"/>
            <w:left w:w="108" w:type="dxa"/>
            <w:bottom w:w="0" w:type="dxa"/>
            <w:right w:w="108" w:type="dxa"/>
          </w:tblCellMar>
        </w:tblPrEx>
        <w:trPr>
          <w:trHeight w:val="1078"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建设单位（盖章）：                         经办人：</w:t>
            </w:r>
          </w:p>
          <w:p>
            <w:pPr>
              <w:widowControl/>
              <w:jc w:val="left"/>
              <w:rPr>
                <w:rFonts w:ascii="宋体" w:hAnsi="宋体" w:eastAsia="宋体" w:cs="宋体"/>
                <w:kern w:val="0"/>
              </w:rPr>
            </w:pPr>
          </w:p>
          <w:p>
            <w:pPr>
              <w:ind w:firstLine="4515" w:firstLineChars="2150"/>
              <w:jc w:val="left"/>
              <w:rPr>
                <w:rFonts w:ascii="宋体" w:hAnsi="宋体" w:eastAsia="宋体" w:cs="宋体"/>
                <w:kern w:val="0"/>
              </w:rPr>
            </w:pPr>
            <w:r>
              <w:rPr>
                <w:rFonts w:hint="eastAsia" w:ascii="宋体" w:hAnsi="宋体" w:eastAsia="宋体" w:cs="宋体"/>
                <w:kern w:val="0"/>
              </w:rPr>
              <w:t>日期：      年      月      日</w:t>
            </w:r>
          </w:p>
        </w:tc>
      </w:tr>
      <w:tr>
        <w:tblPrEx>
          <w:tblCellMar>
            <w:top w:w="0" w:type="dxa"/>
            <w:left w:w="108" w:type="dxa"/>
            <w:bottom w:w="0" w:type="dxa"/>
            <w:right w:w="108" w:type="dxa"/>
          </w:tblCellMar>
        </w:tblPrEx>
        <w:trPr>
          <w:trHeight w:val="1277"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编制单位（盖章）：                         经办人：</w:t>
            </w:r>
          </w:p>
          <w:p>
            <w:pPr>
              <w:widowControl/>
              <w:jc w:val="left"/>
              <w:rPr>
                <w:rFonts w:ascii="宋体" w:hAnsi="宋体" w:eastAsia="宋体" w:cs="宋体"/>
                <w:kern w:val="0"/>
              </w:rPr>
            </w:pPr>
          </w:p>
          <w:p>
            <w:pPr>
              <w:ind w:firstLine="4515" w:firstLineChars="2150"/>
              <w:jc w:val="left"/>
              <w:rPr>
                <w:rFonts w:ascii="宋体" w:hAnsi="宋体" w:eastAsia="宋体" w:cs="宋体"/>
                <w:kern w:val="0"/>
              </w:rPr>
            </w:pPr>
            <w:r>
              <w:rPr>
                <w:rFonts w:hint="eastAsia" w:ascii="宋体" w:hAnsi="宋体" w:eastAsia="宋体" w:cs="宋体"/>
                <w:kern w:val="0"/>
              </w:rPr>
              <w:t>日期：      年      月      日</w:t>
            </w:r>
          </w:p>
        </w:tc>
      </w:tr>
      <w:tr>
        <w:tblPrEx>
          <w:tblCellMar>
            <w:top w:w="0" w:type="dxa"/>
            <w:left w:w="108" w:type="dxa"/>
            <w:bottom w:w="0" w:type="dxa"/>
            <w:right w:w="108" w:type="dxa"/>
          </w:tblCellMar>
        </w:tblPrEx>
        <w:trPr>
          <w:trHeight w:val="1835" w:hRule="atLeast"/>
          <w:jc w:val="center"/>
        </w:trPr>
        <w:tc>
          <w:tcPr>
            <w:tcW w:w="5000" w:type="pct"/>
            <w:gridSpan w:val="7"/>
            <w:tcBorders>
              <w:top w:val="single" w:color="auto" w:sz="4" w:space="0"/>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中介咨询机构名称（盖章）：                 审核人员（证章）：</w:t>
            </w:r>
          </w:p>
          <w:p>
            <w:pPr>
              <w:widowControl/>
              <w:jc w:val="left"/>
              <w:rPr>
                <w:rFonts w:ascii="宋体" w:hAnsi="宋体" w:eastAsia="宋体" w:cs="宋体"/>
                <w:kern w:val="0"/>
              </w:rPr>
            </w:pPr>
          </w:p>
          <w:p>
            <w:pPr>
              <w:widowControl/>
              <w:ind w:firstLine="4515" w:firstLineChars="2150"/>
              <w:jc w:val="left"/>
              <w:rPr>
                <w:rFonts w:ascii="宋体" w:hAnsi="宋体" w:eastAsia="宋体" w:cs="宋体"/>
                <w:kern w:val="0"/>
              </w:rPr>
            </w:pPr>
            <w:r>
              <w:rPr>
                <w:rFonts w:hint="eastAsia" w:ascii="宋体" w:hAnsi="宋体" w:eastAsia="宋体" w:cs="宋体"/>
                <w:kern w:val="0"/>
              </w:rPr>
              <w:t>复核人员（证章）：</w:t>
            </w:r>
          </w:p>
          <w:p>
            <w:pPr>
              <w:widowControl/>
              <w:ind w:firstLine="4515" w:firstLineChars="2150"/>
              <w:jc w:val="left"/>
              <w:rPr>
                <w:rFonts w:ascii="宋体" w:hAnsi="宋体" w:eastAsia="宋体" w:cs="宋体"/>
                <w:kern w:val="0"/>
              </w:rPr>
            </w:pPr>
          </w:p>
          <w:p>
            <w:pPr>
              <w:widowControl/>
              <w:ind w:right="630"/>
              <w:jc w:val="right"/>
              <w:rPr>
                <w:rFonts w:ascii="宋体" w:hAnsi="宋体" w:eastAsia="宋体" w:cs="宋体"/>
                <w:kern w:val="0"/>
              </w:rPr>
            </w:pPr>
            <w:r>
              <w:rPr>
                <w:rFonts w:hint="eastAsia" w:ascii="宋体" w:hAnsi="宋体" w:eastAsia="宋体" w:cs="宋体"/>
                <w:kern w:val="0"/>
              </w:rPr>
              <w:t>日期：      年      月      日　</w:t>
            </w:r>
          </w:p>
        </w:tc>
      </w:tr>
      <w:tr>
        <w:tblPrEx>
          <w:tblCellMar>
            <w:top w:w="0" w:type="dxa"/>
            <w:left w:w="108" w:type="dxa"/>
            <w:bottom w:w="0" w:type="dxa"/>
            <w:right w:w="108" w:type="dxa"/>
          </w:tblCellMar>
        </w:tblPrEx>
        <w:trPr>
          <w:trHeight w:val="283" w:hRule="atLeast"/>
          <w:jc w:val="center"/>
        </w:trPr>
        <w:tc>
          <w:tcPr>
            <w:tcW w:w="5000" w:type="pct"/>
            <w:gridSpan w:val="7"/>
            <w:tcBorders>
              <w:top w:val="single" w:color="auto" w:sz="8" w:space="0"/>
            </w:tcBorders>
            <w:shd w:val="clear" w:color="auto" w:fill="auto"/>
            <w:noWrap/>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注：咨询类型按“预算审核”、“变更预算审核”填写。</w:t>
            </w:r>
          </w:p>
        </w:tc>
      </w:tr>
    </w:tbl>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p>
    <w:p>
      <w:pPr>
        <w:pStyle w:val="26"/>
        <w:spacing w:line="560" w:lineRule="exact"/>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附表11</w:t>
      </w:r>
    </w:p>
    <w:tbl>
      <w:tblPr>
        <w:tblStyle w:val="16"/>
        <w:tblW w:w="4832" w:type="pct"/>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15"/>
        <w:gridCol w:w="4115"/>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2"/>
            <w:tcBorders>
              <w:bottom w:val="single" w:color="auto" w:sz="8" w:space="0"/>
            </w:tcBorders>
            <w:vAlign w:val="center"/>
          </w:tcPr>
          <w:p>
            <w:pPr>
              <w:jc w:val="center"/>
              <w:rPr>
                <w:rFonts w:ascii="宋体" w:hAnsi="宋体" w:eastAsia="宋体" w:cs="宋体"/>
                <w:b/>
                <w:bCs/>
              </w:rPr>
            </w:pPr>
            <w:r>
              <w:rPr>
                <w:rFonts w:hint="eastAsia" w:ascii="宋体" w:hAnsi="宋体" w:eastAsia="宋体" w:cs="宋体"/>
                <w:sz w:val="32"/>
                <w:szCs w:val="32"/>
              </w:rPr>
              <w:t>概预算审核考核异议申请表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2"/>
            <w:tcBorders>
              <w:top w:val="single" w:color="auto" w:sz="8" w:space="0"/>
              <w:left w:val="single" w:color="auto" w:sz="8" w:space="0"/>
              <w:right w:val="single" w:color="auto" w:sz="8" w:space="0"/>
            </w:tcBorders>
            <w:vAlign w:val="center"/>
          </w:tcPr>
          <w:p>
            <w:pPr>
              <w:rPr>
                <w:rFonts w:ascii="宋体" w:hAnsi="宋体" w:eastAsia="宋体" w:cs="宋体"/>
                <w:sz w:val="24"/>
                <w:szCs w:val="28"/>
              </w:rPr>
            </w:pPr>
            <w:r>
              <w:rPr>
                <w:rFonts w:hint="eastAsia" w:ascii="宋体" w:hAnsi="宋体" w:eastAsia="宋体" w:cs="宋体"/>
                <w:sz w:val="24"/>
                <w:szCs w:val="28"/>
              </w:rPr>
              <w:t>项目名称：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pct"/>
            <w:tcBorders>
              <w:top w:val="single" w:color="auto" w:sz="4" w:space="0"/>
              <w:left w:val="single" w:color="auto" w:sz="8" w:space="0"/>
              <w:right w:val="single" w:color="auto" w:sz="4" w:space="0"/>
            </w:tcBorders>
            <w:vAlign w:val="center"/>
          </w:tcPr>
          <w:p>
            <w:pPr>
              <w:rPr>
                <w:rFonts w:ascii="宋体" w:hAnsi="宋体" w:eastAsia="宋体" w:cs="宋体"/>
                <w:sz w:val="24"/>
                <w:szCs w:val="28"/>
              </w:rPr>
            </w:pPr>
            <w:r>
              <w:rPr>
                <w:rFonts w:hint="eastAsia" w:ascii="宋体" w:hAnsi="宋体" w:eastAsia="宋体" w:cs="宋体"/>
                <w:sz w:val="24"/>
                <w:szCs w:val="28"/>
              </w:rPr>
              <w:t>送审金额：</w:t>
            </w:r>
          </w:p>
        </w:tc>
        <w:tc>
          <w:tcPr>
            <w:tcW w:w="2500" w:type="pct"/>
            <w:tcBorders>
              <w:top w:val="single" w:color="auto" w:sz="4" w:space="0"/>
              <w:left w:val="single" w:color="auto" w:sz="4" w:space="0"/>
              <w:right w:val="single" w:color="auto" w:sz="8" w:space="0"/>
            </w:tcBorders>
            <w:vAlign w:val="center"/>
          </w:tcPr>
          <w:p>
            <w:pPr>
              <w:rPr>
                <w:rFonts w:ascii="宋体" w:hAnsi="宋体" w:eastAsia="宋体" w:cs="宋体"/>
                <w:sz w:val="24"/>
                <w:szCs w:val="28"/>
              </w:rPr>
            </w:pPr>
            <w:r>
              <w:rPr>
                <w:rFonts w:hint="eastAsia" w:ascii="宋体" w:hAnsi="宋体" w:eastAsia="宋体" w:cs="宋体"/>
                <w:sz w:val="24"/>
                <w:szCs w:val="28"/>
              </w:rPr>
              <w:t>审定金额：</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pct"/>
            <w:tcBorders>
              <w:top w:val="single" w:color="auto" w:sz="4" w:space="0"/>
              <w:left w:val="single" w:color="auto" w:sz="8" w:space="0"/>
              <w:right w:val="single" w:color="auto" w:sz="4" w:space="0"/>
            </w:tcBorders>
            <w:vAlign w:val="center"/>
          </w:tcPr>
          <w:p>
            <w:pPr>
              <w:rPr>
                <w:rFonts w:ascii="宋体" w:hAnsi="宋体" w:eastAsia="宋体" w:cs="宋体"/>
                <w:sz w:val="24"/>
                <w:szCs w:val="28"/>
              </w:rPr>
            </w:pPr>
            <w:r>
              <w:rPr>
                <w:rFonts w:hint="eastAsia" w:ascii="宋体" w:hAnsi="宋体" w:eastAsia="宋体" w:cs="宋体"/>
                <w:sz w:val="24"/>
                <w:szCs w:val="28"/>
              </w:rPr>
              <w:t>送审日期：</w:t>
            </w:r>
          </w:p>
        </w:tc>
        <w:tc>
          <w:tcPr>
            <w:tcW w:w="2500" w:type="pct"/>
            <w:tcBorders>
              <w:top w:val="single" w:color="auto" w:sz="4" w:space="0"/>
              <w:left w:val="single" w:color="auto" w:sz="4" w:space="0"/>
              <w:right w:val="single" w:color="auto" w:sz="8" w:space="0"/>
            </w:tcBorders>
            <w:vAlign w:val="center"/>
          </w:tcPr>
          <w:p>
            <w:pPr>
              <w:rPr>
                <w:rFonts w:ascii="宋体" w:hAnsi="宋体" w:eastAsia="宋体" w:cs="宋体"/>
                <w:sz w:val="24"/>
                <w:szCs w:val="28"/>
              </w:rPr>
            </w:pPr>
            <w:r>
              <w:rPr>
                <w:rFonts w:hint="eastAsia" w:ascii="宋体" w:hAnsi="宋体" w:eastAsia="宋体" w:cs="宋体"/>
                <w:sz w:val="24"/>
                <w:szCs w:val="28"/>
              </w:rPr>
              <w:t>审定日期：</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70" w:hRule="atLeast"/>
          <w:jc w:val="center"/>
        </w:trPr>
        <w:tc>
          <w:tcPr>
            <w:tcW w:w="5000" w:type="pct"/>
            <w:gridSpan w:val="2"/>
            <w:tcBorders>
              <w:top w:val="single" w:color="auto" w:sz="4" w:space="0"/>
              <w:left w:val="single" w:color="auto" w:sz="8" w:space="0"/>
              <w:bottom w:val="single" w:color="auto" w:sz="8" w:space="0"/>
              <w:right w:val="single" w:color="auto" w:sz="8" w:space="0"/>
            </w:tcBorders>
          </w:tcPr>
          <w:p>
            <w:pPr>
              <w:rPr>
                <w:rFonts w:ascii="宋体" w:hAnsi="宋体" w:eastAsia="宋体" w:cs="宋体"/>
                <w:sz w:val="24"/>
                <w:szCs w:val="28"/>
              </w:rPr>
            </w:pPr>
            <w:r>
              <w:rPr>
                <w:rFonts w:hint="eastAsia" w:ascii="宋体" w:hAnsi="宋体" w:eastAsia="宋体" w:cs="宋体"/>
                <w:sz w:val="24"/>
                <w:szCs w:val="28"/>
              </w:rPr>
              <w:t>异议事项及理由：</w:t>
            </w:r>
          </w:p>
          <w:p>
            <w:pPr>
              <w:rPr>
                <w:rFonts w:ascii="宋体" w:hAnsi="宋体" w:eastAsia="宋体" w:cs="宋体"/>
                <w:sz w:val="24"/>
                <w:szCs w:val="28"/>
              </w:rPr>
            </w:pPr>
          </w:p>
          <w:p>
            <w:pPr>
              <w:rPr>
                <w:rFonts w:ascii="宋体" w:hAnsi="宋体" w:eastAsia="宋体" w:cs="宋体"/>
                <w:sz w:val="24"/>
                <w:szCs w:val="28"/>
              </w:rPr>
            </w:pPr>
          </w:p>
          <w:p>
            <w:pPr>
              <w:rPr>
                <w:rFonts w:ascii="宋体" w:hAnsi="宋体" w:eastAsia="宋体" w:cs="宋体"/>
                <w:sz w:val="24"/>
                <w:szCs w:val="28"/>
              </w:rPr>
            </w:pPr>
          </w:p>
          <w:p>
            <w:pPr>
              <w:pStyle w:val="7"/>
              <w:rPr>
                <w:rFonts w:eastAsia="宋体"/>
              </w:rPr>
            </w:pPr>
          </w:p>
          <w:p>
            <w:pPr>
              <w:pStyle w:val="7"/>
              <w:rPr>
                <w:rFonts w:eastAsia="宋体"/>
              </w:rPr>
            </w:pPr>
          </w:p>
          <w:p>
            <w:pPr>
              <w:pStyle w:val="7"/>
              <w:rPr>
                <w:rFonts w:eastAsia="宋体"/>
              </w:rPr>
            </w:pPr>
          </w:p>
          <w:p>
            <w:pPr>
              <w:pStyle w:val="7"/>
              <w:rPr>
                <w:rFonts w:eastAsia="宋体"/>
              </w:rPr>
            </w:pPr>
          </w:p>
          <w:p>
            <w:pPr>
              <w:rPr>
                <w:rFonts w:ascii="宋体" w:hAnsi="宋体" w:eastAsia="宋体" w:cs="宋体"/>
                <w:sz w:val="24"/>
                <w:szCs w:val="28"/>
              </w:rPr>
            </w:pPr>
          </w:p>
          <w:p>
            <w:pPr>
              <w:rPr>
                <w:rFonts w:ascii="宋体" w:hAnsi="宋体" w:eastAsia="宋体" w:cs="宋体"/>
                <w:sz w:val="24"/>
                <w:szCs w:val="28"/>
              </w:rPr>
            </w:pPr>
          </w:p>
          <w:p>
            <w:pPr>
              <w:ind w:right="960" w:firstLine="4800" w:firstLineChars="2000"/>
              <w:rPr>
                <w:rFonts w:ascii="宋体" w:hAnsi="宋体" w:eastAsia="宋体" w:cs="宋体"/>
                <w:sz w:val="24"/>
                <w:szCs w:val="28"/>
              </w:rPr>
            </w:pPr>
            <w:r>
              <w:rPr>
                <w:rFonts w:hint="eastAsia" w:ascii="宋体" w:hAnsi="宋体" w:eastAsia="宋体" w:cs="宋体"/>
                <w:sz w:val="24"/>
                <w:szCs w:val="28"/>
              </w:rPr>
              <w:t>申请人：</w:t>
            </w:r>
          </w:p>
          <w:p>
            <w:pPr>
              <w:ind w:right="480" w:firstLine="5400" w:firstLineChars="2250"/>
              <w:jc w:val="right"/>
              <w:rPr>
                <w:rFonts w:ascii="宋体" w:hAnsi="宋体" w:eastAsia="宋体" w:cs="宋体"/>
                <w:sz w:val="24"/>
                <w:szCs w:val="28"/>
              </w:rPr>
            </w:pPr>
          </w:p>
          <w:p>
            <w:pPr>
              <w:ind w:right="960" w:firstLine="4320" w:firstLineChars="1800"/>
              <w:rPr>
                <w:rFonts w:ascii="宋体" w:hAnsi="宋体" w:eastAsia="宋体" w:cs="宋体"/>
                <w:sz w:val="24"/>
                <w:szCs w:val="28"/>
              </w:rPr>
            </w:pPr>
            <w:r>
              <w:rPr>
                <w:rFonts w:hint="eastAsia" w:ascii="宋体" w:hAnsi="宋体" w:eastAsia="宋体" w:cs="宋体"/>
                <w:sz w:val="24"/>
                <w:szCs w:val="28"/>
              </w:rPr>
              <w:t>申请单位（盖章）：</w:t>
            </w:r>
          </w:p>
          <w:p>
            <w:pPr>
              <w:ind w:right="480" w:firstLine="5400" w:firstLineChars="2250"/>
              <w:jc w:val="right"/>
              <w:rPr>
                <w:rFonts w:ascii="宋体" w:hAnsi="宋体" w:eastAsia="宋体" w:cs="宋体"/>
                <w:sz w:val="24"/>
                <w:szCs w:val="28"/>
              </w:rPr>
            </w:pPr>
          </w:p>
          <w:p>
            <w:pPr>
              <w:ind w:right="480"/>
              <w:jc w:val="right"/>
              <w:rPr>
                <w:rFonts w:ascii="宋体" w:hAnsi="宋体" w:eastAsia="宋体" w:cs="宋体"/>
                <w:sz w:val="24"/>
                <w:szCs w:val="28"/>
              </w:rPr>
            </w:pPr>
            <w:r>
              <w:rPr>
                <w:rFonts w:hint="eastAsia" w:ascii="宋体" w:hAnsi="宋体" w:eastAsia="宋体" w:cs="宋体"/>
                <w:sz w:val="24"/>
                <w:szCs w:val="28"/>
              </w:rPr>
              <w:t>日期：   年    月    日</w:t>
            </w:r>
          </w:p>
          <w:p>
            <w:pPr>
              <w:rPr>
                <w:rFonts w:ascii="宋体" w:hAnsi="宋体" w:eastAsia="宋体" w:cs="宋体"/>
                <w:sz w:val="24"/>
                <w:szCs w:val="28"/>
              </w:rPr>
            </w:pPr>
          </w:p>
        </w:tc>
      </w:tr>
    </w:tbl>
    <w:p>
      <w:pPr>
        <w:rPr>
          <w:rFonts w:ascii="宋体" w:hAnsi="宋体" w:eastAsia="宋体" w:cs="宋体"/>
          <w:sz w:val="28"/>
          <w:szCs w:val="28"/>
        </w:rPr>
      </w:pPr>
      <w:bookmarkStart w:id="7" w:name="copySend"/>
      <w:r>
        <w:rPr>
          <w:rFonts w:hint="eastAsia" w:ascii="宋体" w:hAnsi="宋体" w:eastAsia="宋体" w:cs="宋体"/>
          <w:sz w:val="28"/>
          <w:szCs w:val="28"/>
        </w:rPr>
        <w:t>各乡镇人民政府，各街道办事处，区政府各部门，各区属国有企业</w:t>
      </w:r>
      <w:bookmarkEnd w:id="7"/>
      <w:bookmarkStart w:id="8" w:name="printUnit"/>
    </w:p>
    <w:p>
      <w:pPr>
        <w:jc w:val="right"/>
        <w:rPr>
          <w:rFonts w:ascii="宋体" w:hAnsi="宋体" w:eastAsia="宋体" w:cs="宋体"/>
          <w:sz w:val="28"/>
          <w:szCs w:val="28"/>
        </w:rPr>
      </w:pPr>
      <w:r>
        <w:rPr>
          <w:rFonts w:hint="eastAsia" w:ascii="宋体" w:hAnsi="宋体" w:eastAsia="宋体" w:cs="宋体"/>
          <w:sz w:val="28"/>
          <w:szCs w:val="28"/>
        </w:rPr>
        <w:t>杭州市富阳区财政局</w:t>
      </w:r>
      <w:bookmarkEnd w:id="8"/>
      <w:bookmarkStart w:id="9" w:name="yfDate"/>
      <w:bookmarkEnd w:id="9"/>
      <w:bookmarkStart w:id="10" w:name="fmt__C_PRINTTIME"/>
    </w:p>
    <w:p>
      <w:pPr>
        <w:jc w:val="right"/>
        <w:rPr>
          <w:rFonts w:ascii="宋体" w:hAnsi="宋体" w:eastAsia="宋体" w:cs="宋体"/>
          <w:sz w:val="28"/>
          <w:szCs w:val="28"/>
        </w:rPr>
      </w:pPr>
      <w:r>
        <w:rPr>
          <w:rFonts w:hint="eastAsia" w:ascii="宋体" w:hAnsi="宋体" w:eastAsia="宋体" w:cs="宋体"/>
          <w:sz w:val="28"/>
          <w:szCs w:val="28"/>
        </w:rPr>
        <w:t>2022年7月29日</w:t>
      </w:r>
      <w:bookmarkEnd w:id="10"/>
    </w:p>
    <w:p>
      <w:pPr>
        <w:numPr>
          <w:ilvl w:val="0"/>
          <w:numId w:val="23"/>
        </w:numPr>
        <w:snapToGrid w:val="0"/>
        <w:spacing w:line="360" w:lineRule="auto"/>
        <w:jc w:val="center"/>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sz w:val="36"/>
          <w:szCs w:val="36"/>
        </w:rPr>
        <w:t xml:space="preserve">  </w:t>
      </w:r>
      <w:bookmarkStart w:id="11" w:name="_Toc184314458"/>
      <w:bookmarkEnd w:id="11"/>
      <w:bookmarkStart w:id="12" w:name="_Toc184310308"/>
      <w:bookmarkEnd w:id="12"/>
      <w:bookmarkStart w:id="13" w:name="_Toc184308089"/>
      <w:bookmarkEnd w:id="13"/>
      <w:bookmarkStart w:id="14" w:name="_Toc184313310"/>
      <w:bookmarkEnd w:id="14"/>
      <w:bookmarkStart w:id="15" w:name="_Toc184312127"/>
      <w:bookmarkEnd w:id="15"/>
      <w:bookmarkStart w:id="16" w:name="_Toc184308071"/>
      <w:bookmarkEnd w:id="16"/>
      <w:bookmarkStart w:id="17" w:name="_Toc184310279"/>
      <w:bookmarkEnd w:id="17"/>
      <w:bookmarkStart w:id="18" w:name="_Toc184314422"/>
      <w:bookmarkEnd w:id="18"/>
      <w:bookmarkStart w:id="19" w:name="_Toc184310282"/>
      <w:bookmarkEnd w:id="19"/>
      <w:bookmarkStart w:id="20" w:name="_Toc184310277"/>
      <w:bookmarkEnd w:id="20"/>
      <w:bookmarkStart w:id="21" w:name="_Toc184308041"/>
      <w:bookmarkEnd w:id="21"/>
      <w:bookmarkStart w:id="22" w:name="_Toc184313241"/>
      <w:bookmarkEnd w:id="22"/>
      <w:bookmarkStart w:id="23" w:name="_Toc184314438"/>
      <w:bookmarkEnd w:id="23"/>
      <w:bookmarkStart w:id="24" w:name="_Toc184308073"/>
      <w:bookmarkEnd w:id="24"/>
      <w:bookmarkStart w:id="25" w:name="_Toc184310280"/>
      <w:bookmarkEnd w:id="25"/>
      <w:bookmarkStart w:id="26" w:name="_Toc184308040"/>
      <w:bookmarkEnd w:id="26"/>
      <w:bookmarkStart w:id="27" w:name="_Toc184313263"/>
      <w:bookmarkEnd w:id="27"/>
      <w:bookmarkStart w:id="28" w:name="_Toc184308075"/>
      <w:bookmarkEnd w:id="28"/>
      <w:bookmarkStart w:id="29" w:name="_Toc184314435"/>
      <w:bookmarkEnd w:id="29"/>
      <w:bookmarkStart w:id="30" w:name="_Toc184314463"/>
      <w:bookmarkEnd w:id="30"/>
      <w:bookmarkStart w:id="31" w:name="_Toc184308045"/>
      <w:bookmarkEnd w:id="31"/>
      <w:bookmarkStart w:id="32" w:name="_Toc184313292"/>
      <w:bookmarkEnd w:id="32"/>
      <w:bookmarkStart w:id="33" w:name="_Toc184308094"/>
      <w:bookmarkEnd w:id="33"/>
      <w:bookmarkStart w:id="34" w:name="_Toc184314427"/>
      <w:bookmarkEnd w:id="34"/>
      <w:bookmarkStart w:id="35" w:name="_Toc184313247"/>
      <w:bookmarkEnd w:id="35"/>
      <w:bookmarkStart w:id="36" w:name="_Toc184308047"/>
      <w:bookmarkEnd w:id="36"/>
      <w:bookmarkStart w:id="37" w:name="_Toc184308095"/>
      <w:bookmarkEnd w:id="37"/>
      <w:bookmarkStart w:id="38" w:name="_Toc184314419"/>
      <w:bookmarkEnd w:id="38"/>
      <w:bookmarkStart w:id="39" w:name="_Toc184312089"/>
      <w:bookmarkEnd w:id="39"/>
      <w:bookmarkStart w:id="40" w:name="_Toc184310331"/>
      <w:bookmarkEnd w:id="40"/>
      <w:bookmarkStart w:id="41" w:name="_Toc184308057"/>
      <w:bookmarkEnd w:id="41"/>
      <w:bookmarkStart w:id="42" w:name="_Toc184308074"/>
      <w:bookmarkEnd w:id="42"/>
      <w:bookmarkStart w:id="43" w:name="_Toc184310278"/>
      <w:bookmarkEnd w:id="43"/>
      <w:bookmarkStart w:id="44" w:name="_Toc184312125"/>
      <w:bookmarkEnd w:id="44"/>
      <w:bookmarkStart w:id="45" w:name="_Toc184308079"/>
      <w:bookmarkEnd w:id="45"/>
      <w:bookmarkStart w:id="46" w:name="_Toc184312068"/>
      <w:bookmarkEnd w:id="46"/>
      <w:bookmarkStart w:id="47" w:name="_Toc184313286"/>
      <w:bookmarkEnd w:id="47"/>
      <w:bookmarkStart w:id="48" w:name="_Toc184312120"/>
      <w:bookmarkEnd w:id="48"/>
      <w:bookmarkStart w:id="49" w:name="_Toc184314446"/>
      <w:bookmarkEnd w:id="49"/>
      <w:bookmarkStart w:id="50" w:name="_Toc184314474"/>
      <w:bookmarkEnd w:id="50"/>
      <w:bookmarkStart w:id="51" w:name="_Toc184310316"/>
      <w:bookmarkEnd w:id="51"/>
      <w:bookmarkStart w:id="52" w:name="_Toc184314417"/>
      <w:bookmarkEnd w:id="52"/>
      <w:bookmarkStart w:id="53" w:name="_Toc184308085"/>
      <w:bookmarkEnd w:id="53"/>
      <w:bookmarkStart w:id="54" w:name="_Toc184314413"/>
      <w:bookmarkEnd w:id="54"/>
      <w:bookmarkStart w:id="55" w:name="_Toc184308102"/>
      <w:bookmarkEnd w:id="55"/>
      <w:bookmarkStart w:id="56" w:name="_Toc184313251"/>
      <w:bookmarkEnd w:id="56"/>
      <w:bookmarkStart w:id="57" w:name="_Toc184310285"/>
      <w:bookmarkEnd w:id="57"/>
      <w:bookmarkStart w:id="58" w:name="_Toc184313266"/>
      <w:bookmarkEnd w:id="58"/>
      <w:bookmarkStart w:id="59" w:name="_Toc184312110"/>
      <w:bookmarkEnd w:id="59"/>
      <w:bookmarkStart w:id="60" w:name="_Toc184314423"/>
      <w:bookmarkEnd w:id="60"/>
      <w:bookmarkStart w:id="61" w:name="_Toc184314411"/>
      <w:bookmarkEnd w:id="61"/>
      <w:bookmarkStart w:id="62" w:name="_Toc184314464"/>
      <w:bookmarkEnd w:id="62"/>
      <w:bookmarkStart w:id="63" w:name="_Toc184313238"/>
      <w:bookmarkEnd w:id="63"/>
      <w:bookmarkStart w:id="64" w:name="_Toc184308046"/>
      <w:bookmarkEnd w:id="64"/>
      <w:bookmarkStart w:id="65" w:name="_Toc184308039"/>
      <w:bookmarkEnd w:id="65"/>
      <w:bookmarkStart w:id="66" w:name="_Toc184308059"/>
      <w:bookmarkEnd w:id="66"/>
      <w:bookmarkStart w:id="67" w:name="_Toc184308106"/>
      <w:bookmarkEnd w:id="67"/>
      <w:bookmarkStart w:id="68" w:name="_Toc184310289"/>
      <w:bookmarkEnd w:id="68"/>
      <w:bookmarkStart w:id="69" w:name="_Toc184314478"/>
      <w:bookmarkEnd w:id="69"/>
      <w:bookmarkStart w:id="70" w:name="_Toc184310299"/>
      <w:bookmarkEnd w:id="70"/>
      <w:bookmarkStart w:id="71" w:name="_Toc184310327"/>
      <w:bookmarkEnd w:id="71"/>
      <w:bookmarkStart w:id="72" w:name="_Toc184310333"/>
      <w:bookmarkEnd w:id="72"/>
      <w:bookmarkStart w:id="73" w:name="_Toc184314450"/>
      <w:bookmarkEnd w:id="73"/>
      <w:bookmarkStart w:id="74" w:name="_Toc184312091"/>
      <w:bookmarkEnd w:id="74"/>
      <w:bookmarkStart w:id="75" w:name="_Toc184310287"/>
      <w:bookmarkEnd w:id="75"/>
      <w:bookmarkStart w:id="76" w:name="_Toc184308097"/>
      <w:bookmarkEnd w:id="76"/>
      <w:bookmarkStart w:id="77" w:name="_Toc184314421"/>
      <w:bookmarkEnd w:id="77"/>
      <w:bookmarkStart w:id="78" w:name="_Toc184314467"/>
      <w:bookmarkEnd w:id="78"/>
      <w:bookmarkStart w:id="79" w:name="_Toc184314449"/>
      <w:bookmarkEnd w:id="79"/>
      <w:bookmarkStart w:id="80" w:name="_Toc184312099"/>
      <w:bookmarkEnd w:id="80"/>
      <w:bookmarkStart w:id="81" w:name="_Toc184313264"/>
      <w:bookmarkEnd w:id="81"/>
      <w:bookmarkStart w:id="82" w:name="_Toc184312118"/>
      <w:bookmarkEnd w:id="82"/>
      <w:bookmarkStart w:id="83" w:name="_Toc184313304"/>
      <w:bookmarkEnd w:id="83"/>
      <w:bookmarkStart w:id="84" w:name="_Toc184313282"/>
      <w:bookmarkEnd w:id="84"/>
      <w:bookmarkStart w:id="85" w:name="_Toc184310326"/>
      <w:bookmarkEnd w:id="85"/>
      <w:bookmarkStart w:id="86" w:name="_Toc184312139"/>
      <w:bookmarkEnd w:id="86"/>
      <w:bookmarkStart w:id="87" w:name="_Toc184308055"/>
      <w:bookmarkEnd w:id="87"/>
      <w:bookmarkStart w:id="88" w:name="_Toc184312100"/>
      <w:bookmarkEnd w:id="88"/>
      <w:bookmarkStart w:id="89" w:name="_Toc184313267"/>
      <w:bookmarkEnd w:id="89"/>
      <w:bookmarkStart w:id="90" w:name="_Toc184313277"/>
      <w:bookmarkEnd w:id="90"/>
      <w:bookmarkStart w:id="91" w:name="_Toc184313281"/>
      <w:bookmarkEnd w:id="91"/>
      <w:bookmarkStart w:id="92" w:name="_Toc184308064"/>
      <w:bookmarkEnd w:id="92"/>
      <w:bookmarkStart w:id="93" w:name="_Toc184313284"/>
      <w:bookmarkEnd w:id="93"/>
      <w:bookmarkStart w:id="94" w:name="_Toc184312090"/>
      <w:bookmarkEnd w:id="94"/>
      <w:bookmarkStart w:id="95" w:name="_Toc184312081"/>
      <w:bookmarkEnd w:id="95"/>
      <w:bookmarkStart w:id="96" w:name="_Toc184312130"/>
      <w:bookmarkEnd w:id="96"/>
      <w:bookmarkStart w:id="97" w:name="_Toc184310272"/>
      <w:bookmarkEnd w:id="97"/>
      <w:bookmarkStart w:id="98" w:name="_Toc184313295"/>
      <w:bookmarkEnd w:id="98"/>
      <w:bookmarkStart w:id="99" w:name="_Toc184310300"/>
      <w:bookmarkEnd w:id="99"/>
      <w:bookmarkStart w:id="100" w:name="_Toc184313309"/>
      <w:bookmarkEnd w:id="100"/>
      <w:bookmarkStart w:id="101" w:name="_Toc184308069"/>
      <w:bookmarkEnd w:id="101"/>
      <w:bookmarkStart w:id="102" w:name="_Toc184314473"/>
      <w:bookmarkEnd w:id="102"/>
      <w:bookmarkStart w:id="103" w:name="_Toc184314428"/>
      <w:bookmarkEnd w:id="103"/>
      <w:bookmarkStart w:id="104" w:name="_Toc184312119"/>
      <w:bookmarkEnd w:id="104"/>
      <w:bookmarkStart w:id="105" w:name="_Toc184310337"/>
      <w:bookmarkEnd w:id="105"/>
      <w:bookmarkStart w:id="106" w:name="_Toc184310297"/>
      <w:bookmarkEnd w:id="106"/>
      <w:bookmarkStart w:id="107" w:name="_Toc184314439"/>
      <w:bookmarkEnd w:id="107"/>
      <w:bookmarkStart w:id="108" w:name="_Toc184310338"/>
      <w:bookmarkEnd w:id="108"/>
      <w:bookmarkStart w:id="109" w:name="_Toc184308103"/>
      <w:bookmarkEnd w:id="109"/>
      <w:bookmarkStart w:id="110" w:name="_Toc184312070"/>
      <w:bookmarkEnd w:id="110"/>
      <w:bookmarkStart w:id="111" w:name="_Toc184312122"/>
      <w:bookmarkEnd w:id="111"/>
      <w:bookmarkStart w:id="112" w:name="_Toc184314472"/>
      <w:bookmarkEnd w:id="112"/>
      <w:bookmarkStart w:id="113" w:name="_Toc184312124"/>
      <w:bookmarkEnd w:id="113"/>
      <w:bookmarkStart w:id="114" w:name="_Toc184313297"/>
      <w:bookmarkEnd w:id="114"/>
      <w:bookmarkStart w:id="115" w:name="_Toc184314433"/>
      <w:bookmarkEnd w:id="115"/>
      <w:bookmarkStart w:id="116" w:name="_Toc184308096"/>
      <w:bookmarkEnd w:id="116"/>
      <w:bookmarkStart w:id="117" w:name="_Toc184308067"/>
      <w:bookmarkEnd w:id="117"/>
      <w:bookmarkStart w:id="118" w:name="_Toc184314470"/>
      <w:bookmarkEnd w:id="118"/>
      <w:bookmarkStart w:id="119" w:name="_Toc184310274"/>
      <w:bookmarkEnd w:id="119"/>
      <w:bookmarkStart w:id="120" w:name="_Toc184308093"/>
      <w:bookmarkEnd w:id="120"/>
      <w:bookmarkStart w:id="121" w:name="_Toc184308101"/>
      <w:bookmarkEnd w:id="121"/>
      <w:bookmarkStart w:id="122" w:name="_Toc184314443"/>
      <w:bookmarkEnd w:id="122"/>
      <w:bookmarkStart w:id="123" w:name="_Toc184314414"/>
      <w:bookmarkEnd w:id="123"/>
      <w:bookmarkStart w:id="124" w:name="_Toc184312138"/>
      <w:bookmarkEnd w:id="124"/>
      <w:bookmarkStart w:id="125" w:name="_Toc184310315"/>
      <w:bookmarkEnd w:id="125"/>
      <w:bookmarkStart w:id="126" w:name="_Toc184313303"/>
      <w:bookmarkEnd w:id="126"/>
      <w:bookmarkStart w:id="127" w:name="_Toc184314448"/>
      <w:bookmarkEnd w:id="127"/>
      <w:bookmarkStart w:id="128" w:name="_Toc184314480"/>
      <w:bookmarkEnd w:id="128"/>
      <w:bookmarkStart w:id="129" w:name="_Toc184313291"/>
      <w:bookmarkEnd w:id="129"/>
      <w:bookmarkStart w:id="130" w:name="_Toc184313289"/>
      <w:bookmarkEnd w:id="130"/>
      <w:bookmarkStart w:id="131" w:name="_Toc184314469"/>
      <w:bookmarkEnd w:id="131"/>
      <w:bookmarkStart w:id="132" w:name="_Toc184308063"/>
      <w:bookmarkEnd w:id="132"/>
      <w:bookmarkStart w:id="133" w:name="_Toc184312080"/>
      <w:bookmarkEnd w:id="133"/>
      <w:bookmarkStart w:id="134" w:name="_Toc184314436"/>
      <w:bookmarkEnd w:id="134"/>
      <w:bookmarkStart w:id="135" w:name="_Toc184313274"/>
      <w:bookmarkEnd w:id="135"/>
      <w:bookmarkStart w:id="136" w:name="_Toc184310304"/>
      <w:bookmarkEnd w:id="136"/>
      <w:bookmarkStart w:id="137" w:name="_Toc184310344"/>
      <w:bookmarkEnd w:id="137"/>
      <w:bookmarkStart w:id="138" w:name="_Toc184308062"/>
      <w:bookmarkEnd w:id="138"/>
      <w:bookmarkStart w:id="139" w:name="_Toc184312133"/>
      <w:bookmarkEnd w:id="139"/>
      <w:bookmarkStart w:id="140" w:name="_Toc184310302"/>
      <w:bookmarkEnd w:id="140"/>
      <w:bookmarkStart w:id="141" w:name="_Toc184314453"/>
      <w:bookmarkEnd w:id="141"/>
      <w:bookmarkStart w:id="142" w:name="_Toc184310284"/>
      <w:bookmarkEnd w:id="142"/>
      <w:bookmarkStart w:id="143" w:name="_Toc184313244"/>
      <w:bookmarkEnd w:id="143"/>
      <w:bookmarkStart w:id="144" w:name="_Toc184314457"/>
      <w:bookmarkEnd w:id="144"/>
      <w:bookmarkStart w:id="145" w:name="_Toc184308070"/>
      <w:bookmarkEnd w:id="145"/>
      <w:bookmarkStart w:id="146" w:name="_Toc184310336"/>
      <w:bookmarkEnd w:id="146"/>
      <w:bookmarkStart w:id="147" w:name="_Toc184313248"/>
      <w:bookmarkEnd w:id="147"/>
      <w:bookmarkStart w:id="148" w:name="_Toc184312123"/>
      <w:bookmarkEnd w:id="148"/>
      <w:bookmarkStart w:id="149" w:name="_Toc184313293"/>
      <w:bookmarkEnd w:id="149"/>
      <w:bookmarkStart w:id="150" w:name="_Toc184312093"/>
      <w:bookmarkEnd w:id="150"/>
      <w:bookmarkStart w:id="151" w:name="_Toc184308054"/>
      <w:bookmarkEnd w:id="151"/>
      <w:bookmarkStart w:id="152" w:name="_Toc184310335"/>
      <w:bookmarkEnd w:id="152"/>
      <w:bookmarkStart w:id="153" w:name="_Toc184314468"/>
      <w:bookmarkEnd w:id="153"/>
      <w:bookmarkStart w:id="154" w:name="_Toc184308036"/>
      <w:bookmarkEnd w:id="154"/>
      <w:bookmarkStart w:id="155" w:name="_Toc184313262"/>
      <w:bookmarkEnd w:id="155"/>
      <w:bookmarkStart w:id="156" w:name="_Toc184310283"/>
      <w:bookmarkEnd w:id="156"/>
      <w:bookmarkStart w:id="157" w:name="_Toc184312095"/>
      <w:bookmarkEnd w:id="157"/>
      <w:bookmarkStart w:id="158" w:name="_Toc184310309"/>
      <w:bookmarkEnd w:id="158"/>
      <w:bookmarkStart w:id="159" w:name="_Toc184313245"/>
      <w:bookmarkEnd w:id="159"/>
      <w:bookmarkStart w:id="160" w:name="_Toc184313249"/>
      <w:bookmarkEnd w:id="160"/>
      <w:bookmarkStart w:id="161" w:name="_Toc184308058"/>
      <w:bookmarkEnd w:id="161"/>
      <w:bookmarkStart w:id="162" w:name="_Toc184312129"/>
      <w:bookmarkEnd w:id="162"/>
      <w:bookmarkStart w:id="163" w:name="_Toc184310314"/>
      <w:bookmarkEnd w:id="163"/>
      <w:bookmarkStart w:id="164" w:name="_Toc184310329"/>
      <w:bookmarkEnd w:id="164"/>
      <w:bookmarkStart w:id="165" w:name="_Toc184310307"/>
      <w:bookmarkEnd w:id="165"/>
      <w:bookmarkStart w:id="166" w:name="_Toc184308049"/>
      <w:bookmarkEnd w:id="166"/>
      <w:bookmarkStart w:id="167" w:name="_Toc184312094"/>
      <w:bookmarkEnd w:id="167"/>
      <w:bookmarkStart w:id="168" w:name="_Toc184308066"/>
      <w:bookmarkEnd w:id="168"/>
      <w:bookmarkStart w:id="169" w:name="_Toc184312111"/>
      <w:bookmarkEnd w:id="169"/>
      <w:bookmarkStart w:id="170" w:name="_Toc184314424"/>
      <w:bookmarkEnd w:id="170"/>
      <w:bookmarkStart w:id="171" w:name="_Toc184313261"/>
      <w:bookmarkEnd w:id="171"/>
      <w:bookmarkStart w:id="172" w:name="_Toc184312113"/>
      <w:bookmarkEnd w:id="172"/>
      <w:bookmarkStart w:id="173" w:name="_Toc184314462"/>
      <w:bookmarkEnd w:id="173"/>
      <w:bookmarkStart w:id="174" w:name="_Toc184314437"/>
      <w:bookmarkEnd w:id="174"/>
      <w:bookmarkStart w:id="175" w:name="_Toc184312135"/>
      <w:bookmarkEnd w:id="175"/>
      <w:bookmarkStart w:id="176" w:name="_Toc184310276"/>
      <w:bookmarkEnd w:id="176"/>
      <w:bookmarkStart w:id="177" w:name="_Toc184308037"/>
      <w:bookmarkEnd w:id="177"/>
      <w:bookmarkStart w:id="178" w:name="_Toc184308068"/>
      <w:bookmarkEnd w:id="178"/>
      <w:bookmarkStart w:id="179" w:name="_Toc184308104"/>
      <w:bookmarkEnd w:id="179"/>
      <w:bookmarkStart w:id="180" w:name="_Toc184310324"/>
      <w:bookmarkEnd w:id="180"/>
      <w:bookmarkStart w:id="181" w:name="_Toc184312109"/>
      <w:bookmarkEnd w:id="181"/>
      <w:bookmarkStart w:id="182" w:name="_Toc184310322"/>
      <w:bookmarkEnd w:id="182"/>
      <w:bookmarkStart w:id="183" w:name="_Toc184313250"/>
      <w:bookmarkEnd w:id="183"/>
      <w:bookmarkStart w:id="184" w:name="_Toc184310305"/>
      <w:bookmarkEnd w:id="184"/>
      <w:bookmarkStart w:id="185" w:name="_Toc184308081"/>
      <w:bookmarkEnd w:id="185"/>
      <w:bookmarkStart w:id="186" w:name="_Toc184312069"/>
      <w:bookmarkEnd w:id="186"/>
      <w:bookmarkStart w:id="187" w:name="_Toc184308086"/>
      <w:bookmarkEnd w:id="187"/>
      <w:bookmarkStart w:id="188" w:name="_Toc184310301"/>
      <w:bookmarkEnd w:id="188"/>
      <w:bookmarkStart w:id="189" w:name="_Toc184313294"/>
      <w:bookmarkEnd w:id="189"/>
      <w:bookmarkStart w:id="190" w:name="_Toc184308080"/>
      <w:bookmarkEnd w:id="190"/>
      <w:bookmarkStart w:id="191" w:name="_Toc184314430"/>
      <w:bookmarkEnd w:id="191"/>
      <w:bookmarkStart w:id="192" w:name="_Toc184310294"/>
      <w:bookmarkEnd w:id="192"/>
      <w:bookmarkStart w:id="193" w:name="_Toc184312088"/>
      <w:bookmarkEnd w:id="193"/>
      <w:bookmarkStart w:id="194" w:name="_Toc184314477"/>
      <w:bookmarkEnd w:id="194"/>
      <w:bookmarkStart w:id="195" w:name="_Toc184308084"/>
      <w:bookmarkEnd w:id="195"/>
      <w:bookmarkStart w:id="196" w:name="_Toc184308092"/>
      <w:bookmarkEnd w:id="196"/>
      <w:bookmarkStart w:id="197" w:name="_Toc184310306"/>
      <w:bookmarkEnd w:id="197"/>
      <w:bookmarkStart w:id="198" w:name="_Toc184312131"/>
      <w:bookmarkEnd w:id="198"/>
      <w:bookmarkStart w:id="199" w:name="_Toc184314445"/>
      <w:bookmarkEnd w:id="199"/>
      <w:bookmarkStart w:id="200" w:name="_Toc184308048"/>
      <w:bookmarkEnd w:id="200"/>
      <w:bookmarkStart w:id="201" w:name="_Toc184313243"/>
      <w:bookmarkEnd w:id="201"/>
      <w:bookmarkStart w:id="202" w:name="_Toc184312074"/>
      <w:bookmarkEnd w:id="202"/>
      <w:bookmarkStart w:id="203" w:name="_Toc184313308"/>
      <w:bookmarkEnd w:id="203"/>
      <w:bookmarkStart w:id="204" w:name="_Toc184314415"/>
      <w:bookmarkEnd w:id="204"/>
      <w:bookmarkStart w:id="205" w:name="_Toc184310275"/>
      <w:bookmarkEnd w:id="205"/>
      <w:bookmarkStart w:id="206" w:name="_Toc184313298"/>
      <w:bookmarkEnd w:id="206"/>
      <w:bookmarkStart w:id="207" w:name="_Toc184310311"/>
      <w:bookmarkEnd w:id="207"/>
      <w:bookmarkStart w:id="208" w:name="_Toc184314451"/>
      <w:bookmarkEnd w:id="208"/>
      <w:bookmarkStart w:id="209" w:name="_Toc184313254"/>
      <w:bookmarkEnd w:id="209"/>
      <w:bookmarkStart w:id="210" w:name="_Toc184312075"/>
      <w:bookmarkEnd w:id="210"/>
      <w:bookmarkStart w:id="211" w:name="_Toc184310296"/>
      <w:bookmarkEnd w:id="211"/>
      <w:bookmarkStart w:id="212" w:name="_Toc184314456"/>
      <w:bookmarkEnd w:id="212"/>
      <w:bookmarkStart w:id="213" w:name="_Toc184308091"/>
      <w:bookmarkEnd w:id="213"/>
      <w:bookmarkStart w:id="214" w:name="_Toc184308087"/>
      <w:bookmarkEnd w:id="214"/>
      <w:bookmarkStart w:id="215" w:name="_Toc184313252"/>
      <w:bookmarkEnd w:id="215"/>
      <w:bookmarkStart w:id="216" w:name="_Toc184312121"/>
      <w:bookmarkEnd w:id="216"/>
      <w:bookmarkStart w:id="217" w:name="_Toc184310340"/>
      <w:bookmarkEnd w:id="217"/>
      <w:bookmarkStart w:id="218" w:name="_Toc184313299"/>
      <w:bookmarkEnd w:id="218"/>
      <w:bookmarkStart w:id="219" w:name="_Toc184312078"/>
      <w:bookmarkEnd w:id="219"/>
      <w:bookmarkStart w:id="220" w:name="_Toc184314426"/>
      <w:bookmarkEnd w:id="220"/>
      <w:bookmarkStart w:id="221" w:name="_Toc184308077"/>
      <w:bookmarkEnd w:id="221"/>
      <w:bookmarkStart w:id="222" w:name="_Toc184314418"/>
      <w:bookmarkEnd w:id="222"/>
      <w:bookmarkStart w:id="223" w:name="_Toc184312116"/>
      <w:bookmarkEnd w:id="223"/>
      <w:bookmarkStart w:id="224" w:name="_Toc184313257"/>
      <w:bookmarkEnd w:id="224"/>
      <w:bookmarkStart w:id="225" w:name="_Toc184310328"/>
      <w:bookmarkEnd w:id="225"/>
      <w:bookmarkStart w:id="226" w:name="_Toc184310310"/>
      <w:bookmarkEnd w:id="226"/>
      <w:bookmarkStart w:id="227" w:name="_Toc184310339"/>
      <w:bookmarkEnd w:id="227"/>
      <w:bookmarkStart w:id="228" w:name="_Toc184312071"/>
      <w:bookmarkEnd w:id="228"/>
      <w:bookmarkStart w:id="229" w:name="_Toc184312084"/>
      <w:bookmarkEnd w:id="229"/>
      <w:bookmarkStart w:id="230" w:name="_Toc184310343"/>
      <w:bookmarkEnd w:id="230"/>
      <w:bookmarkStart w:id="231" w:name="_Toc184312137"/>
      <w:bookmarkEnd w:id="231"/>
      <w:bookmarkStart w:id="232" w:name="_Toc184312083"/>
      <w:bookmarkEnd w:id="232"/>
      <w:bookmarkStart w:id="233" w:name="_Toc184313242"/>
      <w:bookmarkEnd w:id="233"/>
      <w:bookmarkStart w:id="234" w:name="_Toc184313255"/>
      <w:bookmarkEnd w:id="234"/>
      <w:bookmarkStart w:id="235" w:name="_Toc184313302"/>
      <w:bookmarkEnd w:id="235"/>
      <w:bookmarkStart w:id="236" w:name="_Toc184310291"/>
      <w:bookmarkEnd w:id="236"/>
      <w:bookmarkStart w:id="237" w:name="_Toc184310293"/>
      <w:bookmarkEnd w:id="237"/>
      <w:bookmarkStart w:id="238" w:name="_Toc184308060"/>
      <w:bookmarkEnd w:id="238"/>
      <w:bookmarkStart w:id="239" w:name="_Toc184314425"/>
      <w:bookmarkEnd w:id="239"/>
      <w:bookmarkStart w:id="240" w:name="_Toc184314466"/>
      <w:bookmarkEnd w:id="240"/>
      <w:bookmarkStart w:id="241" w:name="_Toc184308107"/>
      <w:bookmarkEnd w:id="241"/>
      <w:bookmarkStart w:id="242" w:name="_Toc184310298"/>
      <w:bookmarkEnd w:id="242"/>
      <w:bookmarkStart w:id="243" w:name="_Toc184313275"/>
      <w:bookmarkEnd w:id="243"/>
      <w:bookmarkStart w:id="244" w:name="_Toc184310323"/>
      <w:bookmarkEnd w:id="244"/>
      <w:bookmarkStart w:id="245" w:name="_Toc184313239"/>
      <w:bookmarkEnd w:id="245"/>
      <w:bookmarkStart w:id="246" w:name="_Toc184310281"/>
      <w:bookmarkEnd w:id="246"/>
      <w:bookmarkStart w:id="247" w:name="_Toc184314482"/>
      <w:bookmarkEnd w:id="247"/>
      <w:bookmarkStart w:id="248" w:name="_Toc184308078"/>
      <w:bookmarkEnd w:id="248"/>
      <w:bookmarkStart w:id="249" w:name="_Toc184314432"/>
      <w:bookmarkEnd w:id="249"/>
      <w:bookmarkStart w:id="250" w:name="_Toc184308088"/>
      <w:bookmarkEnd w:id="250"/>
      <w:bookmarkStart w:id="251" w:name="_Toc184308099"/>
      <w:bookmarkEnd w:id="251"/>
      <w:bookmarkStart w:id="252" w:name="_Toc184312126"/>
      <w:bookmarkEnd w:id="252"/>
      <w:bookmarkStart w:id="253" w:name="_Toc184312086"/>
      <w:bookmarkEnd w:id="253"/>
      <w:bookmarkStart w:id="254" w:name="_Toc184310332"/>
      <w:bookmarkEnd w:id="254"/>
      <w:bookmarkStart w:id="255" w:name="_Toc184312134"/>
      <w:bookmarkEnd w:id="255"/>
      <w:bookmarkStart w:id="256" w:name="_Toc184314441"/>
      <w:bookmarkEnd w:id="256"/>
      <w:bookmarkStart w:id="257" w:name="_Toc184312079"/>
      <w:bookmarkEnd w:id="257"/>
      <w:bookmarkStart w:id="258" w:name="_Toc184313272"/>
      <w:bookmarkEnd w:id="258"/>
      <w:bookmarkStart w:id="259" w:name="_Toc184310319"/>
      <w:bookmarkEnd w:id="259"/>
      <w:bookmarkStart w:id="260" w:name="_Toc184312115"/>
      <w:bookmarkEnd w:id="260"/>
      <w:bookmarkStart w:id="261" w:name="_Toc184313279"/>
      <w:bookmarkEnd w:id="261"/>
      <w:bookmarkStart w:id="262" w:name="_Toc184314471"/>
      <w:bookmarkEnd w:id="262"/>
      <w:bookmarkStart w:id="263" w:name="_Toc184313246"/>
      <w:bookmarkEnd w:id="263"/>
      <w:bookmarkStart w:id="264" w:name="_Toc184313306"/>
      <w:bookmarkEnd w:id="264"/>
      <w:bookmarkStart w:id="265" w:name="_Toc184308038"/>
      <w:bookmarkEnd w:id="265"/>
      <w:bookmarkStart w:id="266" w:name="_Toc184313268"/>
      <w:bookmarkEnd w:id="266"/>
      <w:bookmarkStart w:id="267" w:name="_Toc184308108"/>
      <w:bookmarkEnd w:id="267"/>
      <w:bookmarkStart w:id="268" w:name="_Toc184312117"/>
      <w:bookmarkEnd w:id="268"/>
      <w:bookmarkStart w:id="269" w:name="_Toc184313285"/>
      <w:bookmarkEnd w:id="269"/>
      <w:bookmarkStart w:id="270" w:name="_Toc184314459"/>
      <w:bookmarkEnd w:id="270"/>
      <w:bookmarkStart w:id="271" w:name="_Toc184314447"/>
      <w:bookmarkEnd w:id="271"/>
      <w:bookmarkStart w:id="272" w:name="_Toc184308044"/>
      <w:bookmarkEnd w:id="272"/>
      <w:bookmarkStart w:id="273" w:name="_Toc184314420"/>
      <w:bookmarkEnd w:id="273"/>
      <w:bookmarkStart w:id="274" w:name="_Toc184314452"/>
      <w:bookmarkEnd w:id="274"/>
      <w:bookmarkStart w:id="275" w:name="_Toc184313258"/>
      <w:bookmarkEnd w:id="275"/>
      <w:bookmarkStart w:id="276" w:name="_Toc184308082"/>
      <w:bookmarkEnd w:id="276"/>
      <w:bookmarkStart w:id="277" w:name="_Toc184310290"/>
      <w:bookmarkEnd w:id="277"/>
      <w:bookmarkStart w:id="278" w:name="_Toc184313280"/>
      <w:bookmarkEnd w:id="278"/>
      <w:bookmarkStart w:id="279" w:name="_Toc184310342"/>
      <w:bookmarkEnd w:id="279"/>
      <w:bookmarkStart w:id="280" w:name="_Toc184314431"/>
      <w:bookmarkEnd w:id="280"/>
      <w:bookmarkStart w:id="281" w:name="_Toc184312097"/>
      <w:bookmarkEnd w:id="281"/>
      <w:bookmarkStart w:id="282" w:name="_Toc184314465"/>
      <w:bookmarkEnd w:id="282"/>
      <w:bookmarkStart w:id="283" w:name="_Toc184308050"/>
      <w:bookmarkEnd w:id="283"/>
      <w:bookmarkStart w:id="284" w:name="_Toc184308056"/>
      <w:bookmarkEnd w:id="284"/>
      <w:bookmarkStart w:id="285" w:name="_Toc184313283"/>
      <w:bookmarkEnd w:id="285"/>
      <w:bookmarkStart w:id="286" w:name="_Toc184312085"/>
      <w:bookmarkEnd w:id="286"/>
      <w:bookmarkStart w:id="287" w:name="_Toc184312107"/>
      <w:bookmarkEnd w:id="287"/>
      <w:bookmarkStart w:id="288" w:name="_Toc184314455"/>
      <w:bookmarkEnd w:id="288"/>
      <w:bookmarkStart w:id="289" w:name="_Toc184308065"/>
      <w:bookmarkEnd w:id="289"/>
      <w:bookmarkStart w:id="290" w:name="_Toc184312103"/>
      <w:bookmarkEnd w:id="290"/>
      <w:bookmarkStart w:id="291" w:name="_Toc184313269"/>
      <w:bookmarkEnd w:id="291"/>
      <w:bookmarkStart w:id="292" w:name="_Toc184313287"/>
      <w:bookmarkEnd w:id="292"/>
      <w:bookmarkStart w:id="293" w:name="_Toc184310303"/>
      <w:bookmarkEnd w:id="293"/>
      <w:bookmarkStart w:id="294" w:name="_Toc184308052"/>
      <w:bookmarkEnd w:id="294"/>
      <w:bookmarkStart w:id="295" w:name="_Toc184313307"/>
      <w:bookmarkEnd w:id="295"/>
      <w:bookmarkStart w:id="296" w:name="_Toc184310312"/>
      <w:bookmarkEnd w:id="296"/>
      <w:bookmarkStart w:id="297" w:name="_Toc184313300"/>
      <w:bookmarkEnd w:id="297"/>
      <w:bookmarkStart w:id="298" w:name="_Toc184314416"/>
      <w:bookmarkEnd w:id="298"/>
      <w:bookmarkStart w:id="299" w:name="_Toc184314460"/>
      <w:bookmarkEnd w:id="299"/>
      <w:bookmarkStart w:id="300" w:name="_Toc184310325"/>
      <w:bookmarkEnd w:id="300"/>
      <w:bookmarkStart w:id="301" w:name="_Toc184308090"/>
      <w:bookmarkEnd w:id="301"/>
      <w:bookmarkStart w:id="302" w:name="_Toc184308100"/>
      <w:bookmarkEnd w:id="302"/>
      <w:bookmarkStart w:id="303" w:name="_Toc184312114"/>
      <w:bookmarkEnd w:id="303"/>
      <w:bookmarkStart w:id="304" w:name="_Toc184314475"/>
      <w:bookmarkEnd w:id="304"/>
      <w:bookmarkStart w:id="305" w:name="_Toc184313278"/>
      <w:bookmarkEnd w:id="305"/>
      <w:bookmarkStart w:id="306" w:name="_Toc184312082"/>
      <w:bookmarkEnd w:id="306"/>
      <w:bookmarkStart w:id="307" w:name="_Toc184313273"/>
      <w:bookmarkEnd w:id="307"/>
      <w:bookmarkStart w:id="308" w:name="_Toc184308083"/>
      <w:bookmarkEnd w:id="308"/>
      <w:bookmarkStart w:id="309" w:name="_Toc184308076"/>
      <w:bookmarkEnd w:id="309"/>
      <w:bookmarkStart w:id="310" w:name="_Toc184313256"/>
      <w:bookmarkEnd w:id="310"/>
      <w:bookmarkStart w:id="311" w:name="_Toc184312072"/>
      <w:bookmarkEnd w:id="311"/>
      <w:bookmarkStart w:id="312" w:name="_Toc184312077"/>
      <w:bookmarkEnd w:id="312"/>
      <w:bookmarkStart w:id="313" w:name="_Toc184310321"/>
      <w:bookmarkEnd w:id="313"/>
      <w:bookmarkStart w:id="314" w:name="_Toc184310320"/>
      <w:bookmarkEnd w:id="314"/>
      <w:bookmarkStart w:id="315" w:name="_Toc184312136"/>
      <w:bookmarkEnd w:id="315"/>
      <w:bookmarkStart w:id="316" w:name="_Toc184313296"/>
      <w:bookmarkEnd w:id="316"/>
      <w:bookmarkStart w:id="317" w:name="_Toc184312128"/>
      <w:bookmarkEnd w:id="317"/>
      <w:bookmarkStart w:id="318" w:name="_Toc184312104"/>
      <w:bookmarkEnd w:id="318"/>
      <w:bookmarkStart w:id="319" w:name="_Toc184312096"/>
      <w:bookmarkEnd w:id="319"/>
      <w:bookmarkStart w:id="320" w:name="_Toc184310317"/>
      <w:bookmarkEnd w:id="320"/>
      <w:bookmarkStart w:id="321" w:name="_Toc184308043"/>
      <w:bookmarkEnd w:id="321"/>
      <w:bookmarkStart w:id="322" w:name="_Toc184313276"/>
      <w:bookmarkEnd w:id="322"/>
      <w:bookmarkStart w:id="323" w:name="_Toc184312098"/>
      <w:bookmarkEnd w:id="323"/>
      <w:bookmarkStart w:id="324" w:name="_Toc184312112"/>
      <w:bookmarkEnd w:id="324"/>
      <w:bookmarkStart w:id="325" w:name="_Toc184310330"/>
      <w:bookmarkEnd w:id="325"/>
      <w:bookmarkStart w:id="326" w:name="_Toc184310318"/>
      <w:bookmarkEnd w:id="326"/>
      <w:bookmarkStart w:id="327" w:name="_Toc184312105"/>
      <w:bookmarkEnd w:id="327"/>
      <w:bookmarkStart w:id="328" w:name="_Toc184314429"/>
      <w:bookmarkEnd w:id="328"/>
      <w:bookmarkStart w:id="329" w:name="_Toc184308042"/>
      <w:bookmarkEnd w:id="329"/>
      <w:bookmarkStart w:id="330" w:name="_Toc184312102"/>
      <w:bookmarkEnd w:id="330"/>
      <w:bookmarkStart w:id="331" w:name="_Toc184310288"/>
      <w:bookmarkEnd w:id="331"/>
      <w:bookmarkStart w:id="332" w:name="_Toc184308061"/>
      <w:bookmarkEnd w:id="332"/>
      <w:bookmarkStart w:id="333" w:name="_Toc184312101"/>
      <w:bookmarkEnd w:id="333"/>
      <w:bookmarkStart w:id="334" w:name="_Toc184312132"/>
      <w:bookmarkEnd w:id="334"/>
      <w:bookmarkStart w:id="335" w:name="_Toc184314461"/>
      <w:bookmarkEnd w:id="335"/>
      <w:bookmarkStart w:id="336" w:name="_Toc184310341"/>
      <w:bookmarkEnd w:id="336"/>
      <w:bookmarkStart w:id="337" w:name="_Toc184313305"/>
      <w:bookmarkEnd w:id="337"/>
      <w:bookmarkStart w:id="338" w:name="_Toc184312108"/>
      <w:bookmarkEnd w:id="338"/>
      <w:bookmarkStart w:id="339" w:name="_Toc184308051"/>
      <w:bookmarkEnd w:id="339"/>
      <w:bookmarkStart w:id="340" w:name="_Toc184314410"/>
      <w:bookmarkEnd w:id="340"/>
      <w:bookmarkStart w:id="341" w:name="_Toc184312073"/>
      <w:bookmarkEnd w:id="341"/>
      <w:bookmarkStart w:id="342" w:name="_Toc184314442"/>
      <w:bookmarkEnd w:id="342"/>
      <w:bookmarkStart w:id="343" w:name="_Toc184314412"/>
      <w:bookmarkEnd w:id="343"/>
      <w:bookmarkStart w:id="344" w:name="_Toc184314476"/>
      <w:bookmarkEnd w:id="344"/>
      <w:bookmarkStart w:id="345" w:name="_Toc184310313"/>
      <w:bookmarkEnd w:id="345"/>
      <w:bookmarkStart w:id="346" w:name="_Toc184314434"/>
      <w:bookmarkEnd w:id="346"/>
      <w:bookmarkStart w:id="347" w:name="_Toc184314440"/>
      <w:bookmarkEnd w:id="347"/>
      <w:bookmarkStart w:id="348" w:name="_Toc184308072"/>
      <w:bookmarkEnd w:id="348"/>
      <w:bookmarkStart w:id="349" w:name="_Toc184310273"/>
      <w:bookmarkEnd w:id="349"/>
      <w:bookmarkStart w:id="350" w:name="_Toc184310286"/>
      <w:bookmarkEnd w:id="350"/>
      <w:bookmarkStart w:id="351" w:name="_Toc184314479"/>
      <w:bookmarkEnd w:id="351"/>
      <w:bookmarkStart w:id="352" w:name="_Toc184308053"/>
      <w:bookmarkEnd w:id="352"/>
      <w:bookmarkStart w:id="353" w:name="_Toc184313253"/>
      <w:bookmarkEnd w:id="353"/>
      <w:bookmarkStart w:id="354" w:name="_Toc184313270"/>
      <w:bookmarkEnd w:id="354"/>
      <w:bookmarkStart w:id="355" w:name="_Toc184312087"/>
      <w:bookmarkEnd w:id="355"/>
      <w:bookmarkStart w:id="356" w:name="_Toc184312092"/>
      <w:bookmarkEnd w:id="356"/>
      <w:bookmarkStart w:id="357" w:name="_Toc184313271"/>
      <w:bookmarkEnd w:id="357"/>
      <w:bookmarkStart w:id="358" w:name="_Toc184313259"/>
      <w:bookmarkEnd w:id="358"/>
      <w:bookmarkStart w:id="359" w:name="_Toc184313265"/>
      <w:bookmarkEnd w:id="359"/>
      <w:bookmarkStart w:id="360" w:name="_Toc184313260"/>
      <w:bookmarkEnd w:id="360"/>
      <w:bookmarkStart w:id="361" w:name="_Toc184313288"/>
      <w:bookmarkEnd w:id="361"/>
      <w:bookmarkStart w:id="362" w:name="_Toc184314444"/>
      <w:bookmarkEnd w:id="362"/>
      <w:bookmarkStart w:id="363" w:name="_Toc184312067"/>
      <w:bookmarkEnd w:id="363"/>
      <w:bookmarkStart w:id="364" w:name="_Toc184310334"/>
      <w:bookmarkEnd w:id="364"/>
      <w:bookmarkStart w:id="365" w:name="_Toc184312106"/>
      <w:bookmarkEnd w:id="365"/>
      <w:bookmarkStart w:id="366" w:name="_Toc184314481"/>
      <w:bookmarkEnd w:id="366"/>
      <w:bookmarkStart w:id="367" w:name="_Toc184310295"/>
      <w:bookmarkEnd w:id="367"/>
      <w:bookmarkStart w:id="368" w:name="_Toc184314454"/>
      <w:bookmarkEnd w:id="368"/>
      <w:bookmarkStart w:id="369" w:name="_Toc184312076"/>
      <w:bookmarkEnd w:id="369"/>
      <w:bookmarkStart w:id="370" w:name="_Toc184313301"/>
      <w:bookmarkEnd w:id="370"/>
      <w:bookmarkStart w:id="371" w:name="_Toc184313240"/>
      <w:bookmarkEnd w:id="371"/>
      <w:bookmarkStart w:id="372" w:name="_Toc184308105"/>
      <w:bookmarkEnd w:id="372"/>
      <w:bookmarkStart w:id="373" w:name="_Toc184308098"/>
      <w:bookmarkEnd w:id="373"/>
      <w:bookmarkStart w:id="374" w:name="_Toc184313290"/>
      <w:bookmarkEnd w:id="374"/>
      <w:bookmarkStart w:id="375" w:name="_Toc184310292"/>
      <w:bookmarkEnd w:id="375"/>
      <w:r>
        <w:rPr>
          <w:rFonts w:hint="eastAsia" w:ascii="宋体" w:hAnsi="宋体" w:eastAsia="宋体" w:cs="宋体"/>
          <w:b/>
          <w:color w:val="000000" w:themeColor="text1"/>
          <w:sz w:val="36"/>
          <w:szCs w:val="36"/>
          <w14:textFill>
            <w14:solidFill>
              <w14:schemeClr w14:val="tx1"/>
            </w14:solidFill>
          </w14:textFill>
        </w:rPr>
        <w:t>评标办法及评分标准</w:t>
      </w:r>
    </w:p>
    <w:p>
      <w:pPr>
        <w:snapToGrid w:val="0"/>
        <w:spacing w:line="360" w:lineRule="auto"/>
        <w:ind w:firstLine="643" w:firstLineChars="200"/>
        <w:jc w:val="center"/>
        <w:outlineLvl w:val="1"/>
        <w:rPr>
          <w:rFonts w:ascii="宋体" w:hAnsi="宋体" w:eastAsia="宋体" w:cs="宋体"/>
          <w:b/>
          <w:bCs/>
          <w:sz w:val="28"/>
          <w:szCs w:val="28"/>
        </w:rPr>
      </w:pPr>
      <w:r>
        <w:rPr>
          <w:rFonts w:hint="eastAsia" w:ascii="宋体" w:hAnsi="宋体" w:eastAsia="宋体" w:cs="宋体"/>
          <w:b/>
          <w:bCs/>
          <w:sz w:val="32"/>
          <w:szCs w:val="32"/>
        </w:rPr>
        <w:t>一、评标方法</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1采用政府采购框架协议采购方式管理暂行办法中规定的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二、评标委员会的组成</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2评标委员会的组成。评标委员会由采购人代表和评审专家组成，成员人数为7人及以上单数，其中评审专家不少于成员总数的三分之二。</w:t>
      </w:r>
      <w:r>
        <w:rPr>
          <w:rFonts w:hint="eastAsia" w:ascii="宋体" w:hAnsi="宋体" w:eastAsia="宋体" w:cs="宋体"/>
          <w:b/>
          <w:bCs/>
          <w:sz w:val="24"/>
          <w:szCs w:val="24"/>
        </w:rPr>
        <w:t>评标委员会集体推荐组长一名，采购人代表不得推荐为组长。</w:t>
      </w:r>
    </w:p>
    <w:p>
      <w:pPr>
        <w:pStyle w:val="21"/>
        <w:spacing w:before="0"/>
        <w:ind w:firstLine="482"/>
        <w:rPr>
          <w:rFonts w:ascii="宋体" w:hAnsi="宋体" w:cs="宋体"/>
          <w:kern w:val="0"/>
        </w:rPr>
      </w:pPr>
      <w:r>
        <w:rPr>
          <w:rFonts w:hint="eastAsia" w:ascii="宋体" w:hAnsi="宋体" w:cs="宋体"/>
          <w:b/>
          <w:bCs/>
          <w:kern w:val="0"/>
        </w:rPr>
        <w:t>3评标委员会的组成人员的回避。</w:t>
      </w:r>
      <w:r>
        <w:rPr>
          <w:rFonts w:hint="eastAsia" w:ascii="宋体" w:hAnsi="宋体" w:cs="宋体"/>
          <w:kern w:val="0"/>
        </w:rPr>
        <w:t>在政府采购活动中，评标委员会的组成人员与供应商有下列利害关系之一的，应当回避：</w:t>
      </w:r>
    </w:p>
    <w:p>
      <w:pPr>
        <w:pStyle w:val="21"/>
        <w:spacing w:before="0"/>
        <w:ind w:firstLine="480"/>
        <w:rPr>
          <w:rFonts w:ascii="宋体" w:hAnsi="宋体" w:cs="宋体"/>
          <w:kern w:val="0"/>
        </w:rPr>
      </w:pPr>
      <w:r>
        <w:rPr>
          <w:rFonts w:hint="eastAsia" w:ascii="宋体" w:hAnsi="宋体" w:cs="宋体"/>
          <w:kern w:val="0"/>
        </w:rPr>
        <w:t>3.1参加采购活动前3年内与供应商存在劳动关系；</w:t>
      </w:r>
    </w:p>
    <w:p>
      <w:pPr>
        <w:pStyle w:val="21"/>
        <w:spacing w:before="0"/>
        <w:ind w:firstLine="480"/>
        <w:rPr>
          <w:rFonts w:ascii="宋体" w:hAnsi="宋体" w:cs="宋体"/>
          <w:kern w:val="0"/>
        </w:rPr>
      </w:pPr>
      <w:r>
        <w:rPr>
          <w:rFonts w:hint="eastAsia" w:ascii="宋体" w:hAnsi="宋体" w:cs="宋体"/>
          <w:kern w:val="0"/>
        </w:rPr>
        <w:t>3.2参加采购活动前3年内担任供应商的董事、监事；</w:t>
      </w:r>
    </w:p>
    <w:p>
      <w:pPr>
        <w:pStyle w:val="21"/>
        <w:spacing w:before="0"/>
        <w:ind w:firstLine="480"/>
        <w:rPr>
          <w:rFonts w:ascii="宋体" w:hAnsi="宋体" w:cs="宋体"/>
          <w:kern w:val="0"/>
        </w:rPr>
      </w:pPr>
      <w:r>
        <w:rPr>
          <w:rFonts w:hint="eastAsia" w:ascii="宋体" w:hAnsi="宋体" w:cs="宋体"/>
          <w:kern w:val="0"/>
        </w:rPr>
        <w:t>3.3参加采购活动前3年内是供应商的控股股东或者实际控制人；</w:t>
      </w:r>
    </w:p>
    <w:p>
      <w:pPr>
        <w:pStyle w:val="21"/>
        <w:spacing w:before="0"/>
        <w:ind w:firstLine="480"/>
        <w:rPr>
          <w:rFonts w:ascii="宋体" w:hAnsi="宋体" w:cs="宋体"/>
          <w:kern w:val="0"/>
        </w:rPr>
      </w:pPr>
      <w:r>
        <w:rPr>
          <w:rFonts w:hint="eastAsia" w:ascii="宋体" w:hAnsi="宋体" w:cs="宋体"/>
          <w:kern w:val="0"/>
        </w:rPr>
        <w:t>3.4与供应商的法定代表人或者负责人有夫妻、直系血亲、三代以内旁系血亲或者近姻亲关系；</w:t>
      </w:r>
    </w:p>
    <w:p>
      <w:pPr>
        <w:pStyle w:val="21"/>
        <w:spacing w:before="0"/>
        <w:ind w:firstLine="480"/>
        <w:rPr>
          <w:rFonts w:ascii="宋体" w:hAnsi="宋体" w:cs="宋体"/>
          <w:kern w:val="0"/>
        </w:rPr>
      </w:pPr>
      <w:r>
        <w:rPr>
          <w:rFonts w:hint="eastAsia" w:ascii="宋体" w:hAnsi="宋体" w:cs="宋体"/>
          <w:kern w:val="0"/>
        </w:rPr>
        <w:t>3.5与供应商有其他可能影响政府采购活动公平、公正进行的关系。</w:t>
      </w: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三、评标委员会的职责</w:t>
      </w:r>
    </w:p>
    <w:p>
      <w:pPr>
        <w:pStyle w:val="21"/>
        <w:spacing w:before="0"/>
        <w:ind w:firstLine="482"/>
        <w:rPr>
          <w:rFonts w:ascii="宋体" w:hAnsi="宋体" w:cs="宋体"/>
          <w:b/>
          <w:bCs/>
          <w:kern w:val="0"/>
        </w:rPr>
      </w:pPr>
      <w:r>
        <w:rPr>
          <w:rFonts w:hint="eastAsia" w:ascii="宋体" w:hAnsi="宋体" w:cs="宋体"/>
          <w:b/>
          <w:bCs/>
          <w:kern w:val="0"/>
        </w:rPr>
        <w:t>4评标委员会负责具体评标事务，并独立履行下列职责：</w:t>
      </w:r>
    </w:p>
    <w:p>
      <w:pPr>
        <w:pStyle w:val="21"/>
        <w:spacing w:before="0"/>
        <w:ind w:firstLine="480"/>
        <w:rPr>
          <w:rFonts w:ascii="宋体" w:hAnsi="宋体" w:cs="宋体"/>
          <w:kern w:val="0"/>
        </w:rPr>
      </w:pPr>
      <w:r>
        <w:rPr>
          <w:rFonts w:hint="eastAsia" w:ascii="宋体" w:hAnsi="宋体" w:cs="宋体"/>
          <w:kern w:val="0"/>
        </w:rPr>
        <w:t>4.1审查、评价投标文件是否符合招标文件的商务、技术等实质性要求；</w:t>
      </w:r>
    </w:p>
    <w:p>
      <w:pPr>
        <w:pStyle w:val="21"/>
        <w:spacing w:before="0"/>
        <w:ind w:firstLine="480"/>
        <w:rPr>
          <w:rFonts w:ascii="宋体" w:hAnsi="宋体" w:cs="宋体"/>
          <w:kern w:val="0"/>
        </w:rPr>
      </w:pPr>
      <w:r>
        <w:rPr>
          <w:rFonts w:hint="eastAsia" w:ascii="宋体" w:hAnsi="宋体" w:cs="宋体"/>
          <w:kern w:val="0"/>
        </w:rPr>
        <w:t>4.2要求供应商对投标文件有关事项作出澄清或者说明；</w:t>
      </w:r>
    </w:p>
    <w:p>
      <w:pPr>
        <w:pStyle w:val="21"/>
        <w:spacing w:before="0"/>
        <w:ind w:firstLine="480"/>
        <w:rPr>
          <w:rFonts w:ascii="宋体" w:hAnsi="宋体" w:cs="宋体"/>
          <w:kern w:val="0"/>
        </w:rPr>
      </w:pPr>
      <w:r>
        <w:rPr>
          <w:rFonts w:hint="eastAsia" w:ascii="宋体" w:hAnsi="宋体" w:cs="宋体"/>
          <w:kern w:val="0"/>
        </w:rPr>
        <w:t>4.3对投标文件进行比较和评价；</w:t>
      </w:r>
    </w:p>
    <w:p>
      <w:pPr>
        <w:pStyle w:val="21"/>
        <w:spacing w:before="0"/>
        <w:ind w:firstLine="480"/>
        <w:rPr>
          <w:rFonts w:ascii="宋体" w:hAnsi="宋体" w:cs="宋体"/>
          <w:kern w:val="0"/>
        </w:rPr>
      </w:pPr>
      <w:r>
        <w:rPr>
          <w:rFonts w:hint="eastAsia" w:ascii="宋体" w:hAnsi="宋体" w:cs="宋体"/>
          <w:kern w:val="0"/>
        </w:rPr>
        <w:t>4.4确定中标候选人名单，以及根据采购人委托直接确定中标人；</w:t>
      </w:r>
    </w:p>
    <w:p>
      <w:pPr>
        <w:pStyle w:val="21"/>
        <w:spacing w:before="0"/>
        <w:ind w:firstLine="480"/>
        <w:rPr>
          <w:rFonts w:ascii="宋体" w:hAnsi="宋体" w:cs="宋体"/>
          <w:kern w:val="0"/>
        </w:rPr>
      </w:pPr>
      <w:r>
        <w:rPr>
          <w:rFonts w:hint="eastAsia" w:ascii="宋体" w:hAnsi="宋体" w:cs="宋体"/>
          <w:kern w:val="0"/>
        </w:rPr>
        <w:t>4.5向采购人、采购代理机构或者有关部门报告评标中发现的违法行为；</w:t>
      </w:r>
    </w:p>
    <w:p>
      <w:pPr>
        <w:pStyle w:val="21"/>
        <w:spacing w:before="0"/>
        <w:ind w:firstLine="480"/>
        <w:rPr>
          <w:rFonts w:ascii="宋体" w:hAnsi="宋体" w:cs="宋体"/>
          <w:kern w:val="0"/>
        </w:rPr>
      </w:pPr>
      <w:r>
        <w:rPr>
          <w:rFonts w:hint="eastAsia" w:ascii="宋体" w:hAnsi="宋体" w:cs="宋体"/>
          <w:kern w:val="0"/>
        </w:rPr>
        <w:t>4.6法律、法规、规章、招标文件等规定的其它事项。</w:t>
      </w:r>
    </w:p>
    <w:p>
      <w:pPr>
        <w:pStyle w:val="21"/>
        <w:spacing w:before="0"/>
        <w:ind w:firstLine="482"/>
        <w:rPr>
          <w:rFonts w:ascii="宋体" w:hAnsi="宋体" w:cs="宋体"/>
          <w:b/>
          <w:bCs/>
          <w:kern w:val="0"/>
        </w:rPr>
      </w:pPr>
      <w:r>
        <w:rPr>
          <w:rFonts w:hint="eastAsia" w:ascii="宋体" w:hAnsi="宋体" w:cs="宋体"/>
          <w:b/>
          <w:bCs/>
          <w:kern w:val="0"/>
        </w:rPr>
        <w:t>5评标委员会及其成员不得有下列行为：</w:t>
      </w:r>
    </w:p>
    <w:p>
      <w:pPr>
        <w:pStyle w:val="21"/>
        <w:spacing w:before="0"/>
        <w:ind w:firstLine="480"/>
        <w:rPr>
          <w:rFonts w:ascii="宋体" w:hAnsi="宋体" w:cs="宋体"/>
          <w:kern w:val="0"/>
        </w:rPr>
      </w:pPr>
      <w:r>
        <w:rPr>
          <w:rFonts w:hint="eastAsia" w:ascii="宋体" w:hAnsi="宋体" w:cs="宋体"/>
          <w:kern w:val="0"/>
        </w:rPr>
        <w:t>5.1确定参与评标至评标结束前私自接触供应商；</w:t>
      </w:r>
    </w:p>
    <w:p>
      <w:pPr>
        <w:pStyle w:val="21"/>
        <w:spacing w:before="0"/>
        <w:ind w:firstLine="480"/>
        <w:rPr>
          <w:rFonts w:ascii="宋体" w:hAnsi="宋体" w:cs="宋体"/>
          <w:kern w:val="0"/>
          <w:highlight w:val="yellow"/>
        </w:rPr>
      </w:pPr>
      <w:r>
        <w:rPr>
          <w:rFonts w:hint="eastAsia" w:ascii="宋体" w:hAnsi="宋体" w:cs="宋体"/>
          <w:kern w:val="0"/>
        </w:rPr>
        <w:t>5.2接受供应商提出的与投标文件不一致的澄清或者说明</w:t>
      </w:r>
      <w:r>
        <w:rPr>
          <w:rFonts w:hint="eastAsia" w:ascii="宋体" w:hAnsi="宋体" w:cs="宋体"/>
          <w:kern w:val="0"/>
          <w:highlight w:val="none"/>
        </w:rPr>
        <w:t>；</w:t>
      </w:r>
    </w:p>
    <w:p>
      <w:pPr>
        <w:pStyle w:val="21"/>
        <w:spacing w:before="0"/>
        <w:ind w:firstLine="480"/>
        <w:rPr>
          <w:rFonts w:ascii="宋体" w:hAnsi="宋体" w:cs="宋体"/>
          <w:kern w:val="0"/>
        </w:rPr>
      </w:pPr>
      <w:r>
        <w:rPr>
          <w:rFonts w:hint="eastAsia" w:ascii="宋体" w:hAnsi="宋体" w:cs="宋体"/>
          <w:kern w:val="0"/>
        </w:rPr>
        <w:t>5.3违反评标纪律发表倾向性意见或者征询采购人的倾向性意见；</w:t>
      </w:r>
    </w:p>
    <w:p>
      <w:pPr>
        <w:pStyle w:val="21"/>
        <w:spacing w:before="0"/>
        <w:ind w:firstLine="480"/>
        <w:rPr>
          <w:rFonts w:ascii="宋体" w:hAnsi="宋体" w:cs="宋体"/>
          <w:kern w:val="0"/>
        </w:rPr>
      </w:pPr>
      <w:r>
        <w:rPr>
          <w:rFonts w:hint="eastAsia" w:ascii="宋体" w:hAnsi="宋体" w:cs="宋体"/>
          <w:kern w:val="0"/>
        </w:rPr>
        <w:t>5.4对需要专业判断的主观评审因素协商评分；</w:t>
      </w:r>
    </w:p>
    <w:p>
      <w:pPr>
        <w:pStyle w:val="21"/>
        <w:spacing w:before="0"/>
        <w:ind w:firstLine="480"/>
        <w:rPr>
          <w:rFonts w:ascii="宋体" w:hAnsi="宋体" w:cs="宋体"/>
          <w:kern w:val="0"/>
        </w:rPr>
      </w:pPr>
      <w:r>
        <w:rPr>
          <w:rFonts w:hint="eastAsia" w:ascii="宋体" w:hAnsi="宋体" w:cs="宋体"/>
          <w:kern w:val="0"/>
        </w:rPr>
        <w:t>5.5在评标过程中擅离职守，影响评标程序正常进行的；</w:t>
      </w:r>
    </w:p>
    <w:p>
      <w:pPr>
        <w:pStyle w:val="21"/>
        <w:spacing w:before="0"/>
        <w:ind w:firstLine="480"/>
        <w:rPr>
          <w:rFonts w:ascii="宋体" w:hAnsi="宋体" w:cs="宋体"/>
          <w:kern w:val="0"/>
        </w:rPr>
      </w:pPr>
      <w:r>
        <w:rPr>
          <w:rFonts w:hint="eastAsia" w:ascii="宋体" w:hAnsi="宋体" w:cs="宋体"/>
          <w:kern w:val="0"/>
        </w:rPr>
        <w:t>5.6记录、复制或者带走任何评标资料；</w:t>
      </w:r>
    </w:p>
    <w:p>
      <w:pPr>
        <w:pStyle w:val="21"/>
        <w:spacing w:before="0"/>
        <w:ind w:firstLine="480"/>
        <w:rPr>
          <w:rFonts w:ascii="宋体" w:hAnsi="宋体" w:cs="宋体"/>
          <w:kern w:val="0"/>
        </w:rPr>
      </w:pPr>
      <w:r>
        <w:rPr>
          <w:rFonts w:hint="eastAsia" w:ascii="宋体" w:hAnsi="宋体" w:cs="宋体"/>
          <w:kern w:val="0"/>
        </w:rPr>
        <w:t>5.7其他不遵守评标纪律的行为。</w:t>
      </w:r>
    </w:p>
    <w:p>
      <w:pPr>
        <w:pStyle w:val="21"/>
        <w:spacing w:before="0"/>
        <w:ind w:firstLine="480"/>
        <w:rPr>
          <w:rFonts w:ascii="宋体" w:hAnsi="宋体" w:cs="宋体"/>
          <w:kern w:val="0"/>
        </w:rPr>
      </w:pPr>
      <w:r>
        <w:rPr>
          <w:rFonts w:hint="eastAsia" w:ascii="宋体" w:hAnsi="宋体" w:cs="宋体"/>
          <w:kern w:val="0"/>
        </w:rPr>
        <w:t>评标委员会成员有5.1-5.5行为之一的，其评审意见无效，并不得获取评审劳务报酬和报销异地评审差旅费。</w:t>
      </w: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四、评审程序</w:t>
      </w:r>
    </w:p>
    <w:p>
      <w:pPr>
        <w:pStyle w:val="21"/>
        <w:spacing w:before="0"/>
        <w:ind w:firstLine="482"/>
        <w:rPr>
          <w:rFonts w:ascii="宋体" w:hAnsi="宋体" w:cs="宋体"/>
          <w:kern w:val="0"/>
        </w:rPr>
      </w:pPr>
      <w:r>
        <w:rPr>
          <w:rFonts w:hint="eastAsia" w:ascii="宋体" w:hAnsi="宋体" w:cs="宋体"/>
          <w:b/>
          <w:bCs/>
          <w:kern w:val="0"/>
        </w:rPr>
        <w:t>6资格及符合性审查。</w:t>
      </w:r>
      <w:r>
        <w:rPr>
          <w:rFonts w:hint="eastAsia" w:ascii="宋体" w:hAnsi="宋体" w:cs="宋体"/>
          <w:kern w:val="0"/>
        </w:rPr>
        <w:t>采购人代表或采购人委托的代理机构人员对供应商资格进行审查，评标委员会对符合资格的供应商的投标文件进行符合性审查，以确定其是否满足招标文件的实质性要求。出现投标无效情形的，投标无效。</w:t>
      </w:r>
    </w:p>
    <w:p>
      <w:pPr>
        <w:pStyle w:val="21"/>
        <w:spacing w:before="0"/>
        <w:ind w:firstLine="482"/>
        <w:rPr>
          <w:rFonts w:ascii="宋体" w:hAnsi="宋体" w:cs="宋体"/>
          <w:kern w:val="0"/>
        </w:rPr>
      </w:pPr>
      <w:r>
        <w:rPr>
          <w:rFonts w:hint="eastAsia" w:ascii="宋体" w:hAnsi="宋体" w:cs="宋体"/>
          <w:b/>
          <w:bCs/>
          <w:kern w:val="0"/>
        </w:rPr>
        <w:t>7供应商澄清、说明或者补正。</w:t>
      </w:r>
      <w:r>
        <w:rPr>
          <w:rFonts w:hint="eastAsia" w:ascii="宋体" w:hAnsi="宋体" w:cs="宋体"/>
          <w:kern w:val="0"/>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在规定时间内供应商如未作出相应的澄清、说明或者补正的，则视为放弃该项权利。供应商的澄清、说明或者补正不得超出投标文件的范围或者改变投标文件的实质性内容。</w:t>
      </w:r>
    </w:p>
    <w:p>
      <w:pPr>
        <w:pStyle w:val="21"/>
        <w:spacing w:before="0"/>
        <w:ind w:firstLine="482"/>
        <w:rPr>
          <w:rFonts w:ascii="宋体" w:hAnsi="宋体" w:cs="宋体"/>
          <w:kern w:val="0"/>
        </w:rPr>
      </w:pPr>
      <w:r>
        <w:rPr>
          <w:rFonts w:hint="eastAsia" w:ascii="宋体" w:hAnsi="宋体" w:cs="宋体"/>
          <w:b/>
          <w:bCs/>
          <w:kern w:val="0"/>
        </w:rPr>
        <w:t>8比较与评价。</w:t>
      </w:r>
      <w:r>
        <w:rPr>
          <w:rFonts w:hint="eastAsia" w:ascii="宋体" w:hAnsi="宋体" w:cs="宋体"/>
          <w:b w:val="0"/>
          <w:bCs w:val="0"/>
          <w:kern w:val="0"/>
        </w:rPr>
        <w:t>评</w:t>
      </w:r>
      <w:r>
        <w:rPr>
          <w:rFonts w:hint="eastAsia" w:ascii="宋体" w:hAnsi="宋体" w:cs="宋体"/>
          <w:kern w:val="0"/>
        </w:rPr>
        <w:t>标委员会应当按照评标标准，对符合性审查合格的投标文件进行商务和技术评估，综合比较与评价。</w:t>
      </w:r>
    </w:p>
    <w:p>
      <w:pPr>
        <w:pStyle w:val="21"/>
        <w:spacing w:before="0"/>
        <w:ind w:firstLine="482"/>
        <w:rPr>
          <w:rFonts w:ascii="宋体" w:hAnsi="宋体" w:cs="宋体"/>
          <w:kern w:val="0"/>
        </w:rPr>
      </w:pPr>
      <w:r>
        <w:rPr>
          <w:rFonts w:hint="eastAsia" w:ascii="宋体" w:hAnsi="宋体" w:cs="宋体"/>
          <w:b/>
          <w:bCs/>
          <w:kern w:val="0"/>
        </w:rPr>
        <w:t>9汇总（商务技术得分情况）。</w:t>
      </w:r>
      <w:r>
        <w:rPr>
          <w:rFonts w:hint="eastAsia" w:ascii="宋体" w:hAnsi="宋体" w:cs="宋体"/>
          <w:kern w:val="0"/>
        </w:rPr>
        <w:t>评标委员会各成员应当独立对每个供应商的商务和技术文件进行评价，并汇总商务技术得分情况。</w:t>
      </w:r>
    </w:p>
    <w:p>
      <w:pPr>
        <w:pStyle w:val="21"/>
        <w:spacing w:before="0"/>
        <w:ind w:firstLine="482"/>
        <w:rPr>
          <w:rFonts w:ascii="宋体" w:hAnsi="宋体" w:cs="宋体"/>
          <w:kern w:val="0"/>
        </w:rPr>
      </w:pPr>
      <w:r>
        <w:rPr>
          <w:rFonts w:hint="eastAsia" w:ascii="宋体" w:hAnsi="宋体" w:cs="宋体"/>
          <w:b/>
          <w:bCs/>
          <w:kern w:val="0"/>
        </w:rPr>
        <w:t>10报价审核。</w:t>
      </w:r>
      <w:r>
        <w:rPr>
          <w:rFonts w:hint="eastAsia" w:ascii="宋体" w:hAnsi="宋体" w:cs="宋体"/>
          <w:kern w:val="0"/>
        </w:rPr>
        <w:t>对经商务和技术评审符合采购需求的供应商的报价承诺函的合理性、准确性等进行审查核实。</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供应商未提供报价承诺函的，投标无效。</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11汇总得分。</w:t>
      </w:r>
      <w:r>
        <w:rPr>
          <w:rFonts w:hint="eastAsia" w:ascii="宋体" w:hAnsi="宋体" w:eastAsia="宋体" w:cs="宋体"/>
          <w:kern w:val="0"/>
          <w:sz w:val="24"/>
          <w:szCs w:val="24"/>
        </w:rPr>
        <w:t>评标委员会各成员应当独立对每个供应商的投标文件进行评价，并汇总每个供应商的得分。</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12顺序排列与入围推荐。</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sz w:val="24"/>
          <w:szCs w:val="24"/>
        </w:rPr>
        <w:t>12.1</w:t>
      </w:r>
      <w:r>
        <w:rPr>
          <w:rFonts w:hint="eastAsia" w:ascii="宋体" w:hAnsi="宋体" w:eastAsia="宋体" w:cs="宋体"/>
          <w:b/>
          <w:bCs/>
          <w:kern w:val="0"/>
          <w:sz w:val="24"/>
          <w:szCs w:val="24"/>
        </w:rPr>
        <w:t>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12</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评标委员会根据排序从后往前按比例淘汰单位（淘汰比例为进入排序单位数量的20%，且至少淘汰一家供应商，向上取整数），淘汰后剩余单位多于36家，按照排序先后选择36家单位。</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12.</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入围供应商数量：最多36家。</w:t>
      </w:r>
    </w:p>
    <w:p>
      <w:pPr>
        <w:pStyle w:val="7"/>
        <w:adjustRightInd w:val="0"/>
        <w:spacing w:line="360" w:lineRule="auto"/>
        <w:ind w:firstLine="562"/>
        <w:rPr>
          <w:rFonts w:eastAsia="宋体"/>
        </w:rPr>
      </w:pPr>
      <w:r>
        <w:rPr>
          <w:rFonts w:hint="eastAsia" w:eastAsia="宋体"/>
          <w:b/>
          <w:bCs/>
          <w:spacing w:val="20"/>
        </w:rPr>
        <w:t>13投标无效。</w:t>
      </w:r>
      <w:r>
        <w:rPr>
          <w:rFonts w:hint="eastAsia" w:eastAsia="宋体"/>
        </w:rPr>
        <w:t>有下列情况之一的，投标无效：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13.1单位负责人为同一人或者存在直接控股、管理关系的不同供应商参加同一合同项下的政府采购活动的（均无效）；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13.2为采购项目提供整体设计、规范编制或者项目管理、监理、检测等服务的供应商再参加该采购项目的其他采购活动的；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13.3供应商不具备招标文件中规定的资格要求的（供应商未提供有效的资格证明文件的，视为供应商不具备招标文件中规定的资格要求）；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13.4如以联合体形式参加政府采购活动的，联合体协议不符合招标文件规定的联合体协议要求的；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13.5投标文件未按招标文件的澄清、修改的内容编制，又不符合实质性要求的；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13.6投标文件中法定代表人授权书所载内容与本项目内容有异的；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13.7投标文件未按照招标文件要求签署、盖章的；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13.8未传输递交电子投标文件的或规定时间内未解密或解密失败的；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13.9采购人拟采购的产品属于政府强制采购的节能产品品目清单范围的，供应商未按招标文件要求提供国家确定的认证机构出具的、处于有效期之内的节能产品认证证书的；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13.10投标文件含有采购人不能接受的附加条件的；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13.11投标文件中承诺的投标有效期少于招标文件中载明的投标有效期的；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13.12供应商所投内容不符合采购需求中实质性要求的；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13.13投标文件出现不是唯一的、有选择性投标报价的;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13.14未提供报价承诺函的;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13.15《开标一览表》填写不完整或字迹不能辨认或有漏项的；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13.16供应商提供虚假材料投标的（包括但不限于以下情节）；</w:t>
      </w:r>
    </w:p>
    <w:p>
      <w:pPr>
        <w:spacing w:line="360" w:lineRule="auto"/>
        <w:ind w:left="718" w:leftChars="342"/>
        <w:rPr>
          <w:rFonts w:hint="eastAsia" w:ascii="宋体" w:hAnsi="宋体" w:eastAsia="宋体" w:cs="宋体"/>
          <w:sz w:val="24"/>
          <w:szCs w:val="24"/>
          <w:lang w:eastAsia="zh-CN"/>
        </w:rPr>
      </w:pPr>
      <w:r>
        <w:rPr>
          <w:rFonts w:hint="eastAsia" w:ascii="宋体" w:hAnsi="宋体" w:eastAsia="宋体" w:cs="宋体"/>
          <w:sz w:val="24"/>
          <w:szCs w:val="24"/>
        </w:rPr>
        <w:t>13.16.1使用伪造、变造的许可证件；</w:t>
      </w:r>
    </w:p>
    <w:p>
      <w:pPr>
        <w:spacing w:line="360" w:lineRule="auto"/>
        <w:ind w:left="718" w:leftChars="342"/>
        <w:rPr>
          <w:rFonts w:hint="eastAsia" w:ascii="宋体" w:hAnsi="宋体" w:eastAsia="宋体" w:cs="宋体"/>
          <w:sz w:val="24"/>
          <w:szCs w:val="24"/>
          <w:lang w:eastAsia="zh-CN"/>
        </w:rPr>
      </w:pPr>
      <w:r>
        <w:rPr>
          <w:rFonts w:hint="eastAsia" w:ascii="宋体" w:hAnsi="宋体" w:eastAsia="宋体" w:cs="宋体"/>
          <w:sz w:val="24"/>
          <w:szCs w:val="24"/>
        </w:rPr>
        <w:t>13.16.2提供虚假的财务状况或者业绩；</w:t>
      </w:r>
    </w:p>
    <w:p>
      <w:pPr>
        <w:spacing w:line="360" w:lineRule="auto"/>
        <w:ind w:left="718" w:leftChars="342"/>
        <w:rPr>
          <w:rFonts w:hint="eastAsia" w:ascii="宋体" w:hAnsi="宋体" w:eastAsia="宋体" w:cs="宋体"/>
          <w:sz w:val="24"/>
          <w:szCs w:val="24"/>
          <w:lang w:eastAsia="zh-CN"/>
        </w:rPr>
      </w:pPr>
      <w:r>
        <w:rPr>
          <w:rFonts w:hint="eastAsia" w:ascii="宋体" w:hAnsi="宋体" w:eastAsia="宋体" w:cs="宋体"/>
          <w:sz w:val="24"/>
          <w:szCs w:val="24"/>
        </w:rPr>
        <w:t>13.16.3提供虚假的项目负责人或者主要技术人员简历、劳动关系证明；</w:t>
      </w:r>
    </w:p>
    <w:p>
      <w:pPr>
        <w:spacing w:line="360" w:lineRule="auto"/>
        <w:ind w:left="718" w:leftChars="342"/>
        <w:rPr>
          <w:rFonts w:hint="eastAsia" w:ascii="宋体" w:hAnsi="宋体" w:eastAsia="宋体" w:cs="宋体"/>
          <w:sz w:val="24"/>
          <w:szCs w:val="24"/>
          <w:lang w:eastAsia="zh-CN"/>
        </w:rPr>
      </w:pPr>
      <w:r>
        <w:rPr>
          <w:rFonts w:hint="eastAsia" w:ascii="宋体" w:hAnsi="宋体" w:eastAsia="宋体" w:cs="宋体"/>
          <w:sz w:val="24"/>
          <w:szCs w:val="24"/>
        </w:rPr>
        <w:t>13.16.4提供虚假的信用状况；</w:t>
      </w:r>
    </w:p>
    <w:p>
      <w:pPr>
        <w:spacing w:line="360" w:lineRule="auto"/>
        <w:ind w:left="718" w:leftChars="342"/>
        <w:rPr>
          <w:rFonts w:ascii="宋体" w:hAnsi="宋体" w:eastAsia="宋体" w:cs="宋体"/>
          <w:sz w:val="24"/>
          <w:szCs w:val="24"/>
        </w:rPr>
      </w:pPr>
      <w:r>
        <w:rPr>
          <w:rFonts w:hint="eastAsia" w:ascii="宋体" w:hAnsi="宋体" w:eastAsia="宋体" w:cs="宋体"/>
          <w:sz w:val="24"/>
          <w:szCs w:val="24"/>
        </w:rPr>
        <w:t>13.16.5其他弄虚作假的行为。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13.17供应商有恶意串通、妨碍其他供应商的竞争行为、损害采购人或者其</w:t>
      </w:r>
    </w:p>
    <w:p>
      <w:pPr>
        <w:spacing w:line="360" w:lineRule="auto"/>
        <w:rPr>
          <w:rFonts w:ascii="宋体" w:hAnsi="宋体" w:eastAsia="宋体" w:cs="宋体"/>
        </w:rPr>
      </w:pPr>
      <w:r>
        <w:rPr>
          <w:rFonts w:hint="eastAsia" w:ascii="宋体" w:hAnsi="宋体" w:eastAsia="宋体" w:cs="宋体"/>
          <w:sz w:val="24"/>
          <w:szCs w:val="24"/>
        </w:rPr>
        <w:t>他供应商的合法权益情形的；有下列情形之一的，属于或视为恶意串通，其投标无效；</w:t>
      </w:r>
    </w:p>
    <w:p>
      <w:pPr>
        <w:spacing w:line="360" w:lineRule="auto"/>
        <w:ind w:left="239" w:leftChars="114" w:firstLine="480" w:firstLineChars="200"/>
        <w:rPr>
          <w:rFonts w:ascii="宋体" w:hAnsi="宋体" w:eastAsia="宋体" w:cs="宋体"/>
        </w:rPr>
      </w:pPr>
      <w:r>
        <w:rPr>
          <w:rFonts w:hint="eastAsia" w:ascii="宋体" w:hAnsi="宋体" w:eastAsia="宋体" w:cs="宋体"/>
          <w:sz w:val="24"/>
          <w:szCs w:val="24"/>
        </w:rPr>
        <w:t>13.17.1供应商直接或者间接从采购人或者采购代理机构处获得其他供应商的相关情况并修改其投标文件或者响应文件；</w:t>
      </w:r>
    </w:p>
    <w:p>
      <w:pPr>
        <w:spacing w:line="360" w:lineRule="auto"/>
        <w:ind w:left="239" w:leftChars="114" w:firstLine="480" w:firstLineChars="200"/>
        <w:rPr>
          <w:rFonts w:ascii="宋体" w:hAnsi="宋体" w:eastAsia="宋体" w:cs="宋体"/>
          <w:sz w:val="24"/>
          <w:szCs w:val="24"/>
        </w:rPr>
      </w:pPr>
      <w:r>
        <w:rPr>
          <w:rFonts w:hint="eastAsia" w:ascii="宋体" w:hAnsi="宋体" w:eastAsia="宋体" w:cs="宋体"/>
          <w:sz w:val="24"/>
          <w:szCs w:val="24"/>
        </w:rPr>
        <w:t>13.17.2供应商按照采购人或者采购代理机构的授意撤换、修改投标文件或者响应文件；</w:t>
      </w:r>
    </w:p>
    <w:p>
      <w:pPr>
        <w:spacing w:line="360" w:lineRule="auto"/>
        <w:ind w:left="239" w:leftChars="114" w:firstLine="480" w:firstLineChars="200"/>
        <w:rPr>
          <w:rFonts w:ascii="宋体" w:hAnsi="宋体" w:eastAsia="宋体" w:cs="宋体"/>
          <w:sz w:val="24"/>
          <w:szCs w:val="24"/>
        </w:rPr>
      </w:pPr>
      <w:r>
        <w:rPr>
          <w:rFonts w:hint="eastAsia" w:ascii="宋体" w:hAnsi="宋体" w:eastAsia="宋体" w:cs="宋体"/>
          <w:sz w:val="24"/>
          <w:szCs w:val="24"/>
        </w:rPr>
        <w:t>13.17.3供应商之间协商报价、技术方案等投标文件或者响应文件的实质性内容；</w:t>
      </w:r>
    </w:p>
    <w:p>
      <w:pPr>
        <w:spacing w:line="360" w:lineRule="auto"/>
        <w:ind w:left="239" w:leftChars="114" w:firstLine="480" w:firstLineChars="200"/>
        <w:rPr>
          <w:rFonts w:ascii="宋体" w:hAnsi="宋体" w:eastAsia="宋体" w:cs="宋体"/>
          <w:sz w:val="24"/>
          <w:szCs w:val="24"/>
        </w:rPr>
      </w:pPr>
      <w:r>
        <w:rPr>
          <w:rFonts w:hint="eastAsia" w:ascii="宋体" w:hAnsi="宋体" w:eastAsia="宋体" w:cs="宋体"/>
          <w:sz w:val="24"/>
          <w:szCs w:val="24"/>
        </w:rPr>
        <w:t>13.17.4属于同一集团、协会、商会等组织成员的供应商按照该组织要求协同参加政府采购活动；</w:t>
      </w:r>
    </w:p>
    <w:p>
      <w:pPr>
        <w:spacing w:line="360" w:lineRule="auto"/>
        <w:ind w:firstLine="720" w:firstLineChars="300"/>
        <w:rPr>
          <w:rFonts w:ascii="宋体" w:hAnsi="宋体" w:eastAsia="宋体" w:cs="宋体"/>
        </w:rPr>
      </w:pPr>
      <w:r>
        <w:rPr>
          <w:rFonts w:hint="eastAsia" w:ascii="宋体" w:hAnsi="宋体" w:eastAsia="宋体" w:cs="宋体"/>
          <w:sz w:val="24"/>
          <w:szCs w:val="24"/>
        </w:rPr>
        <w:t>13.17.5供应商之间事先约定由某一特定供应商入围、成交；</w:t>
      </w:r>
    </w:p>
    <w:p>
      <w:pPr>
        <w:spacing w:line="360" w:lineRule="auto"/>
        <w:ind w:left="239" w:leftChars="114" w:firstLine="480" w:firstLineChars="200"/>
        <w:rPr>
          <w:rFonts w:ascii="宋体" w:hAnsi="宋体" w:eastAsia="宋体" w:cs="宋体"/>
          <w:sz w:val="24"/>
          <w:szCs w:val="24"/>
        </w:rPr>
      </w:pPr>
      <w:r>
        <w:rPr>
          <w:rFonts w:hint="eastAsia" w:ascii="宋体" w:hAnsi="宋体" w:eastAsia="宋体" w:cs="宋体"/>
          <w:sz w:val="24"/>
          <w:szCs w:val="24"/>
        </w:rPr>
        <w:t>13.17.6供应商之间商定部分供应商放弃参加政府采购活动或者放弃入围、成交；</w:t>
      </w:r>
    </w:p>
    <w:p>
      <w:pPr>
        <w:spacing w:line="360" w:lineRule="auto"/>
        <w:ind w:left="239" w:leftChars="114" w:firstLine="480" w:firstLineChars="200"/>
        <w:rPr>
          <w:rFonts w:ascii="宋体" w:hAnsi="宋体" w:eastAsia="宋体" w:cs="宋体"/>
        </w:rPr>
      </w:pPr>
      <w:r>
        <w:rPr>
          <w:rFonts w:hint="eastAsia" w:ascii="宋体" w:hAnsi="宋体" w:eastAsia="宋体" w:cs="宋体"/>
          <w:sz w:val="24"/>
          <w:szCs w:val="24"/>
        </w:rPr>
        <w:t>13.17.7供应商与采购人或者采购代理机构之间、供应商相互之间，为谋求特定供应商中标、成交或者排斥其他供应商的其他串通行为。</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13.17.8不同供应商的投标文件由同一单位或者个人编制；</w:t>
      </w:r>
    </w:p>
    <w:p>
      <w:pPr>
        <w:spacing w:line="360" w:lineRule="auto"/>
        <w:ind w:firstLine="720" w:firstLineChars="300"/>
        <w:rPr>
          <w:rFonts w:ascii="宋体" w:hAnsi="宋体" w:eastAsia="宋体" w:cs="宋体"/>
        </w:rPr>
      </w:pPr>
      <w:r>
        <w:rPr>
          <w:rFonts w:hint="eastAsia" w:ascii="宋体" w:hAnsi="宋体" w:eastAsia="宋体" w:cs="宋体"/>
          <w:sz w:val="24"/>
          <w:szCs w:val="24"/>
        </w:rPr>
        <w:t>13.17.9不同供应商委托同一单位或者个人办理投标事宜；</w:t>
      </w:r>
    </w:p>
    <w:p>
      <w:pPr>
        <w:spacing w:line="360" w:lineRule="auto"/>
        <w:ind w:left="239" w:leftChars="114" w:firstLine="480" w:firstLineChars="200"/>
        <w:rPr>
          <w:rFonts w:ascii="宋体" w:hAnsi="宋体" w:eastAsia="宋体" w:cs="宋体"/>
          <w:sz w:val="24"/>
          <w:szCs w:val="24"/>
        </w:rPr>
      </w:pPr>
      <w:r>
        <w:rPr>
          <w:rFonts w:hint="eastAsia" w:ascii="宋体" w:hAnsi="宋体" w:eastAsia="宋体" w:cs="宋体"/>
          <w:sz w:val="24"/>
          <w:szCs w:val="24"/>
        </w:rPr>
        <w:t>13.17.10不同供应商的投标文件载明的项目管理成员或者联系人员为同一人；</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13.17.11不同供应商的投标文件异常一致。</w:t>
      </w:r>
    </w:p>
    <w:p>
      <w:pPr>
        <w:pStyle w:val="6"/>
        <w:ind w:firstLine="480" w:firstLineChars="200"/>
        <w:rPr>
          <w:rFonts w:hAnsi="宋体" w:cs="宋体"/>
          <w:lang w:val="en-US"/>
        </w:rPr>
      </w:pPr>
      <w:r>
        <w:rPr>
          <w:rFonts w:hint="eastAsia" w:hAnsi="宋体" w:cs="宋体"/>
          <w:szCs w:val="24"/>
          <w:lang w:val="en-US"/>
        </w:rPr>
        <w:t>13.18供应商未按招标文件要求提供廉洁承诺书的；</w:t>
      </w:r>
    </w:p>
    <w:p>
      <w:pPr>
        <w:spacing w:line="360" w:lineRule="auto"/>
        <w:ind w:firstLine="480" w:firstLineChars="200"/>
        <w:rPr>
          <w:rFonts w:ascii="宋体" w:hAnsi="宋体" w:eastAsia="宋体" w:cs="宋体"/>
        </w:rPr>
      </w:pPr>
      <w:r>
        <w:rPr>
          <w:rFonts w:hint="eastAsia" w:ascii="宋体" w:hAnsi="宋体" w:eastAsia="宋体" w:cs="宋体"/>
          <w:sz w:val="24"/>
          <w:szCs w:val="24"/>
        </w:rPr>
        <w:t>13.19法律、法规、规章（适用本市的）及省级以上规范性文件（适用本市的）规定的其他无效情形。</w:t>
      </w: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五、评标报告</w:t>
      </w:r>
    </w:p>
    <w:p>
      <w:pPr>
        <w:pStyle w:val="21"/>
        <w:spacing w:before="0"/>
        <w:ind w:firstLine="482"/>
        <w:rPr>
          <w:rFonts w:ascii="宋体" w:hAnsi="宋体" w:cs="宋体"/>
        </w:rPr>
      </w:pPr>
      <w:r>
        <w:rPr>
          <w:rFonts w:hint="eastAsia" w:ascii="宋体" w:hAnsi="宋体" w:cs="宋体"/>
          <w:b/>
          <w:bCs/>
        </w:rPr>
        <w:t>14评标报告与推荐入围供应商。</w:t>
      </w:r>
      <w:r>
        <w:rPr>
          <w:rFonts w:hint="eastAsia" w:ascii="宋体" w:hAnsi="宋体" w:cs="宋体"/>
        </w:rPr>
        <w:t>评标委员会根据全体评标成员签字的原始评标记录和评标结果编写评标报告，并推荐</w:t>
      </w:r>
      <w:r>
        <w:rPr>
          <w:rFonts w:hint="eastAsia" w:ascii="宋体" w:hAnsi="宋体" w:cs="宋体"/>
          <w:bCs/>
        </w:rPr>
        <w:t>入围供应商</w:t>
      </w:r>
      <w:r>
        <w:rPr>
          <w:rFonts w:hint="eastAsia" w:ascii="宋体" w:hAnsi="宋体" w:cs="宋体"/>
        </w:rPr>
        <w:t>，评审报告由评标委员会成员签字确认提交。</w:t>
      </w:r>
    </w:p>
    <w:p>
      <w:pPr>
        <w:widowControl/>
        <w:spacing w:before="100" w:beforeAutospacing="1" w:after="100" w:afterAutospacing="1" w:line="360" w:lineRule="auto"/>
        <w:ind w:firstLine="482" w:firstLineChars="200"/>
        <w:jc w:val="left"/>
        <w:rPr>
          <w:rFonts w:ascii="宋体" w:hAnsi="宋体" w:eastAsia="宋体" w:cs="宋体"/>
        </w:rPr>
      </w:pPr>
      <w:r>
        <w:rPr>
          <w:rFonts w:hint="eastAsia" w:ascii="宋体" w:hAnsi="宋体" w:eastAsia="宋体" w:cs="宋体"/>
          <w:b/>
          <w:bCs/>
          <w:sz w:val="24"/>
          <w:szCs w:val="24"/>
        </w:rPr>
        <w:t>15评标争议事项处理。</w:t>
      </w: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ind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六、 废标</w:t>
      </w:r>
    </w:p>
    <w:p>
      <w:pPr>
        <w:pStyle w:val="7"/>
        <w:adjustRightInd w:val="0"/>
        <w:snapToGrid w:val="0"/>
        <w:spacing w:line="360" w:lineRule="auto"/>
        <w:ind w:firstLine="482"/>
        <w:rPr>
          <w:rFonts w:eastAsia="宋体"/>
        </w:rPr>
      </w:pPr>
      <w:r>
        <w:rPr>
          <w:rFonts w:hint="eastAsia" w:eastAsia="宋体"/>
          <w:b/>
          <w:bCs/>
        </w:rPr>
        <w:t>16废标。</w:t>
      </w:r>
      <w:r>
        <w:rPr>
          <w:rFonts w:hint="eastAsia" w:eastAsia="宋体"/>
        </w:rPr>
        <w:t>根据《中华人民共和国政府采购法》第三十六条之规定，在采购中，出现下列情形之一的，应予废标：</w:t>
      </w:r>
    </w:p>
    <w:p>
      <w:pPr>
        <w:pStyle w:val="7"/>
        <w:adjustRightInd w:val="0"/>
        <w:snapToGrid w:val="0"/>
        <w:spacing w:line="360" w:lineRule="auto"/>
        <w:rPr>
          <w:rFonts w:eastAsia="宋体"/>
        </w:rPr>
      </w:pPr>
      <w:r>
        <w:rPr>
          <w:rFonts w:hint="eastAsia" w:eastAsia="宋体"/>
        </w:rPr>
        <w:t>16.1符合专业条件的供应商或者对招标文件作实质响应的供应商不足3家的；</w:t>
      </w:r>
    </w:p>
    <w:p>
      <w:pPr>
        <w:pStyle w:val="7"/>
        <w:adjustRightInd w:val="0"/>
        <w:snapToGrid w:val="0"/>
        <w:spacing w:line="360" w:lineRule="auto"/>
        <w:rPr>
          <w:rFonts w:eastAsia="宋体"/>
        </w:rPr>
      </w:pPr>
      <w:r>
        <w:rPr>
          <w:rFonts w:hint="eastAsia" w:eastAsia="宋体"/>
        </w:rPr>
        <w:t>16.2出现影响采购公正的违法、违规行为的；</w:t>
      </w:r>
    </w:p>
    <w:p>
      <w:pPr>
        <w:pStyle w:val="7"/>
        <w:adjustRightInd w:val="0"/>
        <w:snapToGrid w:val="0"/>
        <w:spacing w:line="360" w:lineRule="auto"/>
        <w:rPr>
          <w:rFonts w:eastAsia="宋体"/>
        </w:rPr>
      </w:pPr>
      <w:r>
        <w:rPr>
          <w:rFonts w:hint="eastAsia" w:eastAsia="宋体"/>
        </w:rPr>
        <w:t>16.3因重大变故，采购任务取消的。</w:t>
      </w:r>
    </w:p>
    <w:p>
      <w:pPr>
        <w:pStyle w:val="7"/>
        <w:adjustRightInd w:val="0"/>
        <w:snapToGrid w:val="0"/>
        <w:spacing w:line="360" w:lineRule="auto"/>
        <w:rPr>
          <w:rFonts w:eastAsia="宋体"/>
        </w:rPr>
      </w:pPr>
      <w:r>
        <w:rPr>
          <w:rFonts w:hint="eastAsia" w:eastAsia="宋体"/>
        </w:rPr>
        <w:t>废标后，采购代理机构应当将废标理由通知所有供应商。</w:t>
      </w: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七、 重新组织采购或补充征集供应商</w:t>
      </w:r>
    </w:p>
    <w:p>
      <w:pPr>
        <w:pStyle w:val="7"/>
        <w:adjustRightInd w:val="0"/>
        <w:snapToGrid w:val="0"/>
        <w:spacing w:line="360" w:lineRule="auto"/>
        <w:ind w:firstLine="482"/>
        <w:rPr>
          <w:rFonts w:eastAsia="宋体"/>
        </w:rPr>
      </w:pPr>
      <w:r>
        <w:rPr>
          <w:rFonts w:hint="eastAsia" w:eastAsia="宋体"/>
          <w:b/>
          <w:bCs/>
        </w:rPr>
        <w:t>17修改招标文件，重新组织采购活动。</w:t>
      </w:r>
      <w:r>
        <w:rPr>
          <w:rFonts w:hint="eastAsia" w:eastAsia="宋体"/>
        </w:rPr>
        <w:t>评标委员会发现招标文件存在歧义、重大缺陷且无法修正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adjustRightInd w:val="0"/>
        <w:snapToGrid w:val="0"/>
        <w:spacing w:line="360" w:lineRule="auto"/>
        <w:ind w:firstLine="482"/>
        <w:rPr>
          <w:rFonts w:eastAsia="宋体"/>
          <w:b/>
          <w:bCs/>
        </w:rPr>
      </w:pPr>
      <w:r>
        <w:rPr>
          <w:rFonts w:hint="eastAsia" w:eastAsia="宋体"/>
          <w:b/>
          <w:bCs/>
          <w:kern w:val="0"/>
        </w:rPr>
        <w:t>18重新开展采购。</w:t>
      </w:r>
      <w:r>
        <w:rPr>
          <w:rFonts w:hint="eastAsia" w:eastAsia="宋体"/>
          <w:b/>
          <w:bCs/>
        </w:rPr>
        <w:t>有政府采购法第七十一条、第七十二条规定的违法行为之一，影响或者可能影响入围结果的，依照下列规定处理：</w:t>
      </w:r>
    </w:p>
    <w:p>
      <w:pPr>
        <w:pStyle w:val="7"/>
        <w:adjustRightInd w:val="0"/>
        <w:snapToGrid w:val="0"/>
        <w:spacing w:line="360" w:lineRule="auto"/>
        <w:ind w:firstLine="482"/>
        <w:rPr>
          <w:rFonts w:eastAsia="宋体"/>
          <w:b/>
          <w:bCs/>
        </w:rPr>
      </w:pPr>
      <w:r>
        <w:rPr>
          <w:rFonts w:hint="eastAsia" w:eastAsia="宋体"/>
          <w:b/>
          <w:bCs/>
        </w:rPr>
        <w:t>18.1未确定入围供应商的，终止本次政府采购活动，重新开展政府采购活动。</w:t>
      </w:r>
    </w:p>
    <w:p>
      <w:pPr>
        <w:pStyle w:val="7"/>
        <w:adjustRightInd w:val="0"/>
        <w:snapToGrid w:val="0"/>
        <w:spacing w:line="360" w:lineRule="auto"/>
        <w:ind w:firstLine="482"/>
        <w:rPr>
          <w:rFonts w:eastAsia="宋体"/>
          <w:b/>
          <w:bCs/>
        </w:rPr>
      </w:pPr>
      <w:r>
        <w:rPr>
          <w:rFonts w:hint="eastAsia" w:eastAsia="宋体"/>
          <w:b/>
          <w:bCs/>
        </w:rPr>
        <w:t>18.2已确定入围供应商但尚未签订框架协议的，对违法单位直接取消其入围资格且禁止其参与下一次框架协议的签订。</w:t>
      </w:r>
    </w:p>
    <w:p>
      <w:pPr>
        <w:pStyle w:val="7"/>
        <w:adjustRightInd w:val="0"/>
        <w:snapToGrid w:val="0"/>
        <w:spacing w:line="360" w:lineRule="auto"/>
        <w:ind w:firstLine="482"/>
        <w:rPr>
          <w:rFonts w:eastAsia="宋体"/>
          <w:b/>
          <w:bCs/>
        </w:rPr>
      </w:pPr>
      <w:r>
        <w:rPr>
          <w:rFonts w:hint="eastAsia" w:eastAsia="宋体"/>
          <w:b/>
          <w:bCs/>
        </w:rPr>
        <w:t>18.3框架协议已签订但尚未履行的，取消其框架协议，被取消框架协议单位超过30%且影响框架协议执行的情形时，采购人将补充征集供应商，补充征集文件按照本次要求不得随意变更。</w:t>
      </w:r>
    </w:p>
    <w:p>
      <w:pPr>
        <w:pStyle w:val="7"/>
        <w:adjustRightInd w:val="0"/>
        <w:snapToGrid w:val="0"/>
        <w:spacing w:line="360" w:lineRule="auto"/>
        <w:ind w:firstLine="482"/>
        <w:rPr>
          <w:rFonts w:eastAsia="宋体"/>
          <w:b/>
          <w:bCs/>
        </w:rPr>
      </w:pPr>
      <w:r>
        <w:rPr>
          <w:rFonts w:hint="eastAsia" w:eastAsia="宋体"/>
          <w:b/>
          <w:bCs/>
        </w:rPr>
        <w:t>18.4单项服务合同已经履行，给采购人、供应商造成损失的，由责任人承担赔偿责任。</w:t>
      </w: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八、评审过程的保密与录像</w:t>
      </w:r>
    </w:p>
    <w:p>
      <w:pPr>
        <w:widowControl/>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19保密。</w:t>
      </w:r>
      <w:r>
        <w:rPr>
          <w:rFonts w:hint="eastAsia" w:ascii="宋体" w:hAnsi="宋体" w:eastAsia="宋体" w:cs="宋体"/>
          <w:sz w:val="24"/>
          <w:szCs w:val="24"/>
        </w:rPr>
        <w:t>评审活动在严格保密的情况下进行。评审过程中凡是与采购响应文件评审和比较、入围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82" w:firstLineChars="200"/>
        <w:rPr>
          <w:rFonts w:ascii="宋体" w:hAnsi="宋体" w:eastAsia="宋体" w:cs="宋体"/>
        </w:rPr>
      </w:pPr>
      <w:r>
        <w:rPr>
          <w:rFonts w:hint="eastAsia" w:ascii="宋体" w:hAnsi="宋体" w:eastAsia="宋体" w:cs="宋体"/>
          <w:b/>
          <w:bCs/>
          <w:sz w:val="24"/>
          <w:szCs w:val="24"/>
        </w:rPr>
        <w:t>20录音录像。</w:t>
      </w:r>
      <w:r>
        <w:rPr>
          <w:rFonts w:hint="eastAsia" w:ascii="宋体" w:hAnsi="宋体" w:eastAsia="宋体" w:cs="宋体"/>
          <w:sz w:val="24"/>
          <w:szCs w:val="24"/>
        </w:rPr>
        <w:t>采购代理机构对评审工作现场进行全过程录音录像，录音录像资料作为采购项目文件随其他文件一并存档。</w:t>
      </w:r>
    </w:p>
    <w:p>
      <w:pPr>
        <w:snapToGrid w:val="0"/>
        <w:spacing w:line="360" w:lineRule="auto"/>
        <w:ind w:left="118" w:leftChars="56" w:firstLine="643" w:firstLineChars="200"/>
        <w:jc w:val="center"/>
        <w:outlineLvl w:val="1"/>
        <w:rPr>
          <w:rFonts w:ascii="宋体" w:hAnsi="宋体" w:eastAsia="宋体" w:cs="宋体"/>
          <w:b/>
          <w:bCs/>
          <w:sz w:val="32"/>
          <w:szCs w:val="32"/>
        </w:rPr>
      </w:pPr>
    </w:p>
    <w:p>
      <w:pPr>
        <w:snapToGrid w:val="0"/>
        <w:spacing w:line="360" w:lineRule="auto"/>
        <w:ind w:left="118" w:leftChars="56" w:firstLine="643" w:firstLineChars="200"/>
        <w:jc w:val="center"/>
        <w:outlineLvl w:val="1"/>
        <w:rPr>
          <w:rFonts w:ascii="宋体" w:hAnsi="宋体" w:eastAsia="宋体" w:cs="宋体"/>
          <w:b/>
          <w:bCs/>
          <w:sz w:val="32"/>
          <w:szCs w:val="32"/>
        </w:rPr>
      </w:pPr>
    </w:p>
    <w:p>
      <w:pPr>
        <w:snapToGrid w:val="0"/>
        <w:spacing w:line="360" w:lineRule="auto"/>
        <w:ind w:left="118" w:leftChars="56" w:firstLine="643" w:firstLineChars="200"/>
        <w:jc w:val="center"/>
        <w:outlineLvl w:val="1"/>
        <w:rPr>
          <w:rFonts w:ascii="宋体" w:hAnsi="宋体" w:eastAsia="宋体" w:cs="宋体"/>
          <w:b/>
          <w:bCs/>
          <w:sz w:val="32"/>
          <w:szCs w:val="32"/>
        </w:rPr>
      </w:pPr>
      <w:r>
        <w:rPr>
          <w:rFonts w:hint="eastAsia" w:ascii="宋体" w:hAnsi="宋体" w:eastAsia="宋体" w:cs="宋体"/>
          <w:b/>
          <w:bCs/>
          <w:sz w:val="32"/>
          <w:szCs w:val="32"/>
        </w:rPr>
        <w:t>九、具体评标标准</w:t>
      </w:r>
    </w:p>
    <w:p>
      <w:pPr>
        <w:autoSpaceDE w:val="0"/>
        <w:autoSpaceDN w:val="0"/>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21本项目采用质量优先法，各供应商的最终得分为供应商的商务技术得分，总分为</w:t>
      </w:r>
      <w:r>
        <w:rPr>
          <w:rFonts w:hint="eastAsia" w:ascii="宋体" w:hAnsi="宋体" w:eastAsia="宋体" w:cs="宋体"/>
          <w:b/>
          <w:bCs/>
          <w:sz w:val="24"/>
          <w:szCs w:val="24"/>
          <w:u w:val="single"/>
        </w:rPr>
        <w:t>100</w:t>
      </w:r>
      <w:r>
        <w:rPr>
          <w:rFonts w:hint="eastAsia" w:ascii="宋体" w:hAnsi="宋体" w:eastAsia="宋体" w:cs="宋体"/>
          <w:b/>
          <w:bCs/>
          <w:sz w:val="24"/>
          <w:szCs w:val="24"/>
        </w:rPr>
        <w:t>分，投标价格不作为评审因素。</w:t>
      </w:r>
    </w:p>
    <w:p>
      <w:pPr>
        <w:tabs>
          <w:tab w:val="left" w:pos="0"/>
        </w:tabs>
        <w:spacing w:line="460" w:lineRule="exact"/>
        <w:ind w:firstLine="482" w:firstLineChars="200"/>
        <w:rPr>
          <w:rFonts w:ascii="宋体" w:hAnsi="宋体" w:eastAsia="宋体" w:cs="宋体"/>
        </w:rPr>
      </w:pPr>
      <w:r>
        <w:rPr>
          <w:rFonts w:hint="eastAsia" w:ascii="宋体" w:hAnsi="宋体" w:eastAsia="宋体" w:cs="宋体"/>
          <w:b/>
          <w:bCs/>
          <w:sz w:val="24"/>
          <w:szCs w:val="24"/>
        </w:rPr>
        <w:t xml:space="preserve">22各供应商的商务技术得分为：评标委员会各成员评分的算术平均值（四舍五入保留二位小数）。                                                                  </w:t>
      </w:r>
    </w:p>
    <w:p>
      <w:pPr>
        <w:tabs>
          <w:tab w:val="left" w:pos="0"/>
        </w:tabs>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  </w:t>
      </w:r>
    </w:p>
    <w:p>
      <w:pPr>
        <w:tabs>
          <w:tab w:val="left" w:pos="0"/>
        </w:tabs>
        <w:spacing w:line="460" w:lineRule="exact"/>
        <w:ind w:firstLine="482" w:firstLineChars="200"/>
        <w:rPr>
          <w:rFonts w:hint="eastAsia" w:ascii="宋体" w:hAnsi="宋体" w:eastAsia="宋体" w:cs="宋体"/>
          <w:b/>
          <w:bCs/>
          <w:sz w:val="24"/>
          <w:szCs w:val="24"/>
        </w:rPr>
      </w:pPr>
    </w:p>
    <w:p>
      <w:pPr>
        <w:tabs>
          <w:tab w:val="left" w:pos="0"/>
        </w:tabs>
        <w:spacing w:line="460" w:lineRule="exact"/>
        <w:ind w:firstLine="482" w:firstLineChars="200"/>
        <w:rPr>
          <w:rFonts w:hint="eastAsia" w:ascii="宋体" w:hAnsi="宋体" w:eastAsia="宋体" w:cs="宋体"/>
          <w:b/>
          <w:bCs/>
          <w:sz w:val="24"/>
          <w:szCs w:val="24"/>
        </w:rPr>
      </w:pPr>
    </w:p>
    <w:p>
      <w:pPr>
        <w:tabs>
          <w:tab w:val="left" w:pos="0"/>
        </w:tabs>
        <w:spacing w:line="460" w:lineRule="exact"/>
        <w:ind w:firstLine="482" w:firstLineChars="200"/>
        <w:rPr>
          <w:rFonts w:hint="eastAsia" w:ascii="宋体" w:hAnsi="宋体" w:eastAsia="宋体" w:cs="宋体"/>
          <w:b/>
          <w:bCs/>
          <w:sz w:val="24"/>
          <w:szCs w:val="24"/>
        </w:rPr>
      </w:pPr>
    </w:p>
    <w:p>
      <w:pPr>
        <w:tabs>
          <w:tab w:val="left" w:pos="0"/>
        </w:tabs>
        <w:spacing w:line="460" w:lineRule="exact"/>
        <w:ind w:firstLine="482" w:firstLineChars="200"/>
        <w:rPr>
          <w:rFonts w:hint="eastAsia" w:ascii="宋体" w:hAnsi="宋体" w:eastAsia="宋体" w:cs="宋体"/>
          <w:b/>
          <w:bCs/>
          <w:sz w:val="24"/>
          <w:szCs w:val="24"/>
        </w:rPr>
      </w:pPr>
    </w:p>
    <w:p>
      <w:pPr>
        <w:tabs>
          <w:tab w:val="left" w:pos="0"/>
        </w:tabs>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23 评标办法细则</w:t>
      </w:r>
    </w:p>
    <w:tbl>
      <w:tblPr>
        <w:tblStyle w:val="16"/>
        <w:tblpPr w:leftFromText="180" w:rightFromText="180" w:vertAnchor="text" w:horzAnchor="page" w:tblpXSpec="center" w:tblpY="126"/>
        <w:tblW w:w="47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33"/>
        <w:gridCol w:w="6254"/>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26" w:type="pct"/>
            <w:vAlign w:val="center"/>
          </w:tcPr>
          <w:p>
            <w:pPr>
              <w:spacing w:line="360" w:lineRule="auto"/>
              <w:outlineLvl w:val="0"/>
              <w:rPr>
                <w:rFonts w:ascii="宋体" w:hAnsi="宋体" w:eastAsia="宋体" w:cs="宋体"/>
                <w:bCs/>
                <w:sz w:val="24"/>
              </w:rPr>
            </w:pPr>
            <w:r>
              <w:rPr>
                <w:rFonts w:hint="eastAsia" w:ascii="宋体" w:hAnsi="宋体" w:eastAsia="宋体" w:cs="宋体"/>
                <w:bCs/>
                <w:sz w:val="24"/>
              </w:rPr>
              <w:t>序号</w:t>
            </w:r>
          </w:p>
        </w:tc>
        <w:tc>
          <w:tcPr>
            <w:tcW w:w="269" w:type="pct"/>
            <w:vAlign w:val="center"/>
          </w:tcPr>
          <w:p>
            <w:pPr>
              <w:spacing w:line="360" w:lineRule="auto"/>
              <w:ind w:firstLine="1560" w:firstLineChars="650"/>
              <w:outlineLvl w:val="0"/>
              <w:rPr>
                <w:rFonts w:ascii="宋体" w:hAnsi="宋体" w:eastAsia="宋体" w:cs="宋体"/>
                <w:bCs/>
                <w:sz w:val="24"/>
              </w:rPr>
            </w:pPr>
          </w:p>
        </w:tc>
        <w:tc>
          <w:tcPr>
            <w:tcW w:w="3881" w:type="pct"/>
            <w:vAlign w:val="center"/>
          </w:tcPr>
          <w:p>
            <w:pPr>
              <w:spacing w:line="360" w:lineRule="auto"/>
              <w:jc w:val="center"/>
              <w:outlineLvl w:val="0"/>
              <w:rPr>
                <w:rFonts w:ascii="宋体" w:hAnsi="宋体" w:eastAsia="宋体" w:cs="宋体"/>
                <w:bCs/>
                <w:sz w:val="24"/>
              </w:rPr>
            </w:pPr>
            <w:r>
              <w:rPr>
                <w:rFonts w:hint="eastAsia" w:ascii="宋体" w:hAnsi="宋体" w:eastAsia="宋体" w:cs="宋体"/>
                <w:bCs/>
                <w:sz w:val="24"/>
              </w:rPr>
              <w:t>评标标准</w:t>
            </w:r>
          </w:p>
        </w:tc>
        <w:tc>
          <w:tcPr>
            <w:tcW w:w="522" w:type="pct"/>
            <w:vAlign w:val="center"/>
          </w:tcPr>
          <w:p>
            <w:pPr>
              <w:spacing w:line="360" w:lineRule="auto"/>
              <w:jc w:val="center"/>
              <w:outlineLvl w:val="0"/>
              <w:rPr>
                <w:rFonts w:ascii="宋体" w:hAnsi="宋体" w:eastAsia="宋体" w:cs="宋体"/>
                <w:bCs/>
                <w:sz w:val="24"/>
              </w:rPr>
            </w:pPr>
            <w:r>
              <w:rPr>
                <w:rFonts w:hint="eastAsia" w:ascii="宋体" w:hAnsi="宋体" w:eastAsia="宋体" w:cs="宋体"/>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1</w:t>
            </w:r>
          </w:p>
        </w:tc>
        <w:tc>
          <w:tcPr>
            <w:tcW w:w="269" w:type="pct"/>
            <w:vMerge w:val="restar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资信分</w:t>
            </w:r>
          </w:p>
        </w:tc>
        <w:tc>
          <w:tcPr>
            <w:tcW w:w="3881" w:type="pct"/>
            <w:vAlign w:val="center"/>
          </w:tcPr>
          <w:p>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2019年1月1日（时间以委托合同签订日期为准）以来承接编制或审核政府投资项目的工程费用（包括概算、预算）总金额累计在20亿元（含）以上的得5分；20亿-15亿元（含）的得4分；15亿元-10亿（含）的得3分；10亿-2.5亿（含）的得2分；2.5亿-1亿（含）的得1分，1亿以下不得分。本项最高5分，金额以委托合同为准（合同金额指工程费用，无单独合同或合同无金额的，提供其他相关依据，如中标通知书或甲方证明，以上证明材料提供原件扫描件，否则不得分；如若在框架协议签订前，发现该项有作弊行为，则直接取消入围资格。)</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2</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2019、2020、2021年度的考核结果，获得县级以上财政、审计、造价站管理考核评价为品牌、优秀、先进单位一次得5分，良好单位一次得3分，一个年度内考核结果按</w:t>
            </w:r>
            <w:r>
              <w:rPr>
                <w:rFonts w:ascii="宋体" w:hAnsi="宋体" w:eastAsia="宋体" w:cs="宋体"/>
                <w:kern w:val="0"/>
                <w:sz w:val="24"/>
                <w:szCs w:val="24"/>
              </w:rPr>
              <w:t>最高等级</w:t>
            </w:r>
            <w:r>
              <w:rPr>
                <w:rFonts w:hint="eastAsia" w:ascii="宋体" w:hAnsi="宋体" w:eastAsia="宋体" w:cs="宋体"/>
                <w:kern w:val="0"/>
                <w:sz w:val="24"/>
                <w:szCs w:val="24"/>
              </w:rPr>
              <w:t>只计1次。考核评价结果按ABC或甲乙丙等其他标准划分的，前两个等次分别按优秀和良好计分，不分标准的评价结果按良好计分。需提供证书或证件或表彰文件等证明材料原件扫描件（提供投标人分公司考核结果也视为投标人的有效证明）。</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3</w:t>
            </w:r>
          </w:p>
        </w:tc>
        <w:tc>
          <w:tcPr>
            <w:tcW w:w="269" w:type="pct"/>
            <w:vMerge w:val="restar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技术分</w:t>
            </w:r>
          </w:p>
        </w:tc>
        <w:tc>
          <w:tcPr>
            <w:tcW w:w="3881" w:type="pct"/>
            <w:vAlign w:val="center"/>
          </w:tcPr>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拟派审核团队项目技术负责人：具备高级工程师及以上职称和一级注册造价工程师职业证书的得5分，不能同时具备的得0分。需提供相应的职称证书、资格证书和最近三个月在本单位缴纳的社保凭证的原件扫描件。</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4</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拟派审核团队成员（包括审核团队项目技术负责人）：</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1.拟派审核团队成员总数不少于6人，成员须为公司固定职员，且一级注册造价师不少于3人，同时满足上述条件得基本分4分，不能同时具备的本条得0分。另每增加一人且为一级注册造价师的加1分，每增加一人且为二级注册造价师的加0.5分，最多加2分。</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2.拟派审核团队的专业配备，建筑、安装、水利、交通，4个专业配齐一级注册造价师的得4分，缺1个扣1分。</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拟派审核团队成员需提供相应的职称证书及资格证书以及最近3个月在本单位缴纳社保凭证的原件扫描件。（审核团队人员可以包括65周岁（含）内实际持证在岗的退休返聘人员，提供退休证和返聘合同）。</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5</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审核团队成员响应服务能力：</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1.供应商承诺在收到入围通知书后10个工作日内，在富阳区设立分公司的，得10分。</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2.供应商承诺在收到入围通知书后10个工作日内将审核团队项目技术负责人和审核团队成员社会保险缴纳地点转至富阳区的，得10分。</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3.供应商已在富阳区注册或设立分公司的，提交相关证明文件，视为已承诺。</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4.供应商配备的审核团队项目技术负责人和成员已在富阳区缴纳社保的，提供相关证明文件，视为已承诺。</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承诺一经做出，即具备法律效力，如中标后未予执行，视为违约，按合同违约条款执行。</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6</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outlineLvl w:val="0"/>
              <w:rPr>
                <w:rFonts w:ascii="宋体" w:hAnsi="宋体" w:eastAsia="宋体" w:cs="宋体"/>
                <w:sz w:val="24"/>
                <w:szCs w:val="24"/>
              </w:rPr>
            </w:pPr>
            <w:r>
              <w:rPr>
                <w:rFonts w:hint="eastAsia" w:ascii="宋体" w:hAnsi="宋体" w:eastAsia="宋体" w:cs="宋体"/>
                <w:sz w:val="24"/>
                <w:szCs w:val="24"/>
              </w:rPr>
              <w:t>拟派审核团队成员响应服务时间：</w:t>
            </w:r>
          </w:p>
          <w:p>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1.响应速度（&lt;0.5个小时）的得10分；</w:t>
            </w:r>
          </w:p>
          <w:p>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2.响应速度（0.5个小时≦响应速度&lt;2个小时）的得5分；</w:t>
            </w:r>
          </w:p>
          <w:p>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3.响应速度（2个小时≦响应速度&lt;3个小时）的得3分；</w:t>
            </w:r>
          </w:p>
          <w:p>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4.响应速度（3个小时≦响应速度&lt;4个小时）的得1分；</w:t>
            </w:r>
          </w:p>
          <w:p>
            <w:pPr>
              <w:spacing w:line="360" w:lineRule="auto"/>
              <w:outlineLvl w:val="0"/>
              <w:rPr>
                <w:rFonts w:ascii="宋体" w:hAnsi="宋体" w:eastAsia="宋体" w:cs="宋体"/>
                <w:sz w:val="24"/>
                <w:szCs w:val="24"/>
              </w:rPr>
            </w:pPr>
            <w:r>
              <w:rPr>
                <w:rFonts w:hint="eastAsia" w:ascii="宋体" w:hAnsi="宋体" w:eastAsia="宋体" w:cs="宋体"/>
                <w:sz w:val="24"/>
                <w:szCs w:val="24"/>
              </w:rPr>
              <w:t>以百度地图APP显示的“以供应商（包括供应商的分公司）营业执照注明的营业场所或住所为起点，以富阳区财政局为终点”驾车路线时间为准。需提供路线截图及供应商营业执照原件扫描件，营业执照取得时间需在投标截止日之前。</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7</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审核质量保证措施：</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质量内控体系、内控制度、报告质量管理制度建设情况满足政府投资项目造价审查的质量要求，质量保证措施可行7-10分；基本可行4-6分；质量保证措施尚可，0-3分。</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8</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审核进度保障措施：</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满足工作进度要求、进度保证措施可行，具备较强应急能力，7-10分；进度计划基本满足工作进度要求，进度流程和各环节的保证措施基本可行，具备应急保障能力，4-6分；基本满足工作进度要求，进度流程和各环节的保证措施尚可，0-3分。</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9</w:t>
            </w:r>
          </w:p>
        </w:tc>
        <w:tc>
          <w:tcPr>
            <w:tcW w:w="269" w:type="pct"/>
            <w:vMerge w:val="continue"/>
            <w:vAlign w:val="center"/>
          </w:tcPr>
          <w:p>
            <w:pPr>
              <w:spacing w:line="360" w:lineRule="auto"/>
              <w:outlineLvl w:val="0"/>
              <w:rPr>
                <w:rFonts w:ascii="宋体" w:hAnsi="宋体" w:eastAsia="宋体" w:cs="宋体"/>
                <w:kern w:val="0"/>
                <w:sz w:val="24"/>
                <w:szCs w:val="24"/>
                <w:highlight w:val="yellow"/>
              </w:rPr>
            </w:pPr>
          </w:p>
        </w:tc>
        <w:tc>
          <w:tcPr>
            <w:tcW w:w="3881" w:type="pct"/>
            <w:vAlign w:val="center"/>
          </w:tcPr>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项目组织机制及实施方案：</w:t>
            </w:r>
          </w:p>
          <w:p>
            <w:pPr>
              <w:spacing w:line="360" w:lineRule="auto"/>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实施方案的针对性、可行性、创新性，实施方案组织有力，内控机制完善、有效，注重与相关技术标准的衔接与协调，根据投标文件描述综合评分。内容充实，表述清晰，合理可行，4-5分；内容较充实，表述较清晰，比较合理2-3分；内容和表述一般，基本合理，0-1分。</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10</w:t>
            </w:r>
          </w:p>
        </w:tc>
        <w:tc>
          <w:tcPr>
            <w:tcW w:w="269" w:type="pct"/>
            <w:vMerge w:val="continue"/>
            <w:vAlign w:val="center"/>
          </w:tcPr>
          <w:p>
            <w:pPr>
              <w:spacing w:line="360" w:lineRule="auto"/>
              <w:jc w:val="left"/>
              <w:rPr>
                <w:rFonts w:ascii="宋体" w:hAnsi="宋体" w:eastAsia="宋体" w:cs="宋体"/>
                <w:sz w:val="24"/>
                <w:szCs w:val="24"/>
                <w:highlight w:val="yellow"/>
              </w:rPr>
            </w:pPr>
          </w:p>
        </w:tc>
        <w:tc>
          <w:tcPr>
            <w:tcW w:w="3881" w:type="pct"/>
            <w:vAlign w:val="center"/>
          </w:tcPr>
          <w:p>
            <w:pPr>
              <w:spacing w:line="360" w:lineRule="auto"/>
              <w:jc w:val="left"/>
              <w:outlineLvl w:val="0"/>
              <w:rPr>
                <w:rFonts w:ascii="宋体" w:hAnsi="宋体" w:eastAsia="宋体" w:cs="宋体"/>
                <w:kern w:val="0"/>
                <w:sz w:val="24"/>
                <w:szCs w:val="24"/>
              </w:rPr>
            </w:pPr>
            <w:r>
              <w:rPr>
                <w:rFonts w:hint="eastAsia" w:ascii="宋体" w:hAnsi="宋体" w:eastAsia="宋体" w:cs="宋体"/>
                <w:kern w:val="0"/>
                <w:sz w:val="24"/>
                <w:szCs w:val="24"/>
              </w:rPr>
              <w:t>廉政措施：</w:t>
            </w:r>
          </w:p>
          <w:p>
            <w:pPr>
              <w:spacing w:line="360" w:lineRule="auto"/>
              <w:jc w:val="left"/>
              <w:outlineLvl w:val="0"/>
              <w:rPr>
                <w:rFonts w:ascii="宋体" w:hAnsi="宋体" w:eastAsia="宋体" w:cs="宋体"/>
                <w:kern w:val="0"/>
                <w:sz w:val="24"/>
                <w:szCs w:val="24"/>
              </w:rPr>
            </w:pPr>
            <w:r>
              <w:rPr>
                <w:rFonts w:hint="eastAsia" w:ascii="宋体" w:hAnsi="宋体" w:eastAsia="宋体" w:cs="宋体"/>
                <w:kern w:val="0"/>
                <w:sz w:val="24"/>
                <w:szCs w:val="24"/>
              </w:rPr>
              <w:t>对审核咨询人员廉洁方面的控制及采取的措施合理可行3-5分；</w:t>
            </w:r>
          </w:p>
          <w:p>
            <w:pPr>
              <w:spacing w:line="360" w:lineRule="auto"/>
              <w:jc w:val="left"/>
              <w:outlineLvl w:val="0"/>
              <w:rPr>
                <w:rFonts w:ascii="宋体" w:hAnsi="宋体" w:eastAsia="宋体" w:cs="宋体"/>
                <w:kern w:val="0"/>
                <w:sz w:val="24"/>
                <w:szCs w:val="24"/>
              </w:rPr>
            </w:pPr>
            <w:r>
              <w:rPr>
                <w:rFonts w:hint="eastAsia" w:ascii="宋体" w:hAnsi="宋体" w:eastAsia="宋体" w:cs="宋体"/>
                <w:kern w:val="0"/>
                <w:sz w:val="24"/>
                <w:szCs w:val="24"/>
              </w:rPr>
              <w:t>对审核咨询人员廉洁方面的控制及采取的措施一般1-3分；</w:t>
            </w:r>
          </w:p>
          <w:p>
            <w:pPr>
              <w:spacing w:line="360" w:lineRule="auto"/>
              <w:jc w:val="left"/>
              <w:outlineLvl w:val="0"/>
              <w:rPr>
                <w:rFonts w:ascii="宋体" w:hAnsi="宋体" w:eastAsia="宋体" w:cs="宋体"/>
                <w:kern w:val="0"/>
                <w:sz w:val="24"/>
                <w:szCs w:val="24"/>
              </w:rPr>
            </w:pPr>
            <w:r>
              <w:rPr>
                <w:rFonts w:hint="eastAsia" w:ascii="宋体" w:hAnsi="宋体" w:eastAsia="宋体" w:cs="宋体"/>
                <w:kern w:val="0"/>
                <w:sz w:val="24"/>
                <w:szCs w:val="24"/>
              </w:rPr>
              <w:t>对审核咨询人员廉洁方面的控制及采取的措施尚可0-1分。</w:t>
            </w:r>
          </w:p>
        </w:tc>
        <w:tc>
          <w:tcPr>
            <w:tcW w:w="522" w:type="pct"/>
            <w:vAlign w:val="center"/>
          </w:tcPr>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6" w:type="pct"/>
            <w:vAlign w:val="center"/>
          </w:tcPr>
          <w:p>
            <w:pPr>
              <w:spacing w:line="360" w:lineRule="auto"/>
              <w:jc w:val="center"/>
              <w:outlineLvl w:val="0"/>
              <w:rPr>
                <w:rFonts w:ascii="宋体" w:hAnsi="宋体" w:eastAsia="宋体" w:cs="宋体"/>
                <w:sz w:val="24"/>
              </w:rPr>
            </w:pPr>
            <w:r>
              <w:rPr>
                <w:rFonts w:hint="eastAsia" w:ascii="宋体" w:hAnsi="宋体" w:eastAsia="宋体" w:cs="宋体"/>
                <w:sz w:val="24"/>
              </w:rPr>
              <w:t>11</w:t>
            </w:r>
          </w:p>
        </w:tc>
        <w:tc>
          <w:tcPr>
            <w:tcW w:w="269" w:type="pct"/>
            <w:vMerge w:val="continue"/>
            <w:vAlign w:val="center"/>
          </w:tcPr>
          <w:p>
            <w:pPr>
              <w:spacing w:line="360" w:lineRule="auto"/>
              <w:outlineLvl w:val="0"/>
              <w:rPr>
                <w:rFonts w:ascii="宋体" w:hAnsi="宋体" w:eastAsia="宋体" w:cs="宋体"/>
                <w:kern w:val="0"/>
                <w:sz w:val="24"/>
                <w:szCs w:val="24"/>
              </w:rPr>
            </w:pPr>
          </w:p>
        </w:tc>
        <w:tc>
          <w:tcPr>
            <w:tcW w:w="3881" w:type="pct"/>
            <w:vAlign w:val="center"/>
          </w:tcPr>
          <w:p>
            <w:pPr>
              <w:spacing w:line="360" w:lineRule="auto"/>
              <w:outlineLvl w:val="0"/>
              <w:rPr>
                <w:rFonts w:ascii="宋体" w:hAnsi="宋体" w:eastAsia="宋体" w:cs="宋体"/>
                <w:sz w:val="24"/>
                <w:szCs w:val="24"/>
              </w:rPr>
            </w:pPr>
            <w:r>
              <w:rPr>
                <w:rFonts w:hint="eastAsia" w:ascii="宋体" w:hAnsi="宋体" w:eastAsia="宋体" w:cs="宋体"/>
                <w:sz w:val="24"/>
                <w:szCs w:val="24"/>
              </w:rPr>
              <w:t>合理化建议（5分）</w:t>
            </w:r>
          </w:p>
          <w:p>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根据供应商要求的针对富阳区政府投资项目概预算审核特点提出合理化建议或改进措施：</w:t>
            </w:r>
          </w:p>
          <w:p>
            <w:pPr>
              <w:spacing w:line="360" w:lineRule="auto"/>
              <w:outlineLvl w:val="0"/>
              <w:rPr>
                <w:rFonts w:ascii="宋体" w:hAnsi="宋体" w:eastAsia="宋体" w:cs="宋体"/>
                <w:sz w:val="24"/>
                <w:szCs w:val="24"/>
              </w:rPr>
            </w:pPr>
            <w:r>
              <w:rPr>
                <w:rFonts w:hint="eastAsia" w:ascii="宋体" w:hAnsi="宋体" w:eastAsia="宋体" w:cs="宋体"/>
                <w:sz w:val="24"/>
                <w:szCs w:val="24"/>
              </w:rPr>
              <w:t>1、合理化建议的科学严谨性1分；</w:t>
            </w:r>
          </w:p>
          <w:p>
            <w:pPr>
              <w:spacing w:line="360" w:lineRule="auto"/>
              <w:outlineLvl w:val="0"/>
              <w:rPr>
                <w:rFonts w:ascii="宋体" w:hAnsi="宋体" w:eastAsia="宋体" w:cs="宋体"/>
                <w:sz w:val="24"/>
                <w:szCs w:val="24"/>
              </w:rPr>
            </w:pPr>
            <w:r>
              <w:rPr>
                <w:rFonts w:hint="eastAsia" w:ascii="宋体" w:hAnsi="宋体" w:eastAsia="宋体" w:cs="宋体"/>
                <w:sz w:val="24"/>
                <w:szCs w:val="24"/>
              </w:rPr>
              <w:t>2、合理化建议的系统完整性1分；</w:t>
            </w:r>
          </w:p>
          <w:p>
            <w:pPr>
              <w:spacing w:line="360" w:lineRule="auto"/>
              <w:outlineLvl w:val="0"/>
              <w:rPr>
                <w:rFonts w:ascii="宋体" w:hAnsi="宋体" w:eastAsia="宋体" w:cs="宋体"/>
                <w:sz w:val="24"/>
                <w:szCs w:val="24"/>
              </w:rPr>
            </w:pPr>
            <w:r>
              <w:rPr>
                <w:rFonts w:hint="eastAsia" w:ascii="宋体" w:hAnsi="宋体" w:eastAsia="宋体" w:cs="宋体"/>
                <w:sz w:val="24"/>
                <w:szCs w:val="24"/>
              </w:rPr>
              <w:t>3、合理化建议的可操作性1分；</w:t>
            </w:r>
          </w:p>
          <w:p>
            <w:pPr>
              <w:spacing w:line="360" w:lineRule="auto"/>
              <w:outlineLvl w:val="0"/>
              <w:rPr>
                <w:rFonts w:ascii="宋体" w:hAnsi="宋体" w:eastAsia="宋体" w:cs="宋体"/>
                <w:sz w:val="24"/>
                <w:szCs w:val="24"/>
              </w:rPr>
            </w:pPr>
            <w:r>
              <w:rPr>
                <w:rFonts w:hint="eastAsia" w:ascii="宋体" w:hAnsi="宋体" w:eastAsia="宋体" w:cs="宋体"/>
                <w:sz w:val="24"/>
                <w:szCs w:val="24"/>
              </w:rPr>
              <w:t>4、合理化建议对采购单位针对性1分；</w:t>
            </w:r>
          </w:p>
          <w:p>
            <w:pPr>
              <w:spacing w:line="360" w:lineRule="auto"/>
              <w:outlineLvl w:val="0"/>
              <w:rPr>
                <w:rFonts w:ascii="宋体" w:hAnsi="宋体" w:eastAsia="宋体" w:cs="宋体"/>
                <w:sz w:val="24"/>
                <w:szCs w:val="24"/>
              </w:rPr>
            </w:pPr>
            <w:r>
              <w:rPr>
                <w:rFonts w:hint="eastAsia" w:ascii="宋体" w:hAnsi="宋体" w:eastAsia="宋体" w:cs="宋体"/>
                <w:sz w:val="24"/>
                <w:szCs w:val="24"/>
              </w:rPr>
              <w:t>5、改进措施1分。</w:t>
            </w:r>
          </w:p>
        </w:tc>
        <w:tc>
          <w:tcPr>
            <w:tcW w:w="522" w:type="pct"/>
            <w:vAlign w:val="center"/>
          </w:tcPr>
          <w:p>
            <w:pPr>
              <w:jc w:val="center"/>
              <w:rPr>
                <w:rFonts w:ascii="宋体" w:hAnsi="宋体" w:eastAsia="宋体" w:cs="宋体"/>
                <w:sz w:val="24"/>
                <w:szCs w:val="24"/>
              </w:rPr>
            </w:pPr>
          </w:p>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5</w:t>
            </w:r>
          </w:p>
        </w:tc>
      </w:tr>
    </w:tbl>
    <w:p>
      <w:pPr>
        <w:snapToGrid w:val="0"/>
        <w:spacing w:line="360" w:lineRule="auto"/>
        <w:rPr>
          <w:rFonts w:ascii="宋体" w:hAnsi="宋体" w:eastAsia="宋体" w:cs="宋体"/>
          <w:b/>
          <w:bCs/>
          <w:sz w:val="32"/>
          <w:szCs w:val="32"/>
        </w:rPr>
      </w:pPr>
      <w:r>
        <w:rPr>
          <w:rFonts w:hint="eastAsia" w:ascii="宋体" w:hAnsi="宋体" w:eastAsia="宋体" w:cs="宋体"/>
          <w:color w:val="000000" w:themeColor="text1"/>
          <w:sz w:val="20"/>
          <w:szCs w:val="20"/>
          <w:shd w:val="clear" w:color="auto" w:fill="FFFFFF"/>
          <w14:textFill>
            <w14:solidFill>
              <w14:schemeClr w14:val="tx1"/>
            </w14:solidFill>
          </w14:textFill>
        </w:rPr>
        <w:t> *</w:t>
      </w:r>
      <w:r>
        <w:rPr>
          <w:rFonts w:hint="eastAsia" w:ascii="宋体" w:hAnsi="宋体" w:eastAsia="宋体" w:cs="宋体"/>
          <w:b/>
          <w:color w:val="000000" w:themeColor="text1"/>
          <w:sz w:val="24"/>
          <w14:textFill>
            <w14:solidFill>
              <w14:schemeClr w14:val="tx1"/>
            </w14:solidFill>
          </w14:textFill>
        </w:rPr>
        <w:t>备注：</w:t>
      </w:r>
      <w:r>
        <w:rPr>
          <w:rFonts w:hint="eastAsia" w:ascii="宋体" w:hAnsi="宋体" w:eastAsia="宋体" w:cs="宋体"/>
          <w:color w:val="000000" w:themeColor="text1"/>
          <w:sz w:val="24"/>
          <w14:textFill>
            <w14:solidFill>
              <w14:schemeClr w14:val="tx1"/>
            </w14:solidFill>
          </w14:textFill>
        </w:rPr>
        <w:t>投标人编制响应文件（商务技术文件部分）时，建议按此目录（序号和内容）提供评标标准相应的商务技术资料。 </w:t>
      </w:r>
    </w:p>
    <w:p>
      <w:pPr>
        <w:pStyle w:val="7"/>
        <w:rPr>
          <w:rFonts w:eastAsia="宋体"/>
        </w:rPr>
      </w:pPr>
      <w:r>
        <w:rPr>
          <w:rFonts w:hint="eastAsia" w:eastAsia="宋体"/>
        </w:rPr>
        <w:t>23.1上述内容，商务技术文件未涉及的得0分。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23.2投标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23.3供应商应提供权威部门认定的各类有效证明文件及资料,未提供或者资料无效不得分，凡由采购人提出的有关供应商条件和采购项目对供应商的特定要求，由采购人负责查验材料的真伪。</w:t>
      </w:r>
    </w:p>
    <w:p>
      <w:pPr>
        <w:spacing w:line="360" w:lineRule="auto"/>
        <w:ind w:firstLine="482" w:firstLineChars="200"/>
        <w:jc w:val="left"/>
        <w:rPr>
          <w:rFonts w:ascii="宋体" w:hAnsi="宋体" w:eastAsia="宋体" w:cs="宋体"/>
          <w:sz w:val="24"/>
          <w:szCs w:val="24"/>
        </w:rPr>
        <w:sectPr>
          <w:pgSz w:w="11906" w:h="16838"/>
          <w:pgMar w:top="1440" w:right="1803" w:bottom="1440" w:left="1803" w:header="930" w:footer="992" w:gutter="0"/>
          <w:cols w:space="720" w:num="1"/>
          <w:docGrid w:type="lines" w:linePitch="319" w:charSpace="0"/>
        </w:sectPr>
      </w:pPr>
      <w:r>
        <w:rPr>
          <w:rFonts w:hint="eastAsia" w:ascii="宋体" w:hAnsi="宋体" w:eastAsia="宋体" w:cs="宋体"/>
          <w:b/>
          <w:bCs/>
          <w:sz w:val="24"/>
          <w:szCs w:val="24"/>
        </w:rPr>
        <w:t>24现场监督人员（无现场监督人员的由采购代理机构工作人员执行）</w:t>
      </w:r>
      <w:r>
        <w:rPr>
          <w:rFonts w:hint="eastAsia" w:ascii="宋体" w:hAnsi="宋体" w:eastAsia="宋体" w:cs="宋体"/>
          <w:sz w:val="24"/>
          <w:szCs w:val="24"/>
        </w:rPr>
        <w:t>有权对评标委员会各成员的评分情况和评审意见进行合理性和合规性审查，如发现评标委员会成员的评审意见带有明显倾向性，或不按规定程序和标准评审、计分的，</w:t>
      </w:r>
      <w:r>
        <w:rPr>
          <w:rFonts w:hint="eastAsia" w:ascii="宋体" w:hAnsi="宋体" w:eastAsia="宋体" w:cs="宋体"/>
          <w:b/>
          <w:bCs/>
          <w:sz w:val="24"/>
          <w:szCs w:val="24"/>
        </w:rPr>
        <w:t>现场监督人员（无现场监督人员的由采购代理机构工作人员执行）有权要求</w:t>
      </w:r>
      <w:r>
        <w:rPr>
          <w:rFonts w:hint="eastAsia" w:ascii="宋体" w:hAnsi="宋体" w:eastAsia="宋体" w:cs="宋体"/>
          <w:sz w:val="24"/>
          <w:szCs w:val="24"/>
        </w:rPr>
        <w:t>评标委员会成员进行书面澄清和说明；评标委员会成员拒不接受采购</w:t>
      </w:r>
      <w:r>
        <w:rPr>
          <w:rFonts w:hint="eastAsia" w:ascii="宋体" w:hAnsi="宋体" w:eastAsia="宋体" w:cs="宋体"/>
          <w:b/>
          <w:bCs/>
          <w:sz w:val="24"/>
          <w:szCs w:val="24"/>
        </w:rPr>
        <w:t>现场监督人员（无现场监督人员的由采购代理机构工作人员执行）</w:t>
      </w:r>
      <w:r>
        <w:rPr>
          <w:rFonts w:hint="eastAsia" w:ascii="宋体" w:hAnsi="宋体" w:eastAsia="宋体" w:cs="宋体"/>
          <w:sz w:val="24"/>
          <w:szCs w:val="24"/>
        </w:rPr>
        <w:t>审查的，</w:t>
      </w:r>
      <w:r>
        <w:rPr>
          <w:rFonts w:hint="eastAsia" w:ascii="宋体" w:hAnsi="宋体" w:eastAsia="宋体" w:cs="宋体"/>
          <w:b/>
          <w:bCs/>
          <w:sz w:val="24"/>
          <w:szCs w:val="24"/>
        </w:rPr>
        <w:t>现场监督人员（无现场监督人员的由采购代理机构工作人员执行）</w:t>
      </w:r>
      <w:r>
        <w:rPr>
          <w:rFonts w:hint="eastAsia" w:ascii="宋体" w:hAnsi="宋体" w:eastAsia="宋体" w:cs="宋体"/>
          <w:sz w:val="24"/>
          <w:szCs w:val="24"/>
        </w:rPr>
        <w:t>将向同级政府采购监督管理部门报告并予以处理。</w:t>
      </w:r>
    </w:p>
    <w:p>
      <w:pPr>
        <w:pStyle w:val="9"/>
        <w:tabs>
          <w:tab w:val="left" w:pos="840"/>
        </w:tabs>
        <w:spacing w:line="360" w:lineRule="auto"/>
        <w:jc w:val="center"/>
        <w:rPr>
          <w:rFonts w:hAnsi="宋体" w:cs="宋体"/>
          <w:b/>
          <w:bCs/>
          <w:sz w:val="36"/>
          <w:szCs w:val="36"/>
        </w:rPr>
      </w:pPr>
      <w:r>
        <w:rPr>
          <w:rFonts w:hint="eastAsia" w:hAnsi="宋体" w:cs="宋体"/>
          <w:b/>
          <w:bCs/>
          <w:sz w:val="36"/>
          <w:szCs w:val="36"/>
        </w:rPr>
        <w:t>第五部分 拟签订的合同文本</w:t>
      </w:r>
    </w:p>
    <w:p>
      <w:pPr>
        <w:pStyle w:val="9"/>
        <w:tabs>
          <w:tab w:val="left" w:pos="840"/>
        </w:tabs>
        <w:spacing w:line="360" w:lineRule="auto"/>
        <w:jc w:val="center"/>
        <w:rPr>
          <w:rFonts w:hAnsi="宋体" w:cs="宋体"/>
          <w:kern w:val="0"/>
          <w:sz w:val="32"/>
          <w:szCs w:val="32"/>
        </w:rPr>
      </w:pPr>
      <w:r>
        <w:rPr>
          <w:rFonts w:hint="eastAsia" w:hAnsi="宋体" w:cs="宋体"/>
          <w:kern w:val="0"/>
          <w:sz w:val="32"/>
          <w:szCs w:val="32"/>
        </w:rPr>
        <w:t>概、预算审核咨询服务框架协议</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甲方（采购人）：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乙方（入围单位）：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经过公开征集，确定乙方为杭州市富阳区财政局 2022-2024年概、预算审核咨询服务框架协议单位采购项目入围单位，为明确双方权利义务，经协商一致，签订本协议书。</w:t>
      </w:r>
    </w:p>
    <w:p>
      <w:pPr>
        <w:pStyle w:val="9"/>
        <w:numPr>
          <w:ilvl w:val="0"/>
          <w:numId w:val="24"/>
        </w:numPr>
        <w:tabs>
          <w:tab w:val="left" w:pos="840"/>
        </w:tabs>
        <w:spacing w:line="360" w:lineRule="auto"/>
        <w:rPr>
          <w:rFonts w:hAnsi="宋体" w:cs="宋体"/>
          <w:kern w:val="0"/>
          <w:sz w:val="24"/>
          <w:szCs w:val="24"/>
        </w:rPr>
      </w:pPr>
      <w:r>
        <w:rPr>
          <w:rFonts w:hint="eastAsia" w:hAnsi="宋体" w:cs="宋体"/>
          <w:kern w:val="0"/>
          <w:sz w:val="24"/>
          <w:szCs w:val="24"/>
        </w:rPr>
        <w:t>项目名称：杭州市富阳区财政局2022-2024年概、预算审核咨询服务框架协</w:t>
      </w:r>
    </w:p>
    <w:p>
      <w:pPr>
        <w:pStyle w:val="9"/>
        <w:tabs>
          <w:tab w:val="left" w:pos="840"/>
        </w:tabs>
        <w:spacing w:line="360" w:lineRule="auto"/>
        <w:rPr>
          <w:rFonts w:hAnsi="宋体" w:cs="宋体"/>
          <w:kern w:val="0"/>
          <w:sz w:val="24"/>
          <w:szCs w:val="24"/>
        </w:rPr>
      </w:pPr>
      <w:r>
        <w:rPr>
          <w:rFonts w:hint="eastAsia" w:hAnsi="宋体" w:cs="宋体"/>
          <w:kern w:val="0"/>
          <w:sz w:val="24"/>
          <w:szCs w:val="24"/>
        </w:rPr>
        <w:t>议单位采购项目</w:t>
      </w:r>
    </w:p>
    <w:p>
      <w:pPr>
        <w:pStyle w:val="9"/>
        <w:numPr>
          <w:ilvl w:val="0"/>
          <w:numId w:val="24"/>
        </w:numPr>
        <w:tabs>
          <w:tab w:val="left" w:pos="840"/>
        </w:tabs>
        <w:spacing w:line="360" w:lineRule="auto"/>
        <w:rPr>
          <w:rFonts w:hAnsi="宋体" w:cs="宋体"/>
          <w:kern w:val="0"/>
          <w:sz w:val="24"/>
          <w:szCs w:val="24"/>
        </w:rPr>
      </w:pPr>
      <w:r>
        <w:rPr>
          <w:rFonts w:hint="eastAsia" w:hAnsi="宋体" w:cs="宋体"/>
          <w:kern w:val="0"/>
          <w:sz w:val="24"/>
          <w:szCs w:val="24"/>
        </w:rPr>
        <w:t>项目编号：</w:t>
      </w:r>
    </w:p>
    <w:p>
      <w:pPr>
        <w:spacing w:line="360" w:lineRule="auto"/>
        <w:ind w:firstLine="480" w:firstLineChars="200"/>
        <w:rPr>
          <w:rFonts w:ascii="宋体" w:hAnsi="宋体" w:eastAsia="宋体" w:cs="宋体"/>
          <w:b/>
          <w:kern w:val="0"/>
          <w:sz w:val="24"/>
          <w:lang w:val="zh-CN"/>
        </w:rPr>
      </w:pPr>
      <w:r>
        <w:rPr>
          <w:rFonts w:hint="eastAsia" w:ascii="宋体" w:hAnsi="宋体" w:eastAsia="宋体" w:cs="宋体"/>
          <w:kern w:val="0"/>
          <w:sz w:val="24"/>
          <w:szCs w:val="24"/>
        </w:rPr>
        <w:t>三、采购需求：</w:t>
      </w:r>
      <w:r>
        <w:rPr>
          <w:rFonts w:hint="eastAsia" w:ascii="宋体" w:hAnsi="宋体" w:eastAsia="宋体" w:cs="宋体"/>
          <w:bCs/>
          <w:sz w:val="24"/>
          <w:szCs w:val="24"/>
        </w:rPr>
        <w:t xml:space="preserve">政府与国企投资类项目概、预算审核咨询服务，征集中介机构36家，详见采购需求。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四、收费标准</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甲方实行委托审核的项目，由甲方统一向乙方支付咨询服务费。</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咨询服务费计算方法采用业务基础咨询收费和业务绩效奖励收费相结合的办法，具体如下：</w:t>
      </w:r>
    </w:p>
    <w:p>
      <w:pPr>
        <w:spacing w:line="560" w:lineRule="exact"/>
        <w:ind w:firstLine="475" w:firstLineChars="198"/>
        <w:rPr>
          <w:rFonts w:ascii="宋体" w:hAnsi="宋体" w:eastAsia="宋体" w:cs="宋体"/>
          <w:snapToGrid w:val="0"/>
          <w:kern w:val="0"/>
          <w:sz w:val="24"/>
          <w:szCs w:val="24"/>
        </w:rPr>
      </w:pPr>
      <w:r>
        <w:rPr>
          <w:rFonts w:hint="eastAsia" w:ascii="宋体" w:hAnsi="宋体" w:eastAsia="宋体" w:cs="宋体"/>
          <w:snapToGrid w:val="0"/>
          <w:kern w:val="0"/>
          <w:sz w:val="24"/>
          <w:szCs w:val="24"/>
        </w:rPr>
        <w:t>1.业务基础咨询收费标准（费率：‰）：</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88"/>
        <w:gridCol w:w="722"/>
        <w:gridCol w:w="1088"/>
        <w:gridCol w:w="1161"/>
        <w:gridCol w:w="1116"/>
        <w:gridCol w:w="976"/>
        <w:gridCol w:w="1116"/>
        <w:gridCol w:w="9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序号</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咨询项目</w:t>
            </w: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收费基数</w:t>
            </w:r>
          </w:p>
        </w:tc>
        <w:tc>
          <w:tcPr>
            <w:tcW w:w="74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eastAsia="宋体" w:cs="宋体"/>
                <w:szCs w:val="21"/>
              </w:rPr>
            </w:pPr>
            <w:r>
              <w:rPr>
                <w:rFonts w:hint="eastAsia" w:ascii="宋体" w:hAnsi="宋体" w:eastAsia="宋体" w:cs="宋体"/>
                <w:szCs w:val="21"/>
                <w:lang w:bidi="ar"/>
              </w:rPr>
              <w:t xml:space="preserve">                 分档累进计费标准（不含下限含上限）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0.01以下</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0.01～0.05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0.05～0.1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0.1～0.2</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0.2～0.5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0.5～1</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概算审核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审定工程费用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0.825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0.715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0.55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0.45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0.315</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预算审核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审定工程费用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1.375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1.265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0.855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0.595</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序号</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咨询项目</w:t>
            </w: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收费基数</w:t>
            </w:r>
          </w:p>
        </w:tc>
        <w:tc>
          <w:tcPr>
            <w:tcW w:w="74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 xml:space="preserve">                 分档累进计费标准（不含下限含上限）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5～10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10～20</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20～40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40～60</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60～80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80～100</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概算审核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审定工程费用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0.072</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0.064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0.056</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0.048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0.04</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预算审核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审定工程费用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0.135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0.105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0.09</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0.075</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0.0375</w:t>
            </w:r>
          </w:p>
        </w:tc>
      </w:tr>
    </w:tbl>
    <w:p>
      <w:pPr>
        <w:spacing w:line="560" w:lineRule="exact"/>
        <w:ind w:firstLine="240" w:firstLineChars="100"/>
        <w:rPr>
          <w:rFonts w:ascii="宋体" w:hAnsi="宋体" w:eastAsia="宋体" w:cs="宋体"/>
          <w:sz w:val="24"/>
        </w:rPr>
      </w:pPr>
      <w:r>
        <w:rPr>
          <w:rFonts w:hint="eastAsia" w:ascii="宋体" w:hAnsi="宋体" w:eastAsia="宋体" w:cs="宋体"/>
          <w:snapToGrid w:val="0"/>
          <w:kern w:val="0"/>
          <w:sz w:val="24"/>
          <w:szCs w:val="24"/>
        </w:rPr>
        <w:t>2.业务绩效奖励付费限额标准（费率：‰）</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88"/>
        <w:gridCol w:w="722"/>
        <w:gridCol w:w="1088"/>
        <w:gridCol w:w="1161"/>
        <w:gridCol w:w="1116"/>
        <w:gridCol w:w="976"/>
        <w:gridCol w:w="1116"/>
        <w:gridCol w:w="9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序号</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咨询项目</w:t>
            </w: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收费基数</w:t>
            </w:r>
          </w:p>
        </w:tc>
        <w:tc>
          <w:tcPr>
            <w:tcW w:w="74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eastAsia="宋体" w:cs="宋体"/>
                <w:szCs w:val="21"/>
              </w:rPr>
            </w:pPr>
            <w:r>
              <w:rPr>
                <w:rFonts w:hint="eastAsia" w:ascii="宋体" w:hAnsi="宋体" w:eastAsia="宋体" w:cs="宋体"/>
                <w:szCs w:val="21"/>
                <w:lang w:bidi="ar"/>
              </w:rPr>
              <w:t xml:space="preserve">          末档(参照项目造价分档)计费标准（不含下限含上限）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0.01以下</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0.01～0.05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0.05～0.1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0.1～0.2</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0.2～0.5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0.5～1</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概算审核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2.21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1.8</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1.56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1.21</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0.72</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预算审核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3.9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3</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2.76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2.31</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1.9</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1.36</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序号</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咨询项目</w:t>
            </w: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收费基数</w:t>
            </w:r>
          </w:p>
        </w:tc>
        <w:tc>
          <w:tcPr>
            <w:tcW w:w="74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eastAsia="宋体" w:cs="宋体"/>
                <w:szCs w:val="21"/>
              </w:rPr>
            </w:pPr>
            <w:r>
              <w:rPr>
                <w:rFonts w:hint="eastAsia" w:ascii="宋体" w:hAnsi="宋体" w:eastAsia="宋体" w:cs="宋体"/>
                <w:szCs w:val="21"/>
                <w:lang w:bidi="ar"/>
              </w:rPr>
              <w:t xml:space="preserve">          末档(参照项目造价分档)计费标准（不含下限含上限）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5～10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10～20</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20～40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40～60</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60～80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80～100</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概算审核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0.24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0.216</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0.192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0.168</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0.144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0.12</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预算审核</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0.45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0.405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0.36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0.315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0.27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0.225</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0.1125</w:t>
            </w:r>
          </w:p>
        </w:tc>
      </w:tr>
    </w:tbl>
    <w:p>
      <w:pPr>
        <w:pStyle w:val="7"/>
        <w:rPr>
          <w:rFonts w:eastAsia="宋体"/>
        </w:rPr>
      </w:pP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五、服务内容</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协助甲方开展政府性投资项目概、预算审核，甲方委托的其他工程建设类造价咨询项目。</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六、服务标准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乙方必须以国家政策为依据，遵循依法、公正、客观和独立的原则。乙方向甲方出具的咨询成果报告，应有建设单位、编制单位、审核单位的项目负责人签字盖章确认的书面意见。乙方对咨询成果报告的真实性、完整性、可靠性负责。</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乙方必须为咨询成果保密，不得自行提供给其他单位和个人。乙方出具的咨询成果报告只向甲方提供。</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四、框架协议期限</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本协议期限2年。从2022年   月  日至2024年    月    日止。</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五、甲方的权利和义务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1、负责选定第二阶段成交供应商。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2、负责对入围单位进行考核。根据项目审核情况对入围单位进行考核，按考核排名、项目特征、专业需求择优选择项目安排，并对连续考核较差单位进行清退。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3、负责对乙方及其派出人员完成的工作事项及工作结果进行审核验收评价。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4、有权要求乙方派出投标书所列人员，并要求乙方及其派出人员协助配合概、预算审核终结阶段相关工作。</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5、乙方在合同签订时确定审核人员名单，未经甲方批准不得随意更换审核人员。乙方对审核业务不得转包，不得用未经批准的审核人员进行审核。</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6、根据乙方的有关要求，协调处理项目实施中的相关事宜。</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7、其他应该由甲方履行的义务和承担的责任。</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六、乙方的权利和义务</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1.乙方可以要求甲方提供与委托内容有关的资料。</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2.乙方可以要求甲方对有关问题作出解释和补充有关资料。</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3.乙方在概、预算审核咨询服务过程中应遵守审核纪律、规范审核行为，严格按照造价咨询行业规范要求开展工作。</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4.乙方应严格按照甲方的有关规定和要求实施审核咨询服务，接受甲方的监督，并按期完成服务任务，并确保结果真实、合法和准确。</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5.在合同履行期间，乙方应按甲方要求开展工作，在工作中遵循公平、公正、公开、合法、独立的原则，认真、细致、周到的进行服务。</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6.相关资料移交给乙方后，乙方有义务对所有资料进行妥善保管，确保服务结束后完整移交送审资料。乙方及其派出人员不得使用甲方委托事项的资料和结果，用于与委托事项无关的目的。</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7.入围供应商无正当理由，不得主动放弃入围资格或者退出框架协议。</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8.乙方有义务在本单位中选派投标书中所列的项目组成员（必须要有项目负责人带队）参与服务工作，在本协议履行期间不得自行更换服务人员。</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9.乙方对其出具的成果报告真实性、可靠性、合法性负责。</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 xml:space="preserve">七、入围供应商的清退和补充规则 </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1、清退规则：在下列情形下甲方有权清退入围供应商，而不需要承担任何责任：</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1）入围供应商实质性违反本协议约定的；</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2）入围供应商有违反合同约定或其职责、义务的行为，在采购人指定期限内未予以纠正或补救的；</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3）入围供应商资质吊销或注销的；</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4）入围供应商未严格执行保密制度，泄漏委托方的秘密或与第三方串通损害采购人利益的；由此造成的经济损失，入围方应予赔偿；存在违法违规行为的，由相关部门进行处理；</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5）采购人针对项目服务时限、质量有权提出要求并进行考核，由于入围供应商原因，项目服务时限超出委托时限或质量不合格导致考核结果不合格的；</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6）入围供应商与项目相关单位或个人私下交易，接受财物、吃请等违纪行为经查实的；存在违法违规行为的，由相关部门进行处理；</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7）入围供应商在概、预算审核咨询服务过程中将资料丢失的；由此造成的经济损失，入围供应商应予赔偿；存在违法违规行为的，由相关部门进行处理；</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8）在入围供应商违约情形下，采购人有权对本项目合同进行必要的变更。 因入围供应商违约导致合同解除的，入围供应商应按本项目正常计算酬金的 20%支付违约金。</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9）入围供应商提供服务时，需按委托人要求时限完成，无正当理由，未按时完成的将解除合同。</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10）执行纠错机制，即因审核结果存在较大争议，相关单位提出投诉，并确认入围供应商为责任方的，采购人有权终止合同。</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12）如遇到政策变化或者其他不可抗力因素，本协议自动解除。</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13）本协议有效期 2年，到期后自动终止。</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2、补充规则：如出现剩余入围供应商不足入围供应商总数 70%且影响框架协议执行的情形，可以按照原方式继续征集。其余情况框架协议有效期内，不再补充征集供应商。</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八、争议解决方式</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合同履行过程中发生争议，双方应协商解决，或由相关部门进行调解；协商或调解不成的，依法向甲方住所地所在人民法院起诉。</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九、其他事项</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1、本协议未尽的事宜，均遵照国家有关法律、法规，双方另行协商议定补充条款。</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2、本协议一式二份，甲方一份、乙方一份，具有同等法律效力。</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3、本协议经甲方、乙方法定代表人或其授权代表签字并加盖双方公章后生效。</w:t>
      </w:r>
    </w:p>
    <w:p>
      <w:pPr>
        <w:pStyle w:val="9"/>
        <w:tabs>
          <w:tab w:val="left" w:pos="840"/>
        </w:tabs>
        <w:spacing w:line="360" w:lineRule="auto"/>
        <w:ind w:firstLine="480" w:firstLineChars="200"/>
        <w:rPr>
          <w:rFonts w:hAnsi="宋体" w:cs="宋体"/>
          <w:kern w:val="0"/>
          <w:sz w:val="24"/>
          <w:szCs w:val="24"/>
        </w:rPr>
      </w:pP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甲方（盖章）：                          乙方（盖章）：</w:t>
      </w:r>
    </w:p>
    <w:p>
      <w:pPr>
        <w:pStyle w:val="9"/>
        <w:tabs>
          <w:tab w:val="left" w:pos="840"/>
        </w:tabs>
        <w:spacing w:line="360" w:lineRule="auto"/>
        <w:rPr>
          <w:rFonts w:hAnsi="宋体" w:cs="宋体"/>
          <w:kern w:val="0"/>
          <w:sz w:val="24"/>
          <w:szCs w:val="24"/>
        </w:rPr>
      </w:pPr>
      <w:r>
        <w:rPr>
          <w:rFonts w:hint="eastAsia" w:hAnsi="宋体" w:cs="宋体"/>
          <w:kern w:val="0"/>
          <w:sz w:val="24"/>
          <w:szCs w:val="24"/>
        </w:rPr>
        <w:t>法人代表或授权代表（签字）：          法人代表或授权代表（签字）：</w:t>
      </w:r>
    </w:p>
    <w:p>
      <w:pPr>
        <w:pStyle w:val="9"/>
        <w:tabs>
          <w:tab w:val="left" w:pos="840"/>
        </w:tabs>
        <w:spacing w:line="360" w:lineRule="auto"/>
        <w:ind w:firstLine="480" w:firstLineChars="200"/>
        <w:rPr>
          <w:rFonts w:hAnsi="宋体" w:cs="宋体"/>
          <w:kern w:val="0"/>
          <w:sz w:val="24"/>
          <w:szCs w:val="24"/>
        </w:rPr>
      </w:pPr>
      <w:r>
        <w:rPr>
          <w:rFonts w:hint="eastAsia" w:hAnsi="宋体" w:cs="宋体"/>
          <w:kern w:val="0"/>
          <w:sz w:val="24"/>
          <w:szCs w:val="24"/>
        </w:rPr>
        <w:t>联系电话：                             联系电话：</w:t>
      </w:r>
    </w:p>
    <w:p>
      <w:pPr>
        <w:pStyle w:val="9"/>
        <w:tabs>
          <w:tab w:val="left" w:pos="840"/>
        </w:tabs>
        <w:spacing w:line="360" w:lineRule="auto"/>
        <w:rPr>
          <w:rFonts w:hAnsi="宋体" w:cs="宋体"/>
          <w:kern w:val="0"/>
          <w:sz w:val="24"/>
          <w:szCs w:val="24"/>
        </w:rPr>
      </w:pPr>
      <w:r>
        <w:rPr>
          <w:rFonts w:hint="eastAsia" w:hAnsi="宋体" w:cs="宋体"/>
          <w:kern w:val="0"/>
          <w:sz w:val="24"/>
          <w:szCs w:val="24"/>
        </w:rPr>
        <w:t>签订日期：     年   月   日           签订日期：     年   月   日</w:t>
      </w:r>
    </w:p>
    <w:p>
      <w:pPr>
        <w:pStyle w:val="7"/>
        <w:ind w:firstLine="0" w:firstLineChars="0"/>
        <w:rPr>
          <w:rFonts w:eastAsia="宋体"/>
        </w:rPr>
      </w:pPr>
    </w:p>
    <w:p>
      <w:pPr>
        <w:spacing w:line="560" w:lineRule="exact"/>
        <w:jc w:val="center"/>
        <w:rPr>
          <w:rFonts w:ascii="宋体" w:hAnsi="宋体" w:eastAsia="宋体" w:cs="宋体"/>
          <w:b/>
          <w:spacing w:val="40"/>
          <w:sz w:val="36"/>
          <w:szCs w:val="36"/>
        </w:rPr>
      </w:pPr>
      <w:r>
        <w:rPr>
          <w:rFonts w:hint="eastAsia" w:ascii="宋体" w:hAnsi="宋体" w:eastAsia="宋体" w:cs="宋体"/>
          <w:b/>
          <w:spacing w:val="40"/>
          <w:sz w:val="36"/>
          <w:szCs w:val="36"/>
        </w:rPr>
        <w:t>杭州市富阳区政府与国企投资类项目工程造价咨询服务框架协议采购合同</w:t>
      </w:r>
    </w:p>
    <w:p>
      <w:pPr>
        <w:spacing w:line="560" w:lineRule="exact"/>
        <w:jc w:val="center"/>
        <w:rPr>
          <w:rFonts w:ascii="宋体" w:hAnsi="宋体" w:eastAsia="宋体" w:cs="宋体"/>
          <w:b/>
          <w:bCs/>
          <w:sz w:val="36"/>
        </w:rPr>
      </w:pPr>
    </w:p>
    <w:p>
      <w:pPr>
        <w:spacing w:line="560" w:lineRule="exact"/>
        <w:rPr>
          <w:rFonts w:ascii="宋体" w:hAnsi="宋体" w:eastAsia="宋体" w:cs="宋体"/>
          <w:sz w:val="24"/>
        </w:rPr>
      </w:pPr>
      <w:r>
        <w:rPr>
          <w:rFonts w:hint="eastAsia" w:ascii="宋体" w:hAnsi="宋体" w:eastAsia="宋体" w:cs="宋体"/>
          <w:sz w:val="24"/>
        </w:rPr>
        <w:t>甲方（全称）：杭州市富阳区财政局</w:t>
      </w:r>
    </w:p>
    <w:p>
      <w:pPr>
        <w:spacing w:line="560" w:lineRule="exact"/>
        <w:rPr>
          <w:rFonts w:ascii="宋体" w:hAnsi="宋体" w:eastAsia="宋体" w:cs="宋体"/>
          <w:sz w:val="24"/>
        </w:rPr>
      </w:pPr>
      <w:r>
        <w:rPr>
          <w:rFonts w:hint="eastAsia" w:ascii="宋体" w:hAnsi="宋体" w:eastAsia="宋体" w:cs="宋体"/>
          <w:sz w:val="24"/>
        </w:rPr>
        <w:t xml:space="preserve">乙方（全称）： </w:t>
      </w:r>
    </w:p>
    <w:p>
      <w:pPr>
        <w:spacing w:line="560" w:lineRule="exact"/>
        <w:ind w:firstLine="480" w:firstLineChars="200"/>
        <w:rPr>
          <w:rFonts w:ascii="宋体" w:hAnsi="宋体" w:eastAsia="宋体" w:cs="宋体"/>
          <w:sz w:val="24"/>
        </w:rPr>
      </w:pPr>
      <w:r>
        <w:rPr>
          <w:rFonts w:hint="eastAsia" w:ascii="宋体" w:hAnsi="宋体" w:eastAsia="宋体" w:cs="宋体"/>
          <w:sz w:val="24"/>
        </w:rPr>
        <w:t>根据《中华人民共和国民法典》、《富阳区政府与国企投资类项目财政审核管理办法》</w:t>
      </w:r>
      <w:r>
        <w:rPr>
          <w:rFonts w:hint="eastAsia" w:ascii="宋体" w:hAnsi="宋体" w:eastAsia="宋体" w:cs="宋体"/>
          <w:bCs/>
          <w:sz w:val="24"/>
        </w:rPr>
        <w:t>（富财预审〔2022〕191号）</w:t>
      </w:r>
      <w:r>
        <w:rPr>
          <w:rFonts w:hint="eastAsia" w:ascii="宋体" w:hAnsi="宋体" w:eastAsia="宋体" w:cs="宋体"/>
          <w:sz w:val="24"/>
        </w:rPr>
        <w:t>等有关规定，遵循平等、自愿、公平和诚实信用的原则，就工程造价咨询服务框架协议采购的有关事项协商一致，共同达成如下协议：</w:t>
      </w:r>
    </w:p>
    <w:p>
      <w:pPr>
        <w:spacing w:line="560" w:lineRule="exact"/>
        <w:ind w:firstLine="477" w:firstLineChars="198"/>
        <w:rPr>
          <w:rFonts w:ascii="宋体" w:hAnsi="宋体" w:eastAsia="宋体" w:cs="宋体"/>
          <w:sz w:val="24"/>
        </w:rPr>
      </w:pPr>
      <w:r>
        <w:rPr>
          <w:rFonts w:hint="eastAsia" w:ascii="宋体" w:hAnsi="宋体" w:eastAsia="宋体" w:cs="宋体"/>
          <w:b/>
          <w:bCs/>
          <w:sz w:val="24"/>
        </w:rPr>
        <w:t>第1条</w:t>
      </w:r>
      <w:r>
        <w:rPr>
          <w:rFonts w:hint="eastAsia" w:ascii="宋体" w:hAnsi="宋体" w:eastAsia="宋体" w:cs="宋体"/>
          <w:sz w:val="24"/>
        </w:rPr>
        <w:t xml:space="preserve">  工程造价咨询项目概况</w:t>
      </w:r>
    </w:p>
    <w:p>
      <w:pPr>
        <w:spacing w:line="560" w:lineRule="exact"/>
        <w:ind w:firstLine="480" w:firstLineChars="200"/>
        <w:rPr>
          <w:rFonts w:ascii="宋体" w:hAnsi="宋体" w:eastAsia="宋体" w:cs="宋体"/>
          <w:sz w:val="24"/>
          <w:u w:val="single"/>
        </w:rPr>
      </w:pPr>
      <w:r>
        <w:rPr>
          <w:rFonts w:hint="eastAsia" w:ascii="宋体" w:hAnsi="宋体" w:eastAsia="宋体" w:cs="宋体"/>
          <w:sz w:val="24"/>
        </w:rPr>
        <w:t>工程造价咨询服务框架协议的期限：   年    月    日至   年    月    日</w:t>
      </w:r>
    </w:p>
    <w:p>
      <w:pPr>
        <w:spacing w:line="560" w:lineRule="exact"/>
        <w:ind w:firstLine="480" w:firstLineChars="200"/>
        <w:rPr>
          <w:rFonts w:ascii="宋体" w:hAnsi="宋体" w:eastAsia="宋体" w:cs="宋体"/>
          <w:sz w:val="24"/>
        </w:rPr>
      </w:pPr>
      <w:r>
        <w:rPr>
          <w:rFonts w:hint="eastAsia" w:ascii="宋体" w:hAnsi="宋体" w:eastAsia="宋体" w:cs="宋体"/>
          <w:sz w:val="24"/>
        </w:rPr>
        <w:t>本协议仅代表乙方获得承接甲方年度组织政府与国企投资类项目审核业务资格，具体咨询项目数量、送审造价等由甲方向乙方出具的《杭州市富阳区政府与国企投资类项目概（预）算审核委托书》确定。</w:t>
      </w:r>
    </w:p>
    <w:p>
      <w:pPr>
        <w:spacing w:line="56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第2条  </w:t>
      </w:r>
      <w:r>
        <w:rPr>
          <w:rFonts w:hint="eastAsia" w:ascii="宋体" w:hAnsi="宋体" w:eastAsia="宋体" w:cs="宋体"/>
          <w:sz w:val="24"/>
        </w:rPr>
        <w:t>咨询内容和要求</w:t>
      </w:r>
    </w:p>
    <w:p>
      <w:pPr>
        <w:spacing w:line="560" w:lineRule="exact"/>
        <w:rPr>
          <w:rFonts w:ascii="宋体" w:hAnsi="宋体" w:eastAsia="宋体" w:cs="宋体"/>
          <w:sz w:val="24"/>
          <w:u w:val="single"/>
        </w:rPr>
      </w:pPr>
      <w:r>
        <w:rPr>
          <w:rFonts w:hint="eastAsia" w:ascii="宋体" w:hAnsi="宋体" w:eastAsia="宋体" w:cs="宋体"/>
          <w:sz w:val="24"/>
        </w:rPr>
        <w:t xml:space="preserve">    咨询内容：政府性投资项目概、预算审核，甲方委托的其他工程建设类项目。</w:t>
      </w:r>
    </w:p>
    <w:p>
      <w:pPr>
        <w:spacing w:line="560" w:lineRule="exact"/>
        <w:rPr>
          <w:rFonts w:ascii="宋体" w:hAnsi="宋体" w:eastAsia="宋体" w:cs="宋体"/>
          <w:sz w:val="24"/>
        </w:rPr>
      </w:pPr>
      <w:r>
        <w:rPr>
          <w:rFonts w:hint="eastAsia" w:ascii="宋体" w:hAnsi="宋体" w:eastAsia="宋体" w:cs="宋体"/>
          <w:sz w:val="24"/>
        </w:rPr>
        <w:t xml:space="preserve">    乙方必须以国家政策为依据，遵循依法、公正、客观和独立的原则。乙方向甲方出具的咨询成果报告，应有建设单位、编制单位、审核单位的项目负责人签字盖章确认的书面意见。乙方对咨询成果报告的真实性、完整性、可靠性负责。</w:t>
      </w:r>
    </w:p>
    <w:p>
      <w:pPr>
        <w:spacing w:line="560" w:lineRule="exact"/>
        <w:rPr>
          <w:rFonts w:ascii="宋体" w:hAnsi="宋体" w:eastAsia="宋体" w:cs="宋体"/>
          <w:sz w:val="24"/>
        </w:rPr>
      </w:pPr>
      <w:r>
        <w:rPr>
          <w:rFonts w:hint="eastAsia" w:ascii="宋体" w:hAnsi="宋体" w:eastAsia="宋体" w:cs="宋体"/>
          <w:sz w:val="24"/>
        </w:rPr>
        <w:t xml:space="preserve">    乙方必须为造价咨询成果保密，不得自行提供给其他单位和个人。乙方出具的咨询成果报告只向甲方提供。</w:t>
      </w:r>
    </w:p>
    <w:p>
      <w:pPr>
        <w:spacing w:line="56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第3条  </w:t>
      </w:r>
      <w:r>
        <w:rPr>
          <w:rFonts w:hint="eastAsia" w:ascii="宋体" w:hAnsi="宋体" w:eastAsia="宋体" w:cs="宋体"/>
          <w:sz w:val="24"/>
        </w:rPr>
        <w:t>咨询服务工期</w:t>
      </w:r>
    </w:p>
    <w:p>
      <w:pPr>
        <w:spacing w:line="560" w:lineRule="exact"/>
        <w:rPr>
          <w:rFonts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乙方在收到甲方提供的技术资料后按甲方委托书中的规定时间完成咨询工作；</w:t>
      </w:r>
    </w:p>
    <w:p>
      <w:pPr>
        <w:spacing w:line="560" w:lineRule="exact"/>
        <w:rPr>
          <w:rFonts w:ascii="宋体" w:hAnsi="宋体" w:eastAsia="宋体" w:cs="宋体"/>
          <w:sz w:val="24"/>
        </w:rPr>
      </w:pPr>
      <w:r>
        <w:rPr>
          <w:rFonts w:hint="eastAsia" w:ascii="宋体" w:hAnsi="宋体" w:eastAsia="宋体" w:cs="宋体"/>
          <w:sz w:val="24"/>
        </w:rPr>
        <w:t xml:space="preserve">    乙方将咨询成果报告</w:t>
      </w:r>
      <w:r>
        <w:rPr>
          <w:rFonts w:hint="eastAsia" w:ascii="宋体" w:hAnsi="宋体" w:eastAsia="宋体" w:cs="宋体"/>
          <w:b/>
          <w:sz w:val="24"/>
        </w:rPr>
        <w:t>一式伍份</w:t>
      </w:r>
      <w:r>
        <w:rPr>
          <w:rFonts w:hint="eastAsia" w:ascii="宋体" w:hAnsi="宋体" w:eastAsia="宋体" w:cs="宋体"/>
          <w:sz w:val="24"/>
        </w:rPr>
        <w:t>提交甲方。</w:t>
      </w:r>
    </w:p>
    <w:p>
      <w:pPr>
        <w:spacing w:line="560" w:lineRule="exact"/>
        <w:ind w:firstLine="477" w:firstLineChars="198"/>
        <w:rPr>
          <w:rFonts w:ascii="宋体" w:hAnsi="宋体" w:eastAsia="宋体" w:cs="宋体"/>
          <w:bCs/>
          <w:sz w:val="24"/>
        </w:rPr>
      </w:pPr>
      <w:r>
        <w:rPr>
          <w:rFonts w:hint="eastAsia" w:ascii="宋体" w:hAnsi="宋体" w:eastAsia="宋体" w:cs="宋体"/>
          <w:b/>
          <w:bCs/>
          <w:sz w:val="24"/>
        </w:rPr>
        <w:t xml:space="preserve">第4条  </w:t>
      </w:r>
      <w:r>
        <w:rPr>
          <w:rFonts w:hint="eastAsia" w:ascii="宋体" w:hAnsi="宋体" w:eastAsia="宋体" w:cs="宋体"/>
          <w:bCs/>
          <w:sz w:val="24"/>
        </w:rPr>
        <w:t>咨询相关资料提供</w:t>
      </w:r>
    </w:p>
    <w:p>
      <w:pPr>
        <w:spacing w:line="560" w:lineRule="exact"/>
        <w:ind w:firstLine="475" w:firstLineChars="198"/>
        <w:rPr>
          <w:rFonts w:ascii="宋体" w:hAnsi="宋体" w:eastAsia="宋体" w:cs="宋体"/>
          <w:bCs/>
          <w:sz w:val="24"/>
        </w:rPr>
      </w:pPr>
      <w:r>
        <w:rPr>
          <w:rFonts w:hint="eastAsia" w:ascii="宋体" w:hAnsi="宋体" w:eastAsia="宋体" w:cs="宋体"/>
          <w:bCs/>
          <w:sz w:val="24"/>
        </w:rPr>
        <w:t>甲方必须在委托送审的同时按</w:t>
      </w:r>
      <w:r>
        <w:rPr>
          <w:rFonts w:hint="eastAsia" w:ascii="宋体" w:hAnsi="宋体" w:eastAsia="宋体" w:cs="宋体"/>
          <w:sz w:val="24"/>
        </w:rPr>
        <w:t>《富阳区政府与国企投资类项目财政审核管理办法》</w:t>
      </w:r>
      <w:r>
        <w:rPr>
          <w:rFonts w:hint="eastAsia" w:ascii="宋体" w:hAnsi="宋体" w:eastAsia="宋体" w:cs="宋体"/>
          <w:bCs/>
          <w:sz w:val="24"/>
        </w:rPr>
        <w:t>（富财预审〔2022〕191号）的规定将相关技术资料提供给乙方。</w:t>
      </w:r>
    </w:p>
    <w:p>
      <w:pPr>
        <w:spacing w:line="560" w:lineRule="exact"/>
        <w:ind w:firstLine="477" w:firstLineChars="198"/>
        <w:rPr>
          <w:rFonts w:ascii="宋体" w:hAnsi="宋体" w:eastAsia="宋体" w:cs="宋体"/>
          <w:sz w:val="24"/>
        </w:rPr>
      </w:pPr>
      <w:r>
        <w:rPr>
          <w:rFonts w:hint="eastAsia" w:ascii="宋体" w:hAnsi="宋体" w:eastAsia="宋体" w:cs="宋体"/>
          <w:b/>
          <w:bCs/>
          <w:sz w:val="24"/>
        </w:rPr>
        <w:t xml:space="preserve">第5条  </w:t>
      </w:r>
      <w:r>
        <w:rPr>
          <w:rFonts w:hint="eastAsia" w:ascii="宋体" w:hAnsi="宋体" w:eastAsia="宋体" w:cs="宋体"/>
          <w:sz w:val="24"/>
        </w:rPr>
        <w:t>咨询服务费的计算方法及支付方式</w:t>
      </w:r>
    </w:p>
    <w:p>
      <w:pPr>
        <w:spacing w:line="560" w:lineRule="exact"/>
        <w:ind w:firstLine="475" w:firstLineChars="198"/>
        <w:rPr>
          <w:rFonts w:ascii="宋体" w:hAnsi="宋体" w:eastAsia="宋体" w:cs="宋体"/>
          <w:sz w:val="24"/>
        </w:rPr>
      </w:pPr>
      <w:r>
        <w:rPr>
          <w:rFonts w:hint="eastAsia" w:ascii="宋体" w:hAnsi="宋体" w:eastAsia="宋体" w:cs="宋体"/>
          <w:sz w:val="24"/>
        </w:rPr>
        <w:t>甲方实行委托审核的项目，由甲方统一向乙方支付咨询服务费。</w:t>
      </w:r>
    </w:p>
    <w:p>
      <w:pPr>
        <w:spacing w:line="560" w:lineRule="exact"/>
        <w:ind w:firstLine="475" w:firstLineChars="198"/>
        <w:rPr>
          <w:rFonts w:ascii="宋体" w:hAnsi="宋体" w:eastAsia="宋体" w:cs="宋体"/>
          <w:sz w:val="24"/>
        </w:rPr>
      </w:pPr>
      <w:r>
        <w:rPr>
          <w:rFonts w:hint="eastAsia" w:ascii="宋体" w:hAnsi="宋体" w:eastAsia="宋体" w:cs="宋体"/>
          <w:sz w:val="24"/>
        </w:rPr>
        <w:t>咨询服务费计算方法采用业务基础咨询收费和业务绩效奖励收费相结合的办法，具体如下：</w:t>
      </w:r>
    </w:p>
    <w:p>
      <w:pPr>
        <w:spacing w:line="560" w:lineRule="exact"/>
        <w:ind w:firstLine="475" w:firstLineChars="198"/>
        <w:rPr>
          <w:rFonts w:ascii="宋体" w:hAnsi="宋体" w:eastAsia="宋体" w:cs="宋体"/>
          <w:sz w:val="24"/>
        </w:rPr>
      </w:pPr>
      <w:r>
        <w:rPr>
          <w:rFonts w:hint="eastAsia" w:ascii="宋体" w:hAnsi="宋体" w:eastAsia="宋体" w:cs="宋体"/>
          <w:sz w:val="24"/>
        </w:rPr>
        <w:t>业务基础咨询收费标准（费率：‰）：</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88"/>
        <w:gridCol w:w="722"/>
        <w:gridCol w:w="1088"/>
        <w:gridCol w:w="1161"/>
        <w:gridCol w:w="1116"/>
        <w:gridCol w:w="976"/>
        <w:gridCol w:w="1116"/>
        <w:gridCol w:w="9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序号</w:t>
            </w:r>
          </w:p>
        </w:tc>
        <w:tc>
          <w:tcPr>
            <w:tcW w:w="688"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咨询项目</w:t>
            </w:r>
          </w:p>
        </w:tc>
        <w:tc>
          <w:tcPr>
            <w:tcW w:w="722"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收费基数</w:t>
            </w:r>
          </w:p>
        </w:tc>
        <w:tc>
          <w:tcPr>
            <w:tcW w:w="7495" w:type="dxa"/>
            <w:gridSpan w:val="7"/>
            <w:vAlign w:val="center"/>
          </w:tcPr>
          <w:p>
            <w:pPr>
              <w:spacing w:line="280" w:lineRule="exact"/>
              <w:rPr>
                <w:rFonts w:ascii="宋体" w:hAnsi="宋体" w:eastAsia="宋体" w:cs="宋体"/>
                <w:szCs w:val="21"/>
              </w:rPr>
            </w:pPr>
            <w:r>
              <w:rPr>
                <w:rFonts w:hint="eastAsia" w:ascii="宋体" w:hAnsi="宋体" w:eastAsia="宋体" w:cs="宋体"/>
                <w:szCs w:val="21"/>
              </w:rPr>
              <w:t xml:space="preserve">                 分档累进计费标准（不含下限含上限）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vAlign w:val="center"/>
          </w:tcPr>
          <w:p>
            <w:pPr>
              <w:spacing w:line="280" w:lineRule="exact"/>
              <w:jc w:val="center"/>
              <w:rPr>
                <w:rFonts w:ascii="宋体" w:hAnsi="宋体" w:eastAsia="宋体" w:cs="宋体"/>
                <w:szCs w:val="21"/>
              </w:rPr>
            </w:pPr>
          </w:p>
        </w:tc>
        <w:tc>
          <w:tcPr>
            <w:tcW w:w="688" w:type="dxa"/>
            <w:vMerge w:val="continue"/>
            <w:vAlign w:val="center"/>
          </w:tcPr>
          <w:p>
            <w:pPr>
              <w:spacing w:line="280" w:lineRule="exact"/>
              <w:jc w:val="center"/>
              <w:rPr>
                <w:rFonts w:ascii="宋体" w:hAnsi="宋体" w:eastAsia="宋体" w:cs="宋体"/>
                <w:szCs w:val="21"/>
              </w:rPr>
            </w:pPr>
          </w:p>
        </w:tc>
        <w:tc>
          <w:tcPr>
            <w:tcW w:w="722" w:type="dxa"/>
            <w:vMerge w:val="continue"/>
            <w:vAlign w:val="center"/>
          </w:tcPr>
          <w:p>
            <w:pPr>
              <w:spacing w:line="280" w:lineRule="exact"/>
              <w:jc w:val="center"/>
              <w:rPr>
                <w:rFonts w:ascii="宋体" w:hAnsi="宋体" w:eastAsia="宋体" w:cs="宋体"/>
                <w:szCs w:val="21"/>
              </w:rPr>
            </w:pPr>
          </w:p>
        </w:tc>
        <w:tc>
          <w:tcPr>
            <w:tcW w:w="10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0.01以下</w:t>
            </w:r>
          </w:p>
        </w:tc>
        <w:tc>
          <w:tcPr>
            <w:tcW w:w="1161"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0.01～0.05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0.05～0.1</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0.1～0.2</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0.2～0.5</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0.5～1</w:t>
            </w:r>
          </w:p>
        </w:tc>
        <w:tc>
          <w:tcPr>
            <w:tcW w:w="106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w:t>
            </w:r>
          </w:p>
        </w:tc>
        <w:tc>
          <w:tcPr>
            <w:tcW w:w="6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概算审核</w:t>
            </w:r>
          </w:p>
        </w:tc>
        <w:tc>
          <w:tcPr>
            <w:tcW w:w="722"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审定工程费用</w:t>
            </w:r>
          </w:p>
        </w:tc>
        <w:tc>
          <w:tcPr>
            <w:tcW w:w="10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1.02</w:t>
            </w:r>
          </w:p>
        </w:tc>
        <w:tc>
          <w:tcPr>
            <w:tcW w:w="1161"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0.825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0.715</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0.55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0.45</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0.315</w:t>
            </w:r>
          </w:p>
        </w:tc>
        <w:tc>
          <w:tcPr>
            <w:tcW w:w="106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2</w:t>
            </w:r>
          </w:p>
        </w:tc>
        <w:tc>
          <w:tcPr>
            <w:tcW w:w="6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预算审核</w:t>
            </w:r>
          </w:p>
        </w:tc>
        <w:tc>
          <w:tcPr>
            <w:tcW w:w="722"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审定工程费用</w:t>
            </w:r>
          </w:p>
        </w:tc>
        <w:tc>
          <w:tcPr>
            <w:tcW w:w="10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1.8</w:t>
            </w:r>
          </w:p>
        </w:tc>
        <w:tc>
          <w:tcPr>
            <w:tcW w:w="1161"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1.375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1.265</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1.05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0.855</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0.595</w:t>
            </w:r>
          </w:p>
        </w:tc>
        <w:tc>
          <w:tcPr>
            <w:tcW w:w="106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序号</w:t>
            </w:r>
          </w:p>
        </w:tc>
        <w:tc>
          <w:tcPr>
            <w:tcW w:w="688"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咨询项目</w:t>
            </w:r>
          </w:p>
        </w:tc>
        <w:tc>
          <w:tcPr>
            <w:tcW w:w="722"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收费基数</w:t>
            </w:r>
          </w:p>
        </w:tc>
        <w:tc>
          <w:tcPr>
            <w:tcW w:w="7495" w:type="dxa"/>
            <w:gridSpan w:val="7"/>
            <w:vAlign w:val="center"/>
          </w:tcPr>
          <w:p>
            <w:pPr>
              <w:spacing w:line="280" w:lineRule="exact"/>
              <w:jc w:val="center"/>
              <w:rPr>
                <w:rFonts w:ascii="宋体" w:hAnsi="宋体" w:eastAsia="宋体" w:cs="宋体"/>
                <w:szCs w:val="21"/>
              </w:rPr>
            </w:pPr>
            <w:r>
              <w:rPr>
                <w:rFonts w:hint="eastAsia" w:ascii="宋体" w:hAnsi="宋体" w:eastAsia="宋体" w:cs="宋体"/>
                <w:szCs w:val="21"/>
              </w:rPr>
              <w:t xml:space="preserve">                 分档累进计费标准（不含下限含上限）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 w:type="dxa"/>
            <w:vMerge w:val="continue"/>
            <w:vAlign w:val="center"/>
          </w:tcPr>
          <w:p>
            <w:pPr>
              <w:spacing w:line="280" w:lineRule="exact"/>
              <w:jc w:val="center"/>
              <w:rPr>
                <w:rFonts w:ascii="宋体" w:hAnsi="宋体" w:eastAsia="宋体" w:cs="宋体"/>
                <w:szCs w:val="21"/>
              </w:rPr>
            </w:pPr>
          </w:p>
        </w:tc>
        <w:tc>
          <w:tcPr>
            <w:tcW w:w="688" w:type="dxa"/>
            <w:vMerge w:val="continue"/>
            <w:vAlign w:val="center"/>
          </w:tcPr>
          <w:p>
            <w:pPr>
              <w:spacing w:line="280" w:lineRule="exact"/>
              <w:jc w:val="center"/>
              <w:rPr>
                <w:rFonts w:ascii="宋体" w:hAnsi="宋体" w:eastAsia="宋体" w:cs="宋体"/>
                <w:szCs w:val="21"/>
              </w:rPr>
            </w:pPr>
          </w:p>
        </w:tc>
        <w:tc>
          <w:tcPr>
            <w:tcW w:w="722" w:type="dxa"/>
            <w:vMerge w:val="continue"/>
            <w:vAlign w:val="center"/>
          </w:tcPr>
          <w:p>
            <w:pPr>
              <w:spacing w:line="280" w:lineRule="exact"/>
              <w:jc w:val="center"/>
              <w:rPr>
                <w:rFonts w:ascii="宋体" w:hAnsi="宋体" w:eastAsia="宋体" w:cs="宋体"/>
                <w:szCs w:val="21"/>
              </w:rPr>
            </w:pPr>
          </w:p>
        </w:tc>
        <w:tc>
          <w:tcPr>
            <w:tcW w:w="10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5～10</w:t>
            </w:r>
          </w:p>
        </w:tc>
        <w:tc>
          <w:tcPr>
            <w:tcW w:w="1161"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10～20</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20～40</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40～60</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60～80</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80～100</w:t>
            </w:r>
          </w:p>
        </w:tc>
        <w:tc>
          <w:tcPr>
            <w:tcW w:w="106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w:t>
            </w:r>
          </w:p>
        </w:tc>
        <w:tc>
          <w:tcPr>
            <w:tcW w:w="6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概算审核</w:t>
            </w:r>
          </w:p>
        </w:tc>
        <w:tc>
          <w:tcPr>
            <w:tcW w:w="722"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审定工程费用</w:t>
            </w:r>
          </w:p>
        </w:tc>
        <w:tc>
          <w:tcPr>
            <w:tcW w:w="10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0.08</w:t>
            </w:r>
          </w:p>
        </w:tc>
        <w:tc>
          <w:tcPr>
            <w:tcW w:w="1161"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0.072</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0.064</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0.056</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0.048</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0.04</w:t>
            </w:r>
          </w:p>
        </w:tc>
        <w:tc>
          <w:tcPr>
            <w:tcW w:w="106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2</w:t>
            </w:r>
          </w:p>
        </w:tc>
        <w:tc>
          <w:tcPr>
            <w:tcW w:w="6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预算审核</w:t>
            </w:r>
          </w:p>
        </w:tc>
        <w:tc>
          <w:tcPr>
            <w:tcW w:w="722"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审定工程费用</w:t>
            </w:r>
          </w:p>
        </w:tc>
        <w:tc>
          <w:tcPr>
            <w:tcW w:w="108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0.15</w:t>
            </w:r>
          </w:p>
        </w:tc>
        <w:tc>
          <w:tcPr>
            <w:tcW w:w="1161"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0.135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0.12</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0.105</w:t>
            </w:r>
          </w:p>
        </w:tc>
        <w:tc>
          <w:tcPr>
            <w:tcW w:w="111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0.09</w:t>
            </w:r>
          </w:p>
        </w:tc>
        <w:tc>
          <w:tcPr>
            <w:tcW w:w="976"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0.075</w:t>
            </w:r>
          </w:p>
        </w:tc>
        <w:tc>
          <w:tcPr>
            <w:tcW w:w="106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0.0375</w:t>
            </w:r>
          </w:p>
        </w:tc>
      </w:tr>
    </w:tbl>
    <w:p>
      <w:pPr>
        <w:spacing w:line="560" w:lineRule="exact"/>
        <w:ind w:firstLine="480" w:firstLineChars="200"/>
        <w:rPr>
          <w:rFonts w:ascii="宋体" w:hAnsi="宋体" w:eastAsia="宋体" w:cs="宋体"/>
          <w:sz w:val="24"/>
        </w:rPr>
      </w:pPr>
      <w:r>
        <w:rPr>
          <w:rFonts w:hint="eastAsia" w:ascii="宋体" w:hAnsi="宋体" w:eastAsia="宋体" w:cs="宋体"/>
          <w:sz w:val="24"/>
        </w:rPr>
        <w:t>业务绩效奖励收费标准（费率：‰）：</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88"/>
        <w:gridCol w:w="722"/>
        <w:gridCol w:w="1088"/>
        <w:gridCol w:w="1161"/>
        <w:gridCol w:w="1116"/>
        <w:gridCol w:w="976"/>
        <w:gridCol w:w="1116"/>
        <w:gridCol w:w="9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序号</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咨询项目</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收费基数</w:t>
            </w:r>
          </w:p>
        </w:tc>
        <w:tc>
          <w:tcPr>
            <w:tcW w:w="749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szCs w:val="21"/>
              </w:rPr>
            </w:pPr>
            <w:r>
              <w:rPr>
                <w:rFonts w:hint="eastAsia" w:ascii="宋体" w:hAnsi="宋体" w:eastAsia="宋体" w:cs="宋体"/>
                <w:szCs w:val="21"/>
                <w:lang w:bidi="ar"/>
              </w:rPr>
              <w:t xml:space="preserve">          末档(参照项目造价分档)计费标准（不含下限含上限）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10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0.01以下</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0.01～0.05</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0.05～0.1</w:t>
            </w:r>
          </w:p>
        </w:tc>
        <w:tc>
          <w:tcPr>
            <w:tcW w:w="9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0.1～0.2</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0.2～0.5</w:t>
            </w:r>
          </w:p>
        </w:tc>
        <w:tc>
          <w:tcPr>
            <w:tcW w:w="9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0.5～1</w:t>
            </w:r>
          </w:p>
        </w:tc>
        <w:tc>
          <w:tcPr>
            <w:tcW w:w="10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w:t>
            </w:r>
          </w:p>
        </w:tc>
        <w:tc>
          <w:tcPr>
            <w:tcW w:w="6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概算审核</w:t>
            </w:r>
          </w:p>
        </w:tc>
        <w:tc>
          <w:tcPr>
            <w:tcW w:w="7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2.21</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1.56</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1.21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0.72</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w:t>
            </w:r>
          </w:p>
        </w:tc>
        <w:tc>
          <w:tcPr>
            <w:tcW w:w="6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预算审核</w:t>
            </w:r>
          </w:p>
        </w:tc>
        <w:tc>
          <w:tcPr>
            <w:tcW w:w="7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3.9</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2.76</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2.31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1.9</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1.36</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序号</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咨询项目</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收费基数</w:t>
            </w:r>
          </w:p>
        </w:tc>
        <w:tc>
          <w:tcPr>
            <w:tcW w:w="749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szCs w:val="21"/>
              </w:rPr>
            </w:pPr>
            <w:r>
              <w:rPr>
                <w:rFonts w:hint="eastAsia" w:ascii="宋体" w:hAnsi="宋体" w:eastAsia="宋体" w:cs="宋体"/>
                <w:szCs w:val="21"/>
                <w:lang w:bidi="ar"/>
              </w:rPr>
              <w:t xml:space="preserve">          末档(参照项目造价分档)计费标准（不含下限含上限）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10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5～10</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10～20</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20～40</w:t>
            </w:r>
          </w:p>
        </w:tc>
        <w:tc>
          <w:tcPr>
            <w:tcW w:w="9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40～60</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60～80</w:t>
            </w:r>
          </w:p>
        </w:tc>
        <w:tc>
          <w:tcPr>
            <w:tcW w:w="9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80～100</w:t>
            </w:r>
          </w:p>
        </w:tc>
        <w:tc>
          <w:tcPr>
            <w:tcW w:w="10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1</w:t>
            </w:r>
          </w:p>
        </w:tc>
        <w:tc>
          <w:tcPr>
            <w:tcW w:w="6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概算审核</w:t>
            </w:r>
          </w:p>
        </w:tc>
        <w:tc>
          <w:tcPr>
            <w:tcW w:w="7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0.24</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0.216</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0.192</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0.168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0.144</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0.12</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2</w:t>
            </w:r>
          </w:p>
        </w:tc>
        <w:tc>
          <w:tcPr>
            <w:tcW w:w="6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预算审核</w:t>
            </w:r>
          </w:p>
        </w:tc>
        <w:tc>
          <w:tcPr>
            <w:tcW w:w="7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Cs w:val="21"/>
              </w:rPr>
            </w:pPr>
            <w:r>
              <w:rPr>
                <w:rFonts w:hint="eastAsia" w:ascii="宋体" w:hAnsi="宋体" w:eastAsia="宋体" w:cs="宋体"/>
                <w:szCs w:val="21"/>
                <w:lang w:bidi="ar"/>
              </w:rPr>
              <w:t>核减工程费用</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rPr>
            </w:pPr>
            <w:r>
              <w:rPr>
                <w:rFonts w:hint="eastAsia" w:ascii="宋体" w:hAnsi="宋体" w:eastAsia="宋体" w:cs="宋体"/>
                <w:color w:val="000000"/>
                <w:kern w:val="0"/>
                <w:sz w:val="22"/>
                <w:lang w:bidi="ar"/>
              </w:rPr>
              <w:t>0.45</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0.405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0.36</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0.315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0.27</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0.225</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0.1125</w:t>
            </w:r>
          </w:p>
        </w:tc>
      </w:tr>
    </w:tbl>
    <w:p>
      <w:pPr>
        <w:spacing w:line="560" w:lineRule="exact"/>
        <w:rPr>
          <w:rFonts w:ascii="宋体" w:hAnsi="宋体" w:eastAsia="宋体" w:cs="宋体"/>
          <w:sz w:val="24"/>
        </w:rPr>
      </w:pPr>
      <w:r>
        <w:rPr>
          <w:rFonts w:hint="eastAsia" w:ascii="宋体" w:hAnsi="宋体" w:eastAsia="宋体" w:cs="宋体"/>
          <w:sz w:val="24"/>
        </w:rPr>
        <w:t>注：1.单个审核项目的咨询服务费按业务基础咨询收费标准计费不足2000元的，按2000元计费。</w:t>
      </w:r>
    </w:p>
    <w:p>
      <w:pPr>
        <w:spacing w:line="560" w:lineRule="exact"/>
        <w:ind w:firstLine="480" w:firstLineChars="200"/>
        <w:rPr>
          <w:rFonts w:ascii="宋体" w:hAnsi="宋体" w:eastAsia="宋体" w:cs="宋体"/>
          <w:sz w:val="24"/>
        </w:rPr>
      </w:pPr>
      <w:r>
        <w:rPr>
          <w:rFonts w:hint="eastAsia" w:ascii="宋体" w:hAnsi="宋体" w:eastAsia="宋体" w:cs="宋体"/>
          <w:sz w:val="24"/>
        </w:rPr>
        <w:t>2.经甲方复核中发现乙方项目审核有差错需退回重审的委托项目绩效奖励扣费标准按《富阳区政府与国企投资类项目财政审核管理办法》</w:t>
      </w:r>
      <w:r>
        <w:rPr>
          <w:rFonts w:hint="eastAsia" w:ascii="宋体" w:hAnsi="宋体" w:eastAsia="宋体" w:cs="宋体"/>
          <w:bCs/>
          <w:sz w:val="24"/>
        </w:rPr>
        <w:t>（富财预审〔2022〕191号）</w:t>
      </w:r>
      <w:r>
        <w:rPr>
          <w:rFonts w:hint="eastAsia" w:ascii="宋体" w:hAnsi="宋体" w:eastAsia="宋体" w:cs="宋体"/>
          <w:sz w:val="24"/>
        </w:rPr>
        <w:t>执行。</w:t>
      </w:r>
    </w:p>
    <w:p>
      <w:pPr>
        <w:spacing w:line="560" w:lineRule="exact"/>
        <w:ind w:firstLine="480" w:firstLineChars="200"/>
        <w:rPr>
          <w:rFonts w:ascii="宋体" w:hAnsi="宋体" w:eastAsia="宋体" w:cs="宋体"/>
          <w:sz w:val="24"/>
        </w:rPr>
      </w:pPr>
      <w:r>
        <w:rPr>
          <w:rFonts w:hint="eastAsia" w:ascii="宋体" w:hAnsi="宋体" w:eastAsia="宋体" w:cs="宋体"/>
          <w:sz w:val="24"/>
        </w:rPr>
        <w:t>3. 对年度考核前50%的单位予以奖励，当年中介机构业务考核总扣减费用按排名全额奖励给考核前50%的单位。具体奖励金额为：</w:t>
      </w:r>
      <w:r>
        <w:rPr>
          <w:rFonts w:hint="eastAsia" w:ascii="宋体" w:hAnsi="宋体" w:eastAsia="宋体" w:cs="宋体"/>
        </w:rPr>
        <w:drawing>
          <wp:inline distT="0" distB="0" distL="0" distR="0">
            <wp:extent cx="1148715" cy="23431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148715" cy="234315"/>
                    </a:xfrm>
                    <a:prstGeom prst="rect">
                      <a:avLst/>
                    </a:prstGeom>
                    <a:noFill/>
                    <a:ln>
                      <a:noFill/>
                    </a:ln>
                  </pic:spPr>
                </pic:pic>
              </a:graphicData>
            </a:graphic>
          </wp:inline>
        </w:drawing>
      </w:r>
      <w:r>
        <w:rPr>
          <w:rFonts w:hint="eastAsia" w:ascii="宋体" w:hAnsi="宋体" w:eastAsia="宋体" w:cs="宋体"/>
          <w:sz w:val="24"/>
        </w:rPr>
        <w:t>，其中n为中介机构排名，k=入围造价咨询企业当年业务考核排名前50%的企业数量值。年度内被区纪委、区住建、区财政等相关部门处理处罚、通报或列入警示名单的中介机构不得计取奖励费用。</w:t>
      </w:r>
    </w:p>
    <w:p>
      <w:pPr>
        <w:spacing w:line="560" w:lineRule="exact"/>
        <w:ind w:firstLine="480" w:firstLineChars="200"/>
        <w:rPr>
          <w:rFonts w:ascii="宋体" w:hAnsi="宋体" w:eastAsia="宋体" w:cs="宋体"/>
          <w:sz w:val="24"/>
        </w:rPr>
      </w:pPr>
      <w:r>
        <w:rPr>
          <w:rFonts w:hint="eastAsia" w:ascii="宋体" w:hAnsi="宋体" w:eastAsia="宋体" w:cs="宋体"/>
          <w:sz w:val="24"/>
        </w:rPr>
        <w:t>4.咨询服务费以委托项目审定金额为收费基数，原则上一个项目计费一次。因项目流标需要重审的，由原审核中介机构审核，审核费用按30%计算。因项目方案调整、未及时发布招标信息等原因，建设单位要求对已审定完成的项目再重新报审，该项目咨询服务费由建设单位承担。</w:t>
      </w:r>
    </w:p>
    <w:p>
      <w:pPr>
        <w:spacing w:line="560" w:lineRule="exact"/>
        <w:ind w:firstLine="480" w:firstLineChars="200"/>
        <w:rPr>
          <w:rFonts w:ascii="宋体" w:hAnsi="宋体" w:eastAsia="宋体" w:cs="宋体"/>
          <w:sz w:val="24"/>
        </w:rPr>
      </w:pPr>
      <w:r>
        <w:rPr>
          <w:rFonts w:hint="eastAsia" w:ascii="宋体" w:hAnsi="宋体" w:eastAsia="宋体" w:cs="宋体"/>
          <w:sz w:val="24"/>
        </w:rPr>
        <w:t>5.全年委托审核项目的咨询服务费一般按每年两次集中付费，年度核准的方式进行。具体付费时间按区财政局相关预算科室的年度预算安排为准。</w:t>
      </w:r>
    </w:p>
    <w:p>
      <w:pPr>
        <w:spacing w:line="560" w:lineRule="exact"/>
        <w:ind w:firstLine="482" w:firstLineChars="200"/>
        <w:rPr>
          <w:rFonts w:ascii="宋体" w:hAnsi="宋体" w:eastAsia="宋体" w:cs="宋体"/>
          <w:sz w:val="24"/>
        </w:rPr>
      </w:pPr>
      <w:r>
        <w:rPr>
          <w:rFonts w:hint="eastAsia" w:ascii="宋体" w:hAnsi="宋体" w:eastAsia="宋体" w:cs="宋体"/>
          <w:b/>
          <w:bCs/>
          <w:sz w:val="24"/>
        </w:rPr>
        <w:t>第6条</w:t>
      </w:r>
      <w:r>
        <w:rPr>
          <w:rFonts w:hint="eastAsia" w:ascii="宋体" w:hAnsi="宋体" w:eastAsia="宋体" w:cs="宋体"/>
          <w:sz w:val="24"/>
        </w:rPr>
        <w:t xml:space="preserve">  违约责任</w:t>
      </w:r>
    </w:p>
    <w:p>
      <w:pPr>
        <w:spacing w:line="560" w:lineRule="exact"/>
        <w:rPr>
          <w:rFonts w:ascii="宋体" w:hAnsi="宋体" w:eastAsia="宋体" w:cs="宋体"/>
          <w:sz w:val="24"/>
        </w:rPr>
      </w:pPr>
      <w:r>
        <w:rPr>
          <w:rFonts w:hint="eastAsia" w:ascii="宋体" w:hAnsi="宋体" w:eastAsia="宋体" w:cs="宋体"/>
          <w:sz w:val="24"/>
        </w:rPr>
        <w:t xml:space="preserve">    1.甲方违约责任</w:t>
      </w:r>
    </w:p>
    <w:p>
      <w:pPr>
        <w:spacing w:line="560" w:lineRule="exact"/>
        <w:ind w:firstLine="480" w:firstLineChars="200"/>
        <w:rPr>
          <w:rFonts w:ascii="宋体" w:hAnsi="宋体" w:eastAsia="宋体" w:cs="宋体"/>
          <w:sz w:val="24"/>
        </w:rPr>
      </w:pPr>
      <w:r>
        <w:rPr>
          <w:rFonts w:hint="eastAsia" w:ascii="宋体" w:hAnsi="宋体" w:eastAsia="宋体" w:cs="宋体"/>
          <w:sz w:val="24"/>
        </w:rPr>
        <w:t>甲方不能提供第4条约定的项目资料或提供的项目资料不全，乙方交付咨询成果报告的时间暂停，待资料补充完整后继续计时。</w:t>
      </w:r>
    </w:p>
    <w:p>
      <w:pPr>
        <w:spacing w:line="560" w:lineRule="exact"/>
        <w:ind w:firstLine="480"/>
        <w:rPr>
          <w:rFonts w:ascii="宋体" w:hAnsi="宋体" w:eastAsia="宋体" w:cs="宋体"/>
          <w:sz w:val="24"/>
        </w:rPr>
      </w:pPr>
      <w:r>
        <w:rPr>
          <w:rFonts w:hint="eastAsia" w:ascii="宋体" w:hAnsi="宋体" w:eastAsia="宋体" w:cs="宋体"/>
          <w:sz w:val="24"/>
        </w:rPr>
        <w:t>2.乙方违约责任</w:t>
      </w:r>
    </w:p>
    <w:p>
      <w:pPr>
        <w:spacing w:line="560" w:lineRule="exact"/>
        <w:ind w:firstLine="480"/>
        <w:rPr>
          <w:rFonts w:ascii="宋体" w:hAnsi="宋体" w:eastAsia="宋体" w:cs="宋体"/>
          <w:sz w:val="24"/>
        </w:rPr>
      </w:pPr>
      <w:r>
        <w:rPr>
          <w:rFonts w:hint="eastAsia" w:ascii="宋体" w:hAnsi="宋体" w:eastAsia="宋体" w:cs="宋体"/>
          <w:sz w:val="24"/>
        </w:rPr>
        <w:t>乙方确认，乙方在签订本合同时已清楚了解《富阳区政府与国企投资类项目财政审核管理办法》</w:t>
      </w:r>
      <w:r>
        <w:rPr>
          <w:rFonts w:hint="eastAsia" w:ascii="宋体" w:hAnsi="宋体" w:eastAsia="宋体" w:cs="宋体"/>
          <w:bCs/>
          <w:sz w:val="24"/>
        </w:rPr>
        <w:t>（富财预审〔2022〕191号）的全部内容，并同意将办法作为本合同履行的具体依据，此外，乙方同意按照办法进行考核考评，接受考核考评结果</w:t>
      </w:r>
      <w:r>
        <w:rPr>
          <w:rFonts w:hint="eastAsia" w:ascii="宋体" w:hAnsi="宋体" w:eastAsia="宋体" w:cs="宋体"/>
          <w:sz w:val="24"/>
        </w:rPr>
        <w:t>。</w:t>
      </w:r>
    </w:p>
    <w:p>
      <w:pPr>
        <w:spacing w:line="560" w:lineRule="exact"/>
        <w:ind w:firstLine="480"/>
        <w:rPr>
          <w:rFonts w:ascii="宋体" w:hAnsi="宋体" w:eastAsia="宋体" w:cs="宋体"/>
          <w:sz w:val="24"/>
        </w:rPr>
      </w:pPr>
      <w:r>
        <w:rPr>
          <w:rFonts w:hint="eastAsia" w:ascii="宋体" w:hAnsi="宋体" w:eastAsia="宋体" w:cs="宋体"/>
          <w:sz w:val="24"/>
        </w:rPr>
        <w:t>乙方因过错或违反保密义务，乙方向甲方支付审核费用20%违约金，并赔偿损失不足部分。</w:t>
      </w:r>
    </w:p>
    <w:p>
      <w:pPr>
        <w:spacing w:line="560" w:lineRule="exact"/>
        <w:ind w:firstLine="472" w:firstLineChars="196"/>
        <w:rPr>
          <w:rFonts w:ascii="宋体" w:hAnsi="宋体" w:eastAsia="宋体" w:cs="宋体"/>
          <w:sz w:val="24"/>
        </w:rPr>
      </w:pPr>
      <w:r>
        <w:rPr>
          <w:rFonts w:hint="eastAsia" w:ascii="宋体" w:hAnsi="宋体" w:eastAsia="宋体" w:cs="宋体"/>
          <w:b/>
          <w:bCs/>
          <w:sz w:val="24"/>
        </w:rPr>
        <w:t xml:space="preserve">第7条  </w:t>
      </w:r>
      <w:r>
        <w:rPr>
          <w:rFonts w:hint="eastAsia" w:ascii="宋体" w:hAnsi="宋体" w:eastAsia="宋体" w:cs="宋体"/>
          <w:sz w:val="24"/>
        </w:rPr>
        <w:t>争议解决方式</w:t>
      </w:r>
    </w:p>
    <w:p>
      <w:pPr>
        <w:spacing w:line="560" w:lineRule="exact"/>
        <w:ind w:firstLine="470" w:firstLineChars="196"/>
        <w:rPr>
          <w:rFonts w:ascii="宋体" w:hAnsi="宋体" w:eastAsia="宋体" w:cs="宋体"/>
          <w:sz w:val="24"/>
        </w:rPr>
      </w:pPr>
      <w:r>
        <w:rPr>
          <w:rFonts w:hint="eastAsia" w:ascii="宋体" w:hAnsi="宋体" w:eastAsia="宋体" w:cs="宋体"/>
          <w:sz w:val="24"/>
        </w:rPr>
        <w:t>合同履行过程中发生争议，双方应协商解决，或由相关主管部门进行调解；协商或调解不成的，依法向甲方住所地人民法院起诉。</w:t>
      </w:r>
    </w:p>
    <w:p>
      <w:pPr>
        <w:spacing w:line="560" w:lineRule="exact"/>
        <w:ind w:firstLine="482" w:firstLineChars="200"/>
        <w:rPr>
          <w:rFonts w:ascii="宋体" w:hAnsi="宋体" w:eastAsia="宋体" w:cs="宋体"/>
          <w:sz w:val="24"/>
        </w:rPr>
      </w:pPr>
      <w:r>
        <w:rPr>
          <w:rFonts w:hint="eastAsia" w:ascii="宋体" w:hAnsi="宋体" w:eastAsia="宋体" w:cs="宋体"/>
          <w:b/>
          <w:bCs/>
          <w:sz w:val="24"/>
        </w:rPr>
        <w:t xml:space="preserve">第8条  </w:t>
      </w:r>
      <w:r>
        <w:rPr>
          <w:rFonts w:hint="eastAsia" w:ascii="宋体" w:hAnsi="宋体" w:eastAsia="宋体" w:cs="宋体"/>
          <w:sz w:val="24"/>
        </w:rPr>
        <w:t>其他约定事项</w:t>
      </w:r>
    </w:p>
    <w:p>
      <w:pPr>
        <w:spacing w:line="560" w:lineRule="exact"/>
        <w:ind w:firstLine="480" w:firstLineChars="200"/>
        <w:rPr>
          <w:rFonts w:ascii="宋体" w:hAnsi="宋体" w:eastAsia="宋体" w:cs="宋体"/>
          <w:sz w:val="24"/>
        </w:rPr>
      </w:pPr>
      <w:r>
        <w:rPr>
          <w:rFonts w:hint="eastAsia" w:ascii="宋体" w:hAnsi="宋体" w:eastAsia="宋体" w:cs="宋体"/>
          <w:sz w:val="24"/>
        </w:rPr>
        <w:t>乙方在接收《杭州市富阳区政府投资项目概（预）算审核委托书》后1个工作日内需将项目具体评审负责人和专业技术人员名单填表提交甲方备案登记，项目实施中需变更负责人或专业技术人员的，需书面说明理由并由甲方同意，乙方擅自变更负责人或专业技术人员，暂停3个月咨询业务的委托。</w:t>
      </w:r>
    </w:p>
    <w:p>
      <w:pPr>
        <w:spacing w:line="560" w:lineRule="exact"/>
        <w:ind w:firstLine="435"/>
        <w:rPr>
          <w:rFonts w:ascii="宋体" w:hAnsi="宋体" w:eastAsia="宋体" w:cs="宋体"/>
          <w:sz w:val="24"/>
        </w:rPr>
      </w:pPr>
      <w:r>
        <w:rPr>
          <w:rFonts w:hint="eastAsia" w:ascii="宋体" w:hAnsi="宋体" w:eastAsia="宋体" w:cs="宋体"/>
          <w:sz w:val="24"/>
        </w:rPr>
        <w:t>乙方在审核过程中出现重大分歧又确需甲方协调解决的问题，应及时向甲方报送书面意见。</w:t>
      </w:r>
    </w:p>
    <w:p>
      <w:pPr>
        <w:spacing w:line="560" w:lineRule="exact"/>
        <w:ind w:firstLine="435"/>
        <w:rPr>
          <w:rFonts w:ascii="宋体" w:hAnsi="宋体" w:eastAsia="宋体" w:cs="宋体"/>
          <w:sz w:val="24"/>
        </w:rPr>
      </w:pPr>
      <w:r>
        <w:rPr>
          <w:rFonts w:hint="eastAsia" w:ascii="宋体" w:hAnsi="宋体" w:eastAsia="宋体" w:cs="宋体"/>
          <w:sz w:val="24"/>
        </w:rPr>
        <w:t>不得将甲方所委托的造价咨询业务转包或分包给其他单位或个人。</w:t>
      </w:r>
    </w:p>
    <w:p>
      <w:pPr>
        <w:spacing w:line="560" w:lineRule="exact"/>
        <w:ind w:firstLine="435"/>
        <w:rPr>
          <w:rFonts w:ascii="宋体" w:hAnsi="宋体" w:eastAsia="宋体" w:cs="宋体"/>
          <w:sz w:val="24"/>
        </w:rPr>
      </w:pPr>
      <w:r>
        <w:rPr>
          <w:rFonts w:hint="eastAsia" w:ascii="宋体" w:hAnsi="宋体" w:eastAsia="宋体" w:cs="宋体"/>
          <w:sz w:val="24"/>
        </w:rPr>
        <w:t>同一工程项目只能接受一方的业务委托，不得接受同一项目不同委托人的造价咨询服务委托，从事造价咨询业务和招投标业务；同一工程项目不得既接受编制业务委托，又接受审核业务的委托。若已接受编制工程造价咨询业务委托的，必须主动向甲方提出回避审核业务的委托；乙方及其工作人员与建设单位、编制单位等有利害关系的应主动向甲方提出回避。</w:t>
      </w:r>
    </w:p>
    <w:p>
      <w:pPr>
        <w:spacing w:line="560" w:lineRule="exact"/>
        <w:ind w:firstLine="435"/>
        <w:rPr>
          <w:rFonts w:ascii="宋体" w:hAnsi="宋体" w:eastAsia="宋体" w:cs="宋体"/>
          <w:sz w:val="24"/>
        </w:rPr>
      </w:pPr>
      <w:r>
        <w:rPr>
          <w:rFonts w:hint="eastAsia" w:ascii="宋体" w:hAnsi="宋体" w:eastAsia="宋体" w:cs="宋体"/>
          <w:sz w:val="24"/>
        </w:rPr>
        <w:t>乙方概预算审核（包括变更审核）报告存在质量和逾期等问题，甲方相应扣减该项工程的审核费，累计扣减不超过该项工程审核费用的总额，具体参照《富阳区政府与国企投资类项目财政审核管理办法》</w:t>
      </w:r>
      <w:r>
        <w:rPr>
          <w:rFonts w:hint="eastAsia" w:ascii="宋体" w:hAnsi="宋体" w:eastAsia="宋体" w:cs="宋体"/>
          <w:bCs/>
          <w:sz w:val="24"/>
        </w:rPr>
        <w:t>（富财预审〔2022〕191号）</w:t>
      </w:r>
      <w:r>
        <w:rPr>
          <w:rFonts w:hint="eastAsia" w:ascii="宋体" w:hAnsi="宋体" w:eastAsia="宋体" w:cs="宋体"/>
          <w:sz w:val="24"/>
        </w:rPr>
        <w:t>。</w:t>
      </w:r>
    </w:p>
    <w:p>
      <w:pPr>
        <w:widowControl/>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第9条  </w:t>
      </w:r>
      <w:r>
        <w:rPr>
          <w:rFonts w:hint="eastAsia" w:ascii="宋体" w:hAnsi="宋体" w:eastAsia="宋体" w:cs="宋体"/>
          <w:sz w:val="24"/>
        </w:rPr>
        <w:t>合同组成部分</w:t>
      </w:r>
    </w:p>
    <w:p>
      <w:pPr>
        <w:spacing w:line="560" w:lineRule="exact"/>
        <w:ind w:firstLine="435"/>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35"/>
        <w:rPr>
          <w:rFonts w:ascii="宋体" w:hAnsi="宋体" w:eastAsia="宋体" w:cs="宋体"/>
          <w:sz w:val="24"/>
          <w:szCs w:val="24"/>
        </w:rPr>
      </w:pPr>
      <w:r>
        <w:rPr>
          <w:rFonts w:hint="eastAsia" w:ascii="宋体" w:hAnsi="宋体" w:eastAsia="宋体" w:cs="宋体"/>
          <w:sz w:val="24"/>
          <w:szCs w:val="24"/>
        </w:rPr>
        <w:t>1. 本合同及其补充合同、变更协议；</w:t>
      </w:r>
    </w:p>
    <w:p>
      <w:pPr>
        <w:spacing w:line="560" w:lineRule="exact"/>
        <w:ind w:firstLine="435"/>
        <w:rPr>
          <w:rFonts w:ascii="宋体" w:hAnsi="宋体" w:eastAsia="宋体" w:cs="宋体"/>
          <w:sz w:val="24"/>
          <w:szCs w:val="24"/>
        </w:rPr>
      </w:pPr>
      <w:r>
        <w:rPr>
          <w:rFonts w:hint="eastAsia" w:ascii="宋体" w:hAnsi="宋体" w:eastAsia="宋体" w:cs="宋体"/>
          <w:sz w:val="24"/>
          <w:szCs w:val="24"/>
        </w:rPr>
        <w:t>2. 中标通知书；</w:t>
      </w:r>
    </w:p>
    <w:p>
      <w:pPr>
        <w:spacing w:line="560" w:lineRule="exact"/>
        <w:ind w:firstLine="435"/>
        <w:rPr>
          <w:rFonts w:ascii="宋体" w:hAnsi="宋体" w:eastAsia="宋体" w:cs="宋体"/>
          <w:sz w:val="24"/>
          <w:szCs w:val="24"/>
        </w:rPr>
      </w:pPr>
      <w:r>
        <w:rPr>
          <w:rFonts w:hint="eastAsia" w:ascii="宋体" w:hAnsi="宋体" w:eastAsia="宋体" w:cs="宋体"/>
          <w:sz w:val="24"/>
          <w:szCs w:val="24"/>
        </w:rPr>
        <w:t>3. 响应文件（含澄清或者说明文件）；</w:t>
      </w:r>
    </w:p>
    <w:p>
      <w:pPr>
        <w:spacing w:line="560" w:lineRule="exact"/>
        <w:ind w:firstLine="435"/>
        <w:rPr>
          <w:rFonts w:ascii="宋体" w:hAnsi="宋体" w:eastAsia="宋体" w:cs="宋体"/>
          <w:sz w:val="24"/>
          <w:szCs w:val="24"/>
        </w:rPr>
      </w:pPr>
      <w:r>
        <w:rPr>
          <w:rFonts w:hint="eastAsia" w:ascii="宋体" w:hAnsi="宋体" w:eastAsia="宋体" w:cs="宋体"/>
          <w:sz w:val="24"/>
          <w:szCs w:val="24"/>
        </w:rPr>
        <w:t>4. 征集文件（含澄清或者修改文件）；</w:t>
      </w:r>
    </w:p>
    <w:p>
      <w:pPr>
        <w:spacing w:line="560" w:lineRule="exact"/>
        <w:ind w:firstLine="435"/>
        <w:rPr>
          <w:rFonts w:ascii="宋体" w:hAnsi="宋体" w:eastAsia="宋体" w:cs="宋体"/>
          <w:sz w:val="24"/>
          <w:szCs w:val="24"/>
        </w:rPr>
      </w:pPr>
      <w:r>
        <w:rPr>
          <w:rFonts w:hint="eastAsia" w:ascii="宋体" w:hAnsi="宋体" w:eastAsia="宋体" w:cs="宋体"/>
          <w:sz w:val="24"/>
          <w:szCs w:val="24"/>
        </w:rPr>
        <w:t>5. 其他相关采购文件。</w:t>
      </w:r>
    </w:p>
    <w:p>
      <w:pPr>
        <w:spacing w:line="560" w:lineRule="exact"/>
        <w:ind w:firstLine="472" w:firstLineChars="196"/>
        <w:rPr>
          <w:rFonts w:ascii="宋体" w:hAnsi="宋体" w:eastAsia="宋体" w:cs="宋体"/>
          <w:sz w:val="24"/>
        </w:rPr>
      </w:pPr>
      <w:r>
        <w:rPr>
          <w:rFonts w:hint="eastAsia" w:ascii="宋体" w:hAnsi="宋体" w:eastAsia="宋体" w:cs="宋体"/>
          <w:b/>
          <w:bCs/>
          <w:sz w:val="24"/>
        </w:rPr>
        <w:t xml:space="preserve">第10条  </w:t>
      </w:r>
      <w:r>
        <w:rPr>
          <w:rFonts w:hint="eastAsia" w:ascii="宋体" w:hAnsi="宋体" w:eastAsia="宋体" w:cs="宋体"/>
          <w:sz w:val="24"/>
        </w:rPr>
        <w:t>本合同自双方代表签字，加盖双方公章即生效。</w:t>
      </w:r>
    </w:p>
    <w:p>
      <w:pPr>
        <w:spacing w:line="560" w:lineRule="exact"/>
        <w:ind w:firstLine="482" w:firstLineChars="200"/>
        <w:rPr>
          <w:rFonts w:ascii="宋体" w:hAnsi="宋体" w:eastAsia="宋体" w:cs="宋体"/>
          <w:sz w:val="24"/>
        </w:rPr>
      </w:pPr>
      <w:r>
        <w:rPr>
          <w:rFonts w:hint="eastAsia" w:ascii="宋体" w:hAnsi="宋体" w:eastAsia="宋体" w:cs="宋体"/>
          <w:b/>
          <w:bCs/>
          <w:sz w:val="24"/>
        </w:rPr>
        <w:t xml:space="preserve">第11条  </w:t>
      </w:r>
      <w:r>
        <w:rPr>
          <w:rFonts w:hint="eastAsia" w:ascii="宋体" w:hAnsi="宋体" w:eastAsia="宋体" w:cs="宋体"/>
          <w:sz w:val="24"/>
        </w:rPr>
        <w:t>本合同壹式贰份，双方各执壹份。</w:t>
      </w:r>
    </w:p>
    <w:p>
      <w:pPr>
        <w:spacing w:line="560" w:lineRule="exact"/>
        <w:ind w:firstLine="480" w:firstLineChars="200"/>
        <w:rPr>
          <w:rFonts w:ascii="宋体" w:hAnsi="宋体" w:eastAsia="宋体" w:cs="宋体"/>
          <w:sz w:val="24"/>
        </w:rPr>
      </w:pPr>
    </w:p>
    <w:p>
      <w:pPr>
        <w:spacing w:line="720" w:lineRule="exact"/>
        <w:rPr>
          <w:rFonts w:ascii="宋体" w:hAnsi="宋体" w:eastAsia="宋体" w:cs="宋体"/>
          <w:sz w:val="24"/>
        </w:rPr>
      </w:pPr>
      <w:r>
        <w:rPr>
          <w:rFonts w:hint="eastAsia" w:ascii="宋体" w:hAnsi="宋体" w:eastAsia="宋体" w:cs="宋体"/>
          <w:sz w:val="24"/>
        </w:rPr>
        <w:t>甲方（盖章）：                             乙方（盖章）：</w:t>
      </w:r>
    </w:p>
    <w:p>
      <w:pPr>
        <w:spacing w:line="720" w:lineRule="exact"/>
        <w:rPr>
          <w:rFonts w:ascii="宋体" w:hAnsi="宋体" w:eastAsia="宋体" w:cs="宋体"/>
          <w:sz w:val="24"/>
        </w:rPr>
      </w:pPr>
      <w:r>
        <w:rPr>
          <w:rFonts w:hint="eastAsia" w:ascii="宋体" w:hAnsi="宋体" w:eastAsia="宋体" w:cs="宋体"/>
          <w:sz w:val="24"/>
        </w:rPr>
        <w:t>单位地址：杭州市富阳区街道富春街12号     单位地址：</w:t>
      </w:r>
    </w:p>
    <w:p>
      <w:pPr>
        <w:spacing w:line="720" w:lineRule="exact"/>
        <w:rPr>
          <w:rFonts w:ascii="宋体" w:hAnsi="宋体" w:eastAsia="宋体" w:cs="宋体"/>
          <w:sz w:val="24"/>
        </w:rPr>
      </w:pPr>
      <w:r>
        <w:rPr>
          <w:rFonts w:hint="eastAsia" w:ascii="宋体" w:hAnsi="宋体" w:eastAsia="宋体" w:cs="宋体"/>
          <w:sz w:val="24"/>
        </w:rPr>
        <w:t xml:space="preserve">委托代理人：                              法人代表： </w:t>
      </w:r>
    </w:p>
    <w:p>
      <w:pPr>
        <w:spacing w:line="720" w:lineRule="exact"/>
        <w:rPr>
          <w:rFonts w:ascii="宋体" w:hAnsi="宋体" w:eastAsia="宋体" w:cs="宋体"/>
          <w:sz w:val="24"/>
        </w:rPr>
      </w:pPr>
      <w:r>
        <w:rPr>
          <w:rFonts w:hint="eastAsia" w:ascii="宋体" w:hAnsi="宋体" w:eastAsia="宋体" w:cs="宋体"/>
          <w:sz w:val="24"/>
        </w:rPr>
        <w:t xml:space="preserve">联系电话：                                联系电话： </w:t>
      </w:r>
    </w:p>
    <w:p>
      <w:pPr>
        <w:spacing w:line="720" w:lineRule="exact"/>
        <w:ind w:firstLine="840" w:firstLineChars="350"/>
        <w:rPr>
          <w:rFonts w:ascii="宋体" w:hAnsi="宋体" w:eastAsia="宋体" w:cs="宋体"/>
          <w:sz w:val="24"/>
        </w:rPr>
      </w:pPr>
      <w:r>
        <w:rPr>
          <w:rFonts w:hint="eastAsia" w:ascii="宋体" w:hAnsi="宋体" w:eastAsia="宋体" w:cs="宋体"/>
          <w:sz w:val="24"/>
        </w:rPr>
        <w:t>年    月    日                            年    月    日</w:t>
      </w:r>
    </w:p>
    <w:p>
      <w:pPr>
        <w:spacing w:line="560" w:lineRule="exact"/>
        <w:rPr>
          <w:rFonts w:ascii="宋体" w:hAnsi="宋体" w:eastAsia="宋体" w:cs="宋体"/>
          <w:snapToGrid w:val="0"/>
          <w:kern w:val="0"/>
          <w:sz w:val="24"/>
          <w:szCs w:val="24"/>
          <w:highlight w:val="green"/>
          <w:u w:val="single"/>
        </w:rPr>
      </w:pPr>
    </w:p>
    <w:p>
      <w:pPr>
        <w:spacing w:line="560" w:lineRule="exact"/>
        <w:rPr>
          <w:rFonts w:ascii="宋体" w:hAnsi="宋体" w:eastAsia="宋体" w:cs="宋体"/>
          <w:b/>
          <w:color w:val="000000" w:themeColor="text1"/>
          <w:sz w:val="36"/>
          <w:szCs w:val="20"/>
          <w14:textFill>
            <w14:solidFill>
              <w14:schemeClr w14:val="tx1"/>
            </w14:solidFill>
          </w14:textFill>
        </w:rPr>
      </w:pPr>
    </w:p>
    <w:p>
      <w:pPr>
        <w:widowControl/>
        <w:jc w:val="left"/>
        <w:rPr>
          <w:rFonts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pPr>
        <w:spacing w:line="560" w:lineRule="exact"/>
        <w:ind w:firstLine="2349" w:firstLineChars="650"/>
        <w:rPr>
          <w:rFonts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 应提交的有关格式范例</w:t>
      </w:r>
    </w:p>
    <w:p>
      <w:pPr>
        <w:spacing w:line="360" w:lineRule="auto"/>
        <w:jc w:val="center"/>
        <w:outlineLvl w:val="0"/>
        <w:rPr>
          <w:rFonts w:ascii="宋体" w:hAnsi="宋体" w:eastAsia="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eastAsia="宋体" w:cs="宋体"/>
          <w:b/>
          <w:color w:val="000000" w:themeColor="text1"/>
          <w:kern w:val="0"/>
          <w:sz w:val="36"/>
          <w:szCs w:val="36"/>
          <w14:textFill>
            <w14:solidFill>
              <w14:schemeClr w14:val="tx1"/>
            </w14:solidFill>
          </w14:textFill>
        </w:rPr>
      </w:pP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（2）落实政府采购政策需满足的资格要求………………………………（页码）</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（3）本项目的特定资格要求………………………………………………（页码）</w:t>
      </w:r>
    </w:p>
    <w:p>
      <w:pPr>
        <w:adjustRightInd w:val="0"/>
        <w:snapToGrid w:val="0"/>
        <w:spacing w:line="360" w:lineRule="auto"/>
        <w:rPr>
          <w:rFonts w:ascii="宋体" w:hAnsi="宋体" w:eastAsia="宋体" w:cs="宋体"/>
          <w:b/>
          <w:kern w:val="0"/>
          <w:sz w:val="32"/>
          <w:szCs w:val="32"/>
          <w:lang w:val="zh-CN"/>
        </w:rPr>
      </w:pPr>
    </w:p>
    <w:p>
      <w:pPr>
        <w:pStyle w:val="2"/>
        <w:numPr>
          <w:ilvl w:val="0"/>
          <w:numId w:val="0"/>
        </w:numPr>
        <w:rPr>
          <w:rFonts w:ascii="宋体" w:hAnsi="宋体" w:eastAsia="宋体" w:cs="宋体"/>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adjustRightInd w:val="0"/>
        <w:snapToGrid w:val="0"/>
        <w:spacing w:line="360" w:lineRule="auto"/>
        <w:jc w:val="left"/>
        <w:rPr>
          <w:rFonts w:ascii="宋体" w:hAnsi="宋体" w:eastAsia="宋体" w:cs="宋体"/>
          <w:b/>
          <w:kern w:val="0"/>
          <w:sz w:val="32"/>
          <w:szCs w:val="32"/>
          <w:lang w:val="zh-CN"/>
        </w:rPr>
      </w:pPr>
    </w:p>
    <w:p>
      <w:pPr>
        <w:pStyle w:val="9"/>
        <w:tabs>
          <w:tab w:val="left" w:pos="840"/>
        </w:tabs>
        <w:spacing w:line="360" w:lineRule="auto"/>
        <w:ind w:firstLine="643" w:firstLineChars="200"/>
        <w:rPr>
          <w:rFonts w:hAnsi="宋体" w:cs="宋体"/>
          <w:b/>
          <w:color w:val="000000" w:themeColor="text1"/>
          <w:kern w:val="0"/>
          <w:sz w:val="32"/>
          <w:szCs w:val="32"/>
          <w14:textFill>
            <w14:solidFill>
              <w14:schemeClr w14:val="tx1"/>
            </w14:solidFill>
          </w14:textFill>
        </w:rPr>
      </w:pPr>
      <w:r>
        <w:rPr>
          <w:rFonts w:hint="eastAsia" w:hAnsi="宋体" w:cs="宋体"/>
          <w:b/>
          <w:color w:val="000000" w:themeColor="text1"/>
          <w:kern w:val="0"/>
          <w:sz w:val="32"/>
          <w:szCs w:val="32"/>
          <w14:textFill>
            <w14:solidFill>
              <w14:schemeClr w14:val="tx1"/>
            </w14:solidFill>
          </w14:textFill>
        </w:rPr>
        <w:t xml:space="preserve">  </w:t>
      </w:r>
    </w:p>
    <w:p>
      <w:pPr>
        <w:pStyle w:val="9"/>
        <w:numPr>
          <w:ilvl w:val="0"/>
          <w:numId w:val="25"/>
        </w:numPr>
        <w:tabs>
          <w:tab w:val="left" w:pos="840"/>
        </w:tabs>
        <w:spacing w:line="360" w:lineRule="auto"/>
        <w:ind w:firstLine="643" w:firstLineChars="200"/>
        <w:rPr>
          <w:rFonts w:hAnsi="宋体" w:cs="宋体"/>
          <w:b/>
          <w:color w:val="000000" w:themeColor="text1"/>
          <w:kern w:val="0"/>
          <w:sz w:val="32"/>
          <w:szCs w:val="32"/>
          <w14:textFill>
            <w14:solidFill>
              <w14:schemeClr w14:val="tx1"/>
            </w14:solidFill>
          </w14:textFill>
        </w:rPr>
      </w:pPr>
      <w:r>
        <w:rPr>
          <w:rFonts w:hint="eastAsia" w:hAnsi="宋体" w:cs="宋体"/>
          <w:b/>
          <w:color w:val="000000" w:themeColor="text1"/>
          <w:kern w:val="0"/>
          <w:sz w:val="32"/>
          <w:szCs w:val="32"/>
          <w14:textFill>
            <w14:solidFill>
              <w14:schemeClr w14:val="tx1"/>
            </w14:solidFill>
          </w14:textFill>
        </w:rPr>
        <w:t>符合参加政府采购活动应当具备的一般条件的承诺函</w:t>
      </w: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sz w:val="24"/>
          <w:szCs w:val="24"/>
        </w:rPr>
        <w:t>浙江蟠龙工程审计咨询有限公司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eastAsia="宋体" w:cs="宋体"/>
          <w:color w:val="000000" w:themeColor="text1"/>
          <w:sz w:val="24"/>
          <w:u w:val="single"/>
          <w14:textFill>
            <w14:solidFill>
              <w14:schemeClr w14:val="tx1"/>
            </w14:solidFill>
          </w14:textFill>
        </w:rPr>
        <w:t xml:space="preserve">             （项目名称）</w:t>
      </w:r>
      <w:r>
        <w:rPr>
          <w:rFonts w:hint="eastAsia" w:ascii="宋体" w:hAnsi="宋体" w:eastAsia="宋体" w:cs="宋体"/>
          <w:color w:val="000000" w:themeColor="text1"/>
          <w:sz w:val="24"/>
          <w14:textFill>
            <w14:solidFill>
              <w14:schemeClr w14:val="tx1"/>
            </w14:solidFill>
          </w14:textFill>
        </w:rPr>
        <w:t>项目【招标编号：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】政府采购活动，郑重承诺：</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eastAsia="宋体" w:cs="宋体"/>
          <w:color w:val="000000" w:themeColor="text1"/>
          <w:kern w:val="0"/>
          <w:sz w:val="24"/>
          <w:lang w:val="zh-CN"/>
          <w14:textFill>
            <w14:solidFill>
              <w14:schemeClr w14:val="tx1"/>
            </w14:solidFill>
          </w14:textFill>
        </w:rPr>
      </w:pPr>
    </w:p>
    <w:p>
      <w:pPr>
        <w:snapToGrid w:val="0"/>
        <w:spacing w:line="360" w:lineRule="auto"/>
        <w:ind w:firstLine="5520" w:firstLineChars="23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响应供应商名称(电子签名)：</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二、落实政府采购政策需满足的资格要求</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eastAsia="宋体" w:cs="宋体"/>
          <w:color w:val="000000" w:themeColor="text1"/>
          <w:sz w:val="24"/>
          <w14:textFill>
            <w14:solidFill>
              <w14:schemeClr w14:val="tx1"/>
            </w14:solidFill>
          </w14:textFill>
        </w:rPr>
      </w:pPr>
    </w:p>
    <w:p>
      <w:pPr>
        <w:widowControl/>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联合协议</w:t>
      </w:r>
    </w:p>
    <w:p>
      <w:pPr>
        <w:snapToGrid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r>
        <w:rPr>
          <w:rFonts w:hint="eastAsia" w:ascii="宋体" w:hAnsi="宋体" w:eastAsia="宋体" w:cs="宋体"/>
          <w:color w:val="000000" w:themeColor="text1"/>
          <w:kern w:val="0"/>
          <w:sz w:val="24"/>
          <w:u w:val="single"/>
          <w14:textFill>
            <w14:solidFill>
              <w14:schemeClr w14:val="tx1"/>
            </w14:solidFill>
          </w14:textFill>
        </w:rPr>
        <w:t>（联合体其中一方成员名称）</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（联合体其中一方成员名称）</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w:t>
      </w: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14:textFill>
            <w14:solidFill>
              <w14:schemeClr w14:val="tx1"/>
            </w14:solidFill>
          </w14:textFill>
        </w:rPr>
        <w:t>与</w:t>
      </w:r>
      <w:r>
        <w:rPr>
          <w:rFonts w:hint="eastAsia" w:ascii="宋体" w:hAnsi="宋体" w:eastAsia="宋体" w:cs="宋体"/>
          <w:color w:val="000000" w:themeColor="text1"/>
          <w:kern w:val="0"/>
          <w:sz w:val="24"/>
          <w:u w:val="single"/>
          <w14:textFill>
            <w14:solidFill>
              <w14:schemeClr w14:val="tx1"/>
            </w14:solidFill>
          </w14:textFill>
        </w:rPr>
        <w:t>（所有分包供应商名称）</w:t>
      </w:r>
      <w:r>
        <w:rPr>
          <w:rFonts w:hint="eastAsia" w:ascii="宋体" w:hAnsi="宋体" w:eastAsia="宋体" w:cs="宋体"/>
          <w:color w:val="000000" w:themeColor="text1"/>
          <w:kern w:val="0"/>
          <w:sz w:val="24"/>
          <w14:textFill>
            <w14:solidFill>
              <w14:schemeClr w14:val="tx1"/>
            </w14:solidFill>
          </w14:textFill>
        </w:rPr>
        <w:t>达成分包意向协议</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sz w:val="24"/>
          <w14:textFill>
            <w14:solidFill>
              <w14:schemeClr w14:val="tx1"/>
            </w14:solidFill>
          </w14:textFill>
        </w:rPr>
        <w:t>分包给</w:t>
      </w:r>
      <w:r>
        <w:rPr>
          <w:rFonts w:hint="eastAsia" w:ascii="宋体" w:hAnsi="宋体" w:eastAsia="宋体" w:cs="宋体"/>
          <w:color w:val="000000" w:themeColor="text1"/>
          <w:kern w:val="0"/>
          <w:sz w:val="24"/>
          <w:u w:val="single"/>
          <w14:textFill>
            <w14:solidFill>
              <w14:schemeClr w14:val="tx1"/>
            </w14:solidFill>
          </w14:textFill>
        </w:rPr>
        <w:t>（某分包供应商名称）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（某分包供应商名称），</w:t>
      </w:r>
      <w:r>
        <w:rPr>
          <w:rFonts w:hint="eastAsia" w:ascii="宋体" w:hAnsi="宋体" w:eastAsia="宋体" w:cs="宋体"/>
          <w:color w:val="000000" w:themeColor="text1"/>
          <w:kern w:val="0"/>
          <w:sz w:val="24"/>
          <w:lang w:val="zh-CN"/>
          <w14:textFill>
            <w14:solidFill>
              <w14:schemeClr w14:val="tx1"/>
            </w14:solidFill>
          </w14:textFill>
        </w:rPr>
        <w:t>具备承</w:t>
      </w:r>
      <w:r>
        <w:rPr>
          <w:rFonts w:hint="eastAsia" w:ascii="宋体" w:hAnsi="宋体" w:eastAsia="宋体" w:cs="宋体"/>
          <w:color w:val="000000" w:themeColor="text1"/>
          <w:kern w:val="0"/>
          <w:sz w:val="24"/>
          <w14:textFill>
            <w14:solidFill>
              <w14:schemeClr w14:val="tx1"/>
            </w14:solidFill>
          </w14:textFill>
        </w:rPr>
        <w:t>担</w:t>
      </w:r>
      <w:r>
        <w:rPr>
          <w:rFonts w:hint="eastAsia" w:ascii="宋体" w:hAnsi="宋体" w:eastAsia="宋体" w:cs="宋体"/>
          <w:color w:val="000000" w:themeColor="text1"/>
          <w:kern w:val="0"/>
          <w:sz w:val="24"/>
          <w:u w:val="single"/>
          <w:lang w:val="zh-CN"/>
          <w14:textFill>
            <w14:solidFill>
              <w14:schemeClr w14:val="tx1"/>
            </w14:solidFill>
          </w14:textFill>
        </w:rPr>
        <w:t>XX工作内容</w:t>
      </w:r>
      <w:r>
        <w:rPr>
          <w:rFonts w:hint="eastAsia" w:ascii="宋体" w:hAnsi="宋体" w:eastAsia="宋体" w:cs="宋体"/>
          <w:color w:val="000000" w:themeColor="text1"/>
          <w:kern w:val="0"/>
          <w:sz w:val="24"/>
          <w:lang w:val="zh-CN"/>
          <w14:textFill>
            <w14:solidFill>
              <w14:schemeClr w14:val="tx1"/>
            </w14:solidFill>
          </w14:textFill>
        </w:rPr>
        <w:t>相应资质条件且不得再次分包；</w:t>
      </w:r>
    </w:p>
    <w:p>
      <w:pPr>
        <w:pStyle w:val="2"/>
        <w:numPr>
          <w:ilvl w:val="0"/>
          <w:numId w:val="0"/>
        </w:numPr>
        <w:ind w:left="863" w:leftChars="41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三、质量</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五、违约责任</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                                           响应供应商名称(电子签名)：</w:t>
      </w:r>
    </w:p>
    <w:p>
      <w:pPr>
        <w:snapToGrid w:val="0"/>
        <w:spacing w:line="360" w:lineRule="auto"/>
        <w:ind w:firstLine="5640" w:firstLineChars="235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pacing w:line="360" w:lineRule="auto"/>
        <w:jc w:val="center"/>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宋体" w:hAnsi="宋体" w:eastAsia="宋体" w:cs="宋体"/>
          <w:b/>
          <w:color w:val="000000" w:themeColor="text1"/>
          <w:kern w:val="0"/>
          <w:sz w:val="32"/>
          <w:szCs w:val="32"/>
          <w14:textFill>
            <w14:solidFill>
              <w14:schemeClr w14:val="tx1"/>
            </w14:solidFill>
          </w14:textFill>
        </w:rPr>
      </w:pPr>
    </w:p>
    <w:p>
      <w:pPr>
        <w:pStyle w:val="2"/>
        <w:numPr>
          <w:ilvl w:val="0"/>
          <w:numId w:val="0"/>
        </w:numPr>
        <w:ind w:leftChars="0"/>
      </w:pPr>
    </w:p>
    <w:p>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三、本项目的特定资格要求</w:t>
      </w:r>
    </w:p>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eastAsia="宋体" w:cs="宋体"/>
          <w:color w:val="000000" w:themeColor="text1"/>
          <w14:textFill>
            <w14:solidFill>
              <w14:schemeClr w14:val="tx1"/>
            </w14:solidFill>
          </w14:textFill>
        </w:rPr>
      </w:pPr>
    </w:p>
    <w:p>
      <w:pPr>
        <w:snapToGrid w:val="0"/>
        <w:spacing w:line="360" w:lineRule="auto"/>
        <w:ind w:right="480"/>
        <w:jc w:val="center"/>
        <w:rPr>
          <w:rFonts w:ascii="宋体" w:hAnsi="宋体" w:eastAsia="宋体" w:cs="宋体"/>
          <w:b/>
          <w:color w:val="000000" w:themeColor="text1"/>
          <w:kern w:val="0"/>
          <w:sz w:val="32"/>
          <w:szCs w:val="32"/>
          <w14:textFill>
            <w14:solidFill>
              <w14:schemeClr w14:val="tx1"/>
            </w14:solidFill>
          </w14:textFill>
        </w:rPr>
      </w:pPr>
    </w:p>
    <w:p>
      <w:pPr>
        <w:rPr>
          <w:rFonts w:ascii="宋体" w:hAnsi="宋体" w:eastAsia="宋体" w:cs="宋体"/>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rPr>
          <w:rFonts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eastAsia="宋体" w:cs="宋体"/>
          <w:b/>
          <w:color w:val="000000" w:themeColor="text1"/>
          <w:kern w:val="0"/>
          <w:sz w:val="24"/>
          <w14:textFill>
            <w14:solidFill>
              <w14:schemeClr w14:val="tx1"/>
            </w14:solidFill>
          </w14:textFill>
        </w:rPr>
      </w:pPr>
    </w:p>
    <w:p>
      <w:pPr>
        <w:spacing w:line="360" w:lineRule="auto"/>
        <w:jc w:val="center"/>
        <w:outlineLvl w:val="0"/>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（3）联合协议</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（4）分包意向协议</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（5）符合性审查资料</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（6）评标标准相应的商务技术资料</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（7）商务技术偏离表</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pPr>
        <w:pStyle w:val="2"/>
        <w:numPr>
          <w:ilvl w:val="0"/>
          <w:numId w:val="0"/>
        </w:numPr>
        <w:ind w:firstLine="480" w:firstLineChars="200"/>
        <w:rPr>
          <w:rFonts w:ascii="宋体" w:hAnsi="宋体" w:eastAsia="宋体" w:cs="宋体"/>
          <w:b w:val="0"/>
          <w:bCs w:val="0"/>
          <w:color w:val="000000" w:themeColor="text1"/>
          <w:sz w:val="21"/>
          <w:szCs w:val="22"/>
          <w14:textFill>
            <w14:solidFill>
              <w14:schemeClr w14:val="tx1"/>
            </w14:solidFill>
          </w14:textFill>
        </w:rPr>
      </w:pPr>
      <w:r>
        <w:rPr>
          <w:rFonts w:hint="eastAsia" w:ascii="宋体" w:hAnsi="宋体" w:eastAsia="宋体" w:cs="宋体"/>
          <w:b w:val="0"/>
          <w:bCs w:val="0"/>
          <w:color w:val="000000" w:themeColor="text1"/>
          <w:sz w:val="24"/>
          <w:szCs w:val="22"/>
          <w14:textFill>
            <w14:solidFill>
              <w14:schemeClr w14:val="tx1"/>
            </w14:solidFill>
          </w14:textFill>
        </w:rPr>
        <w:t>（9）本项目组</w:t>
      </w:r>
      <w:r>
        <w:rPr>
          <w:rFonts w:hint="eastAsia" w:ascii="宋体" w:hAnsi="宋体" w:eastAsia="宋体" w:cs="宋体"/>
          <w:b w:val="0"/>
          <w:bCs w:val="0"/>
          <w:color w:val="000000" w:themeColor="text1"/>
          <w:sz w:val="24"/>
          <w:szCs w:val="22"/>
          <w:lang w:val="en-US"/>
          <w14:textFill>
            <w14:solidFill>
              <w14:schemeClr w14:val="tx1"/>
            </w14:solidFill>
          </w14:textFill>
        </w:rPr>
        <w:t>主</w:t>
      </w:r>
      <w:r>
        <w:rPr>
          <w:rFonts w:hint="eastAsia" w:ascii="宋体" w:hAnsi="宋体" w:eastAsia="宋体" w:cs="宋体"/>
          <w:b w:val="0"/>
          <w:bCs w:val="0"/>
          <w:color w:val="000000" w:themeColor="text1"/>
          <w:sz w:val="24"/>
          <w:szCs w:val="22"/>
          <w14:textFill>
            <w14:solidFill>
              <w14:schemeClr w14:val="tx1"/>
            </w14:solidFill>
          </w14:textFill>
        </w:rPr>
        <w:t>要技术人员</w:t>
      </w:r>
      <w:r>
        <w:rPr>
          <w:rFonts w:hint="eastAsia" w:ascii="宋体" w:hAnsi="宋体" w:eastAsia="宋体" w:cs="宋体"/>
          <w:b w:val="0"/>
          <w:bCs w:val="0"/>
          <w:color w:val="000000" w:themeColor="text1"/>
          <w:sz w:val="24"/>
          <w:szCs w:val="22"/>
          <w:lang w:val="en-US"/>
          <w14:textFill>
            <w14:solidFill>
              <w14:schemeClr w14:val="tx1"/>
            </w14:solidFill>
          </w14:textFill>
        </w:rPr>
        <w:t>一览</w:t>
      </w:r>
      <w:r>
        <w:rPr>
          <w:rFonts w:hint="eastAsia" w:ascii="宋体" w:hAnsi="宋体" w:eastAsia="宋体" w:cs="宋体"/>
          <w:b w:val="0"/>
          <w:bCs w:val="0"/>
          <w:color w:val="000000" w:themeColor="text1"/>
          <w:sz w:val="24"/>
          <w:szCs w:val="22"/>
          <w14:textFill>
            <w14:solidFill>
              <w14:schemeClr w14:val="tx1"/>
            </w14:solidFill>
          </w14:textFill>
        </w:rPr>
        <w:t>表………</w:t>
      </w:r>
      <w:r>
        <w:rPr>
          <w:rFonts w:hint="eastAsia" w:ascii="宋体" w:hAnsi="宋体" w:eastAsia="宋体" w:cs="宋体"/>
          <w:b w:val="0"/>
          <w:bCs w:val="0"/>
          <w:color w:val="000000" w:themeColor="text1"/>
          <w:sz w:val="24"/>
          <w:szCs w:val="22"/>
          <w:lang w:val="en-US"/>
          <w14:textFill>
            <w14:solidFill>
              <w14:schemeClr w14:val="tx1"/>
            </w14:solidFill>
          </w14:textFill>
        </w:rPr>
        <w:t xml:space="preserve"> </w:t>
      </w:r>
      <w:r>
        <w:rPr>
          <w:rFonts w:hint="eastAsia" w:ascii="宋体" w:hAnsi="宋体" w:eastAsia="宋体" w:cs="宋体"/>
          <w:b w:val="0"/>
          <w:bCs w:val="0"/>
          <w:color w:val="000000" w:themeColor="text1"/>
          <w:sz w:val="24"/>
          <w:szCs w:val="22"/>
          <w14:textFill>
            <w14:solidFill>
              <w14:schemeClr w14:val="tx1"/>
            </w14:solidFill>
          </w14:textFill>
        </w:rPr>
        <w:t>………………………………</w:t>
      </w:r>
      <w:r>
        <w:rPr>
          <w:rFonts w:hint="eastAsia" w:ascii="宋体" w:hAnsi="宋体" w:eastAsia="宋体" w:cs="宋体"/>
          <w:b w:val="0"/>
          <w:bCs w:val="0"/>
          <w:color w:val="000000" w:themeColor="text1"/>
          <w:sz w:val="21"/>
          <w:szCs w:val="22"/>
          <w14:textFill>
            <w14:solidFill>
              <w14:schemeClr w14:val="tx1"/>
            </w14:solidFill>
          </w14:textFill>
        </w:rPr>
        <w:t>……（页码）</w:t>
      </w: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p>
      <w:pPr>
        <w:snapToGrid w:val="0"/>
        <w:spacing w:line="360" w:lineRule="auto"/>
        <w:jc w:val="center"/>
        <w:outlineLvl w:val="0"/>
        <w:rPr>
          <w:rFonts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一、投标</w:t>
      </w:r>
      <w:r>
        <w:rPr>
          <w:rFonts w:hint="eastAsia" w:ascii="宋体" w:hAnsi="宋体" w:eastAsia="宋体" w:cs="宋体"/>
          <w:b/>
          <w:color w:val="000000" w:themeColor="text1"/>
          <w:sz w:val="32"/>
          <w:szCs w:val="32"/>
          <w14:textFill>
            <w14:solidFill>
              <w14:schemeClr w14:val="tx1"/>
            </w14:solidFill>
          </w14:textFill>
        </w:rPr>
        <w:t>函</w:t>
      </w:r>
    </w:p>
    <w:p>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XXX（采购人名称） 、</w:t>
      </w:r>
      <w:r>
        <w:rPr>
          <w:rFonts w:hint="eastAsia" w:ascii="宋体" w:hAnsi="宋体" w:eastAsia="宋体" w:cs="宋体"/>
          <w:sz w:val="21"/>
          <w:szCs w:val="21"/>
        </w:rPr>
        <w:t>浙江蟠龙工程审计咨询有限公司</w:t>
      </w:r>
      <w:r>
        <w:rPr>
          <w:rFonts w:hint="eastAsia" w:ascii="宋体" w:hAnsi="宋体" w:eastAsia="宋体" w:cs="宋体"/>
          <w:color w:val="000000" w:themeColor="text1"/>
          <w:sz w:val="21"/>
          <w:szCs w:val="21"/>
          <w14:textFill>
            <w14:solidFill>
              <w14:schemeClr w14:val="tx1"/>
            </w14:solidFill>
          </w14:textFill>
        </w:rPr>
        <w:t>：</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我方参加你方组织的（项目名称）【招标编号：（采购编号）】招标的有关活动，并对此项目进行投标。为此：</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1、我方承诺投标有效期从提交投标文件的截止之日起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天（不少于90天），本投标文件在投标有效期满之前均具有约束力。</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2、我方的投标文件包括以下内容：</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2.1资格文件：</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2.1.1承诺函；</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2.1.2落实政府采购政策需满足的资格要求（如果有）；</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2.1.3本项目的特定资格要求（如果有）。</w:t>
      </w:r>
    </w:p>
    <w:p>
      <w:pPr>
        <w:snapToGrid w:val="0"/>
        <w:spacing w:line="360" w:lineRule="auto"/>
        <w:ind w:left="210" w:leftChars="100" w:firstLine="420" w:firstLineChars="200"/>
        <w:rPr>
          <w:rFonts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 xml:space="preserve"> </w:t>
      </w:r>
      <w:r>
        <w:rPr>
          <w:rFonts w:hint="eastAsia" w:ascii="宋体" w:hAnsi="宋体" w:eastAsia="宋体" w:cs="宋体"/>
          <w:sz w:val="21"/>
          <w:szCs w:val="21"/>
        </w:rPr>
        <w:t>商务技术</w:t>
      </w:r>
      <w:r>
        <w:rPr>
          <w:rFonts w:hint="eastAsia" w:ascii="宋体" w:hAnsi="宋体" w:eastAsia="宋体" w:cs="宋体"/>
          <w:sz w:val="21"/>
          <w:szCs w:val="21"/>
          <w:lang w:val="zh-CN"/>
        </w:rPr>
        <w:t>文件：</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2.2.1投标函；</w:t>
      </w:r>
      <w:r>
        <w:rPr>
          <w:rFonts w:hint="eastAsia" w:ascii="宋体" w:hAnsi="宋体" w:eastAsia="宋体" w:cs="宋体"/>
          <w:sz w:val="21"/>
          <w:szCs w:val="21"/>
          <w:lang w:val="zh-CN"/>
        </w:rPr>
        <w:t xml:space="preserve"> </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2.2.2授权委托书或法定代表人（单位负责人）身份证明；</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2.2.3联合协议（如果有）；</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2.2.4分包意向协议（如果有）；</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2.2.5符合性审查资料；</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2.2.6评标标准相应的商务技术资料；</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2.2.7商务技术偏离表；</w:t>
      </w:r>
    </w:p>
    <w:p>
      <w:pPr>
        <w:snapToGrid w:val="0"/>
        <w:spacing w:line="360" w:lineRule="auto"/>
        <w:ind w:left="420" w:leftChars="200" w:firstLine="420" w:firstLineChars="200"/>
        <w:rPr>
          <w:rFonts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政府采购供应商廉洁自律承诺书；</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eastAsia="宋体" w:cs="宋体"/>
          <w:sz w:val="21"/>
          <w:szCs w:val="21"/>
        </w:rPr>
        <w:t>3报价文件</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2.3.1开标一览表（报价表）；</w:t>
      </w:r>
    </w:p>
    <w:p>
      <w:pPr>
        <w:snapToGrid w:val="0"/>
        <w:spacing w:line="360" w:lineRule="auto"/>
        <w:ind w:left="420" w:leftChars="200" w:firstLine="420" w:firstLineChars="200"/>
        <w:rPr>
          <w:rFonts w:ascii="宋体" w:hAnsi="宋体" w:eastAsia="宋体" w:cs="宋体"/>
          <w:sz w:val="21"/>
          <w:szCs w:val="21"/>
        </w:rPr>
      </w:pPr>
      <w:r>
        <w:rPr>
          <w:rFonts w:hint="eastAsia" w:ascii="宋体" w:hAnsi="宋体" w:eastAsia="宋体" w:cs="宋体"/>
          <w:sz w:val="21"/>
          <w:szCs w:val="21"/>
        </w:rPr>
        <w:t>2.3.2中小企业声明函（如果有）。</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3、我方承诺除商务技术偏离表列出的偏离外，我方响应招标文件的全部要求。</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4、如我方中标，我方承诺：</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 xml:space="preserve">4.2在签订合同时不向你方提出附加条件； </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 xml:space="preserve">4.3按照招标文件要求提交履约保证金； </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 xml:space="preserve">4.4在合同约定的期限内完成合同规定的全部义务。 </w:t>
      </w:r>
    </w:p>
    <w:p>
      <w:pPr>
        <w:snapToGrid w:val="0"/>
        <w:spacing w:line="360" w:lineRule="auto"/>
        <w:ind w:left="210" w:leftChars="100" w:firstLine="420" w:firstLineChars="200"/>
        <w:rPr>
          <w:rFonts w:ascii="宋体" w:hAnsi="宋体" w:eastAsia="宋体" w:cs="宋体"/>
          <w:sz w:val="21"/>
          <w:szCs w:val="21"/>
        </w:rPr>
      </w:pPr>
      <w:r>
        <w:rPr>
          <w:rFonts w:hint="eastAsia" w:ascii="宋体" w:hAnsi="宋体" w:eastAsia="宋体" w:cs="宋体"/>
          <w:sz w:val="21"/>
          <w:szCs w:val="21"/>
        </w:rPr>
        <w:t>5、其他补充说明:</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 xml:space="preserve">响应供应商名称（电子签名）：                          </w:t>
      </w:r>
    </w:p>
    <w:p>
      <w:pPr>
        <w:spacing w:line="360" w:lineRule="auto"/>
        <w:jc w:val="center"/>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  年   月   日</w:t>
      </w:r>
    </w:p>
    <w:p>
      <w:pPr>
        <w:jc w:val="both"/>
        <w:rPr>
          <w:rFonts w:ascii="宋体" w:hAnsi="宋体" w:eastAsia="宋体" w:cs="宋体"/>
          <w:b/>
          <w:color w:val="000000" w:themeColor="text1"/>
          <w:kern w:val="0"/>
          <w:sz w:val="32"/>
          <w:szCs w:val="32"/>
          <w:lang w:val="zh-CN"/>
          <w14:textFill>
            <w14:solidFill>
              <w14:schemeClr w14:val="tx1"/>
            </w14:solidFill>
          </w14:textFill>
        </w:rPr>
      </w:pPr>
    </w:p>
    <w:p>
      <w:pPr>
        <w:jc w:val="center"/>
        <w:rPr>
          <w:rFonts w:ascii="宋体" w:hAnsi="宋体" w:eastAsia="宋体" w:cs="宋体"/>
          <w:b/>
          <w:color w:val="000000" w:themeColor="text1"/>
          <w:kern w:val="0"/>
          <w:sz w:val="32"/>
          <w:szCs w:val="32"/>
          <w:lang w:val="zh-CN"/>
          <w14:textFill>
            <w14:solidFill>
              <w14:schemeClr w14:val="tx1"/>
            </w14:solidFill>
          </w14:textFill>
        </w:rPr>
      </w:pPr>
    </w:p>
    <w:p>
      <w:pPr>
        <w:jc w:val="center"/>
        <w:rPr>
          <w:rFonts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eastAsia="宋体" w:cs="宋体"/>
          <w:color w:val="000000" w:themeColor="text1"/>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sz w:val="24"/>
          <w:szCs w:val="24"/>
        </w:rPr>
        <w:t>浙江蟠龙工程审计咨询有限公司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响应供应商名称(电子签名)：</w:t>
      </w:r>
    </w:p>
    <w:p>
      <w:pPr>
        <w:snapToGrid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eastAsia="宋体" w:cs="宋体"/>
          <w:color w:val="000000" w:themeColor="text1"/>
          <w:sz w:val="24"/>
          <w14:textFill>
            <w14:solidFill>
              <w14:schemeClr w14:val="tx1"/>
            </w14:solidFill>
          </w14:textFill>
        </w:rPr>
      </w:pPr>
    </w:p>
    <w:p>
      <w:pPr>
        <w:snapToGrid w:val="0"/>
        <w:spacing w:line="360" w:lineRule="auto"/>
        <w:rPr>
          <w:rFonts w:ascii="宋体" w:hAnsi="宋体" w:eastAsia="宋体" w:cs="宋体"/>
          <w:color w:val="000000" w:themeColor="text1"/>
          <w:sz w:val="24"/>
          <w14:textFill>
            <w14:solidFill>
              <w14:schemeClr w14:val="tx1"/>
            </w14:solidFill>
          </w14:textFill>
        </w:rPr>
      </w:pPr>
    </w:p>
    <w:p>
      <w:pPr>
        <w:snapToGrid w:val="0"/>
        <w:spacing w:line="360" w:lineRule="auto"/>
        <w:rPr>
          <w:rFonts w:ascii="宋体" w:hAnsi="宋体" w:eastAsia="宋体" w:cs="宋体"/>
          <w:color w:val="000000" w:themeColor="text1"/>
          <w:sz w:val="24"/>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 xml:space="preserve">      </w:t>
      </w:r>
      <w:r>
        <w:rPr>
          <w:rFonts w:hint="eastAsia" w:ascii="宋体" w:hAnsi="宋体" w:eastAsia="宋体" w:cs="宋体"/>
          <w:b/>
          <w:color w:val="000000" w:themeColor="text1"/>
          <w:kern w:val="0"/>
          <w:sz w:val="32"/>
          <w:szCs w:val="32"/>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sz w:val="24"/>
          <w:szCs w:val="24"/>
        </w:rPr>
        <w:t>浙江蟠龙工程审计咨询有限公司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snapToGrid w:val="0"/>
        <w:spacing w:line="360" w:lineRule="auto"/>
        <w:ind w:firstLine="5040" w:firstLineChars="21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宋体" w:hAnsi="宋体" w:eastAsia="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22"/>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2"/>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22"/>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响应供应商名称(电子签名)：                              </w:t>
      </w:r>
    </w:p>
    <w:p>
      <w:pPr>
        <w:spacing w:line="360" w:lineRule="auto"/>
        <w:jc w:val="center"/>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both"/>
        <w:rPr>
          <w:rFonts w:hint="eastAsia" w:ascii="宋体" w:hAnsi="宋体" w:eastAsia="宋体" w:cs="宋体"/>
          <w:b/>
          <w:color w:val="000000" w:themeColor="text1"/>
          <w:kern w:val="0"/>
          <w:sz w:val="32"/>
          <w:szCs w:val="32"/>
          <w14:textFill>
            <w14:solidFill>
              <w14:schemeClr w14:val="tx1"/>
            </w14:solidFill>
          </w14:textFill>
        </w:rPr>
      </w:pPr>
    </w:p>
    <w:p>
      <w:pPr>
        <w:ind w:firstLine="3534" w:firstLineChars="1100"/>
        <w:jc w:val="both"/>
        <w:rPr>
          <w:rFonts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w:t>
      </w:r>
      <w:r>
        <w:rPr>
          <w:rFonts w:hint="eastAsia" w:ascii="宋体" w:hAnsi="宋体" w:eastAsia="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ascii="宋体" w:hAnsi="宋体" w:eastAsia="宋体" w:cs="宋体"/>
          <w:kern w:val="0"/>
          <w:sz w:val="24"/>
          <w:lang w:val="zh-CN"/>
        </w:rPr>
      </w:pPr>
      <w:r>
        <w:rPr>
          <w:rFonts w:hint="eastAsia" w:ascii="宋体" w:hAnsi="宋体" w:eastAsia="宋体" w:cs="宋体"/>
          <w:kern w:val="0"/>
          <w:sz w:val="24"/>
          <w:lang w:val="zh-CN"/>
        </w:rPr>
        <w:t>日期：  年  月   日</w:t>
      </w:r>
    </w:p>
    <w:p>
      <w:pPr>
        <w:snapToGrid w:val="0"/>
        <w:spacing w:line="360" w:lineRule="auto"/>
        <w:ind w:right="480"/>
        <w:rPr>
          <w:rFonts w:ascii="宋体" w:hAnsi="宋体" w:eastAsia="宋体" w:cs="宋体"/>
          <w:b/>
          <w:kern w:val="0"/>
          <w:sz w:val="32"/>
          <w:szCs w:val="32"/>
          <w:lang w:val="zh-CN"/>
        </w:rPr>
        <w:sectPr>
          <w:headerReference r:id="rId6" w:type="first"/>
          <w:footerReference r:id="rId8" w:type="firs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2"/>
        <w:numPr>
          <w:ilvl w:val="0"/>
          <w:numId w:val="0"/>
        </w:numPr>
        <w:ind w:left="863" w:leftChars="411"/>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firstLine="576"/>
        <w:rPr>
          <w:rFonts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响应供应商名称(电子签名)：</w:t>
      </w:r>
    </w:p>
    <w:p>
      <w:pPr>
        <w:snapToGrid w:val="0"/>
        <w:spacing w:line="360" w:lineRule="auto"/>
        <w:ind w:firstLine="5640" w:firstLineChars="2350"/>
        <w:rPr>
          <w:rFonts w:ascii="宋体" w:hAnsi="宋体" w:eastAsia="宋体" w:cs="宋体"/>
          <w:kern w:val="0"/>
          <w:sz w:val="24"/>
          <w:lang w:val="zh-CN"/>
        </w:rPr>
      </w:pPr>
      <w:r>
        <w:rPr>
          <w:rFonts w:hint="eastAsia" w:ascii="宋体" w:hAnsi="宋体" w:eastAsia="宋体" w:cs="宋体"/>
          <w:kern w:val="0"/>
          <w:sz w:val="24"/>
          <w:lang w:val="zh-CN"/>
        </w:rPr>
        <w:t>分包供应商名称：</w:t>
      </w:r>
    </w:p>
    <w:p>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pPr>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napToGrid w:val="0"/>
        <w:spacing w:line="360" w:lineRule="auto"/>
        <w:rPr>
          <w:rFonts w:ascii="宋体" w:hAnsi="宋体" w:eastAsia="宋体" w:cs="宋体"/>
          <w:color w:val="000000" w:themeColor="text1"/>
          <w:kern w:val="0"/>
          <w:sz w:val="24"/>
          <w:lang w:val="zh-CN"/>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五、符合性审查资料</w:t>
      </w:r>
    </w:p>
    <w:p>
      <w:pPr>
        <w:jc w:val="center"/>
        <w:rPr>
          <w:rFonts w:ascii="宋体" w:hAnsi="宋体" w:eastAsia="宋体" w:cs="宋体"/>
          <w:b/>
          <w:color w:val="000000" w:themeColor="text1"/>
          <w:kern w:val="0"/>
          <w:sz w:val="32"/>
          <w:szCs w:val="32"/>
          <w14:textFill>
            <w14:solidFill>
              <w14:schemeClr w14:val="tx1"/>
            </w14:solidFill>
          </w14:textFill>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991"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不存在如下情形：投标文件未按照招标文件要求签署、盖章。</w:t>
            </w:r>
          </w:p>
        </w:tc>
        <w:tc>
          <w:tcPr>
            <w:tcW w:w="2551"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991"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节能产品认证证书（</w:t>
            </w:r>
            <w:r>
              <w:rPr>
                <w:rFonts w:hint="eastAsia" w:ascii="宋体" w:hAnsi="宋体" w:eastAsia="宋体" w:cs="宋体"/>
                <w:b w:val="0"/>
                <w:bCs w:val="0"/>
                <w:color w:val="000000" w:themeColor="text1"/>
                <w:sz w:val="24"/>
                <w14:textFill>
                  <w14:solidFill>
                    <w14:schemeClr w14:val="tx1"/>
                  </w14:solidFill>
                </w14:textFill>
              </w:rPr>
              <w:t>本项目拟采购的产品不属于政府强制采购的节能产品品目清单范围的，</w:t>
            </w:r>
            <w:r>
              <w:rPr>
                <w:rFonts w:hint="eastAsia" w:ascii="宋体" w:hAnsi="宋体" w:eastAsia="宋体" w:cs="宋体"/>
                <w:b/>
                <w:bCs/>
                <w:color w:val="000000" w:themeColor="text1"/>
                <w:sz w:val="24"/>
                <w14:textFill>
                  <w14:solidFill>
                    <w14:schemeClr w14:val="tx1"/>
                  </w14:solidFill>
                </w14:textFill>
              </w:rPr>
              <w:t>无需提供</w:t>
            </w:r>
            <w:r>
              <w:rPr>
                <w:rFonts w:hint="eastAsia" w:ascii="宋体" w:hAnsi="宋体" w:eastAsia="宋体" w:cs="宋体"/>
                <w:color w:val="000000" w:themeColor="text1"/>
                <w:sz w:val="24"/>
                <w14:textFill>
                  <w14:solidFill>
                    <w14:schemeClr w14:val="tx1"/>
                  </w14:solidFill>
                </w14:textFill>
              </w:rPr>
              <w:t>）</w:t>
            </w:r>
          </w:p>
        </w:tc>
        <w:tc>
          <w:tcPr>
            <w:tcW w:w="1418" w:type="dxa"/>
          </w:tcPr>
          <w:p>
            <w:pPr>
              <w:jc w:val="center"/>
              <w:rPr>
                <w:rFonts w:ascii="宋体" w:hAnsi="宋体" w:eastAsia="宋体" w:cs="宋体"/>
                <w:color w:val="000000" w:themeColor="text1"/>
                <w:sz w:val="24"/>
                <w14:textFill>
                  <w14:solidFill>
                    <w14:schemeClr w14:val="tx1"/>
                  </w14:solidFill>
                </w14:textFill>
              </w:rPr>
            </w:pPr>
          </w:p>
          <w:p>
            <w:pPr>
              <w:jc w:val="center"/>
              <w:rPr>
                <w:rFonts w:ascii="宋体" w:hAnsi="宋体" w:eastAsia="宋体" w:cs="宋体"/>
                <w:color w:val="000000" w:themeColor="text1"/>
                <w:sz w:val="24"/>
                <w14:textFill>
                  <w14:solidFill>
                    <w14:schemeClr w14:val="tx1"/>
                  </w14:solidFill>
                </w14:textFill>
              </w:rPr>
            </w:pPr>
          </w:p>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pPr>
              <w:pStyle w:val="2"/>
              <w:numPr>
                <w:ilvl w:val="0"/>
                <w:numId w:val="0"/>
              </w:numPr>
              <w:jc w:val="center"/>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991"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投标函</w:t>
            </w:r>
          </w:p>
        </w:tc>
        <w:tc>
          <w:tcPr>
            <w:tcW w:w="1418" w:type="dxa"/>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991"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除上述三项实质性要求外，招标文件其它实质性要求相应的材料（“▲” 系指实质性要求条款，招标文件无其它实质性要求的，无需提供）</w:t>
            </w:r>
          </w:p>
        </w:tc>
        <w:tc>
          <w:tcPr>
            <w:tcW w:w="1418" w:type="dxa"/>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bl>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w:t>
      </w:r>
      <w:r>
        <w:rPr>
          <w:rFonts w:hint="eastAsia" w:ascii="宋体" w:hAnsi="宋体" w:eastAsia="宋体" w:cs="宋体"/>
          <w:b/>
          <w:color w:val="000000" w:themeColor="text1"/>
          <w:sz w:val="24"/>
          <w:lang w:eastAsia="zh-CN"/>
          <w14:textFill>
            <w14:solidFill>
              <w14:schemeClr w14:val="tx1"/>
            </w14:solidFill>
          </w14:textFill>
        </w:rPr>
        <w:t>及评分标准</w:t>
      </w:r>
      <w:r>
        <w:rPr>
          <w:rFonts w:hint="eastAsia" w:ascii="宋体" w:hAnsi="宋体" w:eastAsia="宋体" w:cs="宋体"/>
          <w:b/>
          <w:color w:val="000000" w:themeColor="text1"/>
          <w:sz w:val="24"/>
          <w14:textFill>
            <w14:solidFill>
              <w14:schemeClr w14:val="tx1"/>
            </w14:solidFill>
          </w14:textFill>
        </w:rPr>
        <w:t>前附表中“投标文件中评标标准相应的商务技术资料目录”提供资料）</w:t>
      </w: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p>
    <w:p>
      <w:pPr>
        <w:jc w:val="both"/>
        <w:rPr>
          <w:rFonts w:ascii="宋体" w:hAnsi="宋体" w:eastAsia="宋体" w:cs="宋体"/>
          <w:b/>
          <w:color w:val="000000" w:themeColor="text1"/>
          <w:kern w:val="0"/>
          <w:sz w:val="32"/>
          <w:szCs w:val="32"/>
          <w14:textFill>
            <w14:solidFill>
              <w14:schemeClr w14:val="tx1"/>
            </w14:solidFill>
          </w14:textFill>
        </w:rPr>
      </w:pPr>
    </w:p>
    <w:p>
      <w:pPr>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pPr>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pPr>
              <w:jc w:val="center"/>
              <w:rPr>
                <w:rFonts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pPr>
              <w:jc w:val="center"/>
              <w:rPr>
                <w:rFonts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pPr>
              <w:jc w:val="center"/>
              <w:rPr>
                <w:rFonts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eastAsia="宋体" w:cs="宋体"/>
                <w:b/>
                <w:color w:val="000000" w:themeColor="text1"/>
                <w:kern w:val="0"/>
                <w:sz w:val="32"/>
                <w:szCs w:val="32"/>
                <w14:textFill>
                  <w14:solidFill>
                    <w14:schemeClr w14:val="tx1"/>
                  </w14:solidFill>
                </w14:textFill>
              </w:rPr>
            </w:pPr>
          </w:p>
        </w:tc>
      </w:tr>
    </w:tbl>
    <w:p>
      <w:pPr>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eastAsia="宋体" w:cs="宋体"/>
          <w:b/>
          <w:color w:val="000000" w:themeColor="text1"/>
          <w:kern w:val="0"/>
          <w:sz w:val="32"/>
          <w:szCs w:val="32"/>
          <w14:textFill>
            <w14:solidFill>
              <w14:schemeClr w14:val="tx1"/>
            </w14:solidFill>
          </w14:textFill>
        </w:rPr>
      </w:pPr>
    </w:p>
    <w:p>
      <w:pPr>
        <w:ind w:firstLine="1911" w:firstLineChars="595"/>
        <w:rPr>
          <w:rFonts w:ascii="宋体" w:hAnsi="宋体" w:eastAsia="宋体" w:cs="宋体"/>
          <w:b/>
          <w:color w:val="000000" w:themeColor="text1"/>
          <w:kern w:val="0"/>
          <w:sz w:val="32"/>
          <w:szCs w:val="32"/>
          <w14:textFill>
            <w14:solidFill>
              <w14:schemeClr w14:val="tx1"/>
            </w14:solidFill>
          </w14:textFill>
        </w:rPr>
      </w:pPr>
    </w:p>
    <w:p>
      <w:pPr>
        <w:ind w:firstLine="1911" w:firstLineChars="595"/>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八、</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eastAsia="宋体" w:cs="宋体"/>
          <w:color w:val="000000" w:themeColor="text1"/>
          <w:sz w:val="24"/>
          <w14:textFill>
            <w14:solidFill>
              <w14:schemeClr w14:val="tx1"/>
            </w14:solidFill>
          </w14:textFill>
        </w:rPr>
      </w:pP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、浙江蟠龙工程审计咨询有限公司：</w:t>
      </w:r>
    </w:p>
    <w:p>
      <w:pPr>
        <w:autoSpaceDE w:val="0"/>
        <w:autoSpaceDN w:val="0"/>
        <w:spacing w:line="360" w:lineRule="auto"/>
        <w:ind w:left="2" w:leftChars="1"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pPr>
        <w:pStyle w:val="8"/>
        <w:ind w:left="0" w:right="25" w:firstLine="0"/>
        <w:jc w:val="center"/>
        <w:outlineLvl w:val="0"/>
        <w:rPr>
          <w:rFonts w:hAnsi="宋体" w:eastAsia="宋体" w:cs="宋体"/>
          <w:b/>
          <w:bCs/>
          <w:sz w:val="32"/>
          <w:szCs w:val="32"/>
        </w:rPr>
      </w:pPr>
      <w:r>
        <w:rPr>
          <w:rFonts w:hint="eastAsia" w:hAnsi="宋体" w:eastAsia="宋体" w:cs="宋体"/>
          <w:b/>
          <w:color w:val="000000" w:themeColor="text1"/>
          <w:kern w:val="0"/>
          <w:sz w:val="32"/>
          <w:szCs w:val="32"/>
          <w14:textFill>
            <w14:solidFill>
              <w14:schemeClr w14:val="tx1"/>
            </w14:solidFill>
          </w14:textFill>
        </w:rPr>
        <w:t>附件6：</w:t>
      </w:r>
      <w:r>
        <w:rPr>
          <w:rFonts w:hint="eastAsia" w:hAnsi="宋体" w:eastAsia="宋体" w:cs="宋体"/>
          <w:b/>
          <w:bCs/>
          <w:sz w:val="32"/>
          <w:szCs w:val="32"/>
        </w:rPr>
        <w:t>本项目组人员一览表</w:t>
      </w:r>
    </w:p>
    <w:tbl>
      <w:tblPr>
        <w:tblStyle w:val="16"/>
        <w:tblpPr w:leftFromText="180" w:rightFromText="180" w:vertAnchor="text" w:horzAnchor="page" w:tblpXSpec="center" w:tblpY="484"/>
        <w:tblOverlap w:val="never"/>
        <w:tblW w:w="10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1280"/>
        <w:gridCol w:w="964"/>
        <w:gridCol w:w="900"/>
        <w:gridCol w:w="1528"/>
        <w:gridCol w:w="892"/>
        <w:gridCol w:w="1371"/>
        <w:gridCol w:w="2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921" w:type="dxa"/>
          </w:tcPr>
          <w:p>
            <w:pPr>
              <w:pStyle w:val="29"/>
              <w:spacing w:before="13"/>
              <w:rPr>
                <w:b/>
                <w:sz w:val="15"/>
              </w:rPr>
            </w:pPr>
          </w:p>
          <w:p>
            <w:pPr>
              <w:pStyle w:val="29"/>
              <w:ind w:left="250"/>
            </w:pPr>
            <w:r>
              <w:rPr>
                <w:rFonts w:hint="eastAsia"/>
                <w:spacing w:val="-5"/>
              </w:rPr>
              <w:t>姓名</w:t>
            </w:r>
          </w:p>
        </w:tc>
        <w:tc>
          <w:tcPr>
            <w:tcW w:w="1280" w:type="dxa"/>
          </w:tcPr>
          <w:p>
            <w:pPr>
              <w:pStyle w:val="29"/>
              <w:spacing w:before="13"/>
              <w:rPr>
                <w:b/>
                <w:sz w:val="15"/>
              </w:rPr>
            </w:pPr>
          </w:p>
          <w:p>
            <w:pPr>
              <w:pStyle w:val="29"/>
              <w:ind w:left="429"/>
            </w:pPr>
            <w:r>
              <w:rPr>
                <w:rFonts w:hint="eastAsia"/>
                <w:spacing w:val="-5"/>
              </w:rPr>
              <w:t>专业</w:t>
            </w:r>
          </w:p>
        </w:tc>
        <w:tc>
          <w:tcPr>
            <w:tcW w:w="964" w:type="dxa"/>
          </w:tcPr>
          <w:p>
            <w:pPr>
              <w:pStyle w:val="29"/>
              <w:spacing w:before="13"/>
              <w:rPr>
                <w:b/>
                <w:sz w:val="15"/>
              </w:rPr>
            </w:pPr>
          </w:p>
          <w:p>
            <w:pPr>
              <w:pStyle w:val="29"/>
              <w:ind w:left="272"/>
            </w:pPr>
            <w:r>
              <w:rPr>
                <w:rFonts w:hint="eastAsia"/>
                <w:spacing w:val="-5"/>
              </w:rPr>
              <w:t>年龄</w:t>
            </w:r>
          </w:p>
        </w:tc>
        <w:tc>
          <w:tcPr>
            <w:tcW w:w="900" w:type="dxa"/>
          </w:tcPr>
          <w:p>
            <w:pPr>
              <w:pStyle w:val="29"/>
              <w:spacing w:before="13"/>
              <w:rPr>
                <w:b/>
                <w:sz w:val="15"/>
              </w:rPr>
            </w:pPr>
          </w:p>
          <w:p>
            <w:pPr>
              <w:pStyle w:val="29"/>
              <w:ind w:left="240"/>
            </w:pPr>
            <w:r>
              <w:rPr>
                <w:rFonts w:hint="eastAsia"/>
                <w:spacing w:val="-5"/>
              </w:rPr>
              <w:t>职称</w:t>
            </w:r>
          </w:p>
        </w:tc>
        <w:tc>
          <w:tcPr>
            <w:tcW w:w="1528" w:type="dxa"/>
          </w:tcPr>
          <w:p>
            <w:pPr>
              <w:pStyle w:val="29"/>
              <w:spacing w:before="18" w:line="360" w:lineRule="atLeast"/>
              <w:ind w:left="547" w:right="116" w:hanging="420"/>
            </w:pPr>
            <w:r>
              <w:rPr>
                <w:rFonts w:hint="eastAsia"/>
                <w:spacing w:val="-2"/>
              </w:rPr>
              <w:t>执业资格证书</w:t>
            </w:r>
            <w:r>
              <w:rPr>
                <w:rFonts w:hint="eastAsia"/>
                <w:spacing w:val="-6"/>
              </w:rPr>
              <w:t>编号</w:t>
            </w:r>
          </w:p>
        </w:tc>
        <w:tc>
          <w:tcPr>
            <w:tcW w:w="892" w:type="dxa"/>
          </w:tcPr>
          <w:p>
            <w:pPr>
              <w:pStyle w:val="29"/>
              <w:spacing w:before="13"/>
              <w:jc w:val="center"/>
              <w:rPr>
                <w:b/>
                <w:sz w:val="15"/>
              </w:rPr>
            </w:pPr>
          </w:p>
          <w:p>
            <w:pPr>
              <w:pStyle w:val="29"/>
              <w:jc w:val="center"/>
            </w:pPr>
            <w:r>
              <w:rPr>
                <w:rFonts w:hint="eastAsia"/>
                <w:spacing w:val="-2"/>
              </w:rPr>
              <w:t>专业工作年限</w:t>
            </w:r>
          </w:p>
        </w:tc>
        <w:tc>
          <w:tcPr>
            <w:tcW w:w="1371" w:type="dxa"/>
          </w:tcPr>
          <w:p>
            <w:pPr>
              <w:pStyle w:val="29"/>
              <w:spacing w:before="18" w:line="360" w:lineRule="atLeast"/>
              <w:ind w:left="567" w:right="136" w:hanging="420"/>
              <w:jc w:val="center"/>
            </w:pPr>
            <w:r>
              <w:rPr>
                <w:rFonts w:hint="eastAsia"/>
                <w:spacing w:val="-2"/>
              </w:rPr>
              <w:t>在本项目拟任职务</w:t>
            </w:r>
          </w:p>
        </w:tc>
        <w:tc>
          <w:tcPr>
            <w:tcW w:w="2328" w:type="dxa"/>
            <w:vAlign w:val="center"/>
          </w:tcPr>
          <w:p>
            <w:pPr>
              <w:pStyle w:val="29"/>
              <w:spacing w:before="18" w:line="360" w:lineRule="atLeast"/>
              <w:ind w:left="567" w:right="136" w:hanging="420"/>
              <w:jc w:val="center"/>
              <w:rPr>
                <w:spacing w:val="-2"/>
              </w:rPr>
            </w:pPr>
            <w:r>
              <w:rPr>
                <w:rFonts w:hint="eastAsia"/>
                <w:spacing w:val="-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21" w:type="dxa"/>
            <w:vAlign w:val="center"/>
          </w:tcPr>
          <w:p>
            <w:pPr>
              <w:pStyle w:val="29"/>
              <w:jc w:val="center"/>
              <w:rPr>
                <w:szCs w:val="21"/>
              </w:rPr>
            </w:pPr>
          </w:p>
        </w:tc>
        <w:tc>
          <w:tcPr>
            <w:tcW w:w="1280" w:type="dxa"/>
            <w:vAlign w:val="center"/>
          </w:tcPr>
          <w:p>
            <w:pPr>
              <w:pStyle w:val="29"/>
              <w:jc w:val="center"/>
              <w:rPr>
                <w:szCs w:val="21"/>
              </w:rPr>
            </w:pPr>
          </w:p>
        </w:tc>
        <w:tc>
          <w:tcPr>
            <w:tcW w:w="964" w:type="dxa"/>
            <w:vAlign w:val="center"/>
          </w:tcPr>
          <w:p>
            <w:pPr>
              <w:pStyle w:val="29"/>
              <w:jc w:val="center"/>
              <w:rPr>
                <w:szCs w:val="21"/>
                <w:lang w:val="en-US"/>
              </w:rPr>
            </w:pPr>
          </w:p>
        </w:tc>
        <w:tc>
          <w:tcPr>
            <w:tcW w:w="900" w:type="dxa"/>
            <w:vAlign w:val="center"/>
          </w:tcPr>
          <w:p>
            <w:pPr>
              <w:pStyle w:val="29"/>
              <w:jc w:val="center"/>
              <w:rPr>
                <w:szCs w:val="21"/>
              </w:rPr>
            </w:pPr>
          </w:p>
        </w:tc>
        <w:tc>
          <w:tcPr>
            <w:tcW w:w="1528" w:type="dxa"/>
            <w:vAlign w:val="center"/>
          </w:tcPr>
          <w:p>
            <w:pPr>
              <w:pStyle w:val="29"/>
              <w:jc w:val="center"/>
              <w:rPr>
                <w:szCs w:val="21"/>
                <w:lang w:val="en-US"/>
              </w:rPr>
            </w:pPr>
          </w:p>
        </w:tc>
        <w:tc>
          <w:tcPr>
            <w:tcW w:w="892" w:type="dxa"/>
            <w:vAlign w:val="center"/>
          </w:tcPr>
          <w:p>
            <w:pPr>
              <w:pStyle w:val="29"/>
              <w:jc w:val="center"/>
              <w:rPr>
                <w:szCs w:val="21"/>
                <w:lang w:val="en-US"/>
              </w:rPr>
            </w:pPr>
          </w:p>
        </w:tc>
        <w:tc>
          <w:tcPr>
            <w:tcW w:w="1371" w:type="dxa"/>
            <w:vAlign w:val="center"/>
          </w:tcPr>
          <w:p>
            <w:pPr>
              <w:pStyle w:val="29"/>
              <w:jc w:val="center"/>
              <w:rPr>
                <w:szCs w:val="21"/>
              </w:rPr>
            </w:pPr>
          </w:p>
        </w:tc>
        <w:tc>
          <w:tcPr>
            <w:tcW w:w="2328" w:type="dxa"/>
            <w:vAlign w:val="center"/>
          </w:tcPr>
          <w:p>
            <w:pPr>
              <w:pStyle w:val="29"/>
              <w:jc w:val="center"/>
              <w:rPr>
                <w:szCs w:val="21"/>
              </w:rPr>
            </w:pPr>
          </w:p>
        </w:tc>
      </w:tr>
    </w:tbl>
    <w:p>
      <w:pPr>
        <w:pStyle w:val="29"/>
        <w:jc w:val="center"/>
        <w:rPr>
          <w:szCs w:val="21"/>
          <w:lang w:val="en-US"/>
        </w:rPr>
      </w:pPr>
    </w:p>
    <w:p>
      <w:pPr>
        <w:pStyle w:val="6"/>
        <w:rPr>
          <w:rFonts w:hAnsi="宋体" w:cs="宋体"/>
          <w:sz w:val="21"/>
        </w:rPr>
      </w:pPr>
    </w:p>
    <w:p>
      <w:pPr>
        <w:pStyle w:val="6"/>
        <w:rPr>
          <w:rFonts w:hAnsi="宋体" w:cs="宋体"/>
          <w:sz w:val="21"/>
        </w:rPr>
      </w:pPr>
      <w:r>
        <w:rPr>
          <w:rFonts w:hint="eastAsia" w:hAnsi="宋体" w:cs="宋体"/>
          <w:sz w:val="21"/>
        </w:rPr>
        <w:t>备注：签名必须由构成本项目组的相关人员亲自签署。采购人在中标后的框架协议服务期内，对中标单位提供的项目组人员与实际工作人员是否一致，将通过签名进行笔迹核对。若本项签名笔迹与后续成果报告笔迹不一致，视为中标单位在投标时提供虚假材料，甲方将根据相关规定予以惩处。</w:t>
      </w:r>
    </w:p>
    <w:p>
      <w:pPr>
        <w:rPr>
          <w:rFonts w:ascii="宋体" w:hAnsi="宋体" w:eastAsia="宋体" w:cs="宋体"/>
        </w:rPr>
      </w:pPr>
    </w:p>
    <w:p>
      <w:pPr>
        <w:pStyle w:val="6"/>
        <w:rPr>
          <w:rFonts w:hAnsi="宋体" w:cs="宋体"/>
          <w:sz w:val="21"/>
        </w:rPr>
      </w:pPr>
    </w:p>
    <w:p>
      <w:pPr>
        <w:pStyle w:val="6"/>
        <w:rPr>
          <w:rFonts w:hAnsi="宋体" w:cs="宋体"/>
          <w:sz w:val="21"/>
        </w:rPr>
      </w:pPr>
      <w:r>
        <w:rPr>
          <w:rFonts w:hint="eastAsia" w:hAnsi="宋体" w:cs="宋体"/>
          <w:sz w:val="21"/>
        </w:rPr>
        <w:t>投标人（盖公章</w:t>
      </w:r>
      <w:r>
        <w:rPr>
          <w:rFonts w:hint="eastAsia" w:hAnsi="宋体" w:cs="宋体"/>
          <w:spacing w:val="-5"/>
          <w:sz w:val="21"/>
        </w:rPr>
        <w:t>）：</w:t>
      </w:r>
    </w:p>
    <w:p>
      <w:pPr>
        <w:pStyle w:val="6"/>
        <w:rPr>
          <w:rFonts w:hAnsi="宋体" w:cs="宋体"/>
          <w:sz w:val="21"/>
        </w:rPr>
      </w:pPr>
      <w:r>
        <w:rPr>
          <w:rFonts w:hint="eastAsia" w:hAnsi="宋体" w:cs="宋体"/>
          <w:sz w:val="21"/>
        </w:rPr>
        <w:t>法定代表人或授权代表（签字或盖章）：</w:t>
      </w:r>
    </w:p>
    <w:p>
      <w:pPr>
        <w:pStyle w:val="8"/>
        <w:ind w:left="0" w:right="25" w:firstLine="0"/>
        <w:rPr>
          <w:rFonts w:ascii="宋体" w:hAnsi="宋体" w:eastAsia="宋体" w:cs="宋体"/>
        </w:rPr>
      </w:pPr>
      <w:r>
        <w:rPr>
          <w:rFonts w:hint="eastAsia" w:hAnsi="宋体" w:eastAsia="宋体" w:cs="宋体"/>
          <w:sz w:val="21"/>
          <w:szCs w:val="21"/>
        </w:rPr>
        <w:t>日期：2022</w:t>
      </w:r>
      <w:r>
        <w:rPr>
          <w:rFonts w:hint="eastAsia" w:hAnsi="宋体" w:eastAsia="宋体" w:cs="宋体"/>
          <w:spacing w:val="-42"/>
          <w:sz w:val="21"/>
          <w:szCs w:val="21"/>
        </w:rPr>
        <w:t xml:space="preserve"> </w:t>
      </w:r>
      <w:r>
        <w:rPr>
          <w:rFonts w:hint="eastAsia" w:hAnsi="宋体" w:eastAsia="宋体" w:cs="宋体"/>
          <w:sz w:val="21"/>
          <w:szCs w:val="21"/>
        </w:rPr>
        <w:t>年</w:t>
      </w:r>
      <w:r>
        <w:rPr>
          <w:rFonts w:hint="eastAsia" w:hAnsi="宋体" w:eastAsia="宋体" w:cs="宋体"/>
          <w:sz w:val="21"/>
          <w:szCs w:val="21"/>
          <w:u w:val="single"/>
        </w:rPr>
        <w:t xml:space="preserve">  </w:t>
      </w:r>
      <w:r>
        <w:rPr>
          <w:rFonts w:hint="eastAsia" w:hAnsi="宋体" w:eastAsia="宋体" w:cs="宋体"/>
          <w:spacing w:val="-10"/>
          <w:sz w:val="21"/>
          <w:szCs w:val="21"/>
        </w:rPr>
        <w:t>月</w:t>
      </w:r>
      <w:r>
        <w:rPr>
          <w:rFonts w:hint="eastAsia" w:hAnsi="宋体" w:eastAsia="宋体" w:cs="宋体"/>
          <w:spacing w:val="-10"/>
          <w:sz w:val="21"/>
          <w:szCs w:val="21"/>
          <w:u w:val="single"/>
        </w:rPr>
        <w:t xml:space="preserve">   </w:t>
      </w:r>
      <w:r>
        <w:rPr>
          <w:rFonts w:hint="eastAsia" w:hAnsi="宋体" w:eastAsia="宋体" w:cs="宋体"/>
          <w:spacing w:val="-10"/>
          <w:sz w:val="21"/>
          <w:szCs w:val="21"/>
        </w:rPr>
        <w:t>日</w:t>
      </w:r>
    </w:p>
    <w:p>
      <w:pPr>
        <w:pStyle w:val="6"/>
        <w:rPr>
          <w:rFonts w:hAnsi="宋体" w:cs="宋体"/>
        </w:rPr>
      </w:pPr>
    </w:p>
    <w:p>
      <w:pPr>
        <w:rPr>
          <w:rFonts w:ascii="宋体" w:hAnsi="宋体" w:eastAsia="宋体" w:cs="宋体"/>
        </w:rPr>
      </w:pPr>
    </w:p>
    <w:p>
      <w:pPr>
        <w:pStyle w:val="12"/>
        <w:rPr>
          <w:rFonts w:ascii="宋体" w:hAnsi="宋体" w:eastAsia="宋体" w:cs="宋体"/>
        </w:rPr>
      </w:pPr>
    </w:p>
    <w:p>
      <w:pPr>
        <w:pStyle w:val="6"/>
        <w:rPr>
          <w:rFonts w:hAnsi="宋体" w:cs="宋体"/>
        </w:rPr>
      </w:pPr>
    </w:p>
    <w:p>
      <w:pPr>
        <w:pStyle w:val="2"/>
        <w:numPr>
          <w:ilvl w:val="0"/>
          <w:numId w:val="0"/>
        </w:numPr>
        <w:ind w:leftChars="0"/>
      </w:pPr>
    </w:p>
    <w:p>
      <w:pPr>
        <w:adjustRightInd w:val="0"/>
        <w:snapToGrid w:val="0"/>
        <w:spacing w:line="360" w:lineRule="auto"/>
        <w:ind w:firstLine="3614" w:firstLineChars="1000"/>
        <w:rPr>
          <w:rFonts w:hint="eastAsia" w:ascii="宋体" w:hAnsi="宋体" w:eastAsia="宋体" w:cs="宋体"/>
          <w:b/>
          <w:kern w:val="0"/>
          <w:sz w:val="36"/>
          <w:szCs w:val="36"/>
        </w:rPr>
      </w:pPr>
    </w:p>
    <w:p>
      <w:pPr>
        <w:adjustRightInd w:val="0"/>
        <w:snapToGrid w:val="0"/>
        <w:spacing w:line="360" w:lineRule="auto"/>
        <w:ind w:firstLine="3614" w:firstLineChars="1000"/>
        <w:rPr>
          <w:rFonts w:ascii="宋体" w:hAnsi="宋体" w:eastAsia="宋体" w:cs="宋体"/>
          <w:b/>
          <w:kern w:val="0"/>
          <w:sz w:val="36"/>
          <w:szCs w:val="36"/>
        </w:rPr>
      </w:pPr>
      <w:r>
        <w:rPr>
          <w:rFonts w:hint="eastAsia" w:ascii="宋体" w:hAnsi="宋体" w:eastAsia="宋体" w:cs="宋体"/>
          <w:b/>
          <w:kern w:val="0"/>
          <w:sz w:val="36"/>
          <w:szCs w:val="36"/>
        </w:rPr>
        <w:t>报价文件部分</w:t>
      </w:r>
    </w:p>
    <w:p>
      <w:pPr>
        <w:adjustRightInd w:val="0"/>
        <w:spacing w:line="360" w:lineRule="auto"/>
        <w:jc w:val="center"/>
        <w:outlineLvl w:val="0"/>
        <w:rPr>
          <w:rFonts w:ascii="宋体" w:hAnsi="宋体" w:eastAsia="宋体" w:cs="宋体"/>
          <w:b/>
          <w:kern w:val="0"/>
          <w:sz w:val="24"/>
          <w:szCs w:val="24"/>
        </w:rPr>
      </w:pPr>
    </w:p>
    <w:p>
      <w:pPr>
        <w:adjustRightInd w:val="0"/>
        <w:spacing w:line="360" w:lineRule="auto"/>
        <w:jc w:val="center"/>
        <w:outlineLvl w:val="0"/>
        <w:rPr>
          <w:rFonts w:ascii="宋体" w:hAnsi="宋体" w:eastAsia="宋体" w:cs="宋体"/>
          <w:b/>
          <w:kern w:val="0"/>
          <w:sz w:val="36"/>
          <w:szCs w:val="36"/>
        </w:rPr>
      </w:pPr>
      <w:r>
        <w:rPr>
          <w:rFonts w:hint="eastAsia" w:ascii="宋体" w:hAnsi="宋体" w:eastAsia="宋体" w:cs="宋体"/>
          <w:b/>
          <w:kern w:val="0"/>
          <w:sz w:val="36"/>
          <w:szCs w:val="36"/>
        </w:rPr>
        <w:t>目录</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（1）报价承诺函………………………………………………………（页码）</w:t>
      </w:r>
    </w:p>
    <w:p>
      <w:pPr>
        <w:snapToGrid w:val="0"/>
        <w:spacing w:line="360" w:lineRule="auto"/>
        <w:rPr>
          <w:rFonts w:ascii="宋体" w:hAnsi="宋体" w:eastAsia="宋体" w:cs="宋体"/>
          <w:color w:val="000000" w:themeColor="text1"/>
          <w:sz w:val="24"/>
          <w14:textFill>
            <w14:solidFill>
              <w14:schemeClr w14:val="tx1"/>
            </w14:solidFill>
          </w14:textFill>
        </w:rPr>
      </w:pPr>
    </w:p>
    <w:p>
      <w:pPr>
        <w:adjustRightInd w:val="0"/>
        <w:spacing w:line="360" w:lineRule="auto"/>
        <w:ind w:left="2" w:firstLine="480" w:firstLineChars="200"/>
        <w:rPr>
          <w:rFonts w:ascii="宋体" w:hAnsi="宋体" w:eastAsia="宋体" w:cs="宋体"/>
          <w:sz w:val="24"/>
          <w:szCs w:val="24"/>
        </w:rPr>
      </w:pPr>
    </w:p>
    <w:p>
      <w:pPr>
        <w:adjustRightInd w:val="0"/>
        <w:spacing w:line="360" w:lineRule="auto"/>
        <w:ind w:left="2" w:firstLine="480" w:firstLineChars="200"/>
        <w:rPr>
          <w:rFonts w:ascii="宋体" w:hAnsi="宋体" w:eastAsia="宋体" w:cs="宋体"/>
          <w:sz w:val="24"/>
          <w:szCs w:val="24"/>
        </w:rPr>
      </w:pPr>
    </w:p>
    <w:p>
      <w:pPr>
        <w:adjustRightInd w:val="0"/>
        <w:spacing w:line="360" w:lineRule="auto"/>
        <w:ind w:left="2" w:firstLine="480" w:firstLineChars="200"/>
        <w:rPr>
          <w:rFonts w:ascii="宋体" w:hAnsi="宋体" w:eastAsia="宋体" w:cs="宋体"/>
          <w:sz w:val="24"/>
          <w:szCs w:val="24"/>
        </w:rPr>
      </w:pPr>
    </w:p>
    <w:p>
      <w:pPr>
        <w:adjustRightInd w:val="0"/>
        <w:spacing w:line="360" w:lineRule="auto"/>
        <w:ind w:left="2" w:firstLine="480" w:firstLineChars="200"/>
        <w:rPr>
          <w:rFonts w:ascii="宋体" w:hAnsi="宋体" w:eastAsia="宋体" w:cs="宋体"/>
          <w:sz w:val="24"/>
          <w:szCs w:val="24"/>
        </w:rPr>
      </w:pPr>
    </w:p>
    <w:p>
      <w:pPr>
        <w:adjustRightInd w:val="0"/>
        <w:spacing w:line="360" w:lineRule="auto"/>
        <w:ind w:left="2" w:firstLine="480" w:firstLineChars="200"/>
        <w:rPr>
          <w:rFonts w:ascii="宋体" w:hAnsi="宋体" w:eastAsia="宋体" w:cs="宋体"/>
          <w:sz w:val="24"/>
          <w:szCs w:val="24"/>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line="360" w:lineRule="auto"/>
        <w:jc w:val="center"/>
        <w:outlineLvl w:val="0"/>
        <w:rPr>
          <w:rFonts w:ascii="宋体" w:hAnsi="宋体" w:eastAsia="宋体" w:cs="宋体"/>
          <w:b/>
          <w:kern w:val="0"/>
          <w:sz w:val="32"/>
          <w:szCs w:val="32"/>
        </w:rPr>
      </w:pPr>
    </w:p>
    <w:p>
      <w:pPr>
        <w:adjustRightInd w:val="0"/>
        <w:snapToGrid w:val="0"/>
        <w:spacing w:before="120" w:after="120" w:line="360" w:lineRule="auto"/>
        <w:ind w:firstLine="643"/>
        <w:jc w:val="center"/>
        <w:rPr>
          <w:rFonts w:ascii="宋体" w:hAnsi="宋体" w:eastAsia="宋体" w:cs="宋体"/>
          <w:b/>
          <w:sz w:val="32"/>
          <w:szCs w:val="32"/>
        </w:rPr>
      </w:pPr>
    </w:p>
    <w:p>
      <w:pPr>
        <w:pStyle w:val="2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color w:val="000000" w:themeColor="text1"/>
          <w:kern w:val="2"/>
          <w:sz w:val="32"/>
          <w:szCs w:val="32"/>
          <w14:textFill>
            <w14:solidFill>
              <w14:schemeClr w14:val="tx1"/>
            </w14:solidFill>
          </w14:textFill>
        </w:rPr>
        <w:t>一、报价承诺函</w:t>
      </w:r>
    </w:p>
    <w:p>
      <w:pPr>
        <w:adjustRightInd w:val="0"/>
        <w:snapToGrid w:val="0"/>
        <w:spacing w:line="360" w:lineRule="auto"/>
        <w:rPr>
          <w:rFonts w:ascii="宋体" w:hAnsi="宋体" w:eastAsia="宋体" w:cs="宋体"/>
          <w:kern w:val="0"/>
          <w:sz w:val="24"/>
          <w:szCs w:val="24"/>
        </w:rPr>
      </w:pPr>
      <w:bookmarkStart w:id="376" w:name="_Toc86217005"/>
      <w:r>
        <w:rPr>
          <w:rFonts w:hint="eastAsia" w:ascii="宋体" w:hAnsi="宋体" w:eastAsia="宋体" w:cs="宋体"/>
          <w:sz w:val="24"/>
          <w:szCs w:val="24"/>
        </w:rPr>
        <w:t>XXX（采购人名称）、浙江蟠龙工程审计咨询有限公司</w:t>
      </w:r>
      <w:r>
        <w:rPr>
          <w:rFonts w:hint="eastAsia" w:ascii="宋体" w:hAnsi="宋体" w:eastAsia="宋体" w:cs="宋体"/>
          <w:kern w:val="0"/>
          <w:sz w:val="24"/>
          <w:szCs w:val="24"/>
          <w:lang w:val="zh-CN"/>
        </w:rPr>
        <w:t>：</w:t>
      </w:r>
    </w:p>
    <w:p>
      <w:pPr>
        <w:adjustRightInd w:val="0"/>
        <w:snapToGrid w:val="0"/>
        <w:spacing w:line="360" w:lineRule="auto"/>
        <w:ind w:firstLine="482"/>
        <w:rPr>
          <w:rFonts w:ascii="宋体" w:hAnsi="宋体" w:eastAsia="宋体" w:cs="宋体"/>
          <w:kern w:val="0"/>
          <w:sz w:val="24"/>
          <w:szCs w:val="24"/>
          <w:lang w:val="zh-CN"/>
        </w:rPr>
      </w:pPr>
      <w:r>
        <w:rPr>
          <w:rFonts w:hint="eastAsia" w:ascii="宋体" w:hAnsi="宋体" w:eastAsia="宋体" w:cs="宋体"/>
          <w:kern w:val="0"/>
          <w:sz w:val="24"/>
          <w:szCs w:val="24"/>
          <w:lang w:val="zh-CN"/>
        </w:rPr>
        <w:t>按你方招标文件要求，我们，本投标文件签字方，谨此向你方发出要约如下：如你方接受本投标，我方承诺按照如下</w:t>
      </w:r>
      <w:r>
        <w:rPr>
          <w:rFonts w:hint="eastAsia" w:ascii="宋体" w:hAnsi="宋体" w:eastAsia="宋体" w:cs="宋体"/>
          <w:kern w:val="0"/>
          <w:sz w:val="24"/>
          <w:szCs w:val="24"/>
        </w:rPr>
        <w:t>报价承诺函之约定内容</w:t>
      </w:r>
      <w:r>
        <w:rPr>
          <w:rFonts w:hint="eastAsia" w:ascii="宋体" w:hAnsi="宋体" w:eastAsia="宋体" w:cs="宋体"/>
          <w:kern w:val="0"/>
          <w:sz w:val="24"/>
          <w:szCs w:val="24"/>
          <w:lang w:val="zh-CN"/>
        </w:rPr>
        <w:t>完成</w:t>
      </w:r>
      <w:r>
        <w:rPr>
          <w:rFonts w:hint="eastAsia" w:ascii="宋体" w:hAnsi="宋体" w:eastAsia="宋体" w:cs="宋体"/>
          <w:sz w:val="24"/>
          <w:szCs w:val="24"/>
          <w:u w:val="single"/>
        </w:rPr>
        <w:t xml:space="preserve">      （项目名称）</w:t>
      </w:r>
      <w:r>
        <w:rPr>
          <w:rFonts w:hint="eastAsia" w:ascii="宋体" w:hAnsi="宋体" w:eastAsia="宋体" w:cs="宋体"/>
          <w:kern w:val="0"/>
          <w:sz w:val="24"/>
          <w:szCs w:val="24"/>
          <w:lang w:val="zh-CN"/>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000000" w:themeColor="text1"/>
          <w:sz w:val="24"/>
          <w14:textFill>
            <w14:solidFill>
              <w14:schemeClr w14:val="tx1"/>
            </w14:solidFill>
          </w14:textFill>
        </w:rPr>
        <w:t>的实施</w:t>
      </w:r>
      <w:r>
        <w:rPr>
          <w:rFonts w:hint="eastAsia" w:ascii="宋体" w:hAnsi="宋体" w:eastAsia="宋体" w:cs="宋体"/>
          <w:kern w:val="0"/>
          <w:sz w:val="24"/>
          <w:szCs w:val="24"/>
          <w:lang w:val="zh-CN"/>
        </w:rPr>
        <w:t>。</w:t>
      </w:r>
    </w:p>
    <w:p>
      <w:pPr>
        <w:spacing w:line="360" w:lineRule="auto"/>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报价承诺函</w:t>
      </w:r>
    </w:p>
    <w:tbl>
      <w:tblPr>
        <w:tblStyle w:val="1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570"/>
        <w:gridCol w:w="2042"/>
        <w:gridCol w:w="310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pPr>
              <w:pStyle w:val="7"/>
              <w:ind w:firstLine="241" w:firstLineChars="100"/>
              <w:jc w:val="center"/>
              <w:rPr>
                <w:rFonts w:eastAsia="宋体"/>
                <w:b/>
                <w:color w:val="000000" w:themeColor="text1"/>
                <w:kern w:val="0"/>
                <w14:textFill>
                  <w14:solidFill>
                    <w14:schemeClr w14:val="tx1"/>
                  </w14:solidFill>
                </w14:textFill>
              </w:rPr>
            </w:pPr>
            <w:r>
              <w:rPr>
                <w:rFonts w:hint="eastAsia" w:eastAsia="宋体"/>
                <w:b/>
                <w:color w:val="000000" w:themeColor="text1"/>
                <w:kern w:val="0"/>
                <w14:textFill>
                  <w14:solidFill>
                    <w14:schemeClr w14:val="tx1"/>
                  </w14:solidFill>
                </w14:textFill>
              </w:rPr>
              <w:t>序号</w:t>
            </w:r>
          </w:p>
        </w:tc>
        <w:tc>
          <w:tcPr>
            <w:tcW w:w="3612" w:type="dxa"/>
            <w:gridSpan w:val="2"/>
            <w:vAlign w:val="center"/>
          </w:tcPr>
          <w:p>
            <w:pPr>
              <w:pStyle w:val="7"/>
              <w:ind w:firstLine="723" w:firstLineChars="300"/>
              <w:rPr>
                <w:rFonts w:eastAsia="宋体"/>
                <w:b/>
                <w:color w:val="000000" w:themeColor="text1"/>
                <w:kern w:val="0"/>
                <w:lang w:val="zh-CN"/>
                <w14:textFill>
                  <w14:solidFill>
                    <w14:schemeClr w14:val="tx1"/>
                  </w14:solidFill>
                </w14:textFill>
              </w:rPr>
            </w:pPr>
            <w:r>
              <w:rPr>
                <w:rFonts w:hint="eastAsia" w:eastAsia="宋体"/>
                <w:b/>
                <w:color w:val="000000" w:themeColor="text1"/>
                <w:kern w:val="0"/>
                <w14:textFill>
                  <w14:solidFill>
                    <w14:schemeClr w14:val="tx1"/>
                  </w14:solidFill>
                </w14:textFill>
              </w:rPr>
              <w:t>项 目 内 容</w:t>
            </w:r>
          </w:p>
        </w:tc>
        <w:tc>
          <w:tcPr>
            <w:tcW w:w="3101" w:type="dxa"/>
            <w:vAlign w:val="center"/>
          </w:tcPr>
          <w:p>
            <w:pPr>
              <w:pStyle w:val="7"/>
              <w:ind w:firstLine="723" w:firstLineChars="300"/>
              <w:rPr>
                <w:rFonts w:eastAsia="宋体"/>
                <w:b/>
                <w:color w:val="auto"/>
                <w:kern w:val="0"/>
                <w:lang w:val="zh-CN"/>
              </w:rPr>
            </w:pPr>
            <w:r>
              <w:rPr>
                <w:rFonts w:hint="eastAsia" w:eastAsia="宋体"/>
                <w:b/>
                <w:color w:val="auto"/>
              </w:rPr>
              <w:t>最高限制单价</w:t>
            </w:r>
          </w:p>
        </w:tc>
        <w:tc>
          <w:tcPr>
            <w:tcW w:w="1478" w:type="dxa"/>
            <w:vAlign w:val="center"/>
          </w:tcPr>
          <w:p>
            <w:pPr>
              <w:pStyle w:val="7"/>
              <w:ind w:left="241" w:hanging="241" w:hangingChars="100"/>
              <w:jc w:val="center"/>
              <w:rPr>
                <w:rFonts w:eastAsia="宋体"/>
                <w:b/>
                <w:color w:val="auto"/>
              </w:rPr>
            </w:pPr>
            <w:r>
              <w:rPr>
                <w:rFonts w:hint="eastAsia" w:eastAsia="宋体"/>
                <w:b/>
                <w:color w:val="auto"/>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vAlign w:val="center"/>
          </w:tcPr>
          <w:p>
            <w:pPr>
              <w:pStyle w:val="7"/>
              <w:ind w:firstLine="482"/>
              <w:rPr>
                <w:rFonts w:eastAsia="宋体"/>
                <w:b/>
                <w:color w:val="000000" w:themeColor="text1"/>
                <w:kern w:val="0"/>
                <w14:textFill>
                  <w14:solidFill>
                    <w14:schemeClr w14:val="tx1"/>
                  </w14:solidFill>
                </w14:textFill>
              </w:rPr>
            </w:pPr>
            <w:r>
              <w:rPr>
                <w:rFonts w:hint="eastAsia" w:eastAsia="宋体"/>
                <w:b/>
                <w:color w:val="000000" w:themeColor="text1"/>
                <w:kern w:val="0"/>
                <w14:textFill>
                  <w14:solidFill>
                    <w14:schemeClr w14:val="tx1"/>
                  </w14:solidFill>
                </w14:textFill>
              </w:rPr>
              <w:t>1</w:t>
            </w:r>
          </w:p>
        </w:tc>
        <w:tc>
          <w:tcPr>
            <w:tcW w:w="1570" w:type="dxa"/>
            <w:vMerge w:val="restart"/>
            <w:vAlign w:val="center"/>
          </w:tcPr>
          <w:p>
            <w:pPr>
              <w:pStyle w:val="7"/>
              <w:ind w:firstLine="0" w:firstLineChars="0"/>
              <w:rPr>
                <w:rFonts w:eastAsia="宋体"/>
                <w:b/>
                <w:color w:val="000000" w:themeColor="text1"/>
                <w:kern w:val="0"/>
                <w14:textFill>
                  <w14:solidFill>
                    <w14:schemeClr w14:val="tx1"/>
                  </w14:solidFill>
                </w14:textFill>
              </w:rPr>
            </w:pPr>
            <w:r>
              <w:rPr>
                <w:rFonts w:hint="eastAsia" w:eastAsia="宋体"/>
                <w:b/>
                <w:color w:val="000000" w:themeColor="text1"/>
                <w:kern w:val="0"/>
                <w14:textFill>
                  <w14:solidFill>
                    <w14:schemeClr w14:val="tx1"/>
                  </w14:solidFill>
                </w14:textFill>
              </w:rPr>
              <w:t>概预算审核</w:t>
            </w:r>
          </w:p>
        </w:tc>
        <w:tc>
          <w:tcPr>
            <w:tcW w:w="2042" w:type="dxa"/>
            <w:vAlign w:val="center"/>
          </w:tcPr>
          <w:p>
            <w:pPr>
              <w:pStyle w:val="7"/>
              <w:ind w:firstLine="0" w:firstLineChars="0"/>
              <w:rPr>
                <w:rFonts w:eastAsia="宋体"/>
                <w:b/>
                <w:color w:val="000000" w:themeColor="text1"/>
                <w:kern w:val="0"/>
                <w14:textFill>
                  <w14:solidFill>
                    <w14:schemeClr w14:val="tx1"/>
                  </w14:solidFill>
                </w14:textFill>
              </w:rPr>
            </w:pPr>
            <w:r>
              <w:rPr>
                <w:rFonts w:hint="eastAsia" w:eastAsia="宋体"/>
                <w:lang w:bidi="ar"/>
              </w:rPr>
              <w:t>业务基础咨询费</w:t>
            </w:r>
          </w:p>
        </w:tc>
        <w:tc>
          <w:tcPr>
            <w:tcW w:w="3101" w:type="dxa"/>
            <w:vMerge w:val="restart"/>
            <w:vAlign w:val="center"/>
          </w:tcPr>
          <w:p>
            <w:pPr>
              <w:pStyle w:val="7"/>
              <w:ind w:firstLine="0" w:firstLineChars="0"/>
              <w:rPr>
                <w:rFonts w:eastAsia="宋体"/>
                <w:b/>
                <w:color w:val="auto"/>
                <w:kern w:val="0"/>
              </w:rPr>
            </w:pPr>
            <w:r>
              <w:rPr>
                <w:rFonts w:hint="eastAsia" w:eastAsia="宋体"/>
                <w:b/>
                <w:color w:val="auto"/>
                <w:kern w:val="0"/>
              </w:rPr>
              <w:t>按照杭州市富阳区财政局付费标准收费</w:t>
            </w:r>
          </w:p>
        </w:tc>
        <w:tc>
          <w:tcPr>
            <w:tcW w:w="1478" w:type="dxa"/>
            <w:vMerge w:val="restart"/>
            <w:vAlign w:val="center"/>
          </w:tcPr>
          <w:p>
            <w:pPr>
              <w:pStyle w:val="7"/>
              <w:ind w:firstLine="0" w:firstLineChars="0"/>
              <w:jc w:val="center"/>
              <w:rPr>
                <w:rFonts w:eastAsia="宋体"/>
                <w:b/>
                <w:color w:val="auto"/>
                <w:kern w:val="0"/>
              </w:rPr>
            </w:pPr>
            <w:r>
              <w:rPr>
                <w:rFonts w:hint="eastAsia" w:eastAsia="宋体"/>
                <w:b/>
                <w:color w:val="auto"/>
                <w:kern w:val="0"/>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vAlign w:val="center"/>
          </w:tcPr>
          <w:p>
            <w:pPr>
              <w:pStyle w:val="7"/>
              <w:ind w:firstLine="482"/>
              <w:rPr>
                <w:rFonts w:eastAsia="宋体"/>
                <w:b/>
                <w:color w:val="000000" w:themeColor="text1"/>
                <w:kern w:val="0"/>
                <w:lang w:val="zh-CN"/>
                <w14:textFill>
                  <w14:solidFill>
                    <w14:schemeClr w14:val="tx1"/>
                  </w14:solidFill>
                </w14:textFill>
              </w:rPr>
            </w:pPr>
          </w:p>
        </w:tc>
        <w:tc>
          <w:tcPr>
            <w:tcW w:w="1570" w:type="dxa"/>
            <w:vMerge w:val="continue"/>
            <w:vAlign w:val="center"/>
          </w:tcPr>
          <w:p>
            <w:pPr>
              <w:pStyle w:val="7"/>
              <w:ind w:firstLine="482"/>
              <w:rPr>
                <w:rFonts w:eastAsia="宋体"/>
                <w:b/>
                <w:color w:val="000000" w:themeColor="text1"/>
                <w:kern w:val="0"/>
                <w:lang w:val="zh-CN"/>
                <w14:textFill>
                  <w14:solidFill>
                    <w14:schemeClr w14:val="tx1"/>
                  </w14:solidFill>
                </w14:textFill>
              </w:rPr>
            </w:pPr>
          </w:p>
        </w:tc>
        <w:tc>
          <w:tcPr>
            <w:tcW w:w="2042" w:type="dxa"/>
            <w:vAlign w:val="center"/>
          </w:tcPr>
          <w:p>
            <w:pPr>
              <w:pStyle w:val="7"/>
              <w:ind w:firstLine="0" w:firstLineChars="0"/>
              <w:rPr>
                <w:rFonts w:eastAsia="宋体"/>
                <w:b/>
                <w:color w:val="000000" w:themeColor="text1"/>
                <w:kern w:val="0"/>
                <w14:textFill>
                  <w14:solidFill>
                    <w14:schemeClr w14:val="tx1"/>
                  </w14:solidFill>
                </w14:textFill>
              </w:rPr>
            </w:pPr>
            <w:r>
              <w:rPr>
                <w:rFonts w:hint="eastAsia" w:eastAsia="宋体"/>
                <w:lang w:bidi="ar"/>
              </w:rPr>
              <w:t>业务绩效奖励费</w:t>
            </w:r>
          </w:p>
        </w:tc>
        <w:tc>
          <w:tcPr>
            <w:tcW w:w="3101" w:type="dxa"/>
            <w:vMerge w:val="continue"/>
            <w:vAlign w:val="center"/>
          </w:tcPr>
          <w:p>
            <w:pPr>
              <w:pStyle w:val="7"/>
              <w:ind w:firstLine="482"/>
              <w:rPr>
                <w:rFonts w:eastAsia="宋体"/>
                <w:b/>
                <w:color w:val="000000" w:themeColor="text1"/>
                <w:kern w:val="0"/>
                <w:lang w:val="zh-CN"/>
                <w14:textFill>
                  <w14:solidFill>
                    <w14:schemeClr w14:val="tx1"/>
                  </w14:solidFill>
                </w14:textFill>
              </w:rPr>
            </w:pPr>
          </w:p>
        </w:tc>
        <w:tc>
          <w:tcPr>
            <w:tcW w:w="1478" w:type="dxa"/>
            <w:vMerge w:val="continue"/>
            <w:vAlign w:val="center"/>
          </w:tcPr>
          <w:p>
            <w:pPr>
              <w:pStyle w:val="7"/>
              <w:ind w:firstLine="482"/>
              <w:rPr>
                <w:rFonts w:eastAsia="宋体"/>
                <w:b/>
                <w:color w:val="000000" w:themeColor="text1"/>
                <w:kern w:val="0"/>
                <w:lang w:val="zh-CN"/>
                <w14:textFill>
                  <w14:solidFill>
                    <w14:schemeClr w14:val="tx1"/>
                  </w14:solidFill>
                </w14:textFill>
              </w:rPr>
            </w:pPr>
          </w:p>
        </w:tc>
      </w:tr>
    </w:tbl>
    <w:p>
      <w:pPr>
        <w:pStyle w:val="7"/>
        <w:ind w:firstLine="0" w:firstLineChars="0"/>
        <w:rPr>
          <w:rFonts w:eastAsia="宋体"/>
          <w:lang w:val="zh-CN"/>
        </w:rPr>
      </w:pPr>
    </w:p>
    <w:bookmarkEnd w:id="376"/>
    <w:p>
      <w:pPr>
        <w:widowControl/>
        <w:spacing w:line="360" w:lineRule="auto"/>
        <w:jc w:val="both"/>
        <w:rPr>
          <w:rFonts w:hint="eastAsia" w:ascii="宋体" w:hAnsi="宋体" w:eastAsia="宋体" w:cs="宋体"/>
          <w:color w:val="000000"/>
          <w:kern w:val="0"/>
          <w:sz w:val="28"/>
          <w:szCs w:val="28"/>
          <w:lang w:bidi="ar"/>
        </w:rPr>
      </w:pPr>
    </w:p>
    <w:p>
      <w:pPr>
        <w:widowControl/>
        <w:spacing w:line="360" w:lineRule="auto"/>
        <w:jc w:val="both"/>
        <w:rPr>
          <w:rFonts w:ascii="宋体" w:hAnsi="宋体" w:eastAsia="宋体" w:cs="宋体"/>
          <w:sz w:val="28"/>
          <w:szCs w:val="28"/>
        </w:rPr>
      </w:pPr>
      <w:r>
        <w:rPr>
          <w:rFonts w:hint="eastAsia" w:ascii="宋体" w:hAnsi="宋体" w:eastAsia="宋体" w:cs="宋体"/>
          <w:color w:val="000000"/>
          <w:kern w:val="0"/>
          <w:sz w:val="28"/>
          <w:szCs w:val="28"/>
          <w:lang w:bidi="ar"/>
        </w:rPr>
        <w:t xml:space="preserve">投标人名称（盖公章）： </w:t>
      </w:r>
    </w:p>
    <w:p>
      <w:pPr>
        <w:widowControl/>
        <w:spacing w:line="360" w:lineRule="auto"/>
        <w:jc w:val="both"/>
        <w:rPr>
          <w:rFonts w:ascii="宋体" w:hAnsi="宋体" w:eastAsia="宋体" w:cs="宋体"/>
          <w:sz w:val="28"/>
          <w:szCs w:val="28"/>
        </w:rPr>
      </w:pPr>
      <w:r>
        <w:rPr>
          <w:rFonts w:hint="eastAsia" w:ascii="宋体" w:hAnsi="宋体" w:eastAsia="宋体" w:cs="宋体"/>
          <w:color w:val="000000"/>
          <w:kern w:val="0"/>
          <w:sz w:val="28"/>
          <w:szCs w:val="28"/>
          <w:lang w:bidi="ar"/>
        </w:rPr>
        <w:t xml:space="preserve">法定代表人或代理人（签字或盖章）： </w:t>
      </w:r>
    </w:p>
    <w:p>
      <w:pPr>
        <w:widowControl/>
        <w:spacing w:line="360" w:lineRule="auto"/>
        <w:jc w:val="both"/>
        <w:rPr>
          <w:rFonts w:ascii="宋体" w:hAnsi="宋体" w:eastAsia="宋体" w:cs="宋体"/>
          <w:sz w:val="28"/>
          <w:szCs w:val="28"/>
        </w:rPr>
      </w:pPr>
      <w:r>
        <w:rPr>
          <w:rFonts w:hint="eastAsia" w:ascii="宋体" w:hAnsi="宋体" w:eastAsia="宋体" w:cs="宋体"/>
          <w:color w:val="000000"/>
          <w:kern w:val="0"/>
          <w:sz w:val="28"/>
          <w:szCs w:val="28"/>
          <w:lang w:bidi="ar"/>
        </w:rPr>
        <w:t>日 期：</w:t>
      </w:r>
    </w:p>
    <w:p>
      <w:pPr>
        <w:adjustRightInd w:val="0"/>
        <w:spacing w:line="360" w:lineRule="auto"/>
        <w:outlineLvl w:val="0"/>
        <w:rPr>
          <w:rFonts w:ascii="宋体" w:hAnsi="宋体" w:eastAsia="宋体" w:cs="宋体"/>
          <w:sz w:val="36"/>
          <w:szCs w:val="36"/>
          <w:lang w:val="zh-CN"/>
        </w:rPr>
      </w:pPr>
    </w:p>
    <w:p>
      <w:pPr>
        <w:pStyle w:val="2"/>
        <w:numPr>
          <w:ilvl w:val="0"/>
          <w:numId w:val="0"/>
        </w:numPr>
        <w:rPr>
          <w:rFonts w:ascii="宋体" w:hAnsi="宋体" w:eastAsia="宋体" w:cs="宋体"/>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2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2"/>
        <w:numPr>
          <w:ilvl w:val="0"/>
          <w:numId w:val="0"/>
        </w:numPr>
        <w:rPr>
          <w:rFonts w:ascii="宋体" w:hAnsi="宋体" w:eastAsia="宋体" w:cs="宋体"/>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p>
    <w:p>
      <w:pPr>
        <w:tabs>
          <w:tab w:val="left" w:pos="8085"/>
        </w:tabs>
        <w:spacing w:line="360" w:lineRule="auto"/>
        <w:ind w:firstLine="1285" w:firstLineChars="400"/>
        <w:jc w:val="left"/>
        <w:rPr>
          <w:rFonts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三、　政府采购信用融资操作流程：</w:t>
      </w:r>
    </w:p>
    <w:p>
      <w:pPr>
        <w:spacing w:line="360" w:lineRule="auto"/>
        <w:ind w:firstLine="960" w:firstLineChars="400"/>
        <w:rPr>
          <w:rFonts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富阳区政府与国企投资类项目财政审核管理办法规定情形的，按融资合同约定承担违约责任；涉嫌犯罪的，移送司法机关处理。</w:t>
      </w:r>
    </w:p>
    <w:p>
      <w:pPr>
        <w:pStyle w:val="3"/>
        <w:keepNext w:val="0"/>
        <w:keepLines w:val="0"/>
        <w:pageBreakBefore/>
        <w:widowControl/>
        <w:numPr>
          <w:ilvl w:val="0"/>
          <w:numId w:val="0"/>
        </w:numPr>
        <w:spacing w:before="100" w:beforeAutospacing="1" w:after="100" w:afterAutospacing="1" w:line="360" w:lineRule="auto"/>
        <w:jc w:val="center"/>
        <w:rPr>
          <w:rFonts w:ascii="宋体" w:hAnsi="宋体" w:cs="宋体"/>
        </w:rPr>
      </w:pPr>
      <w:r>
        <w:rPr>
          <w:rFonts w:hint="eastAsia" w:ascii="宋体" w:hAnsi="宋体" w:cs="宋体"/>
        </w:rPr>
        <w:t>附件</w:t>
      </w:r>
    </w:p>
    <w:p>
      <w:pPr>
        <w:spacing w:line="360" w:lineRule="auto"/>
        <w:rPr>
          <w:rFonts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ascii="宋体" w:hAnsi="宋体" w:eastAsia="宋体" w:cs="宋体"/>
          <w:b/>
          <w:spacing w:val="6"/>
          <w:sz w:val="32"/>
          <w:szCs w:val="32"/>
        </w:rPr>
      </w:pPr>
      <w:bookmarkStart w:id="377" w:name="OLE_LINK14"/>
      <w:bookmarkStart w:id="378" w:name="OLE_LINK13"/>
      <w:r>
        <w:rPr>
          <w:rFonts w:hint="eastAsia" w:ascii="宋体" w:hAnsi="宋体" w:eastAsia="宋体" w:cs="宋体"/>
          <w:b/>
          <w:spacing w:val="6"/>
          <w:sz w:val="32"/>
          <w:szCs w:val="32"/>
        </w:rPr>
        <w:t>残疾人福利性单位声明函</w:t>
      </w:r>
    </w:p>
    <w:bookmarkEnd w:id="377"/>
    <w:bookmarkEnd w:id="378"/>
    <w:p>
      <w:pPr>
        <w:spacing w:line="360" w:lineRule="auto"/>
        <w:rPr>
          <w:rFonts w:ascii="宋体" w:hAnsi="宋体" w:eastAsia="宋体" w:cs="宋体"/>
          <w:b/>
          <w:spacing w:val="6"/>
          <w:sz w:val="30"/>
          <w:szCs w:val="30"/>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tabs>
          <w:tab w:val="left" w:pos="4860"/>
        </w:tabs>
        <w:spacing w:line="360" w:lineRule="auto"/>
        <w:ind w:right="1560" w:firstLine="480" w:firstLineChars="200"/>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ascii="宋体" w:hAnsi="宋体" w:eastAsia="宋体" w:cs="宋体"/>
          <w:sz w:val="24"/>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pStyle w:val="6"/>
        <w:rPr>
          <w:rFonts w:hAnsi="宋体" w:cs="宋体"/>
          <w:b/>
          <w:bCs/>
          <w:sz w:val="32"/>
          <w:szCs w:val="32"/>
          <w:lang w:val="en-US"/>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pPr>
        <w:snapToGrid w:val="0"/>
        <w:spacing w:before="312" w:beforeLines="100"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napToGrid w:val="0"/>
        <w:spacing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jc w:val="center"/>
        <w:rPr>
          <w:rFonts w:ascii="宋体" w:hAnsi="宋体" w:eastAsia="宋体" w:cs="宋体"/>
          <w:b/>
          <w:bCs/>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eastAsia="宋体" w:cs="宋体"/>
          <w:b/>
          <w:color w:val="000000" w:themeColor="text1"/>
          <w:sz w:val="24"/>
          <w14:textFill>
            <w14:solidFill>
              <w14:schemeClr w14:val="tx1"/>
            </w14:solidFill>
          </w14:textFill>
        </w:rPr>
      </w:pPr>
    </w:p>
    <w:p>
      <w:pPr>
        <w:spacing w:line="360" w:lineRule="auto"/>
        <w:jc w:val="center"/>
        <w:rPr>
          <w:rFonts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一、投诉相关主体基本情况</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法定代表人/主要负责人：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被投诉人1：</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被投诉人2</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相关供应商：</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二、投诉项目基本情况</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日,向</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提出质疑，质疑事项为：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采购人/代理机构</w:t>
      </w:r>
      <w:r>
        <w:rPr>
          <w:rFonts w:hint="eastAsia" w:ascii="宋体" w:hAnsi="宋体" w:eastAsia="宋体" w:cs="宋体"/>
          <w:color w:val="000000" w:themeColor="text1"/>
          <w:sz w:val="24"/>
          <w14:textFill>
            <w14:solidFill>
              <w14:schemeClr w14:val="tx1"/>
            </w14:solidFill>
          </w14:textFill>
        </w:rPr>
        <w:t>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四、投诉事项具体内容</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 1：</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投诉事项2</w:t>
      </w:r>
    </w:p>
    <w:p>
      <w:pPr>
        <w:spacing w:line="360" w:lineRule="auto"/>
        <w:rPr>
          <w:rFonts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五、与投诉事项相关的投诉请求</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rPr>
          <w:rFonts w:ascii="宋体" w:hAnsi="宋体" w:eastAsia="宋体" w:cs="宋体"/>
          <w:b/>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15"/>
        <w:ind w:firstLine="0"/>
        <w:rPr>
          <w:rFonts w:hAnsi="宋体" w:eastAsia="宋体" w:cs="宋体"/>
          <w:b/>
          <w:bCs/>
          <w:sz w:val="32"/>
          <w:szCs w:val="32"/>
          <w:lang w:val="en-US"/>
        </w:rPr>
      </w:pPr>
    </w:p>
    <w:p>
      <w:pPr>
        <w:autoSpaceDE w:val="0"/>
        <w:autoSpaceDN w:val="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XXXX（采购人名称） 、浙江蟠龙工程审计咨询有限公司:</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w:t>
      </w:r>
      <w:r>
        <w:rPr>
          <w:rFonts w:hint="eastAsia" w:ascii="宋体" w:hAnsi="宋体" w:eastAsia="宋体" w:cs="宋体"/>
          <w:color w:val="000000" w:themeColor="text1"/>
          <w:sz w:val="24"/>
          <w:u w:val="single"/>
          <w14:textFill>
            <w14:solidFill>
              <w14:schemeClr w14:val="tx1"/>
            </w14:solidFill>
          </w14:textFill>
        </w:rPr>
        <w:t xml:space="preserve">      （项目名称）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pPr>
        <w:spacing w:line="360" w:lineRule="auto"/>
        <w:ind w:firstLine="494"/>
        <w:rPr>
          <w:rFonts w:ascii="宋体" w:hAnsi="宋体" w:eastAsia="宋体" w:cs="宋体"/>
          <w:color w:val="000000" w:themeColor="text1"/>
          <w:sz w:val="24"/>
          <w14:textFill>
            <w14:solidFill>
              <w14:schemeClr w14:val="tx1"/>
            </w14:solidFill>
          </w14:textFill>
        </w:rPr>
      </w:pPr>
    </w:p>
    <w:p>
      <w:pPr>
        <w:spacing w:line="360" w:lineRule="auto"/>
        <w:ind w:firstLine="494"/>
        <w:rPr>
          <w:rFonts w:ascii="宋体" w:hAnsi="宋体" w:eastAsia="宋体" w:cs="宋体"/>
          <w:color w:val="000000" w:themeColor="text1"/>
          <w:sz w:val="24"/>
          <w14:textFill>
            <w14:solidFill>
              <w14:schemeClr w14:val="tx1"/>
            </w14:solidFill>
          </w14:textFill>
        </w:rPr>
      </w:pPr>
    </w:p>
    <w:p>
      <w:pPr>
        <w:spacing w:line="360" w:lineRule="auto"/>
        <w:ind w:firstLine="494"/>
        <w:rPr>
          <w:rFonts w:ascii="宋体" w:hAnsi="宋体" w:eastAsia="宋体" w:cs="宋体"/>
          <w:color w:val="000000" w:themeColor="text1"/>
          <w:sz w:val="24"/>
          <w14:textFill>
            <w14:solidFill>
              <w14:schemeClr w14:val="tx1"/>
            </w14:solidFill>
          </w14:textFill>
        </w:rPr>
      </w:pPr>
    </w:p>
    <w:p>
      <w:pPr>
        <w:spacing w:line="360" w:lineRule="auto"/>
        <w:ind w:firstLine="494"/>
        <w:rPr>
          <w:rFonts w:ascii="宋体" w:hAnsi="宋体" w:eastAsia="宋体" w:cs="宋体"/>
          <w:color w:val="000000" w:themeColor="text1"/>
          <w:sz w:val="24"/>
          <w14:textFill>
            <w14:solidFill>
              <w14:schemeClr w14:val="tx1"/>
            </w14:solidFill>
          </w14:textFill>
        </w:rPr>
      </w:pPr>
    </w:p>
    <w:p>
      <w:pPr>
        <w:spacing w:line="360" w:lineRule="auto"/>
        <w:ind w:right="480" w:firstLine="4080" w:firstLineChars="17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投标单位（法定名称章）：</w:t>
      </w:r>
    </w:p>
    <w:p>
      <w:pPr>
        <w:ind w:right="1440" w:firstLine="494"/>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pPr>
        <w:spacing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color w:val="000000" w:themeColor="text1"/>
          <w:spacing w:val="6"/>
          <w:sz w:val="32"/>
          <w:szCs w:val="32"/>
          <w14:textFill>
            <w14:solidFill>
              <w14:schemeClr w14:val="tx1"/>
            </w14:solidFill>
          </w14:textFill>
        </w:rPr>
      </w:pPr>
    </w:p>
    <w:p>
      <w:pPr>
        <w:autoSpaceDE w:val="0"/>
        <w:autoSpaceDN w:val="0"/>
        <w:rPr>
          <w:rFonts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附件5：</w:t>
      </w:r>
      <w:r>
        <w:rPr>
          <w:rFonts w:hint="eastAsia" w:ascii="宋体" w:hAnsi="宋体" w:eastAsia="宋体" w:cs="宋体"/>
          <w:b/>
          <w:color w:val="000000" w:themeColor="text1"/>
          <w:sz w:val="32"/>
          <w:szCs w:val="32"/>
          <w14:textFill>
            <w14:solidFill>
              <w14:schemeClr w14:val="tx1"/>
            </w14:solidFill>
          </w14:textFill>
        </w:rPr>
        <w:t>中小企业声明函</w:t>
      </w:r>
    </w:p>
    <w:p>
      <w:pPr>
        <w:spacing w:line="360" w:lineRule="auto"/>
        <w:jc w:val="center"/>
        <w:rPr>
          <w:rFonts w:ascii="宋体" w:hAnsi="宋体" w:eastAsia="宋体" w:cs="宋体"/>
          <w:color w:val="000000" w:themeColor="text1"/>
          <w:sz w:val="24"/>
          <w:u w:val="single"/>
          <w14:textFill>
            <w14:solidFill>
              <w14:schemeClr w14:val="tx1"/>
            </w14:solidFill>
          </w14:textFill>
        </w:rPr>
      </w:pPr>
    </w:p>
    <w:p>
      <w:pPr>
        <w:spacing w:line="360" w:lineRule="auto"/>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中小企业声明函（货物）</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 ，属于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 ，属于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pPr>
        <w:spacing w:line="360" w:lineRule="auto"/>
        <w:ind w:firstLine="310" w:firstLineChars="147"/>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eastAsia="宋体" w:cs="宋体"/>
          <w:b/>
          <w:color w:val="000000" w:themeColor="text1"/>
          <w:sz w:val="32"/>
          <w:szCs w:val="32"/>
          <w14:textFill>
            <w14:solidFill>
              <w14:schemeClr w14:val="tx1"/>
            </w14:solidFill>
          </w14:textFill>
        </w:rPr>
      </w:pPr>
    </w:p>
    <w:p>
      <w:pPr>
        <w:spacing w:line="360" w:lineRule="auto"/>
        <w:rPr>
          <w:rFonts w:ascii="宋体" w:hAnsi="宋体" w:eastAsia="宋体" w:cs="宋体"/>
          <w:b/>
          <w:color w:val="000000" w:themeColor="text1"/>
          <w:sz w:val="32"/>
          <w:szCs w:val="32"/>
          <w14:textFill>
            <w14:solidFill>
              <w14:schemeClr w14:val="tx1"/>
            </w14:solidFill>
          </w14:textFill>
        </w:rPr>
      </w:pPr>
    </w:p>
    <w:p>
      <w:pPr>
        <w:spacing w:line="360" w:lineRule="auto"/>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中小企业声明函（工程、服务）</w:t>
      </w:r>
    </w:p>
    <w:p>
      <w:pPr>
        <w:spacing w:line="360" w:lineRule="auto"/>
        <w:rPr>
          <w:rFonts w:ascii="宋体" w:hAnsi="宋体" w:eastAsia="宋体" w:cs="宋体"/>
          <w:color w:val="000000" w:themeColor="text1"/>
          <w14:textFill>
            <w14:solidFill>
              <w14:schemeClr w14:val="tx1"/>
            </w14:solidFill>
          </w14:textFill>
        </w:rPr>
      </w:pPr>
    </w:p>
    <w:p>
      <w:pPr>
        <w:spacing w:line="360" w:lineRule="auto"/>
        <w:ind w:firstLine="360" w:firstLineChars="15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360" w:lineRule="auto"/>
        <w:ind w:firstLine="310" w:firstLineChars="147"/>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eastAsia="宋体" w:cs="宋体"/>
          <w:color w:val="000000" w:themeColor="text1"/>
          <w:sz w:val="24"/>
          <w14:textFill>
            <w14:solidFill>
              <w14:schemeClr w14:val="tx1"/>
            </w14:solidFill>
          </w14:textFill>
        </w:rPr>
      </w:pPr>
    </w:p>
    <w:p>
      <w:pPr>
        <w:spacing w:line="360" w:lineRule="auto"/>
        <w:ind w:right="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eastAsia="宋体" w:cs="宋体"/>
          <w:color w:val="000000" w:themeColor="text1"/>
          <w:sz w:val="24"/>
          <w14:textFill>
            <w14:solidFill>
              <w14:schemeClr w14:val="tx1"/>
            </w14:solidFill>
          </w14:textFill>
        </w:rPr>
      </w:pPr>
    </w:p>
    <w:p>
      <w:pPr>
        <w:pStyle w:val="15"/>
        <w:rPr>
          <w:rFonts w:hAnsi="宋体" w:eastAsia="宋体" w:cs="宋体"/>
          <w:b/>
          <w:bCs/>
          <w:sz w:val="32"/>
          <w:szCs w:val="32"/>
          <w:lang w:val="en-US"/>
        </w:rPr>
      </w:pPr>
    </w:p>
    <w:p>
      <w:pPr>
        <w:pStyle w:val="15"/>
        <w:rPr>
          <w:rFonts w:hAnsi="宋体" w:eastAsia="宋体" w:cs="宋体"/>
          <w:b/>
          <w:bCs/>
          <w:sz w:val="32"/>
          <w:szCs w:val="32"/>
          <w:lang w:val="en-US"/>
        </w:rPr>
      </w:pPr>
    </w:p>
    <w:p>
      <w:pPr>
        <w:jc w:val="center"/>
        <w:rPr>
          <w:rFonts w:ascii="宋体" w:hAnsi="宋体" w:eastAsia="宋体" w:cs="宋体"/>
          <w:sz w:val="44"/>
          <w:szCs w:val="44"/>
        </w:rPr>
      </w:pPr>
      <w:r>
        <w:rPr>
          <w:rFonts w:hint="eastAsia" w:ascii="宋体" w:hAnsi="宋体" w:eastAsia="宋体" w:cs="宋体"/>
          <w:b/>
          <w:bCs/>
          <w:sz w:val="40"/>
          <w:szCs w:val="40"/>
        </w:rPr>
        <w:t>政府采购融资畅通工程金融机构联系信息表</w:t>
      </w:r>
    </w:p>
    <w:p>
      <w:pPr>
        <w:rPr>
          <w:rFonts w:ascii="宋体" w:hAnsi="宋体" w:eastAsia="宋体" w:cs="宋体"/>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eastAsia="宋体" w:cs="宋体"/>
                <w:sz w:val="28"/>
                <w:szCs w:val="28"/>
              </w:rPr>
            </w:pPr>
            <w:r>
              <w:rPr>
                <w:rFonts w:hint="eastAsia" w:ascii="宋体" w:hAnsi="宋体" w:eastAsia="宋体" w:cs="宋体"/>
                <w:sz w:val="28"/>
                <w:szCs w:val="28"/>
              </w:rPr>
              <w:t>金融机构各称</w:t>
            </w:r>
          </w:p>
        </w:tc>
        <w:tc>
          <w:tcPr>
            <w:tcW w:w="1425" w:type="dxa"/>
            <w:vAlign w:val="center"/>
          </w:tcPr>
          <w:p>
            <w:pPr>
              <w:jc w:val="center"/>
              <w:rPr>
                <w:rFonts w:ascii="宋体" w:hAnsi="宋体" w:eastAsia="宋体" w:cs="宋体"/>
                <w:sz w:val="28"/>
                <w:szCs w:val="28"/>
              </w:rPr>
            </w:pPr>
            <w:r>
              <w:rPr>
                <w:rFonts w:hint="eastAsia" w:ascii="宋体" w:hAnsi="宋体" w:eastAsia="宋体" w:cs="宋体"/>
                <w:sz w:val="28"/>
                <w:szCs w:val="28"/>
              </w:rPr>
              <w:t>联系人</w:t>
            </w:r>
          </w:p>
        </w:tc>
        <w:tc>
          <w:tcPr>
            <w:tcW w:w="2444" w:type="dxa"/>
            <w:vAlign w:val="center"/>
          </w:tcPr>
          <w:p>
            <w:pPr>
              <w:jc w:val="center"/>
              <w:rPr>
                <w:rFonts w:ascii="宋体" w:hAnsi="宋体" w:eastAsia="宋体" w:cs="宋体"/>
                <w:sz w:val="28"/>
                <w:szCs w:val="28"/>
              </w:rPr>
            </w:pPr>
            <w:r>
              <w:rPr>
                <w:rFonts w:hint="eastAsia" w:ascii="宋体" w:hAnsi="宋体" w:eastAsia="宋体" w:cs="宋体"/>
                <w:sz w:val="28"/>
                <w:szCs w:val="28"/>
              </w:rPr>
              <w:t>联系电话</w:t>
            </w:r>
          </w:p>
        </w:tc>
        <w:tc>
          <w:tcPr>
            <w:tcW w:w="2775" w:type="dxa"/>
            <w:vAlign w:val="center"/>
          </w:tcPr>
          <w:p>
            <w:pPr>
              <w:jc w:val="center"/>
              <w:rPr>
                <w:rFonts w:ascii="宋体" w:hAnsi="宋体" w:eastAsia="宋体" w:cs="宋体"/>
                <w:sz w:val="28"/>
                <w:szCs w:val="28"/>
              </w:rPr>
            </w:pPr>
            <w:r>
              <w:rPr>
                <w:rFonts w:hint="eastAsia" w:ascii="宋体" w:hAnsi="宋体" w:eastAsia="宋体" w:cs="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eastAsia="宋体" w:cs="宋体"/>
                <w:sz w:val="28"/>
                <w:szCs w:val="28"/>
              </w:rPr>
            </w:pPr>
          </w:p>
        </w:tc>
        <w:tc>
          <w:tcPr>
            <w:tcW w:w="1425" w:type="dxa"/>
            <w:tcBorders>
              <w:bottom w:val="single" w:color="auto" w:sz="4" w:space="0"/>
            </w:tcBorders>
            <w:vAlign w:val="center"/>
          </w:tcPr>
          <w:p>
            <w:pPr>
              <w:jc w:val="center"/>
              <w:rPr>
                <w:rFonts w:ascii="宋体" w:hAnsi="宋体" w:eastAsia="宋体" w:cs="宋体"/>
                <w:sz w:val="28"/>
                <w:szCs w:val="28"/>
              </w:rPr>
            </w:pPr>
          </w:p>
        </w:tc>
        <w:tc>
          <w:tcPr>
            <w:tcW w:w="2444" w:type="dxa"/>
            <w:tcBorders>
              <w:bottom w:val="single" w:color="auto" w:sz="4" w:space="0"/>
            </w:tcBorders>
            <w:vAlign w:val="center"/>
          </w:tcPr>
          <w:p>
            <w:pPr>
              <w:jc w:val="center"/>
              <w:rPr>
                <w:rFonts w:ascii="宋体" w:hAnsi="宋体" w:eastAsia="宋体" w:cs="宋体"/>
                <w:color w:val="030303"/>
                <w:sz w:val="28"/>
                <w:szCs w:val="28"/>
                <w:shd w:val="clear" w:color="auto" w:fill="FFFFFF"/>
              </w:rPr>
            </w:pPr>
          </w:p>
        </w:tc>
        <w:tc>
          <w:tcPr>
            <w:tcW w:w="2775" w:type="dxa"/>
            <w:tcBorders>
              <w:bottom w:val="single" w:color="auto" w:sz="4" w:space="0"/>
            </w:tcBorders>
            <w:vAlign w:val="center"/>
          </w:tcPr>
          <w:p>
            <w:pPr>
              <w:pStyle w:val="13"/>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eastAsia="宋体" w:cs="宋体"/>
                <w:sz w:val="28"/>
                <w:szCs w:val="28"/>
              </w:rPr>
            </w:pPr>
          </w:p>
        </w:tc>
        <w:tc>
          <w:tcPr>
            <w:tcW w:w="1425" w:type="dxa"/>
            <w:tcBorders>
              <w:top w:val="single" w:color="auto" w:sz="4" w:space="0"/>
              <w:bottom w:val="single" w:color="auto" w:sz="4" w:space="0"/>
            </w:tcBorders>
            <w:vAlign w:val="center"/>
          </w:tcPr>
          <w:p>
            <w:pPr>
              <w:jc w:val="center"/>
              <w:rPr>
                <w:rFonts w:ascii="宋体" w:hAnsi="宋体" w:eastAsia="宋体" w:cs="宋体"/>
                <w:sz w:val="28"/>
                <w:szCs w:val="28"/>
              </w:rPr>
            </w:pPr>
          </w:p>
        </w:tc>
        <w:tc>
          <w:tcPr>
            <w:tcW w:w="2444" w:type="dxa"/>
            <w:tcBorders>
              <w:top w:val="single" w:color="auto" w:sz="4" w:space="0"/>
              <w:bottom w:val="single" w:color="auto" w:sz="4" w:space="0"/>
            </w:tcBorders>
            <w:vAlign w:val="center"/>
          </w:tcPr>
          <w:p>
            <w:pPr>
              <w:jc w:val="center"/>
              <w:rPr>
                <w:rFonts w:ascii="宋体" w:hAnsi="宋体" w:eastAsia="宋体" w:cs="宋体"/>
                <w:color w:val="030303"/>
                <w:sz w:val="28"/>
                <w:szCs w:val="28"/>
                <w:shd w:val="clear" w:color="auto" w:fill="FFFFFF"/>
              </w:rPr>
            </w:pPr>
          </w:p>
        </w:tc>
        <w:tc>
          <w:tcPr>
            <w:tcW w:w="2775" w:type="dxa"/>
            <w:tcBorders>
              <w:top w:val="single" w:color="auto" w:sz="4" w:space="0"/>
              <w:bottom w:val="single" w:color="auto" w:sz="4" w:space="0"/>
            </w:tcBorders>
            <w:vAlign w:val="center"/>
          </w:tcPr>
          <w:p>
            <w:pPr>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ascii="宋体" w:hAnsi="宋体" w:eastAsia="宋体" w:cs="宋体"/>
                <w:sz w:val="28"/>
                <w:szCs w:val="28"/>
              </w:rPr>
            </w:pPr>
          </w:p>
        </w:tc>
        <w:tc>
          <w:tcPr>
            <w:tcW w:w="1425" w:type="dxa"/>
            <w:tcBorders>
              <w:top w:val="single" w:color="auto" w:sz="4" w:space="0"/>
              <w:bottom w:val="single" w:color="auto" w:sz="4" w:space="0"/>
            </w:tcBorders>
            <w:vAlign w:val="center"/>
          </w:tcPr>
          <w:p>
            <w:pPr>
              <w:jc w:val="center"/>
              <w:rPr>
                <w:rFonts w:ascii="宋体" w:hAnsi="宋体" w:eastAsia="宋体" w:cs="宋体"/>
                <w:sz w:val="28"/>
                <w:szCs w:val="28"/>
              </w:rPr>
            </w:pPr>
          </w:p>
        </w:tc>
        <w:tc>
          <w:tcPr>
            <w:tcW w:w="2444" w:type="dxa"/>
            <w:tcBorders>
              <w:top w:val="single" w:color="auto" w:sz="4" w:space="0"/>
              <w:bottom w:val="single" w:color="auto" w:sz="4" w:space="0"/>
            </w:tcBorders>
            <w:vAlign w:val="center"/>
          </w:tcPr>
          <w:p>
            <w:pPr>
              <w:jc w:val="center"/>
              <w:rPr>
                <w:rFonts w:ascii="宋体" w:hAnsi="宋体" w:eastAsia="宋体" w:cs="宋体"/>
                <w:color w:val="030303"/>
                <w:sz w:val="28"/>
                <w:szCs w:val="28"/>
                <w:shd w:val="clear" w:color="auto" w:fill="FFFFFF"/>
              </w:rPr>
            </w:pPr>
          </w:p>
        </w:tc>
        <w:tc>
          <w:tcPr>
            <w:tcW w:w="2775" w:type="dxa"/>
            <w:tcBorders>
              <w:top w:val="single" w:color="auto" w:sz="4" w:space="0"/>
              <w:bottom w:val="single" w:color="auto" w:sz="4" w:space="0"/>
            </w:tcBorders>
            <w:vAlign w:val="center"/>
          </w:tcPr>
          <w:p>
            <w:pPr>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eastAsia="宋体" w:cs="宋体"/>
                <w:sz w:val="28"/>
                <w:szCs w:val="28"/>
              </w:rPr>
            </w:pPr>
          </w:p>
        </w:tc>
        <w:tc>
          <w:tcPr>
            <w:tcW w:w="1425" w:type="dxa"/>
            <w:tcBorders>
              <w:top w:val="single" w:color="auto" w:sz="4" w:space="0"/>
              <w:bottom w:val="single" w:color="auto" w:sz="4" w:space="0"/>
            </w:tcBorders>
            <w:vAlign w:val="center"/>
          </w:tcPr>
          <w:p>
            <w:pPr>
              <w:jc w:val="center"/>
              <w:rPr>
                <w:rFonts w:ascii="宋体" w:hAnsi="宋体" w:eastAsia="宋体" w:cs="宋体"/>
                <w:sz w:val="28"/>
                <w:szCs w:val="28"/>
              </w:rPr>
            </w:pPr>
          </w:p>
        </w:tc>
        <w:tc>
          <w:tcPr>
            <w:tcW w:w="2444" w:type="dxa"/>
            <w:tcBorders>
              <w:top w:val="single" w:color="auto" w:sz="4" w:space="0"/>
              <w:bottom w:val="single" w:color="auto" w:sz="4" w:space="0"/>
            </w:tcBorders>
            <w:vAlign w:val="center"/>
          </w:tcPr>
          <w:p>
            <w:pPr>
              <w:jc w:val="center"/>
              <w:rPr>
                <w:rFonts w:ascii="宋体" w:hAnsi="宋体" w:eastAsia="宋体" w:cs="宋体"/>
                <w:color w:val="030303"/>
                <w:sz w:val="28"/>
                <w:szCs w:val="28"/>
                <w:shd w:val="clear" w:color="auto" w:fill="FFFFFF"/>
              </w:rPr>
            </w:pPr>
          </w:p>
        </w:tc>
        <w:tc>
          <w:tcPr>
            <w:tcW w:w="2775" w:type="dxa"/>
            <w:tcBorders>
              <w:top w:val="single" w:color="auto" w:sz="4" w:space="0"/>
              <w:bottom w:val="single" w:color="auto" w:sz="4" w:space="0"/>
            </w:tcBorders>
            <w:vAlign w:val="center"/>
          </w:tcPr>
          <w:p>
            <w:pPr>
              <w:jc w:val="center"/>
              <w:rPr>
                <w:rFonts w:ascii="宋体" w:hAnsi="宋体" w:eastAsia="宋体" w:cs="宋体"/>
                <w:sz w:val="28"/>
                <w:szCs w:val="28"/>
              </w:rPr>
            </w:pPr>
          </w:p>
        </w:tc>
      </w:tr>
    </w:tbl>
    <w:p>
      <w:pPr>
        <w:pStyle w:val="9"/>
        <w:tabs>
          <w:tab w:val="left" w:pos="840"/>
        </w:tabs>
        <w:spacing w:line="360" w:lineRule="auto"/>
        <w:rPr>
          <w:rFonts w:hAnsi="宋体" w:cs="宋体"/>
          <w:b/>
          <w:color w:val="000000" w:themeColor="text1"/>
          <w:kern w:val="0"/>
          <w:sz w:val="32"/>
          <w:szCs w:val="32"/>
          <w14:textFill>
            <w14:solidFill>
              <w14:schemeClr w14:val="tx1"/>
            </w14:solidFill>
          </w14:textFill>
        </w:rPr>
      </w:pPr>
    </w:p>
    <w:sectPr>
      <w:pgSz w:w="11906" w:h="16838"/>
      <w:pgMar w:top="680" w:right="1417" w:bottom="68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rPr>
        <w:lang w:val="zh-CN"/>
      </w:rPr>
      <w:t>-</w:t>
    </w:r>
    <w:r>
      <w:t xml:space="preserve"> 20 -</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杭州市富阳区政府采购征集文件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杭州市富阳区政府采购征集文件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b/>
        <w:i/>
        <w:u w:val="single"/>
      </w:rPr>
    </w:pPr>
    <w:r>
      <w:t></w:t>
    </w:r>
    <w:r>
      <w:rPr>
        <w:rFonts w:hint="eastAsia"/>
      </w:rPr>
      <w:t xml:space="preserve">                                        </w:t>
    </w:r>
    <w:r>
      <w:t>杭州市</w:t>
    </w:r>
    <w:r>
      <w:rPr>
        <w:rFonts w:hint="eastAsia"/>
      </w:rPr>
      <w:t>富阳区</w:t>
    </w:r>
    <w:r>
      <w:t>政府采购</w:t>
    </w:r>
    <w:r>
      <w:rPr>
        <w:rFonts w:hint="eastAsia"/>
      </w:rPr>
      <w:t>征集</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杭州市富阳区政府采购征集文件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D8FF"/>
    <w:multiLevelType w:val="singleLevel"/>
    <w:tmpl w:val="A006D8FF"/>
    <w:lvl w:ilvl="0" w:tentative="0">
      <w:start w:val="1"/>
      <w:numFmt w:val="chineseCounting"/>
      <w:suff w:val="space"/>
      <w:lvlText w:val="%1、"/>
      <w:lvlJc w:val="left"/>
      <w:rPr>
        <w:rFonts w:hint="eastAsia"/>
      </w:rPr>
    </w:lvl>
  </w:abstractNum>
  <w:abstractNum w:abstractNumId="1">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50665F"/>
    <w:multiLevelType w:val="multilevel"/>
    <w:tmpl w:val="1150665F"/>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8180184"/>
    <w:multiLevelType w:val="multilevel"/>
    <w:tmpl w:val="18180184"/>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663C0C"/>
    <w:multiLevelType w:val="multilevel"/>
    <w:tmpl w:val="1B663C0C"/>
    <w:lvl w:ilvl="0" w:tentative="0">
      <w:start w:val="1"/>
      <w:numFmt w:val="chineseCountingThousand"/>
      <w:suff w:val="space"/>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DD371EB"/>
    <w:multiLevelType w:val="multilevel"/>
    <w:tmpl w:val="1DD371EB"/>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4045897"/>
    <w:multiLevelType w:val="multilevel"/>
    <w:tmpl w:val="24045897"/>
    <w:lvl w:ilvl="0" w:tentative="0">
      <w:start w:val="1"/>
      <w:numFmt w:val="chineseCountingThousand"/>
      <w:suff w:val="space"/>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E1A4777"/>
    <w:multiLevelType w:val="multilevel"/>
    <w:tmpl w:val="2E1A4777"/>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0BC4EF8"/>
    <w:multiLevelType w:val="multilevel"/>
    <w:tmpl w:val="30BC4EF8"/>
    <w:lvl w:ilvl="0" w:tentative="0">
      <w:start w:val="1"/>
      <w:numFmt w:val="chineseCountingThousand"/>
      <w:suff w:val="space"/>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34C225D5"/>
    <w:multiLevelType w:val="multilevel"/>
    <w:tmpl w:val="34C225D5"/>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34F67483"/>
    <w:multiLevelType w:val="multilevel"/>
    <w:tmpl w:val="34F67483"/>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40BDBDB8"/>
    <w:multiLevelType w:val="singleLevel"/>
    <w:tmpl w:val="40BDBDB8"/>
    <w:lvl w:ilvl="0" w:tentative="0">
      <w:start w:val="1"/>
      <w:numFmt w:val="chineseCounting"/>
      <w:suff w:val="nothing"/>
      <w:lvlText w:val="%1、"/>
      <w:lvlJc w:val="left"/>
      <w:pPr>
        <w:ind w:left="600" w:firstLine="0"/>
      </w:pPr>
      <w:rPr>
        <w:rFonts w:hint="eastAsia"/>
      </w:rPr>
    </w:lvl>
  </w:abstractNum>
  <w:abstractNum w:abstractNumId="13">
    <w:nsid w:val="42A60AC5"/>
    <w:multiLevelType w:val="multilevel"/>
    <w:tmpl w:val="42A60AC5"/>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4378C8E1"/>
    <w:multiLevelType w:val="singleLevel"/>
    <w:tmpl w:val="4378C8E1"/>
    <w:lvl w:ilvl="0" w:tentative="0">
      <w:start w:val="7"/>
      <w:numFmt w:val="chineseCounting"/>
      <w:suff w:val="nothing"/>
      <w:lvlText w:val="%1、"/>
      <w:lvlJc w:val="left"/>
      <w:rPr>
        <w:rFonts w:hint="eastAsia"/>
      </w:rPr>
    </w:lvl>
  </w:abstractNum>
  <w:abstractNum w:abstractNumId="15">
    <w:nsid w:val="4AC1015A"/>
    <w:multiLevelType w:val="multilevel"/>
    <w:tmpl w:val="4AC1015A"/>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6">
    <w:nsid w:val="4F9678F8"/>
    <w:multiLevelType w:val="multilevel"/>
    <w:tmpl w:val="4F9678F8"/>
    <w:lvl w:ilvl="0" w:tentative="0">
      <w:start w:val="1"/>
      <w:numFmt w:val="chineseCountingThousand"/>
      <w:lvlText w:val="第%1章"/>
      <w:lvlJc w:val="left"/>
      <w:pPr>
        <w:ind w:left="1060" w:hanging="420"/>
      </w:pPr>
      <w:rPr>
        <w:rFonts w:hint="eastAsia"/>
      </w:rPr>
    </w:lvl>
    <w:lvl w:ilvl="1" w:tentative="0">
      <w:start w:val="1"/>
      <w:numFmt w:val="chineseCountingThousand"/>
      <w:lvlText w:val="第%2章"/>
      <w:lvlJc w:val="left"/>
      <w:pPr>
        <w:ind w:left="840" w:hanging="420"/>
      </w:pPr>
      <w:rPr>
        <w:rFonts w:hint="eastAsia" w:ascii="黑体" w:hAnsi="黑体" w:eastAsia="黑体"/>
        <w:b/>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2BD6364"/>
    <w:multiLevelType w:val="multilevel"/>
    <w:tmpl w:val="52BD6364"/>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61B825C4"/>
    <w:multiLevelType w:val="multilevel"/>
    <w:tmpl w:val="61B825C4"/>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9">
    <w:nsid w:val="69217285"/>
    <w:multiLevelType w:val="multilevel"/>
    <w:tmpl w:val="69217285"/>
    <w:lvl w:ilvl="0" w:tentative="0">
      <w:start w:val="1"/>
      <w:numFmt w:val="chineseCountingThousand"/>
      <w:suff w:val="space"/>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6B4B76F2"/>
    <w:multiLevelType w:val="multilevel"/>
    <w:tmpl w:val="6B4B76F2"/>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1">
    <w:nsid w:val="6F291086"/>
    <w:multiLevelType w:val="singleLevel"/>
    <w:tmpl w:val="6F291086"/>
    <w:lvl w:ilvl="0" w:tentative="0">
      <w:start w:val="4"/>
      <w:numFmt w:val="chineseCounting"/>
      <w:suff w:val="space"/>
      <w:lvlText w:val="第%1部分"/>
      <w:lvlJc w:val="left"/>
      <w:rPr>
        <w:rFonts w:hint="eastAsia"/>
      </w:rPr>
    </w:lvl>
  </w:abstractNum>
  <w:abstractNum w:abstractNumId="22">
    <w:nsid w:val="6F4B5A84"/>
    <w:multiLevelType w:val="multilevel"/>
    <w:tmpl w:val="6F4B5A84"/>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3">
    <w:nsid w:val="75EF2DBC"/>
    <w:multiLevelType w:val="multilevel"/>
    <w:tmpl w:val="75EF2DBC"/>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4">
    <w:nsid w:val="7D1D252D"/>
    <w:multiLevelType w:val="multilevel"/>
    <w:tmpl w:val="7D1D252D"/>
    <w:lvl w:ilvl="0" w:tentative="0">
      <w:start w:val="1"/>
      <w:numFmt w:val="chineseCountingThousand"/>
      <w:lvlText w:val="第%1条"/>
      <w:lvlJc w:val="left"/>
      <w:pPr>
        <w:ind w:left="840" w:hanging="840"/>
      </w:pPr>
      <w:rPr>
        <w:rFonts w:hint="eastAsia"/>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14"/>
  </w:num>
  <w:num w:numId="4">
    <w:abstractNumId w:val="16"/>
  </w:num>
  <w:num w:numId="5">
    <w:abstractNumId w:val="24"/>
  </w:num>
  <w:num w:numId="6">
    <w:abstractNumId w:val="6"/>
  </w:num>
  <w:num w:numId="7">
    <w:abstractNumId w:val="10"/>
  </w:num>
  <w:num w:numId="8">
    <w:abstractNumId w:val="22"/>
  </w:num>
  <w:num w:numId="9">
    <w:abstractNumId w:val="20"/>
  </w:num>
  <w:num w:numId="10">
    <w:abstractNumId w:val="11"/>
  </w:num>
  <w:num w:numId="11">
    <w:abstractNumId w:val="4"/>
  </w:num>
  <w:num w:numId="12">
    <w:abstractNumId w:val="17"/>
  </w:num>
  <w:num w:numId="13">
    <w:abstractNumId w:val="18"/>
  </w:num>
  <w:num w:numId="14">
    <w:abstractNumId w:val="8"/>
  </w:num>
  <w:num w:numId="15">
    <w:abstractNumId w:val="15"/>
  </w:num>
  <w:num w:numId="16">
    <w:abstractNumId w:val="2"/>
  </w:num>
  <w:num w:numId="17">
    <w:abstractNumId w:val="13"/>
  </w:num>
  <w:num w:numId="18">
    <w:abstractNumId w:val="23"/>
  </w:num>
  <w:num w:numId="19">
    <w:abstractNumId w:val="5"/>
  </w:num>
  <w:num w:numId="20">
    <w:abstractNumId w:val="9"/>
  </w:num>
  <w:num w:numId="21">
    <w:abstractNumId w:val="19"/>
  </w:num>
  <w:num w:numId="22">
    <w:abstractNumId w:val="7"/>
  </w:num>
  <w:num w:numId="23">
    <w:abstractNumId w:val="21"/>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ZDNiYTMzOTRmMmJjZDk0N2I3NzcxZTM3MzAwMzkifQ=="/>
  </w:docVars>
  <w:rsids>
    <w:rsidRoot w:val="005C3E82"/>
    <w:rsid w:val="000377B8"/>
    <w:rsid w:val="00061E5B"/>
    <w:rsid w:val="00203162"/>
    <w:rsid w:val="00224FA0"/>
    <w:rsid w:val="002677DA"/>
    <w:rsid w:val="002830AC"/>
    <w:rsid w:val="0029140F"/>
    <w:rsid w:val="00295E11"/>
    <w:rsid w:val="003729F4"/>
    <w:rsid w:val="003A4AAC"/>
    <w:rsid w:val="00444063"/>
    <w:rsid w:val="0054350C"/>
    <w:rsid w:val="005708DE"/>
    <w:rsid w:val="00592993"/>
    <w:rsid w:val="005C3E82"/>
    <w:rsid w:val="005C51E8"/>
    <w:rsid w:val="00662284"/>
    <w:rsid w:val="006B0DB8"/>
    <w:rsid w:val="008C4DCD"/>
    <w:rsid w:val="009362D7"/>
    <w:rsid w:val="009C0EF6"/>
    <w:rsid w:val="009F3960"/>
    <w:rsid w:val="00A35C06"/>
    <w:rsid w:val="00A80011"/>
    <w:rsid w:val="00AE0064"/>
    <w:rsid w:val="00B448CE"/>
    <w:rsid w:val="00C53764"/>
    <w:rsid w:val="00C75E13"/>
    <w:rsid w:val="00D500EE"/>
    <w:rsid w:val="00D71A15"/>
    <w:rsid w:val="00D754E9"/>
    <w:rsid w:val="00DC7E68"/>
    <w:rsid w:val="00DD42CE"/>
    <w:rsid w:val="00E512E8"/>
    <w:rsid w:val="00E55231"/>
    <w:rsid w:val="00EA466A"/>
    <w:rsid w:val="00EC2160"/>
    <w:rsid w:val="00F01000"/>
    <w:rsid w:val="01853566"/>
    <w:rsid w:val="01887125"/>
    <w:rsid w:val="01E116B8"/>
    <w:rsid w:val="02261AC7"/>
    <w:rsid w:val="02D34B04"/>
    <w:rsid w:val="02E57A12"/>
    <w:rsid w:val="0341268A"/>
    <w:rsid w:val="036F6334"/>
    <w:rsid w:val="03834546"/>
    <w:rsid w:val="03AD2885"/>
    <w:rsid w:val="04C16FB3"/>
    <w:rsid w:val="05C32921"/>
    <w:rsid w:val="05F31CBE"/>
    <w:rsid w:val="060B569C"/>
    <w:rsid w:val="06170454"/>
    <w:rsid w:val="06510168"/>
    <w:rsid w:val="065A62DD"/>
    <w:rsid w:val="06EC4B80"/>
    <w:rsid w:val="07E76430"/>
    <w:rsid w:val="08DE7E02"/>
    <w:rsid w:val="090F03DC"/>
    <w:rsid w:val="09F600D5"/>
    <w:rsid w:val="0AAB3624"/>
    <w:rsid w:val="0B3518FE"/>
    <w:rsid w:val="0BF743A2"/>
    <w:rsid w:val="0C0B75F0"/>
    <w:rsid w:val="0C2360F9"/>
    <w:rsid w:val="0C442547"/>
    <w:rsid w:val="0C704A46"/>
    <w:rsid w:val="0CBD581F"/>
    <w:rsid w:val="0D10651F"/>
    <w:rsid w:val="0D217C84"/>
    <w:rsid w:val="0D75443C"/>
    <w:rsid w:val="0DA1770B"/>
    <w:rsid w:val="0E0F323D"/>
    <w:rsid w:val="0EDD579E"/>
    <w:rsid w:val="0F1B746E"/>
    <w:rsid w:val="0F555D2A"/>
    <w:rsid w:val="0F574322"/>
    <w:rsid w:val="1042341B"/>
    <w:rsid w:val="104629AC"/>
    <w:rsid w:val="10C30646"/>
    <w:rsid w:val="11583CB1"/>
    <w:rsid w:val="1170483A"/>
    <w:rsid w:val="11806798"/>
    <w:rsid w:val="12792047"/>
    <w:rsid w:val="12E12E73"/>
    <w:rsid w:val="131503A2"/>
    <w:rsid w:val="13D507CB"/>
    <w:rsid w:val="143615E2"/>
    <w:rsid w:val="150507E4"/>
    <w:rsid w:val="150A3E19"/>
    <w:rsid w:val="157352BC"/>
    <w:rsid w:val="159C68AA"/>
    <w:rsid w:val="15BC13DB"/>
    <w:rsid w:val="16956924"/>
    <w:rsid w:val="169A066C"/>
    <w:rsid w:val="16B31E68"/>
    <w:rsid w:val="16D55A39"/>
    <w:rsid w:val="17064EDC"/>
    <w:rsid w:val="17B66860"/>
    <w:rsid w:val="180B56C8"/>
    <w:rsid w:val="1855196E"/>
    <w:rsid w:val="19290887"/>
    <w:rsid w:val="1AC27DB1"/>
    <w:rsid w:val="1B4D7803"/>
    <w:rsid w:val="1B9D6ED8"/>
    <w:rsid w:val="1CEB5DB0"/>
    <w:rsid w:val="1D62051F"/>
    <w:rsid w:val="1D66062C"/>
    <w:rsid w:val="1E550234"/>
    <w:rsid w:val="1E5E67A4"/>
    <w:rsid w:val="1F1A61FD"/>
    <w:rsid w:val="1F216788"/>
    <w:rsid w:val="1FB97EE1"/>
    <w:rsid w:val="21222BEB"/>
    <w:rsid w:val="216E2D30"/>
    <w:rsid w:val="22523741"/>
    <w:rsid w:val="22553465"/>
    <w:rsid w:val="226B3CCA"/>
    <w:rsid w:val="22A56A24"/>
    <w:rsid w:val="22B91FB4"/>
    <w:rsid w:val="22C9443C"/>
    <w:rsid w:val="258F4DA5"/>
    <w:rsid w:val="25A70245"/>
    <w:rsid w:val="263938EB"/>
    <w:rsid w:val="27083562"/>
    <w:rsid w:val="279851F0"/>
    <w:rsid w:val="29B1506D"/>
    <w:rsid w:val="2A39033E"/>
    <w:rsid w:val="2A99073A"/>
    <w:rsid w:val="2B19305C"/>
    <w:rsid w:val="2C30103C"/>
    <w:rsid w:val="2C9816C9"/>
    <w:rsid w:val="2C9B724F"/>
    <w:rsid w:val="2DA05D44"/>
    <w:rsid w:val="2DE17EAB"/>
    <w:rsid w:val="2E505146"/>
    <w:rsid w:val="2E825089"/>
    <w:rsid w:val="2F154F7A"/>
    <w:rsid w:val="307F2F77"/>
    <w:rsid w:val="30FA7F26"/>
    <w:rsid w:val="315C5815"/>
    <w:rsid w:val="32824C0A"/>
    <w:rsid w:val="3297706D"/>
    <w:rsid w:val="33ED0611"/>
    <w:rsid w:val="34D42255"/>
    <w:rsid w:val="35086DC3"/>
    <w:rsid w:val="3566227F"/>
    <w:rsid w:val="364D1590"/>
    <w:rsid w:val="365652A6"/>
    <w:rsid w:val="36A9316C"/>
    <w:rsid w:val="36BE4CF2"/>
    <w:rsid w:val="36D30063"/>
    <w:rsid w:val="38653F1B"/>
    <w:rsid w:val="386F1D64"/>
    <w:rsid w:val="39375BB6"/>
    <w:rsid w:val="393F23CE"/>
    <w:rsid w:val="39B21655"/>
    <w:rsid w:val="3B787162"/>
    <w:rsid w:val="3BEC3C35"/>
    <w:rsid w:val="3C5F6A31"/>
    <w:rsid w:val="40934C11"/>
    <w:rsid w:val="40FB4904"/>
    <w:rsid w:val="40FC17EF"/>
    <w:rsid w:val="423A4D61"/>
    <w:rsid w:val="424E0A41"/>
    <w:rsid w:val="42665D29"/>
    <w:rsid w:val="432F6DEC"/>
    <w:rsid w:val="4339374E"/>
    <w:rsid w:val="449E7E49"/>
    <w:rsid w:val="44EE7B89"/>
    <w:rsid w:val="44F54749"/>
    <w:rsid w:val="451A4ECC"/>
    <w:rsid w:val="451D3816"/>
    <w:rsid w:val="4569130A"/>
    <w:rsid w:val="460E7FDD"/>
    <w:rsid w:val="47541EBD"/>
    <w:rsid w:val="475528C1"/>
    <w:rsid w:val="48F52D05"/>
    <w:rsid w:val="48FE1FB0"/>
    <w:rsid w:val="49525546"/>
    <w:rsid w:val="49551F98"/>
    <w:rsid w:val="49614377"/>
    <w:rsid w:val="49893A22"/>
    <w:rsid w:val="49B62D6A"/>
    <w:rsid w:val="4A181386"/>
    <w:rsid w:val="4A2671E5"/>
    <w:rsid w:val="4A286DF8"/>
    <w:rsid w:val="4A691CCC"/>
    <w:rsid w:val="4A6A12D2"/>
    <w:rsid w:val="4A6C1D87"/>
    <w:rsid w:val="4A957BFF"/>
    <w:rsid w:val="4AA14D27"/>
    <w:rsid w:val="4B335192"/>
    <w:rsid w:val="4CA417F4"/>
    <w:rsid w:val="4CEA0384"/>
    <w:rsid w:val="4D2040AF"/>
    <w:rsid w:val="4D581C6E"/>
    <w:rsid w:val="4E014EE4"/>
    <w:rsid w:val="4E6E16D4"/>
    <w:rsid w:val="4E715215"/>
    <w:rsid w:val="4ED30CFA"/>
    <w:rsid w:val="4EE70B73"/>
    <w:rsid w:val="4F44674B"/>
    <w:rsid w:val="50677669"/>
    <w:rsid w:val="506F15DF"/>
    <w:rsid w:val="51982C79"/>
    <w:rsid w:val="51F54EFF"/>
    <w:rsid w:val="51FB05C5"/>
    <w:rsid w:val="52BD6FD8"/>
    <w:rsid w:val="52E2611B"/>
    <w:rsid w:val="53570229"/>
    <w:rsid w:val="539E6EE9"/>
    <w:rsid w:val="542B425C"/>
    <w:rsid w:val="54815C87"/>
    <w:rsid w:val="55A63D53"/>
    <w:rsid w:val="56157516"/>
    <w:rsid w:val="568E54D0"/>
    <w:rsid w:val="573F28C8"/>
    <w:rsid w:val="579B7BC5"/>
    <w:rsid w:val="588A40FE"/>
    <w:rsid w:val="58A209A8"/>
    <w:rsid w:val="5927664D"/>
    <w:rsid w:val="5A3362D0"/>
    <w:rsid w:val="5A8E253F"/>
    <w:rsid w:val="5B8772DA"/>
    <w:rsid w:val="5BD63A45"/>
    <w:rsid w:val="5C1679B6"/>
    <w:rsid w:val="5C7C4E64"/>
    <w:rsid w:val="5CDC08DD"/>
    <w:rsid w:val="5D07138F"/>
    <w:rsid w:val="5D580FAF"/>
    <w:rsid w:val="5DB9307F"/>
    <w:rsid w:val="5DBE214D"/>
    <w:rsid w:val="5DE70CC9"/>
    <w:rsid w:val="5EB24D97"/>
    <w:rsid w:val="60740473"/>
    <w:rsid w:val="60F06AA7"/>
    <w:rsid w:val="61935084"/>
    <w:rsid w:val="61A802E1"/>
    <w:rsid w:val="62053FC2"/>
    <w:rsid w:val="638F5E5F"/>
    <w:rsid w:val="64211084"/>
    <w:rsid w:val="65693E49"/>
    <w:rsid w:val="65BE445F"/>
    <w:rsid w:val="663B3641"/>
    <w:rsid w:val="666A088F"/>
    <w:rsid w:val="66736148"/>
    <w:rsid w:val="685D7F2F"/>
    <w:rsid w:val="689405D0"/>
    <w:rsid w:val="68F465B0"/>
    <w:rsid w:val="694E2980"/>
    <w:rsid w:val="69B903B3"/>
    <w:rsid w:val="6A51239B"/>
    <w:rsid w:val="6A6D77C3"/>
    <w:rsid w:val="6BD12C58"/>
    <w:rsid w:val="6C033F0E"/>
    <w:rsid w:val="6C184383"/>
    <w:rsid w:val="6C3461AB"/>
    <w:rsid w:val="6C954645"/>
    <w:rsid w:val="6CC87B57"/>
    <w:rsid w:val="6D3D6914"/>
    <w:rsid w:val="6DA334FE"/>
    <w:rsid w:val="6DF115D5"/>
    <w:rsid w:val="6E1C51C8"/>
    <w:rsid w:val="6E293B12"/>
    <w:rsid w:val="70E20E18"/>
    <w:rsid w:val="71E76F16"/>
    <w:rsid w:val="720F63DA"/>
    <w:rsid w:val="724D2B51"/>
    <w:rsid w:val="72723A68"/>
    <w:rsid w:val="72B74299"/>
    <w:rsid w:val="72EF5511"/>
    <w:rsid w:val="72FA787B"/>
    <w:rsid w:val="73873251"/>
    <w:rsid w:val="73AF7BFF"/>
    <w:rsid w:val="743D68E8"/>
    <w:rsid w:val="75866AAA"/>
    <w:rsid w:val="75A3343A"/>
    <w:rsid w:val="75A773F6"/>
    <w:rsid w:val="75B457CD"/>
    <w:rsid w:val="75BE03E4"/>
    <w:rsid w:val="769F6FA8"/>
    <w:rsid w:val="76F00857"/>
    <w:rsid w:val="76F24729"/>
    <w:rsid w:val="76FF59DC"/>
    <w:rsid w:val="77C10720"/>
    <w:rsid w:val="787823A0"/>
    <w:rsid w:val="796F165C"/>
    <w:rsid w:val="7A5447FA"/>
    <w:rsid w:val="7BCD5BC6"/>
    <w:rsid w:val="7BE8353A"/>
    <w:rsid w:val="7C230068"/>
    <w:rsid w:val="7C2376DC"/>
    <w:rsid w:val="7C954CB9"/>
    <w:rsid w:val="7EC45854"/>
    <w:rsid w:val="7F2D7FA3"/>
    <w:rsid w:val="7FAB22C1"/>
    <w:rsid w:val="7FEA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2">
    <w:name w:val="heading 2"/>
    <w:basedOn w:val="1"/>
    <w:next w:val="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1"/>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6">
    <w:name w:val="Body Text"/>
    <w:basedOn w:val="1"/>
    <w:next w:val="1"/>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7">
    <w:name w:val="Body Text Indent"/>
    <w:basedOn w:val="1"/>
    <w:next w:val="1"/>
    <w:qFormat/>
    <w:uiPriority w:val="99"/>
    <w:pPr>
      <w:spacing w:line="480" w:lineRule="exact"/>
      <w:ind w:firstLine="480" w:firstLineChars="200"/>
    </w:pPr>
    <w:rPr>
      <w:rFonts w:ascii="宋体" w:hAnsi="宋体" w:cs="宋体"/>
      <w:sz w:val="24"/>
      <w:szCs w:val="24"/>
    </w:rPr>
  </w:style>
  <w:style w:type="paragraph" w:styleId="8">
    <w:name w:val="Block Text"/>
    <w:basedOn w:val="1"/>
    <w:qFormat/>
    <w:uiPriority w:val="0"/>
    <w:pPr>
      <w:tabs>
        <w:tab w:val="left" w:pos="1620"/>
      </w:tabs>
      <w:spacing w:line="360" w:lineRule="auto"/>
      <w:ind w:left="420" w:right="12" w:rightChars="12" w:firstLine="525"/>
    </w:pPr>
    <w:rPr>
      <w:rFonts w:ascii="宋体"/>
      <w:sz w:val="24"/>
    </w:rPr>
  </w:style>
  <w:style w:type="paragraph" w:styleId="9">
    <w:name w:val="Plain Text"/>
    <w:basedOn w:val="1"/>
    <w:qFormat/>
    <w:uiPriority w:val="0"/>
    <w:pPr>
      <w:adjustRightInd w:val="0"/>
    </w:pPr>
    <w:rPr>
      <w:rFonts w:ascii="宋体" w:hAnsi="Courier New" w:eastAsia="宋体" w:cs="Arial"/>
      <w:snapToGrid w:val="0"/>
      <w:szCs w:val="21"/>
    </w:rPr>
  </w:style>
  <w:style w:type="paragraph" w:styleId="10">
    <w:name w:val="Balloon Text"/>
    <w:basedOn w:val="1"/>
    <w:link w:val="28"/>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next w:val="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14">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15">
    <w:name w:val="Body Text First Indent"/>
    <w:basedOn w:val="6"/>
    <w:qFormat/>
    <w:uiPriority w:val="0"/>
    <w:pPr>
      <w:ind w:firstLine="420"/>
    </w:pPr>
    <w:rPr>
      <w:rFonts w:hAnsiTheme="minorHAnsi" w:eastAsiaTheme="minorEastAsia" w:cstheme="minorBidi"/>
      <w:snapToGrid/>
      <w:szCs w:val="22"/>
    </w:rPr>
  </w:style>
  <w:style w:type="table" w:styleId="17">
    <w:name w:val="Table Grid"/>
    <w:basedOn w:val="1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paragraph" w:customStyle="1" w:styleId="20">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正文2"/>
    <w:basedOn w:val="1"/>
    <w:qFormat/>
    <w:uiPriority w:val="0"/>
    <w:pPr>
      <w:adjustRightInd w:val="0"/>
      <w:spacing w:before="156" w:line="360" w:lineRule="auto"/>
      <w:ind w:firstLine="510" w:firstLineChars="200"/>
    </w:pPr>
    <w:rPr>
      <w:rFonts w:eastAsia="宋体"/>
      <w:sz w:val="24"/>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列表段落1"/>
    <w:basedOn w:val="1"/>
    <w:qFormat/>
    <w:uiPriority w:val="34"/>
    <w:pPr>
      <w:ind w:firstLine="420" w:firstLineChars="200"/>
    </w:pPr>
    <w:rPr>
      <w:sz w:val="32"/>
    </w:rPr>
  </w:style>
  <w:style w:type="paragraph" w:styleId="27">
    <w:name w:val="List Paragraph"/>
    <w:basedOn w:val="1"/>
    <w:qFormat/>
    <w:uiPriority w:val="1"/>
    <w:pPr>
      <w:spacing w:before="3"/>
      <w:ind w:left="120" w:hanging="241"/>
    </w:pPr>
  </w:style>
  <w:style w:type="character" w:customStyle="1" w:styleId="28">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108</Pages>
  <Words>48494</Words>
  <Characters>51159</Characters>
  <Lines>438</Lines>
  <Paragraphs>123</Paragraphs>
  <TotalTime>5</TotalTime>
  <ScaleCrop>false</ScaleCrop>
  <LinksUpToDate>false</LinksUpToDate>
  <CharactersWithSpaces>58367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2022-04-02T02:08:00Z</dcterms:created>
  <dc:creator>Administrator</dc:creator>
  <cp:lastModifiedBy>浙江建友工程咨询有限公司</cp:lastModifiedBy>
  <cp:lastPrinted>2022-07-21T03:04:00Z</cp:lastPrinted>
  <dcterms:modified xsi:type="dcterms:W3CDTF">2022-08-29T01:40:26Z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730E8A637E9D4D01A729CDF557DEEED0</vt:lpwstr>
  </property>
</Properties>
</file>