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A4138">
      <w:pPr>
        <w:overflowPunct w:val="0"/>
        <w:spacing w:line="500" w:lineRule="exact"/>
        <w:rPr>
          <w:rFonts w:ascii="宋体" w:cs="宋体"/>
          <w:b/>
          <w:bCs/>
          <w:color w:val="auto"/>
          <w:sz w:val="48"/>
          <w:szCs w:val="48"/>
          <w:highlight w:val="none"/>
        </w:rPr>
      </w:pPr>
    </w:p>
    <w:p w14:paraId="54583266">
      <w:pPr>
        <w:overflowPunct w:val="0"/>
        <w:spacing w:line="700" w:lineRule="exact"/>
        <w:jc w:val="center"/>
        <w:rPr>
          <w:rFonts w:hint="eastAsia" w:asci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安吉县托育综合服务中心设计和装修项目</w:t>
      </w:r>
    </w:p>
    <w:p w14:paraId="063C26B7">
      <w:pPr>
        <w:tabs>
          <w:tab w:val="left" w:pos="1276"/>
        </w:tabs>
        <w:overflowPunct w:val="0"/>
        <w:spacing w:line="500" w:lineRule="exact"/>
        <w:jc w:val="center"/>
        <w:rPr>
          <w:rFonts w:ascii="宋体" w:cs="宋体"/>
          <w:b/>
          <w:color w:val="auto"/>
          <w:sz w:val="72"/>
          <w:szCs w:val="72"/>
          <w:highlight w:val="none"/>
        </w:rPr>
      </w:pPr>
    </w:p>
    <w:p w14:paraId="0AA5309A">
      <w:pPr>
        <w:overflowPunct w:val="0"/>
        <w:spacing w:line="500" w:lineRule="exact"/>
        <w:rPr>
          <w:rFonts w:ascii="宋体" w:cs="宋体"/>
          <w:color w:val="auto"/>
          <w:sz w:val="24"/>
          <w:highlight w:val="none"/>
        </w:rPr>
      </w:pPr>
    </w:p>
    <w:p w14:paraId="45DB16D3">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竞</w:t>
      </w:r>
    </w:p>
    <w:p w14:paraId="16E0F8FA">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争</w:t>
      </w:r>
    </w:p>
    <w:p w14:paraId="41200BFC">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性</w:t>
      </w:r>
    </w:p>
    <w:p w14:paraId="27F93BA7">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磋</w:t>
      </w:r>
    </w:p>
    <w:p w14:paraId="521C72AD">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商</w:t>
      </w:r>
    </w:p>
    <w:p w14:paraId="4A867629">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文</w:t>
      </w:r>
    </w:p>
    <w:p w14:paraId="5CC3C510">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件</w:t>
      </w:r>
    </w:p>
    <w:p w14:paraId="149F0665">
      <w:pPr>
        <w:tabs>
          <w:tab w:val="left" w:pos="1276"/>
        </w:tabs>
        <w:overflowPunct w:val="0"/>
        <w:spacing w:line="1000" w:lineRule="exact"/>
        <w:jc w:val="center"/>
        <w:rPr>
          <w:rFonts w:ascii="宋体" w:cs="宋体"/>
          <w:b/>
          <w:color w:val="auto"/>
          <w:sz w:val="72"/>
          <w:szCs w:val="72"/>
          <w:highlight w:val="none"/>
        </w:rPr>
      </w:pPr>
    </w:p>
    <w:p w14:paraId="489201C0">
      <w:pPr>
        <w:overflowPunct w:val="0"/>
        <w:spacing w:line="360" w:lineRule="exact"/>
        <w:rPr>
          <w:rFonts w:ascii="宋体" w:cs="宋体"/>
          <w:color w:val="auto"/>
          <w:sz w:val="24"/>
          <w:highlight w:val="none"/>
        </w:rPr>
      </w:pPr>
    </w:p>
    <w:p w14:paraId="64E06A5C">
      <w:pPr>
        <w:overflowPunct w:val="0"/>
        <w:spacing w:line="520" w:lineRule="exact"/>
        <w:rPr>
          <w:rFonts w:hint="eastAsia" w:asci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HXCG-ZF-2025-017</w:t>
      </w:r>
    </w:p>
    <w:p w14:paraId="30B588F3">
      <w:pPr>
        <w:overflowPunct w:val="0"/>
        <w:spacing w:line="520" w:lineRule="exact"/>
        <w:rPr>
          <w:rFonts w:hint="eastAsia" w:ascii="宋体" w:eastAsia="宋体" w:cs="宋体"/>
          <w:color w:val="auto"/>
          <w:sz w:val="24"/>
          <w:highlight w:val="none"/>
          <w:lang w:eastAsia="zh-CN"/>
        </w:rPr>
      </w:pPr>
      <w:r>
        <w:rPr>
          <w:rFonts w:hint="eastAsia" w:ascii="宋体" w:hAnsi="宋体" w:cs="宋体"/>
          <w:bCs/>
          <w:color w:val="auto"/>
          <w:sz w:val="24"/>
          <w:highlight w:val="none"/>
        </w:rPr>
        <w:t>采购</w:t>
      </w:r>
      <w:r>
        <w:rPr>
          <w:rFonts w:hint="eastAsia" w:ascii="宋体" w:hAnsi="宋体" w:cs="宋体"/>
          <w:color w:val="auto"/>
          <w:sz w:val="24"/>
          <w:highlight w:val="none"/>
        </w:rPr>
        <w:t>单位：</w:t>
      </w:r>
      <w:r>
        <w:rPr>
          <w:rFonts w:hint="eastAsia" w:ascii="宋体" w:hAnsi="宋体" w:cs="宋体"/>
          <w:color w:val="auto"/>
          <w:sz w:val="24"/>
          <w:highlight w:val="none"/>
          <w:lang w:eastAsia="zh-CN"/>
        </w:rPr>
        <w:t xml:space="preserve">安吉县妇幼保健院  </w:t>
      </w:r>
    </w:p>
    <w:p w14:paraId="396B82F4">
      <w:pPr>
        <w:overflowPunct w:val="0"/>
        <w:spacing w:line="520" w:lineRule="exact"/>
        <w:rPr>
          <w:rFonts w:ascii="宋体" w:cs="宋体"/>
          <w:color w:val="auto"/>
          <w:sz w:val="24"/>
          <w:highlight w:val="none"/>
        </w:rPr>
      </w:pPr>
      <w:r>
        <w:rPr>
          <w:rFonts w:hint="eastAsia" w:ascii="宋体" w:hAnsi="宋体" w:cs="宋体"/>
          <w:color w:val="auto"/>
          <w:sz w:val="24"/>
          <w:highlight w:val="none"/>
        </w:rPr>
        <w:t>采购代理机构：浙江华夏工程管理有限公司</w:t>
      </w:r>
    </w:p>
    <w:p w14:paraId="4CC39BD5">
      <w:pPr>
        <w:overflowPunct w:val="0"/>
        <w:spacing w:line="520" w:lineRule="exact"/>
        <w:rPr>
          <w:rFonts w:asci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年6月</w:t>
      </w:r>
    </w:p>
    <w:p w14:paraId="75A99829">
      <w:pPr>
        <w:overflowPunct w:val="0"/>
        <w:spacing w:line="360" w:lineRule="auto"/>
        <w:jc w:val="center"/>
        <w:rPr>
          <w:rFonts w:ascii="宋体" w:cs="宋体"/>
          <w:b/>
          <w:color w:val="auto"/>
          <w:sz w:val="44"/>
          <w:szCs w:val="44"/>
          <w:highlight w:val="none"/>
        </w:rPr>
      </w:pPr>
    </w:p>
    <w:p w14:paraId="6C248010">
      <w:pPr>
        <w:overflowPunct w:val="0"/>
        <w:spacing w:line="360" w:lineRule="auto"/>
        <w:jc w:val="center"/>
        <w:rPr>
          <w:rFonts w:hint="eastAsia" w:ascii="宋体" w:hAnsi="宋体" w:cs="宋体"/>
          <w:b/>
          <w:color w:val="auto"/>
          <w:sz w:val="44"/>
          <w:szCs w:val="44"/>
          <w:highlight w:val="none"/>
        </w:rPr>
      </w:pPr>
    </w:p>
    <w:p w14:paraId="3381C5B0">
      <w:pPr>
        <w:overflowPunct w:val="0"/>
        <w:spacing w:line="360" w:lineRule="auto"/>
        <w:jc w:val="center"/>
        <w:rPr>
          <w:rFonts w:ascii="宋体" w:cs="宋体"/>
          <w:b/>
          <w:color w:val="auto"/>
          <w:sz w:val="44"/>
          <w:szCs w:val="44"/>
          <w:highlight w:val="none"/>
        </w:rPr>
      </w:pPr>
      <w:r>
        <w:rPr>
          <w:rFonts w:hint="eastAsia" w:ascii="宋体" w:hAnsi="宋体" w:cs="宋体"/>
          <w:b/>
          <w:color w:val="auto"/>
          <w:sz w:val="44"/>
          <w:szCs w:val="44"/>
          <w:highlight w:val="none"/>
        </w:rPr>
        <w:t>目</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录</w:t>
      </w:r>
    </w:p>
    <w:p w14:paraId="661CA3F5">
      <w:pPr>
        <w:pStyle w:val="21"/>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FE7AE5E">
      <w:pPr>
        <w:pStyle w:val="21"/>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_Toc31959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4C2519E">
      <w:pPr>
        <w:pStyle w:val="21"/>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_Toc9049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磋商项目服务内容及要求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_Toc9049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8A9FBC">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_Toc5615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一、项目概况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_Toc5615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CF6DDF">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_Toc31693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设计要求及设计依据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_Toc31693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A9CBF8">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设计要求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819C0FF">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_Toc14793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施工要求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_Toc14793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73B8AA4">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_Toc9826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人员要求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C48CB5B">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六、投标及结算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B2E9C7">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_Toc23295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七、商务要求表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_Toc23295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D9E848">
      <w:pPr>
        <w:pStyle w:val="21"/>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_Toc12970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磋商原则和程序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_Toc12970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BCF8EB">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_Toc20773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一、开启响应文件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_Toc20773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317368">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_Toc23343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二、磋商小组</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_Toc23343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73B802">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三、竞争性磋商原则与方法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FFD587">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四、磋商程序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_Toc22542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831EDF">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_Toc19351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五、磋商文件的澄清</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_Toc19351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F3DBC96">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_Toc20548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六、确定供应商办法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_Toc20548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641D95">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_Toc20879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七、综合评分法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_Toc20879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A36E589">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八、资格审查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_Toc22566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E8F5565">
      <w:pPr>
        <w:pStyle w:val="24"/>
        <w:keepNext w:val="0"/>
        <w:keepLines w:val="0"/>
        <w:pageBreakBefore w:val="0"/>
        <w:widowControl w:val="0"/>
        <w:tabs>
          <w:tab w:val="right" w:leader="dot" w:pos="8732"/>
          <w:tab w:val="clear" w:pos="849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九、成交通知、授予合同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647170">
      <w:pPr>
        <w:pStyle w:val="21"/>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第五章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合同主要条款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8AEF42">
      <w:pPr>
        <w:pStyle w:val="21"/>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_Toc28419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_Toc28419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B93022">
      <w:pPr>
        <w:pStyle w:val="21"/>
        <w:keepNext w:val="0"/>
        <w:keepLines w:val="0"/>
        <w:pageBreakBefore w:val="0"/>
        <w:widowControl w:val="0"/>
        <w:tabs>
          <w:tab w:val="right" w:leader="dot" w:pos="8732"/>
          <w:tab w:val="clear" w:pos="8494"/>
        </w:tabs>
        <w:kinsoku/>
        <w:wordWrap/>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_Toc21580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第七章</w:t>
      </w:r>
      <w:r>
        <w:rPr>
          <w:rFonts w:hint="eastAsia" w:ascii="宋体" w:hAnsi="宋体" w:eastAsia="宋体" w:cs="宋体"/>
          <w:color w:val="auto"/>
          <w:sz w:val="24"/>
          <w:szCs w:val="24"/>
          <w:highlight w:val="none"/>
        </w:rPr>
        <w:t xml:space="preserve">  专家评分索引表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_Toc21580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4CBFAA6">
      <w:pPr>
        <w:keepNext w:val="0"/>
        <w:keepLines w:val="0"/>
        <w:pageBreakBefore w:val="0"/>
        <w:widowControl w:val="0"/>
        <w:kinsoku/>
        <w:wordWrap/>
        <w:overflowPunct w:val="0"/>
        <w:topLinePunct w:val="0"/>
        <w:autoSpaceDE/>
        <w:autoSpaceDN/>
        <w:bidi w:val="0"/>
        <w:adjustRightInd/>
        <w:snapToGrid/>
        <w:spacing w:line="400" w:lineRule="exact"/>
        <w:ind w:firstLine="105"/>
        <w:jc w:val="center"/>
        <w:textAlignment w:val="auto"/>
        <w:rPr>
          <w:rFonts w:ascii="宋体" w:cs="宋体"/>
          <w:color w:val="auto"/>
          <w:sz w:val="24"/>
          <w:highlight w:val="none"/>
        </w:rPr>
      </w:pPr>
      <w:r>
        <w:rPr>
          <w:rFonts w:hint="eastAsia" w:ascii="宋体" w:hAnsi="宋体" w:eastAsia="宋体" w:cs="宋体"/>
          <w:color w:val="auto"/>
          <w:sz w:val="24"/>
          <w:szCs w:val="24"/>
          <w:highlight w:val="none"/>
        </w:rPr>
        <w:fldChar w:fldCharType="end"/>
      </w:r>
    </w:p>
    <w:p w14:paraId="670C8906">
      <w:pPr>
        <w:rPr>
          <w:rFonts w:ascii="宋体" w:hAnsi="宋体" w:cs="宋体"/>
          <w:color w:val="auto"/>
          <w:sz w:val="32"/>
          <w:szCs w:val="32"/>
          <w:highlight w:val="none"/>
        </w:rPr>
      </w:pPr>
      <w:bookmarkStart w:id="0" w:name="_Toc1863"/>
      <w:bookmarkStart w:id="1" w:name="_Toc22792"/>
      <w:bookmarkStart w:id="2" w:name="_Toc636"/>
      <w:bookmarkStart w:id="3" w:name="_Toc7957"/>
      <w:r>
        <w:rPr>
          <w:rFonts w:hint="eastAsia" w:ascii="宋体" w:hAnsi="宋体" w:cs="宋体"/>
          <w:color w:val="auto"/>
          <w:sz w:val="32"/>
          <w:szCs w:val="32"/>
          <w:highlight w:val="none"/>
        </w:rPr>
        <w:br w:type="page"/>
      </w:r>
    </w:p>
    <w:p w14:paraId="45CF09C0">
      <w:pPr>
        <w:pStyle w:val="3"/>
        <w:keepNext w:val="0"/>
        <w:keepLines w:val="0"/>
        <w:overflowPunct w:val="0"/>
        <w:spacing w:before="0" w:after="0" w:line="600" w:lineRule="exact"/>
        <w:jc w:val="center"/>
        <w:rPr>
          <w:rFonts w:ascii="宋体" w:cs="宋体"/>
          <w:color w:val="auto"/>
          <w:sz w:val="32"/>
          <w:szCs w:val="32"/>
          <w:highlight w:val="none"/>
        </w:rPr>
      </w:pPr>
      <w:bookmarkStart w:id="4" w:name="_Toc11904"/>
      <w:r>
        <w:rPr>
          <w:rFonts w:hint="eastAsia" w:ascii="宋体" w:hAnsi="宋体" w:cs="宋体"/>
          <w:color w:val="auto"/>
          <w:sz w:val="32"/>
          <w:szCs w:val="32"/>
          <w:highlight w:val="none"/>
        </w:rPr>
        <w:t>第一章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竞争性磋商公告</w:t>
      </w:r>
      <w:bookmarkEnd w:id="0"/>
      <w:bookmarkEnd w:id="1"/>
      <w:bookmarkEnd w:id="2"/>
      <w:bookmarkEnd w:id="3"/>
      <w:bookmarkEnd w:id="4"/>
    </w:p>
    <w:tbl>
      <w:tblPr>
        <w:tblStyle w:val="30"/>
        <w:tblW w:w="8812"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2"/>
      </w:tblGrid>
      <w:tr w14:paraId="04D3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8812" w:type="dxa"/>
          </w:tcPr>
          <w:p w14:paraId="6E2AA555">
            <w:pPr>
              <w:spacing w:line="400" w:lineRule="exact"/>
              <w:ind w:firstLine="422" w:firstLineChars="200"/>
              <w:jc w:val="left"/>
              <w:rPr>
                <w:rFonts w:ascii="宋体" w:cs="宋体"/>
                <w:color w:val="auto"/>
                <w:szCs w:val="21"/>
                <w:highlight w:val="none"/>
              </w:rPr>
            </w:pPr>
            <w:r>
              <w:rPr>
                <w:rFonts w:hint="eastAsia" w:ascii="宋体" w:hAnsi="宋体" w:cs="宋体"/>
                <w:b/>
                <w:bCs/>
                <w:color w:val="auto"/>
                <w:kern w:val="0"/>
                <w:szCs w:val="21"/>
                <w:highlight w:val="none"/>
              </w:rPr>
              <w:t>项目概况</w:t>
            </w:r>
            <w:r>
              <w:rPr>
                <w:rFonts w:ascii="宋体" w:hAnsi="宋体" w:cs="宋体"/>
                <w:color w:val="auto"/>
                <w:kern w:val="0"/>
                <w:szCs w:val="21"/>
                <w:highlight w:val="none"/>
              </w:rPr>
              <w:t xml:space="preserve">  </w:t>
            </w:r>
          </w:p>
          <w:p w14:paraId="7986CECD">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lang w:eastAsia="zh-CN"/>
              </w:rPr>
              <w:t>安吉县托育综合服务中心设计和装修项目</w:t>
            </w:r>
            <w:r>
              <w:rPr>
                <w:rFonts w:hint="eastAsia" w:ascii="宋体" w:hAnsi="宋体" w:cs="宋体"/>
                <w:color w:val="auto"/>
                <w:kern w:val="0"/>
                <w:szCs w:val="21"/>
                <w:highlight w:val="none"/>
              </w:rPr>
              <w:t>的潜在供应商应在“政府采购云平台（www.zcygov.cn）”在线响应及评审获取（下载）采购文件，并于</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14</w:t>
            </w:r>
            <w:r>
              <w:rPr>
                <w:rFonts w:ascii="宋体" w:hAnsi="宋体" w:cs="宋体"/>
                <w:color w:val="auto"/>
                <w:szCs w:val="21"/>
                <w:highlight w:val="none"/>
              </w:rPr>
              <w:t>:00</w:t>
            </w:r>
            <w:r>
              <w:rPr>
                <w:rFonts w:hint="eastAsia" w:ascii="宋体" w:hAnsi="宋体" w:cs="宋体"/>
                <w:color w:val="auto"/>
                <w:kern w:val="0"/>
                <w:szCs w:val="21"/>
                <w:highlight w:val="none"/>
              </w:rPr>
              <w:t>（北京时间）前递交（上传）响应文件。</w:t>
            </w:r>
            <w:r>
              <w:rPr>
                <w:rFonts w:ascii="宋体" w:hAnsi="宋体" w:cs="宋体"/>
                <w:color w:val="auto"/>
                <w:kern w:val="0"/>
                <w:szCs w:val="21"/>
                <w:highlight w:val="none"/>
              </w:rPr>
              <w:t xml:space="preserve"> </w:t>
            </w:r>
          </w:p>
        </w:tc>
      </w:tr>
    </w:tbl>
    <w:p w14:paraId="6CB884C7">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一、项目基本情况</w:t>
      </w:r>
      <w:r>
        <w:rPr>
          <w:rFonts w:ascii="宋体" w:hAnsi="宋体" w:cs="宋体"/>
          <w:b/>
          <w:bCs/>
          <w:color w:val="auto"/>
          <w:kern w:val="0"/>
          <w:szCs w:val="21"/>
          <w:highlight w:val="none"/>
        </w:rPr>
        <w:t xml:space="preserve">  </w:t>
      </w:r>
    </w:p>
    <w:p w14:paraId="64B917CC">
      <w:pPr>
        <w:spacing w:line="40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HXCG-ZF-2025-017</w:t>
      </w:r>
    </w:p>
    <w:p w14:paraId="4488C481">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安吉县托育综合服务中心设计和装修项目</w:t>
      </w:r>
    </w:p>
    <w:p w14:paraId="7EF12F03">
      <w:pPr>
        <w:spacing w:line="400" w:lineRule="exact"/>
        <w:ind w:firstLine="420" w:firstLineChars="200"/>
        <w:jc w:val="left"/>
        <w:rPr>
          <w:rFonts w:ascii="宋体" w:hAnsi="宋体" w:eastAsia="微软雅黑" w:cs="宋体"/>
          <w:color w:val="auto"/>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00000</w:t>
      </w:r>
    </w:p>
    <w:p w14:paraId="74E870D7">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最高限价（元）：</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00000</w:t>
      </w:r>
    </w:p>
    <w:p w14:paraId="5D7E056D">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采购需求：</w:t>
      </w:r>
    </w:p>
    <w:p w14:paraId="730BD0B4">
      <w:pPr>
        <w:pStyle w:val="51"/>
        <w:rPr>
          <w:rFonts w:ascii="宋体" w:hAnsi="宋体" w:cs="宋体"/>
          <w:color w:val="auto"/>
          <w:kern w:val="0"/>
          <w:szCs w:val="21"/>
          <w:highlight w:val="none"/>
        </w:rPr>
      </w:pPr>
    </w:p>
    <w:p w14:paraId="5648502E">
      <w:pPr>
        <w:pStyle w:val="51"/>
        <w:rPr>
          <w:rFonts w:ascii="宋体" w:hAnsi="宋体" w:cs="宋体"/>
          <w:color w:val="auto"/>
          <w:kern w:val="0"/>
          <w:szCs w:val="21"/>
          <w:highlight w:val="none"/>
        </w:rPr>
      </w:pPr>
      <w:r>
        <w:rPr>
          <w:rFonts w:hint="eastAsia" w:ascii="宋体" w:hAnsi="宋体" w:cs="宋体"/>
          <w:color w:val="auto"/>
          <w:kern w:val="0"/>
          <w:szCs w:val="21"/>
          <w:highlight w:val="none"/>
        </w:rPr>
        <w:t>标项一</w:t>
      </w:r>
    </w:p>
    <w:p w14:paraId="5AA85FE7">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eastAsia="zh-CN"/>
        </w:rPr>
        <w:t>安吉县托育综合服务中心设计和装修</w:t>
      </w:r>
    </w:p>
    <w:p w14:paraId="15DAC1B3">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数量：不限</w:t>
      </w:r>
    </w:p>
    <w:p w14:paraId="17FCA8BB">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00000</w:t>
      </w:r>
    </w:p>
    <w:p w14:paraId="02E21D68">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简要规格描述或项目基本概况介绍、用途：无</w:t>
      </w:r>
    </w:p>
    <w:p w14:paraId="5714B449">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备注：投标报价不得超最高限价，否则投标无效。</w:t>
      </w:r>
    </w:p>
    <w:p w14:paraId="7826EC19">
      <w:pPr>
        <w:pStyle w:val="51"/>
        <w:rPr>
          <w:rFonts w:ascii="宋体" w:hAnsi="宋体" w:cs="宋体"/>
          <w:color w:val="auto"/>
          <w:kern w:val="0"/>
          <w:szCs w:val="21"/>
          <w:highlight w:val="none"/>
        </w:rPr>
      </w:pPr>
    </w:p>
    <w:p w14:paraId="0EB4E061">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合同履约期限：90日历天（设计工期10日历天、施工工期80日历天）</w:t>
      </w:r>
    </w:p>
    <w:p w14:paraId="11939064">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是</w:t>
      </w:r>
      <w:r>
        <w:rPr>
          <w:rFonts w:hint="eastAsia" w:ascii="宋体" w:hAnsi="宋体" w:cs="宋体"/>
          <w:color w:val="auto"/>
          <w:kern w:val="0"/>
          <w:szCs w:val="21"/>
          <w:highlight w:val="none"/>
        </w:rPr>
        <w:t>）接受联合体投标。</w:t>
      </w:r>
    </w:p>
    <w:p w14:paraId="3DDBDFA9">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二、申请人的资格要求</w:t>
      </w:r>
    </w:p>
    <w:p w14:paraId="4A7CEBBC">
      <w:pPr>
        <w:spacing w:line="40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满足《中华人民共和国政府采购法》第二十二条规定；未被“信用中国”（</w:t>
      </w:r>
      <w:r>
        <w:rPr>
          <w:rFonts w:ascii="宋体" w:hAnsi="宋体" w:cs="宋体"/>
          <w:color w:val="auto"/>
          <w:kern w:val="0"/>
          <w:szCs w:val="21"/>
          <w:highlight w:val="none"/>
        </w:rPr>
        <w:t>www.creditchina.gov.cn)</w:t>
      </w: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www.ccgp.gov.cn</w:t>
      </w:r>
      <w:r>
        <w:rPr>
          <w:rFonts w:hint="eastAsia" w:ascii="宋体" w:hAnsi="宋体" w:cs="宋体"/>
          <w:color w:val="auto"/>
          <w:kern w:val="0"/>
          <w:szCs w:val="21"/>
          <w:highlight w:val="none"/>
        </w:rPr>
        <w:t>）列入失信被执行人、重大税收违法案件当事人名单、政府采购严重违法失信行为记录名单。</w:t>
      </w:r>
    </w:p>
    <w:p w14:paraId="47A682E3">
      <w:pPr>
        <w:spacing w:line="40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落实政府采购政策需满足的资格要求：</w:t>
      </w:r>
      <w:r>
        <w:rPr>
          <w:rFonts w:hint="eastAsia" w:ascii="宋体" w:hAnsi="宋体" w:cs="宋体"/>
          <w:kern w:val="0"/>
          <w:szCs w:val="21"/>
          <w:lang w:bidi="ar"/>
        </w:rPr>
        <w:t>本项目专门面向中小企业采购，中小微型企业（监狱企业、残疾人福利性单位视同小微企业）应按照</w:t>
      </w:r>
      <w:r>
        <w:rPr>
          <w:rFonts w:hint="eastAsia" w:ascii="宋体" w:hAnsi="宋体" w:cs="宋体"/>
          <w:kern w:val="0"/>
          <w:szCs w:val="21"/>
          <w:lang w:eastAsia="zh-CN" w:bidi="ar"/>
        </w:rPr>
        <w:t>采购</w:t>
      </w:r>
      <w:r>
        <w:rPr>
          <w:rFonts w:hint="eastAsia" w:ascii="宋体" w:hAnsi="宋体" w:cs="宋体"/>
          <w:kern w:val="0"/>
          <w:szCs w:val="21"/>
          <w:lang w:bidi="ar"/>
        </w:rPr>
        <w:t>文件附件的格式要求在资格证明文件中提供《中小企业声明函》</w:t>
      </w:r>
      <w:r>
        <w:rPr>
          <w:rFonts w:hint="eastAsia" w:ascii="宋体" w:hAnsi="宋体" w:cs="宋体"/>
          <w:color w:val="auto"/>
          <w:kern w:val="0"/>
          <w:szCs w:val="21"/>
          <w:highlight w:val="none"/>
        </w:rPr>
        <w:t>；</w:t>
      </w:r>
    </w:p>
    <w:p w14:paraId="794B6158">
      <w:pPr>
        <w:pStyle w:val="25"/>
        <w:spacing w:before="0" w:beforeAutospacing="0" w:after="0" w:afterAutospacing="0" w:line="400" w:lineRule="exact"/>
        <w:ind w:firstLine="420" w:firstLineChars="200"/>
        <w:rPr>
          <w:rFonts w:hint="eastAsia" w:cs="宋体"/>
          <w:color w:val="auto"/>
          <w:sz w:val="21"/>
          <w:szCs w:val="21"/>
          <w:highlight w:val="none"/>
        </w:rPr>
      </w:pPr>
      <w:r>
        <w:rPr>
          <w:rFonts w:hint="eastAsia" w:cs="宋体"/>
          <w:color w:val="auto"/>
          <w:sz w:val="21"/>
          <w:szCs w:val="21"/>
          <w:highlight w:val="none"/>
        </w:rPr>
        <w:t>3.本项目的特定资格要求：</w:t>
      </w:r>
    </w:p>
    <w:p w14:paraId="6644FBAF">
      <w:pPr>
        <w:pStyle w:val="25"/>
        <w:spacing w:before="0" w:beforeAutospacing="0" w:after="0" w:afterAutospacing="0" w:line="400" w:lineRule="exact"/>
        <w:ind w:firstLine="420" w:firstLineChars="200"/>
        <w:rPr>
          <w:rFonts w:hint="eastAsia" w:cs="宋体"/>
          <w:color w:val="auto"/>
          <w:sz w:val="21"/>
          <w:szCs w:val="21"/>
          <w:highlight w:val="none"/>
        </w:rPr>
      </w:pPr>
      <w:r>
        <w:rPr>
          <w:rFonts w:hint="eastAsia" w:cs="宋体"/>
          <w:color w:val="auto"/>
          <w:sz w:val="21"/>
          <w:szCs w:val="21"/>
          <w:highlight w:val="none"/>
          <w:lang w:val="en-US" w:eastAsia="zh-CN"/>
        </w:rPr>
        <w:t>3.1 供应商（</w:t>
      </w:r>
      <w:r>
        <w:rPr>
          <w:rFonts w:hint="eastAsia" w:cs="宋体"/>
          <w:color w:val="auto"/>
          <w:sz w:val="21"/>
          <w:szCs w:val="21"/>
          <w:highlight w:val="none"/>
        </w:rPr>
        <w:t>设计单位）须具备中华人民共和国住房和城乡建设部颁发的建筑装饰工程设计</w:t>
      </w:r>
      <w:r>
        <w:rPr>
          <w:rFonts w:hint="eastAsia" w:cs="宋体"/>
          <w:color w:val="auto"/>
          <w:sz w:val="21"/>
          <w:szCs w:val="21"/>
          <w:highlight w:val="none"/>
          <w:lang w:val="en-US" w:eastAsia="zh-CN"/>
        </w:rPr>
        <w:t>乙</w:t>
      </w:r>
      <w:r>
        <w:rPr>
          <w:rFonts w:hint="eastAsia" w:cs="宋体"/>
          <w:color w:val="auto"/>
          <w:sz w:val="21"/>
          <w:szCs w:val="21"/>
          <w:highlight w:val="none"/>
        </w:rPr>
        <w:t>级</w:t>
      </w:r>
      <w:r>
        <w:rPr>
          <w:rFonts w:hint="eastAsia" w:cs="宋体"/>
          <w:color w:val="auto"/>
          <w:sz w:val="21"/>
          <w:szCs w:val="21"/>
          <w:highlight w:val="none"/>
          <w:lang w:val="en-US" w:eastAsia="zh-CN"/>
        </w:rPr>
        <w:t>及以上</w:t>
      </w:r>
      <w:r>
        <w:rPr>
          <w:rFonts w:hint="eastAsia" w:cs="宋体"/>
          <w:color w:val="auto"/>
          <w:sz w:val="21"/>
          <w:szCs w:val="21"/>
          <w:highlight w:val="none"/>
        </w:rPr>
        <w:t>资质或工程设计综合甲级资质；</w:t>
      </w:r>
    </w:p>
    <w:p w14:paraId="3C728A7F">
      <w:pPr>
        <w:pStyle w:val="25"/>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s="宋体"/>
          <w:color w:val="auto"/>
          <w:sz w:val="21"/>
          <w:szCs w:val="21"/>
          <w:highlight w:val="none"/>
          <w:lang w:val="en-US" w:eastAsia="zh-CN"/>
        </w:rPr>
        <w:t>3.2 供应商</w:t>
      </w:r>
      <w:r>
        <w:rPr>
          <w:rFonts w:hint="eastAsia" w:cs="宋体"/>
          <w:color w:val="auto"/>
          <w:sz w:val="21"/>
          <w:szCs w:val="21"/>
          <w:highlight w:val="none"/>
        </w:rPr>
        <w:t>（施工单位）须具备中华人民共和国住房和城乡建设部颁发的建筑装饰装修工程专业承包二级及以上资质及安全生产许可证</w:t>
      </w:r>
      <w:r>
        <w:rPr>
          <w:rFonts w:hint="eastAsia"/>
          <w:color w:val="auto"/>
          <w:sz w:val="21"/>
          <w:szCs w:val="21"/>
          <w:highlight w:val="none"/>
          <w:lang w:eastAsia="zh-CN"/>
        </w:rPr>
        <w:t>；</w:t>
      </w:r>
    </w:p>
    <w:p w14:paraId="341DE74F">
      <w:pPr>
        <w:pStyle w:val="25"/>
        <w:spacing w:before="0" w:beforeAutospacing="0" w:after="0" w:afterAutospacing="0" w:line="400" w:lineRule="exact"/>
        <w:ind w:firstLine="420" w:firstLineChars="200"/>
        <w:rPr>
          <w:rFonts w:cs="宋体"/>
          <w:color w:val="auto"/>
          <w:sz w:val="21"/>
          <w:szCs w:val="21"/>
          <w:highlight w:val="none"/>
        </w:rPr>
      </w:pPr>
      <w:r>
        <w:rPr>
          <w:rFonts w:hint="eastAsia"/>
          <w:color w:val="auto"/>
          <w:sz w:val="21"/>
          <w:szCs w:val="21"/>
          <w:highlight w:val="none"/>
          <w:lang w:val="en-US" w:eastAsia="zh-CN"/>
        </w:rPr>
        <w:t xml:space="preserve">3.3 </w:t>
      </w:r>
      <w:r>
        <w:rPr>
          <w:rFonts w:hint="eastAsia"/>
          <w:color w:val="auto"/>
          <w:sz w:val="21"/>
          <w:szCs w:val="21"/>
          <w:highlight w:val="none"/>
        </w:rPr>
        <w:t>本项目接受联合体投标，联合体成员总数不得超过2个，联合体牵头人必须为施工单位。联合体成员各方应签订联合体协议，明确各方职责分工，明确联合体牵头人和联合体成员的权利义务。联合体各成员方不得再单独或加入其他联合体参加本项目的投标。联合体牵头人代表联合体在投标和履行合同中承担联合体的义务和法律责任；联合体成员在投标、签约与履行合同过程中，承担连带法律责任。</w:t>
      </w:r>
    </w:p>
    <w:p w14:paraId="1D72AF90">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三、获取（下载）采购文件</w:t>
      </w:r>
      <w:r>
        <w:rPr>
          <w:rFonts w:ascii="宋体" w:hAnsi="宋体" w:cs="宋体"/>
          <w:b/>
          <w:bCs/>
          <w:color w:val="auto"/>
          <w:kern w:val="0"/>
          <w:szCs w:val="21"/>
          <w:highlight w:val="none"/>
        </w:rPr>
        <w:t xml:space="preserve"> </w:t>
      </w:r>
    </w:p>
    <w:p w14:paraId="6F75EAC6">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时间：</w:t>
      </w:r>
      <w:r>
        <w:rPr>
          <w:rFonts w:ascii="宋体" w:hAnsi="宋体" w:cs="宋体"/>
          <w:color w:val="auto"/>
          <w:kern w:val="0"/>
          <w:szCs w:val="21"/>
          <w:highlight w:val="none"/>
        </w:rPr>
        <w:t>/</w:t>
      </w:r>
      <w:r>
        <w:rPr>
          <w:rFonts w:hint="eastAsia" w:ascii="宋体" w:hAnsi="宋体" w:cs="宋体"/>
          <w:color w:val="auto"/>
          <w:kern w:val="0"/>
          <w:szCs w:val="21"/>
          <w:highlight w:val="none"/>
        </w:rPr>
        <w:t>至202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日，每天上午</w:t>
      </w:r>
      <w:r>
        <w:rPr>
          <w:rFonts w:ascii="宋体" w:hAnsi="宋体" w:cs="宋体"/>
          <w:color w:val="auto"/>
          <w:kern w:val="0"/>
          <w:szCs w:val="21"/>
          <w:highlight w:val="none"/>
        </w:rPr>
        <w:t>00:00</w:t>
      </w:r>
      <w:r>
        <w:rPr>
          <w:rFonts w:hint="eastAsia" w:ascii="宋体" w:hAnsi="宋体" w:cs="宋体"/>
          <w:color w:val="auto"/>
          <w:kern w:val="0"/>
          <w:szCs w:val="21"/>
          <w:highlight w:val="none"/>
        </w:rPr>
        <w:t>至</w:t>
      </w:r>
      <w:r>
        <w:rPr>
          <w:rFonts w:ascii="宋体" w:hAnsi="宋体" w:cs="宋体"/>
          <w:color w:val="auto"/>
          <w:kern w:val="0"/>
          <w:szCs w:val="21"/>
          <w:highlight w:val="none"/>
        </w:rPr>
        <w:t>12:00</w:t>
      </w:r>
      <w:r>
        <w:rPr>
          <w:rFonts w:hint="eastAsia" w:ascii="宋体" w:hAnsi="宋体" w:cs="宋体"/>
          <w:color w:val="auto"/>
          <w:kern w:val="0"/>
          <w:szCs w:val="21"/>
          <w:highlight w:val="none"/>
        </w:rPr>
        <w:t>，下午</w:t>
      </w:r>
      <w:r>
        <w:rPr>
          <w:rFonts w:ascii="宋体" w:hAnsi="宋体" w:cs="宋体"/>
          <w:color w:val="auto"/>
          <w:kern w:val="0"/>
          <w:szCs w:val="21"/>
          <w:highlight w:val="none"/>
        </w:rPr>
        <w:t>12:00</w:t>
      </w:r>
      <w:r>
        <w:rPr>
          <w:rFonts w:hint="eastAsia" w:ascii="宋体" w:hAnsi="宋体" w:cs="宋体"/>
          <w:color w:val="auto"/>
          <w:kern w:val="0"/>
          <w:szCs w:val="21"/>
          <w:highlight w:val="none"/>
        </w:rPr>
        <w:t>至</w:t>
      </w:r>
      <w:r>
        <w:rPr>
          <w:rFonts w:ascii="宋体" w:hAnsi="宋体" w:cs="宋体"/>
          <w:color w:val="auto"/>
          <w:kern w:val="0"/>
          <w:szCs w:val="21"/>
          <w:highlight w:val="none"/>
        </w:rPr>
        <w:t>23:59</w:t>
      </w:r>
      <w:r>
        <w:rPr>
          <w:rFonts w:hint="eastAsia" w:ascii="宋体" w:hAnsi="宋体" w:cs="宋体"/>
          <w:color w:val="auto"/>
          <w:kern w:val="0"/>
          <w:szCs w:val="21"/>
          <w:highlight w:val="none"/>
        </w:rPr>
        <w:t>（北京时间，线上获取法定节假日均可，线下获取文件法定节假日除外）</w:t>
      </w:r>
    </w:p>
    <w:p w14:paraId="7C806945">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地点（网址）：政府采购云平台</w:t>
      </w:r>
      <w:r>
        <w:rPr>
          <w:rFonts w:ascii="宋体" w:hAnsi="宋体" w:cs="宋体"/>
          <w:color w:val="auto"/>
          <w:kern w:val="0"/>
          <w:szCs w:val="21"/>
          <w:highlight w:val="none"/>
        </w:rPr>
        <w:t>http://www.zcygov.cn</w:t>
      </w:r>
      <w:r>
        <w:rPr>
          <w:rFonts w:hint="eastAsia" w:ascii="宋体" w:hAnsi="宋体" w:cs="宋体"/>
          <w:color w:val="auto"/>
          <w:kern w:val="0"/>
          <w:szCs w:val="21"/>
          <w:highlight w:val="none"/>
        </w:rPr>
        <w:t>（以下简称“政采云平台”）；</w:t>
      </w:r>
      <w:r>
        <w:rPr>
          <w:rFonts w:ascii="宋体" w:hAnsi="宋体" w:cs="宋体"/>
          <w:color w:val="auto"/>
          <w:kern w:val="0"/>
          <w:szCs w:val="21"/>
          <w:highlight w:val="none"/>
        </w:rPr>
        <w:t xml:space="preserve"> </w:t>
      </w:r>
    </w:p>
    <w:p w14:paraId="0C6CDECA">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方式：供应商登录政采云平台https://www.zcygov.cn/在线申请获取采购文件（进入“项目采购”应用，在获取采购文件菜单中选择项目，申请获取采购文件）；</w:t>
      </w:r>
      <w:r>
        <w:rPr>
          <w:rFonts w:ascii="宋体" w:hAnsi="宋体" w:cs="宋体"/>
          <w:color w:val="auto"/>
          <w:kern w:val="0"/>
          <w:szCs w:val="21"/>
          <w:highlight w:val="none"/>
        </w:rPr>
        <w:t xml:space="preserve"> </w:t>
      </w:r>
    </w:p>
    <w:p w14:paraId="17D2D792">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售价（元）：</w:t>
      </w:r>
      <w:r>
        <w:rPr>
          <w:rFonts w:ascii="宋体" w:hAnsi="宋体" w:cs="宋体"/>
          <w:color w:val="auto"/>
          <w:kern w:val="0"/>
          <w:szCs w:val="21"/>
          <w:highlight w:val="none"/>
        </w:rPr>
        <w:t xml:space="preserve">0 </w:t>
      </w:r>
    </w:p>
    <w:p w14:paraId="62245079">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四、响应文件提交（上传）</w:t>
      </w:r>
    </w:p>
    <w:p w14:paraId="16883DAB">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截止时间：202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 xml:space="preserve">日 </w:t>
      </w:r>
      <w:r>
        <w:rPr>
          <w:rFonts w:hint="eastAsia" w:ascii="宋体" w:hAnsi="宋体" w:cs="宋体"/>
          <w:color w:val="auto"/>
          <w:kern w:val="0"/>
          <w:szCs w:val="21"/>
          <w:highlight w:val="none"/>
          <w:lang w:val="en-US" w:eastAsia="zh-CN"/>
        </w:rPr>
        <w:t>14</w:t>
      </w:r>
      <w:r>
        <w:rPr>
          <w:rFonts w:ascii="宋体" w:hAnsi="宋体" w:cs="宋体"/>
          <w:color w:val="auto"/>
          <w:kern w:val="0"/>
          <w:szCs w:val="21"/>
          <w:highlight w:val="none"/>
        </w:rPr>
        <w:t>:00</w:t>
      </w:r>
      <w:r>
        <w:rPr>
          <w:rFonts w:hint="eastAsia" w:ascii="宋体" w:hAnsi="宋体" w:cs="宋体"/>
          <w:color w:val="auto"/>
          <w:kern w:val="0"/>
          <w:szCs w:val="21"/>
          <w:highlight w:val="none"/>
        </w:rPr>
        <w:t>（北京时间）</w:t>
      </w:r>
    </w:p>
    <w:p w14:paraId="1EE023DC">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地点（网址）：通过“政府采购云平台（</w:t>
      </w:r>
      <w:r>
        <w:rPr>
          <w:rFonts w:ascii="宋体" w:hAnsi="宋体" w:cs="宋体"/>
          <w:color w:val="auto"/>
          <w:kern w:val="0"/>
          <w:szCs w:val="21"/>
          <w:highlight w:val="none"/>
        </w:rPr>
        <w:t>www.zcygov.cn</w:t>
      </w:r>
      <w:r>
        <w:rPr>
          <w:rFonts w:hint="eastAsia" w:ascii="宋体" w:hAnsi="宋体" w:cs="宋体"/>
          <w:color w:val="auto"/>
          <w:kern w:val="0"/>
          <w:szCs w:val="21"/>
          <w:highlight w:val="none"/>
        </w:rPr>
        <w:t>）”在线响应及评审</w:t>
      </w:r>
    </w:p>
    <w:p w14:paraId="63F0A17B">
      <w:pPr>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五、响应文件开启 </w:t>
      </w:r>
    </w:p>
    <w:p w14:paraId="5C669024">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开启时间：202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 xml:space="preserve"> 14</w:t>
      </w:r>
      <w:r>
        <w:rPr>
          <w:rFonts w:hint="eastAsia" w:ascii="宋体" w:hAnsi="宋体" w:cs="宋体"/>
          <w:color w:val="auto"/>
          <w:kern w:val="0"/>
          <w:szCs w:val="21"/>
          <w:highlight w:val="none"/>
        </w:rPr>
        <w:t>:00（北京时间）</w:t>
      </w:r>
    </w:p>
    <w:p w14:paraId="32CB331C">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地点（网址）：通过“政府采购云平台（</w:t>
      </w:r>
      <w:r>
        <w:rPr>
          <w:rFonts w:ascii="宋体" w:hAnsi="宋体" w:cs="宋体"/>
          <w:color w:val="auto"/>
          <w:kern w:val="0"/>
          <w:szCs w:val="21"/>
          <w:highlight w:val="none"/>
        </w:rPr>
        <w:t>www.zcygov.cn</w:t>
      </w:r>
      <w:r>
        <w:rPr>
          <w:rFonts w:hint="eastAsia" w:ascii="宋体" w:hAnsi="宋体" w:cs="宋体"/>
          <w:color w:val="auto"/>
          <w:kern w:val="0"/>
          <w:szCs w:val="21"/>
          <w:highlight w:val="none"/>
        </w:rPr>
        <w:t>）”在线响应及评审 </w:t>
      </w:r>
    </w:p>
    <w:p w14:paraId="4C1EC9DA">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六、公告期限</w:t>
      </w:r>
      <w:r>
        <w:rPr>
          <w:rFonts w:ascii="宋体" w:hAnsi="宋体" w:cs="宋体"/>
          <w:b/>
          <w:bCs/>
          <w:color w:val="auto"/>
          <w:kern w:val="0"/>
          <w:szCs w:val="21"/>
          <w:highlight w:val="none"/>
        </w:rPr>
        <w:t xml:space="preserve"> </w:t>
      </w:r>
    </w:p>
    <w:p w14:paraId="15E81E68">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3</w:t>
      </w:r>
      <w:r>
        <w:rPr>
          <w:rFonts w:hint="eastAsia" w:ascii="宋体" w:hAnsi="宋体" w:cs="宋体"/>
          <w:color w:val="auto"/>
          <w:kern w:val="0"/>
          <w:szCs w:val="21"/>
          <w:highlight w:val="none"/>
        </w:rPr>
        <w:t>个工作日。</w:t>
      </w:r>
    </w:p>
    <w:p w14:paraId="3D35C902">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七、其他补充事宜</w:t>
      </w:r>
    </w:p>
    <w:p w14:paraId="7E7FDA5E">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F041299">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3B1E5D">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B515A3">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w:t>
      </w:r>
      <w:r>
        <w:rPr>
          <w:rFonts w:hint="eastAsia" w:ascii="宋体" w:hAnsi="宋体" w:cs="宋体"/>
          <w:color w:val="auto"/>
          <w:kern w:val="0"/>
          <w:szCs w:val="21"/>
          <w:highlight w:val="none"/>
        </w:rPr>
        <w:t>其他事项：</w:t>
      </w:r>
    </w:p>
    <w:p w14:paraId="3220EB0B">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1）本项目执行的政府采购政策：</w:t>
      </w:r>
    </w:p>
    <w:p w14:paraId="74C597AC">
      <w:pPr>
        <w:spacing w:line="400" w:lineRule="exact"/>
        <w:ind w:firstLine="420" w:firstLineChars="200"/>
        <w:jc w:val="left"/>
        <w:rPr>
          <w:rFonts w:ascii="宋体" w:cs="宋体"/>
          <w:color w:val="auto"/>
          <w:kern w:val="0"/>
          <w:szCs w:val="21"/>
          <w:highlight w:val="none"/>
        </w:rPr>
      </w:pPr>
      <w:r>
        <w:rPr>
          <w:rFonts w:hint="eastAsia" w:ascii="宋体" w:hAnsi="宋体" w:cs="宋体"/>
          <w:bCs/>
          <w:color w:val="auto"/>
          <w:szCs w:val="21"/>
          <w:highlight w:val="none"/>
        </w:rPr>
        <w:t>《政府采购促进中小企业发展管理办法》（财库﹝</w:t>
      </w:r>
      <w:r>
        <w:rPr>
          <w:rFonts w:ascii="宋体" w:hAnsi="宋体" w:cs="宋体"/>
          <w:bCs/>
          <w:color w:val="auto"/>
          <w:szCs w:val="21"/>
          <w:highlight w:val="none"/>
        </w:rPr>
        <w:t>2020</w:t>
      </w:r>
      <w:r>
        <w:rPr>
          <w:rFonts w:hint="eastAsia" w:ascii="宋体" w:hAnsi="宋体" w:cs="宋体"/>
          <w:bCs/>
          <w:color w:val="auto"/>
          <w:szCs w:val="21"/>
          <w:highlight w:val="none"/>
        </w:rPr>
        <w:t>﹞</w:t>
      </w:r>
      <w:r>
        <w:rPr>
          <w:rFonts w:ascii="宋体" w:hAnsi="宋体" w:cs="宋体"/>
          <w:bCs/>
          <w:color w:val="auto"/>
          <w:szCs w:val="21"/>
          <w:highlight w:val="none"/>
        </w:rPr>
        <w:t>46</w:t>
      </w:r>
      <w:r>
        <w:rPr>
          <w:rFonts w:hint="eastAsia" w:ascii="宋体" w:hAnsi="宋体" w:cs="宋体"/>
          <w:bCs/>
          <w:color w:val="auto"/>
          <w:szCs w:val="21"/>
          <w:highlight w:val="none"/>
        </w:rPr>
        <w:t>号）</w:t>
      </w:r>
      <w:r>
        <w:rPr>
          <w:rFonts w:hint="eastAsia" w:ascii="宋体" w:hAnsi="宋体" w:cs="宋体"/>
          <w:color w:val="auto"/>
          <w:kern w:val="0"/>
          <w:szCs w:val="21"/>
          <w:highlight w:val="none"/>
        </w:rPr>
        <w:t>；</w:t>
      </w:r>
    </w:p>
    <w:p w14:paraId="35B74092">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《财政部、司法部关于政府采购支持监狱企业发展有关问题的通知》（财库〔</w:t>
      </w:r>
      <w:r>
        <w:rPr>
          <w:rFonts w:ascii="宋体" w:hAnsi="宋体" w:cs="宋体"/>
          <w:color w:val="auto"/>
          <w:kern w:val="0"/>
          <w:szCs w:val="21"/>
          <w:highlight w:val="none"/>
        </w:rPr>
        <w:t>2014</w:t>
      </w:r>
      <w:r>
        <w:rPr>
          <w:rFonts w:hint="eastAsia" w:ascii="宋体" w:hAnsi="宋体" w:cs="宋体"/>
          <w:color w:val="auto"/>
          <w:kern w:val="0"/>
          <w:szCs w:val="21"/>
          <w:highlight w:val="none"/>
        </w:rPr>
        <w:t>〕</w:t>
      </w:r>
      <w:r>
        <w:rPr>
          <w:rFonts w:ascii="宋体" w:hAnsi="宋体" w:cs="宋体"/>
          <w:color w:val="auto"/>
          <w:kern w:val="0"/>
          <w:szCs w:val="21"/>
          <w:highlight w:val="none"/>
        </w:rPr>
        <w:t>68</w:t>
      </w:r>
      <w:r>
        <w:rPr>
          <w:rFonts w:hint="eastAsia" w:ascii="宋体" w:hAnsi="宋体" w:cs="宋体"/>
          <w:color w:val="auto"/>
          <w:kern w:val="0"/>
          <w:szCs w:val="21"/>
          <w:highlight w:val="none"/>
        </w:rPr>
        <w:t>号）；</w:t>
      </w:r>
    </w:p>
    <w:p w14:paraId="626A5EC5">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《国务院办公厅关于建立政府强制采购节能产品制度的通知》（国办发〔</w:t>
      </w:r>
      <w:r>
        <w:rPr>
          <w:rFonts w:ascii="宋体" w:hAnsi="宋体" w:cs="宋体"/>
          <w:color w:val="auto"/>
          <w:kern w:val="0"/>
          <w:szCs w:val="21"/>
          <w:highlight w:val="none"/>
        </w:rPr>
        <w:t>2007</w:t>
      </w:r>
      <w:r>
        <w:rPr>
          <w:rFonts w:hint="eastAsia" w:ascii="宋体" w:hAnsi="宋体" w:cs="宋体"/>
          <w:color w:val="auto"/>
          <w:kern w:val="0"/>
          <w:szCs w:val="21"/>
          <w:highlight w:val="none"/>
        </w:rPr>
        <w:t>〕</w:t>
      </w:r>
      <w:r>
        <w:rPr>
          <w:rFonts w:ascii="宋体" w:hAnsi="宋体" w:cs="宋体"/>
          <w:color w:val="auto"/>
          <w:kern w:val="0"/>
          <w:szCs w:val="21"/>
          <w:highlight w:val="none"/>
        </w:rPr>
        <w:t>51</w:t>
      </w:r>
      <w:r>
        <w:rPr>
          <w:rFonts w:hint="eastAsia" w:ascii="宋体" w:hAnsi="宋体" w:cs="宋体"/>
          <w:color w:val="auto"/>
          <w:kern w:val="0"/>
          <w:szCs w:val="21"/>
          <w:highlight w:val="none"/>
        </w:rPr>
        <w:t>号）；</w:t>
      </w:r>
    </w:p>
    <w:p w14:paraId="14DFF57F">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《财政部、国家环保总局关于环境标志产品政府采购实施的意见》（财库</w:t>
      </w:r>
      <w:r>
        <w:rPr>
          <w:rFonts w:ascii="宋体" w:hAnsi="宋体" w:cs="宋体"/>
          <w:color w:val="auto"/>
          <w:kern w:val="0"/>
          <w:szCs w:val="21"/>
          <w:highlight w:val="none"/>
        </w:rPr>
        <w:t>[2006]90</w:t>
      </w:r>
      <w:r>
        <w:rPr>
          <w:rFonts w:hint="eastAsia" w:ascii="宋体" w:hAnsi="宋体" w:cs="宋体"/>
          <w:color w:val="auto"/>
          <w:kern w:val="0"/>
          <w:szCs w:val="21"/>
          <w:highlight w:val="none"/>
        </w:rPr>
        <w:t>号）；</w:t>
      </w:r>
    </w:p>
    <w:p w14:paraId="4310F5A9">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财政部民政部中国残疾人联合会《关于促进残疾人就业政府采购政策的通知》（财库〔</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141</w:t>
      </w:r>
      <w:r>
        <w:rPr>
          <w:rFonts w:hint="eastAsia" w:ascii="宋体" w:hAnsi="宋体" w:cs="宋体"/>
          <w:color w:val="auto"/>
          <w:kern w:val="0"/>
          <w:szCs w:val="21"/>
          <w:highlight w:val="none"/>
        </w:rPr>
        <w:t>号）。</w:t>
      </w:r>
    </w:p>
    <w:p w14:paraId="3E854368">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2）资格审查：本项目采用资格后审。</w:t>
      </w:r>
    </w:p>
    <w:p w14:paraId="25916E67">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3）采购代理费用由成交人支付。</w:t>
      </w:r>
      <w:r>
        <w:rPr>
          <w:rFonts w:ascii="宋体" w:hAnsi="宋体" w:cs="宋体"/>
          <w:color w:val="auto"/>
          <w:kern w:val="0"/>
          <w:szCs w:val="21"/>
          <w:highlight w:val="none"/>
        </w:rPr>
        <w:t xml:space="preserve"> </w:t>
      </w:r>
    </w:p>
    <w:p w14:paraId="54CF1323">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4）本采购项目成交单位与采购单位签订的政府采购合同适用于浙江省政府采购贷款政策，简称“政采贷”，具体内容可参阅《关于“政采贷”相关情况的介绍》。网址：http://www.anji.gov.cn/hzgov/front/s553/zwgk/gggs/20231228/i3691136.html</w:t>
      </w:r>
    </w:p>
    <w:p w14:paraId="74EE4B47">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八、对本次采购提出询问、质疑、投诉，请按以下方式联系</w:t>
      </w:r>
    </w:p>
    <w:p w14:paraId="2DB00BC1">
      <w:pPr>
        <w:spacing w:line="40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采购人信息</w:t>
      </w:r>
    </w:p>
    <w:p w14:paraId="2984034F">
      <w:pPr>
        <w:spacing w:line="40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 xml:space="preserve">安吉县妇幼保健院  </w:t>
      </w:r>
    </w:p>
    <w:p w14:paraId="000B5FF8">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地      址：</w:t>
      </w:r>
      <w:r>
        <w:rPr>
          <w:rFonts w:hint="eastAsia" w:ascii="宋体" w:hAnsi="宋体" w:cs="宋体"/>
          <w:color w:val="auto"/>
          <w:szCs w:val="21"/>
          <w:highlight w:val="none"/>
          <w:shd w:val="clear" w:color="auto" w:fill="FFFFFF"/>
        </w:rPr>
        <w:t>昌硕街道云鸿东路18号</w:t>
      </w:r>
    </w:p>
    <w:p w14:paraId="761EAEBE">
      <w:pPr>
        <w:spacing w:line="4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项目联系人（询问）：</w:t>
      </w:r>
      <w:r>
        <w:rPr>
          <w:rFonts w:hint="eastAsia" w:ascii="宋体" w:hAnsi="宋体" w:cs="宋体"/>
          <w:color w:val="auto"/>
          <w:szCs w:val="21"/>
          <w:highlight w:val="none"/>
          <w:shd w:val="clear" w:color="auto" w:fill="FFFFFF"/>
          <w:lang w:val="en-US" w:eastAsia="zh-CN"/>
        </w:rPr>
        <w:t>郑先生</w:t>
      </w:r>
    </w:p>
    <w:p w14:paraId="5064B83C">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项目联系方式（询问）：0572-5129094     </w:t>
      </w:r>
    </w:p>
    <w:p w14:paraId="2D96C900">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质疑联系人：</w:t>
      </w:r>
      <w:r>
        <w:rPr>
          <w:rFonts w:hint="eastAsia" w:ascii="宋体" w:hAnsi="宋体" w:cs="宋体"/>
          <w:color w:val="auto"/>
          <w:szCs w:val="21"/>
          <w:highlight w:val="none"/>
          <w:shd w:val="clear" w:color="auto" w:fill="FFFFFF"/>
          <w:lang w:val="en-US" w:eastAsia="zh-CN"/>
        </w:rPr>
        <w:t>郑先生</w:t>
      </w:r>
    </w:p>
    <w:p w14:paraId="4A4F0AC4">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质疑联系方式：</w:t>
      </w:r>
      <w:r>
        <w:rPr>
          <w:rFonts w:hint="eastAsia" w:ascii="宋体" w:hAnsi="宋体" w:cs="宋体"/>
          <w:color w:val="auto"/>
          <w:szCs w:val="21"/>
          <w:highlight w:val="none"/>
          <w:shd w:val="clear" w:color="auto" w:fill="FFFFFF"/>
        </w:rPr>
        <w:t>0572-5129011</w:t>
      </w:r>
    </w:p>
    <w:p w14:paraId="1E257C52">
      <w:pPr>
        <w:spacing w:line="400" w:lineRule="exact"/>
        <w:ind w:firstLine="420" w:firstLineChars="200"/>
        <w:jc w:val="left"/>
        <w:rPr>
          <w:rFonts w:ascii="宋体" w:cs="宋体"/>
          <w:color w:val="auto"/>
          <w:kern w:val="0"/>
          <w:szCs w:val="21"/>
          <w:highlight w:val="none"/>
        </w:rPr>
      </w:pPr>
    </w:p>
    <w:p w14:paraId="5600F0E9">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采购代理机构信息</w:t>
      </w:r>
    </w:p>
    <w:p w14:paraId="2F0210FE">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名      称：浙江华夏工程管理有限公司</w:t>
      </w:r>
    </w:p>
    <w:p w14:paraId="6C1E8091">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地      址：安吉县昌硕街道天目中路</w:t>
      </w:r>
      <w:r>
        <w:rPr>
          <w:rFonts w:ascii="宋体" w:hAnsi="宋体" w:cs="宋体"/>
          <w:color w:val="auto"/>
          <w:kern w:val="0"/>
          <w:szCs w:val="21"/>
          <w:highlight w:val="none"/>
        </w:rPr>
        <w:t>771</w:t>
      </w:r>
      <w:r>
        <w:rPr>
          <w:rFonts w:hint="eastAsia" w:ascii="宋体" w:hAnsi="宋体" w:cs="宋体"/>
          <w:color w:val="auto"/>
          <w:kern w:val="0"/>
          <w:szCs w:val="21"/>
          <w:highlight w:val="none"/>
        </w:rPr>
        <w:t>号三楼</w:t>
      </w:r>
    </w:p>
    <w:p w14:paraId="36A09695">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传      真：</w:t>
      </w:r>
      <w:r>
        <w:rPr>
          <w:rFonts w:ascii="宋体" w:hAnsi="宋体" w:cs="宋体"/>
          <w:color w:val="auto"/>
          <w:kern w:val="0"/>
          <w:szCs w:val="21"/>
          <w:highlight w:val="none"/>
        </w:rPr>
        <w:t>0572-5601397</w:t>
      </w:r>
    </w:p>
    <w:p w14:paraId="4E5B6424">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项目联系人（询问）：陈晨</w:t>
      </w:r>
    </w:p>
    <w:p w14:paraId="37D5471C">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项目联系方式（询问）：</w:t>
      </w:r>
      <w:r>
        <w:rPr>
          <w:rFonts w:ascii="宋体" w:hAnsi="宋体" w:cs="宋体"/>
          <w:color w:val="auto"/>
          <w:kern w:val="0"/>
          <w:szCs w:val="21"/>
          <w:highlight w:val="none"/>
        </w:rPr>
        <w:t>0572-5601977</w:t>
      </w:r>
    </w:p>
    <w:p w14:paraId="6872E090">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质疑联系人：胡文迪</w:t>
      </w:r>
    </w:p>
    <w:p w14:paraId="2BF6307D">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质疑联系方式：</w:t>
      </w:r>
      <w:r>
        <w:rPr>
          <w:rFonts w:ascii="宋体" w:hAnsi="宋体" w:cs="宋体"/>
          <w:color w:val="auto"/>
          <w:kern w:val="0"/>
          <w:szCs w:val="21"/>
          <w:highlight w:val="none"/>
        </w:rPr>
        <w:t>0572-5601977</w:t>
      </w:r>
    </w:p>
    <w:p w14:paraId="04465E20">
      <w:pPr>
        <w:spacing w:line="400" w:lineRule="exact"/>
        <w:ind w:firstLine="420" w:firstLineChars="200"/>
        <w:jc w:val="left"/>
        <w:rPr>
          <w:rFonts w:ascii="宋体" w:cs="宋体"/>
          <w:color w:val="auto"/>
          <w:kern w:val="0"/>
          <w:szCs w:val="21"/>
          <w:highlight w:val="none"/>
        </w:rPr>
      </w:pPr>
    </w:p>
    <w:p w14:paraId="011D1521">
      <w:pPr>
        <w:spacing w:line="400" w:lineRule="exact"/>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同级政府采购监督管理部门</w:t>
      </w:r>
    </w:p>
    <w:p w14:paraId="38BFA9FB">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名      称：安吉县财政局</w:t>
      </w:r>
    </w:p>
    <w:p w14:paraId="4BDE8A16">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地      址：安吉县昌硕街道凤凰路凤凰五区188号</w:t>
      </w:r>
    </w:p>
    <w:p w14:paraId="5B09F88D">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联  系  人：采监科王庭</w:t>
      </w:r>
    </w:p>
    <w:p w14:paraId="79D18969">
      <w:pPr>
        <w:spacing w:line="400" w:lineRule="exact"/>
        <w:ind w:firstLine="420" w:firstLineChars="200"/>
        <w:jc w:val="left"/>
        <w:rPr>
          <w:color w:val="auto"/>
          <w:highlight w:val="none"/>
        </w:rPr>
      </w:pPr>
      <w:r>
        <w:rPr>
          <w:rFonts w:hint="eastAsia" w:ascii="宋体" w:hAnsi="宋体" w:cs="宋体"/>
          <w:color w:val="auto"/>
          <w:kern w:val="0"/>
          <w:szCs w:val="21"/>
          <w:highlight w:val="none"/>
        </w:rPr>
        <w:t>监督投诉电话：</w:t>
      </w:r>
      <w:r>
        <w:rPr>
          <w:rFonts w:ascii="宋体" w:hAnsi="宋体" w:cs="宋体"/>
          <w:color w:val="auto"/>
          <w:kern w:val="0"/>
          <w:szCs w:val="21"/>
          <w:highlight w:val="none"/>
        </w:rPr>
        <w:t>0572-5807951  </w:t>
      </w:r>
    </w:p>
    <w:p w14:paraId="6913D3D7">
      <w:pPr>
        <w:pStyle w:val="3"/>
        <w:keepNext w:val="0"/>
        <w:keepLines w:val="0"/>
        <w:overflowPunct w:val="0"/>
        <w:spacing w:before="0" w:after="0" w:line="600" w:lineRule="exact"/>
        <w:jc w:val="center"/>
        <w:rPr>
          <w:rFonts w:ascii="宋体" w:cs="宋体"/>
          <w:color w:val="auto"/>
          <w:sz w:val="32"/>
          <w:szCs w:val="32"/>
          <w:highlight w:val="none"/>
        </w:rPr>
      </w:pPr>
      <w:bookmarkStart w:id="5" w:name="_Toc11386"/>
      <w:bookmarkStart w:id="6" w:name="_Toc22986"/>
      <w:bookmarkStart w:id="7" w:name="_Toc13202"/>
      <w:bookmarkStart w:id="8" w:name="_Toc31959"/>
      <w:r>
        <w:rPr>
          <w:rFonts w:hint="eastAsia" w:ascii="宋体" w:hAnsi="宋体" w:cs="宋体"/>
          <w:color w:val="auto"/>
          <w:sz w:val="32"/>
          <w:szCs w:val="32"/>
          <w:highlight w:val="none"/>
        </w:rPr>
        <w:t>第二章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供应商须知</w:t>
      </w:r>
      <w:bookmarkEnd w:id="5"/>
      <w:bookmarkEnd w:id="6"/>
      <w:bookmarkEnd w:id="7"/>
      <w:bookmarkEnd w:id="8"/>
    </w:p>
    <w:p w14:paraId="7409593A">
      <w:pPr>
        <w:overflowPunct w:val="0"/>
        <w:spacing w:line="400" w:lineRule="exact"/>
        <w:jc w:val="center"/>
        <w:rPr>
          <w:rFonts w:ascii="宋体" w:cs="宋体"/>
          <w:color w:val="auto"/>
          <w:sz w:val="30"/>
          <w:szCs w:val="30"/>
          <w:highlight w:val="none"/>
        </w:rPr>
      </w:pPr>
      <w:bookmarkStart w:id="9" w:name="_Toc32234"/>
      <w:bookmarkStart w:id="10" w:name="_Toc30213"/>
      <w:r>
        <w:rPr>
          <w:rFonts w:hint="eastAsia" w:ascii="宋体" w:hAnsi="宋体" w:cs="宋体"/>
          <w:color w:val="auto"/>
          <w:sz w:val="30"/>
          <w:szCs w:val="30"/>
          <w:highlight w:val="none"/>
        </w:rPr>
        <w:t>前</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附</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表</w:t>
      </w:r>
      <w:bookmarkEnd w:id="9"/>
      <w:bookmarkEnd w:id="10"/>
    </w:p>
    <w:tbl>
      <w:tblPr>
        <w:tblStyle w:val="30"/>
        <w:tblW w:w="88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1762"/>
        <w:gridCol w:w="6453"/>
      </w:tblGrid>
      <w:tr w14:paraId="0C1C9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104476FC">
            <w:pPr>
              <w:overflowPunct w:val="0"/>
              <w:spacing w:line="40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762" w:type="dxa"/>
            <w:tcBorders>
              <w:top w:val="single" w:color="auto" w:sz="4" w:space="0"/>
              <w:left w:val="single" w:color="auto" w:sz="4" w:space="0"/>
              <w:bottom w:val="single" w:color="auto" w:sz="4" w:space="0"/>
              <w:right w:val="single" w:color="auto" w:sz="4" w:space="0"/>
            </w:tcBorders>
            <w:vAlign w:val="center"/>
          </w:tcPr>
          <w:p w14:paraId="77F40935">
            <w:pPr>
              <w:overflowPunct w:val="0"/>
              <w:spacing w:line="400" w:lineRule="exact"/>
              <w:jc w:val="center"/>
              <w:rPr>
                <w:rFonts w:ascii="宋体" w:cs="宋体"/>
                <w:color w:val="auto"/>
                <w:szCs w:val="21"/>
                <w:highlight w:val="none"/>
              </w:rPr>
            </w:pPr>
            <w:r>
              <w:rPr>
                <w:rFonts w:hint="eastAsia" w:ascii="宋体" w:hAnsi="宋体" w:cs="宋体"/>
                <w:color w:val="auto"/>
                <w:szCs w:val="21"/>
                <w:highlight w:val="none"/>
              </w:rPr>
              <w:t>项目</w:t>
            </w:r>
          </w:p>
        </w:tc>
        <w:tc>
          <w:tcPr>
            <w:tcW w:w="6453" w:type="dxa"/>
            <w:tcBorders>
              <w:top w:val="single" w:color="auto" w:sz="4" w:space="0"/>
              <w:left w:val="single" w:color="auto" w:sz="4" w:space="0"/>
              <w:bottom w:val="single" w:color="auto" w:sz="4" w:space="0"/>
            </w:tcBorders>
            <w:vAlign w:val="center"/>
          </w:tcPr>
          <w:p w14:paraId="195695A1">
            <w:pPr>
              <w:overflowPunct w:val="0"/>
              <w:spacing w:line="400" w:lineRule="exact"/>
              <w:jc w:val="center"/>
              <w:rPr>
                <w:rFonts w:ascii="宋体" w:cs="宋体"/>
                <w:color w:val="auto"/>
                <w:szCs w:val="21"/>
                <w:highlight w:val="none"/>
              </w:rPr>
            </w:pPr>
            <w:r>
              <w:rPr>
                <w:rFonts w:hint="eastAsia" w:ascii="宋体" w:hAnsi="宋体" w:cs="宋体"/>
                <w:color w:val="auto"/>
                <w:szCs w:val="21"/>
                <w:highlight w:val="none"/>
              </w:rPr>
              <w:t>内容与要求</w:t>
            </w:r>
          </w:p>
        </w:tc>
      </w:tr>
      <w:tr w14:paraId="3D8E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5B6FF3AF">
            <w:pPr>
              <w:overflowPunct w:val="0"/>
              <w:spacing w:line="400" w:lineRule="exact"/>
              <w:jc w:val="center"/>
              <w:rPr>
                <w:rFonts w:ascii="宋体" w:cs="宋体"/>
                <w:color w:val="auto"/>
                <w:szCs w:val="21"/>
                <w:highlight w:val="none"/>
              </w:rPr>
            </w:pPr>
            <w:r>
              <w:rPr>
                <w:rFonts w:ascii="宋体" w:hAnsi="宋体" w:cs="宋体"/>
                <w:color w:val="auto"/>
                <w:szCs w:val="21"/>
                <w:highlight w:val="none"/>
              </w:rPr>
              <w:t>1</w:t>
            </w:r>
          </w:p>
        </w:tc>
        <w:tc>
          <w:tcPr>
            <w:tcW w:w="1762" w:type="dxa"/>
            <w:tcBorders>
              <w:top w:val="single" w:color="auto" w:sz="4" w:space="0"/>
              <w:left w:val="single" w:color="auto" w:sz="4" w:space="0"/>
              <w:bottom w:val="single" w:color="auto" w:sz="4" w:space="0"/>
              <w:right w:val="single" w:color="auto" w:sz="4" w:space="0"/>
            </w:tcBorders>
            <w:vAlign w:val="center"/>
          </w:tcPr>
          <w:p w14:paraId="4C10549D">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项目名称</w:t>
            </w:r>
          </w:p>
        </w:tc>
        <w:tc>
          <w:tcPr>
            <w:tcW w:w="6453" w:type="dxa"/>
            <w:tcBorders>
              <w:top w:val="single" w:color="auto" w:sz="4" w:space="0"/>
              <w:left w:val="single" w:color="auto" w:sz="4" w:space="0"/>
              <w:bottom w:val="single" w:color="auto" w:sz="4" w:space="0"/>
            </w:tcBorders>
            <w:vAlign w:val="center"/>
          </w:tcPr>
          <w:p w14:paraId="572094C8">
            <w:pPr>
              <w:overflowPunct w:val="0"/>
              <w:spacing w:line="400" w:lineRule="exact"/>
              <w:rPr>
                <w:rFonts w:ascii="宋体" w:cs="宋体"/>
                <w:bCs/>
                <w:color w:val="auto"/>
                <w:szCs w:val="21"/>
                <w:highlight w:val="none"/>
              </w:rPr>
            </w:pPr>
            <w:r>
              <w:rPr>
                <w:rFonts w:hint="eastAsia" w:ascii="宋体" w:hAnsi="宋体" w:cs="宋体"/>
                <w:color w:val="auto"/>
                <w:kern w:val="0"/>
                <w:szCs w:val="21"/>
                <w:highlight w:val="none"/>
                <w:lang w:eastAsia="zh-CN"/>
              </w:rPr>
              <w:t>安吉县托育综合服务中心设计和装修项目</w:t>
            </w:r>
          </w:p>
        </w:tc>
      </w:tr>
      <w:tr w14:paraId="14807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122928DC">
            <w:pPr>
              <w:overflowPunct w:val="0"/>
              <w:spacing w:line="400" w:lineRule="exact"/>
              <w:jc w:val="center"/>
              <w:rPr>
                <w:rFonts w:ascii="宋体" w:cs="宋体"/>
                <w:color w:val="auto"/>
                <w:szCs w:val="21"/>
                <w:highlight w:val="none"/>
              </w:rPr>
            </w:pPr>
            <w:r>
              <w:rPr>
                <w:rFonts w:ascii="宋体" w:hAnsi="宋体" w:cs="宋体"/>
                <w:color w:val="auto"/>
                <w:szCs w:val="21"/>
                <w:highlight w:val="none"/>
              </w:rPr>
              <w:t>2</w:t>
            </w:r>
          </w:p>
        </w:tc>
        <w:tc>
          <w:tcPr>
            <w:tcW w:w="1762" w:type="dxa"/>
            <w:tcBorders>
              <w:top w:val="single" w:color="auto" w:sz="4" w:space="0"/>
              <w:left w:val="single" w:color="auto" w:sz="4" w:space="0"/>
              <w:bottom w:val="single" w:color="auto" w:sz="4" w:space="0"/>
              <w:right w:val="single" w:color="auto" w:sz="4" w:space="0"/>
            </w:tcBorders>
            <w:vAlign w:val="center"/>
          </w:tcPr>
          <w:p w14:paraId="633D3FB9">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项目编号</w:t>
            </w:r>
          </w:p>
        </w:tc>
        <w:tc>
          <w:tcPr>
            <w:tcW w:w="6453" w:type="dxa"/>
            <w:tcBorders>
              <w:top w:val="single" w:color="auto" w:sz="4" w:space="0"/>
              <w:left w:val="single" w:color="auto" w:sz="4" w:space="0"/>
              <w:bottom w:val="single" w:color="auto" w:sz="4" w:space="0"/>
            </w:tcBorders>
            <w:vAlign w:val="center"/>
          </w:tcPr>
          <w:p w14:paraId="0C176791">
            <w:pPr>
              <w:overflowPunct w:val="0"/>
              <w:spacing w:line="400" w:lineRule="exact"/>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HXCG-ZF-2025-017</w:t>
            </w:r>
          </w:p>
        </w:tc>
      </w:tr>
      <w:tr w14:paraId="09D2D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23D469B8">
            <w:pPr>
              <w:overflowPunct w:val="0"/>
              <w:spacing w:line="400" w:lineRule="exact"/>
              <w:jc w:val="center"/>
              <w:rPr>
                <w:rFonts w:ascii="宋体" w:cs="宋体"/>
                <w:color w:val="auto"/>
                <w:szCs w:val="21"/>
                <w:highlight w:val="none"/>
              </w:rPr>
            </w:pPr>
            <w:r>
              <w:rPr>
                <w:rFonts w:ascii="宋体" w:hAnsi="宋体" w:cs="宋体"/>
                <w:color w:val="auto"/>
                <w:szCs w:val="21"/>
                <w:highlight w:val="none"/>
              </w:rPr>
              <w:t>3</w:t>
            </w:r>
          </w:p>
        </w:tc>
        <w:tc>
          <w:tcPr>
            <w:tcW w:w="1762" w:type="dxa"/>
            <w:tcBorders>
              <w:top w:val="single" w:color="auto" w:sz="4" w:space="0"/>
              <w:left w:val="single" w:color="auto" w:sz="4" w:space="0"/>
              <w:bottom w:val="single" w:color="auto" w:sz="4" w:space="0"/>
              <w:right w:val="single" w:color="auto" w:sz="4" w:space="0"/>
            </w:tcBorders>
            <w:vAlign w:val="center"/>
          </w:tcPr>
          <w:p w14:paraId="0A4A54BA">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磋商代理费</w:t>
            </w:r>
          </w:p>
        </w:tc>
        <w:tc>
          <w:tcPr>
            <w:tcW w:w="6453" w:type="dxa"/>
            <w:tcBorders>
              <w:top w:val="single" w:color="auto" w:sz="4" w:space="0"/>
              <w:left w:val="single" w:color="auto" w:sz="4" w:space="0"/>
              <w:bottom w:val="single" w:color="auto" w:sz="4" w:space="0"/>
            </w:tcBorders>
            <w:vAlign w:val="center"/>
          </w:tcPr>
          <w:p w14:paraId="6D5D6163">
            <w:pPr>
              <w:spacing w:line="400" w:lineRule="exact"/>
              <w:rPr>
                <w:rFonts w:ascii="宋体" w:cs="宋体"/>
                <w:color w:val="auto"/>
                <w:szCs w:val="21"/>
                <w:highlight w:val="none"/>
              </w:rPr>
            </w:pPr>
            <w:r>
              <w:rPr>
                <w:rFonts w:hint="eastAsia" w:ascii="宋体" w:hAnsi="宋体" w:cs="宋体"/>
                <w:color w:val="auto"/>
                <w:kern w:val="0"/>
                <w:szCs w:val="21"/>
                <w:highlight w:val="none"/>
              </w:rPr>
              <w:t>磋商代理费</w:t>
            </w:r>
            <w:r>
              <w:rPr>
                <w:rFonts w:hint="eastAsia" w:ascii="宋体" w:hAnsi="宋体" w:cs="宋体"/>
                <w:color w:val="auto"/>
                <w:szCs w:val="21"/>
                <w:highlight w:val="none"/>
              </w:rPr>
              <w:t>由成交单位支付按成交金额支付，100万以内按1.5%，100-500万按0.8%，差额定律累进法计算，</w:t>
            </w:r>
            <w:r>
              <w:rPr>
                <w:rFonts w:hint="eastAsia" w:ascii="宋体" w:hAnsi="宋体"/>
                <w:color w:val="auto"/>
                <w:szCs w:val="21"/>
                <w:highlight w:val="none"/>
              </w:rPr>
              <w:t>代理项目收费标准计算不足5000元的，按5000元收费</w:t>
            </w:r>
            <w:r>
              <w:rPr>
                <w:rFonts w:hint="eastAsia" w:ascii="宋体" w:hAnsi="宋体" w:cs="宋体"/>
                <w:bCs/>
                <w:color w:val="auto"/>
                <w:szCs w:val="21"/>
                <w:highlight w:val="none"/>
              </w:rPr>
              <w:t>。</w:t>
            </w:r>
          </w:p>
        </w:tc>
      </w:tr>
      <w:tr w14:paraId="0FFAF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6D69502">
            <w:pPr>
              <w:overflowPunct w:val="0"/>
              <w:spacing w:line="400" w:lineRule="exact"/>
              <w:jc w:val="center"/>
              <w:rPr>
                <w:rFonts w:ascii="宋体" w:cs="宋体"/>
                <w:color w:val="auto"/>
                <w:szCs w:val="21"/>
                <w:highlight w:val="none"/>
              </w:rPr>
            </w:pPr>
            <w:r>
              <w:rPr>
                <w:rFonts w:ascii="宋体" w:hAnsi="宋体" w:cs="宋体"/>
                <w:color w:val="auto"/>
                <w:szCs w:val="21"/>
                <w:highlight w:val="none"/>
              </w:rPr>
              <w:t>4</w:t>
            </w:r>
          </w:p>
        </w:tc>
        <w:tc>
          <w:tcPr>
            <w:tcW w:w="1762" w:type="dxa"/>
            <w:tcBorders>
              <w:top w:val="single" w:color="auto" w:sz="4" w:space="0"/>
              <w:left w:val="single" w:color="auto" w:sz="4" w:space="0"/>
              <w:bottom w:val="single" w:color="auto" w:sz="4" w:space="0"/>
              <w:right w:val="single" w:color="auto" w:sz="4" w:space="0"/>
            </w:tcBorders>
            <w:vAlign w:val="center"/>
          </w:tcPr>
          <w:p w14:paraId="79E66CC2">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项目实施地点</w:t>
            </w:r>
          </w:p>
        </w:tc>
        <w:tc>
          <w:tcPr>
            <w:tcW w:w="6453" w:type="dxa"/>
            <w:tcBorders>
              <w:top w:val="single" w:color="auto" w:sz="4" w:space="0"/>
              <w:left w:val="single" w:color="auto" w:sz="4" w:space="0"/>
              <w:bottom w:val="single" w:color="auto" w:sz="4" w:space="0"/>
            </w:tcBorders>
            <w:vAlign w:val="center"/>
          </w:tcPr>
          <w:p w14:paraId="4748CA19">
            <w:pPr>
              <w:overflowPunct w:val="0"/>
              <w:spacing w:line="400" w:lineRule="exact"/>
              <w:rPr>
                <w:rFonts w:ascii="宋体" w:cs="宋体"/>
                <w:color w:val="auto"/>
                <w:szCs w:val="21"/>
                <w:highlight w:val="none"/>
              </w:rPr>
            </w:pPr>
            <w:r>
              <w:rPr>
                <w:rFonts w:hint="eastAsia" w:ascii="宋体" w:hAnsi="宋体" w:cs="宋体"/>
                <w:color w:val="auto"/>
                <w:szCs w:val="21"/>
                <w:highlight w:val="none"/>
              </w:rPr>
              <w:t>采购人指定地点。</w:t>
            </w:r>
          </w:p>
        </w:tc>
      </w:tr>
      <w:tr w14:paraId="614A4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7942F604">
            <w:pPr>
              <w:overflowPunct w:val="0"/>
              <w:spacing w:line="400" w:lineRule="exact"/>
              <w:jc w:val="center"/>
              <w:rPr>
                <w:rFonts w:ascii="宋体" w:cs="宋体"/>
                <w:color w:val="auto"/>
                <w:szCs w:val="21"/>
                <w:highlight w:val="none"/>
              </w:rPr>
            </w:pPr>
            <w:r>
              <w:rPr>
                <w:rFonts w:ascii="宋体" w:hAnsi="宋体" w:cs="宋体"/>
                <w:color w:val="auto"/>
                <w:szCs w:val="21"/>
                <w:highlight w:val="none"/>
              </w:rPr>
              <w:t>5</w:t>
            </w:r>
          </w:p>
        </w:tc>
        <w:tc>
          <w:tcPr>
            <w:tcW w:w="1762" w:type="dxa"/>
            <w:tcBorders>
              <w:top w:val="single" w:color="auto" w:sz="4" w:space="0"/>
              <w:left w:val="single" w:color="auto" w:sz="4" w:space="0"/>
              <w:bottom w:val="single" w:color="auto" w:sz="4" w:space="0"/>
              <w:right w:val="single" w:color="auto" w:sz="4" w:space="0"/>
            </w:tcBorders>
            <w:vAlign w:val="center"/>
          </w:tcPr>
          <w:p w14:paraId="442907A5">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完成期限</w:t>
            </w:r>
          </w:p>
        </w:tc>
        <w:tc>
          <w:tcPr>
            <w:tcW w:w="6453" w:type="dxa"/>
            <w:tcBorders>
              <w:top w:val="single" w:color="auto" w:sz="4" w:space="0"/>
              <w:left w:val="single" w:color="auto" w:sz="4" w:space="0"/>
              <w:bottom w:val="single" w:color="auto" w:sz="4" w:space="0"/>
            </w:tcBorders>
            <w:vAlign w:val="center"/>
          </w:tcPr>
          <w:p w14:paraId="75288F47">
            <w:pPr>
              <w:overflowPunct w:val="0"/>
              <w:spacing w:line="400" w:lineRule="exact"/>
              <w:rPr>
                <w:rFonts w:ascii="宋体" w:cs="宋体"/>
                <w:color w:val="auto"/>
                <w:szCs w:val="21"/>
                <w:highlight w:val="none"/>
              </w:rPr>
            </w:pPr>
            <w:r>
              <w:rPr>
                <w:rFonts w:hint="eastAsia" w:ascii="宋体" w:hAnsi="宋体" w:cs="宋体"/>
                <w:color w:val="auto"/>
                <w:szCs w:val="21"/>
                <w:highlight w:val="none"/>
              </w:rPr>
              <w:t>采购规定的时间前完成。</w:t>
            </w:r>
          </w:p>
        </w:tc>
      </w:tr>
      <w:tr w14:paraId="1DC7A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2352027D">
            <w:pPr>
              <w:overflowPunct w:val="0"/>
              <w:spacing w:line="400" w:lineRule="exact"/>
              <w:jc w:val="center"/>
              <w:rPr>
                <w:rFonts w:ascii="宋体" w:cs="宋体"/>
                <w:color w:val="auto"/>
                <w:szCs w:val="21"/>
                <w:highlight w:val="none"/>
              </w:rPr>
            </w:pPr>
            <w:r>
              <w:rPr>
                <w:rFonts w:ascii="宋体" w:hAnsi="宋体" w:cs="宋体"/>
                <w:color w:val="auto"/>
                <w:szCs w:val="21"/>
                <w:highlight w:val="none"/>
              </w:rPr>
              <w:t>6</w:t>
            </w:r>
          </w:p>
        </w:tc>
        <w:tc>
          <w:tcPr>
            <w:tcW w:w="1762" w:type="dxa"/>
            <w:tcBorders>
              <w:top w:val="single" w:color="auto" w:sz="4" w:space="0"/>
              <w:left w:val="single" w:color="auto" w:sz="4" w:space="0"/>
              <w:bottom w:val="single" w:color="auto" w:sz="4" w:space="0"/>
              <w:right w:val="single" w:color="auto" w:sz="4" w:space="0"/>
            </w:tcBorders>
            <w:vAlign w:val="center"/>
          </w:tcPr>
          <w:p w14:paraId="03CD6C4C">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质疑及投诉</w:t>
            </w:r>
          </w:p>
        </w:tc>
        <w:tc>
          <w:tcPr>
            <w:tcW w:w="6453" w:type="dxa"/>
            <w:tcBorders>
              <w:top w:val="single" w:color="auto" w:sz="4" w:space="0"/>
              <w:left w:val="single" w:color="auto" w:sz="4" w:space="0"/>
              <w:bottom w:val="single" w:color="auto" w:sz="4" w:space="0"/>
            </w:tcBorders>
            <w:vAlign w:val="center"/>
          </w:tcPr>
          <w:p w14:paraId="350154A3">
            <w:pPr>
              <w:overflowPunct w:val="0"/>
              <w:spacing w:line="400" w:lineRule="exact"/>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供应商认为采购文件、采购过程、成交或者成交结果使自己的权益受到损害的，可以在知道或者应知其权益受到损害之日起</w:t>
            </w:r>
            <w:r>
              <w:rPr>
                <w:rFonts w:ascii="宋体" w:hAnsi="宋体" w:cs="宋体"/>
                <w:color w:val="auto"/>
                <w:kern w:val="0"/>
                <w:szCs w:val="21"/>
                <w:highlight w:val="none"/>
              </w:rPr>
              <w:t>7</w:t>
            </w:r>
            <w:r>
              <w:rPr>
                <w:rFonts w:hint="eastAsia" w:ascii="宋体" w:hAnsi="宋体" w:cs="宋体"/>
                <w:color w:val="auto"/>
                <w:kern w:val="0"/>
                <w:szCs w:val="21"/>
                <w:highlight w:val="none"/>
              </w:rPr>
              <w:t>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18341625">
            <w:pPr>
              <w:overflowPunct w:val="0"/>
              <w:spacing w:line="400" w:lineRule="exact"/>
              <w:rPr>
                <w:rFonts w:ascii="宋体" w:cs="宋体"/>
                <w:color w:val="auto"/>
                <w:kern w:val="0"/>
                <w:szCs w:val="21"/>
                <w:highlight w:val="none"/>
              </w:rPr>
            </w:pPr>
            <w:r>
              <w:rPr>
                <w:rFonts w:hint="eastAsia" w:ascii="宋体" w:hAnsi="宋体" w:cs="宋体"/>
                <w:color w:val="auto"/>
                <w:kern w:val="0"/>
                <w:szCs w:val="21"/>
                <w:highlight w:val="none"/>
              </w:rPr>
              <w:t>质疑起算日期如下：</w:t>
            </w:r>
          </w:p>
          <w:p w14:paraId="5C63807C">
            <w:pPr>
              <w:overflowPunct w:val="0"/>
              <w:spacing w:line="400" w:lineRule="exac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）对可以质疑的采购文件提出质疑的，为收到采购文件之日或者采购文件公告期限届满之日（公告期限届满后获取采购文件的，以公告期限届满之日为准）；</w:t>
            </w:r>
          </w:p>
          <w:p w14:paraId="3C8AB36D">
            <w:pPr>
              <w:overflowPunct w:val="0"/>
              <w:spacing w:line="400" w:lineRule="exac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）对采购过程提出质疑的，为各采购程序环节结束之日；</w:t>
            </w:r>
          </w:p>
          <w:p w14:paraId="7A6C9F35">
            <w:pPr>
              <w:overflowPunct w:val="0"/>
              <w:spacing w:line="400" w:lineRule="exac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）对成交结果提出质疑的，为成交结果公告期限届满之日。</w:t>
            </w:r>
          </w:p>
          <w:p w14:paraId="01932E3C">
            <w:pPr>
              <w:overflowPunct w:val="0"/>
              <w:spacing w:line="400" w:lineRule="exact"/>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质疑和投诉按照《政府采购质疑和投诉办法》（财政部令第</w:t>
            </w:r>
            <w:r>
              <w:rPr>
                <w:rFonts w:ascii="宋体" w:hAnsi="宋体" w:cs="宋体"/>
                <w:color w:val="auto"/>
                <w:kern w:val="0"/>
                <w:szCs w:val="21"/>
                <w:highlight w:val="none"/>
              </w:rPr>
              <w:t>94</w:t>
            </w:r>
            <w:r>
              <w:rPr>
                <w:rFonts w:hint="eastAsia" w:ascii="宋体" w:hAnsi="宋体" w:cs="宋体"/>
                <w:color w:val="auto"/>
                <w:kern w:val="0"/>
                <w:szCs w:val="21"/>
                <w:highlight w:val="none"/>
              </w:rPr>
              <w:t>号）规定，范本在《浙江政府采购网》中“下载专区”内下载。质疑时要求供应商在法定质疑期内一次性提出针对同一采购程序环节的质疑。</w:t>
            </w:r>
          </w:p>
          <w:p w14:paraId="30C0A079">
            <w:pPr>
              <w:overflowPunct w:val="0"/>
              <w:spacing w:line="400" w:lineRule="exact"/>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提出质疑的供应商应当是参与所质疑项目采购活动的供应商。潜在供应商已依法获取其可质疑的采购文件的，可以对该文件提出质疑。对采购文件提出质疑的，应当在获取采购文件或者采购文件公告期限届满之日起</w:t>
            </w:r>
            <w:r>
              <w:rPr>
                <w:rFonts w:ascii="宋体" w:hAnsi="宋体" w:cs="宋体"/>
                <w:color w:val="auto"/>
                <w:kern w:val="0"/>
                <w:szCs w:val="21"/>
                <w:highlight w:val="none"/>
              </w:rPr>
              <w:t>7</w:t>
            </w:r>
            <w:r>
              <w:rPr>
                <w:rFonts w:hint="eastAsia" w:ascii="宋体" w:hAnsi="宋体" w:cs="宋体"/>
                <w:color w:val="auto"/>
                <w:kern w:val="0"/>
                <w:szCs w:val="21"/>
                <w:highlight w:val="none"/>
              </w:rPr>
              <w:t>个工作日内提出。</w:t>
            </w:r>
          </w:p>
        </w:tc>
      </w:tr>
      <w:tr w14:paraId="2CF65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10F9A251">
            <w:pPr>
              <w:overflowPunct w:val="0"/>
              <w:spacing w:line="400" w:lineRule="exact"/>
              <w:jc w:val="center"/>
              <w:rPr>
                <w:rFonts w:ascii="宋体" w:cs="宋体"/>
                <w:color w:val="auto"/>
                <w:szCs w:val="21"/>
                <w:highlight w:val="none"/>
              </w:rPr>
            </w:pPr>
            <w:r>
              <w:rPr>
                <w:rFonts w:ascii="宋体" w:hAnsi="宋体" w:cs="宋体"/>
                <w:color w:val="auto"/>
                <w:szCs w:val="21"/>
                <w:highlight w:val="none"/>
              </w:rPr>
              <w:t>7</w:t>
            </w:r>
          </w:p>
        </w:tc>
        <w:tc>
          <w:tcPr>
            <w:tcW w:w="1762" w:type="dxa"/>
            <w:tcBorders>
              <w:top w:val="single" w:color="auto" w:sz="4" w:space="0"/>
              <w:left w:val="single" w:color="auto" w:sz="4" w:space="0"/>
              <w:bottom w:val="single" w:color="auto" w:sz="4" w:space="0"/>
              <w:right w:val="single" w:color="auto" w:sz="4" w:space="0"/>
            </w:tcBorders>
            <w:vAlign w:val="center"/>
          </w:tcPr>
          <w:p w14:paraId="423DAEE9">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磋商响应文件份数</w:t>
            </w:r>
          </w:p>
        </w:tc>
        <w:tc>
          <w:tcPr>
            <w:tcW w:w="6453" w:type="dxa"/>
            <w:tcBorders>
              <w:top w:val="single" w:color="auto" w:sz="4" w:space="0"/>
              <w:left w:val="single" w:color="auto" w:sz="4" w:space="0"/>
              <w:bottom w:val="single" w:color="auto" w:sz="4" w:space="0"/>
            </w:tcBorders>
            <w:vAlign w:val="center"/>
          </w:tcPr>
          <w:p w14:paraId="11BB1093">
            <w:pPr>
              <w:overflowPunct w:val="0"/>
              <w:spacing w:line="400" w:lineRule="exact"/>
              <w:rPr>
                <w:rFonts w:ascii="宋体" w:cs="宋体"/>
                <w:color w:val="auto"/>
                <w:highlight w:val="none"/>
              </w:rPr>
            </w:pPr>
            <w:r>
              <w:rPr>
                <w:rFonts w:hint="eastAsia" w:ascii="宋体" w:hAnsi="宋体" w:cs="宋体"/>
                <w:color w:val="auto"/>
                <w:highlight w:val="none"/>
              </w:rPr>
              <w:t>磋商响应文件组成：</w:t>
            </w:r>
          </w:p>
          <w:p w14:paraId="2E1238BB">
            <w:pPr>
              <w:spacing w:line="400" w:lineRule="exact"/>
              <w:rPr>
                <w:rFonts w:ascii="宋体" w:cs="宋体"/>
                <w:color w:val="auto"/>
                <w:highlight w:val="none"/>
              </w:rPr>
            </w:pPr>
            <w:r>
              <w:rPr>
                <w:rFonts w:hint="eastAsia" w:ascii="宋体" w:hAnsi="宋体" w:cs="宋体"/>
                <w:color w:val="auto"/>
                <w:highlight w:val="none"/>
              </w:rPr>
              <w:t>磋商响应文件分资格证明文件、商务文件、技术文件、报价文件四部分。</w:t>
            </w:r>
            <w:r>
              <w:rPr>
                <w:rFonts w:hint="eastAsia" w:ascii="宋体" w:hAnsi="宋体" w:cs="宋体"/>
                <w:color w:val="auto"/>
                <w:kern w:val="0"/>
                <w:szCs w:val="21"/>
                <w:highlight w:val="none"/>
              </w:rPr>
              <w:t>资格证明文件装订成一册，商务文件、技术文件可以合并装订成一册，报价文件装订成一册。</w:t>
            </w:r>
          </w:p>
          <w:p w14:paraId="19E63BFD">
            <w:pPr>
              <w:pStyle w:val="11"/>
              <w:widowControl w:val="0"/>
              <w:numPr>
                <w:ilvl w:val="0"/>
                <w:numId w:val="1"/>
              </w:numPr>
              <w:overflowPunct w:val="0"/>
              <w:spacing w:before="0" w:beforeAutospacing="0" w:after="0" w:afterAutospacing="0" w:line="400" w:lineRule="exact"/>
              <w:rPr>
                <w:color w:val="auto"/>
                <w:sz w:val="21"/>
                <w:szCs w:val="21"/>
                <w:highlight w:val="none"/>
              </w:rPr>
            </w:pPr>
            <w:r>
              <w:rPr>
                <w:rFonts w:hint="eastAsia"/>
                <w:color w:val="auto"/>
                <w:sz w:val="21"/>
                <w:szCs w:val="21"/>
                <w:highlight w:val="none"/>
              </w:rPr>
              <w:t>“电子加密响应文件”：在线上传递交、一份。</w:t>
            </w:r>
          </w:p>
          <w:p w14:paraId="5907361D">
            <w:pPr>
              <w:pStyle w:val="11"/>
              <w:widowControl w:val="0"/>
              <w:numPr>
                <w:ilvl w:val="0"/>
                <w:numId w:val="1"/>
              </w:numPr>
              <w:overflowPunct w:val="0"/>
              <w:spacing w:before="0" w:beforeAutospacing="0" w:after="0" w:afterAutospacing="0" w:line="400" w:lineRule="exact"/>
              <w:rPr>
                <w:color w:val="auto"/>
                <w:sz w:val="21"/>
                <w:szCs w:val="21"/>
                <w:highlight w:val="none"/>
              </w:rPr>
            </w:pPr>
            <w:r>
              <w:rPr>
                <w:rFonts w:hint="eastAsia"/>
                <w:color w:val="auto"/>
                <w:sz w:val="21"/>
                <w:szCs w:val="21"/>
                <w:highlight w:val="none"/>
              </w:rPr>
              <w:t>“备份响应文件”：密封包装后投标截止时间前递交、一份</w:t>
            </w:r>
          </w:p>
          <w:p w14:paraId="27C8F38A">
            <w:pPr>
              <w:pStyle w:val="11"/>
              <w:widowControl w:val="0"/>
              <w:numPr>
                <w:ilvl w:val="0"/>
                <w:numId w:val="1"/>
              </w:numPr>
              <w:overflowPunct w:val="0"/>
              <w:spacing w:before="0" w:beforeAutospacing="0" w:after="0" w:afterAutospacing="0" w:line="400" w:lineRule="exact"/>
              <w:rPr>
                <w:color w:val="auto"/>
                <w:sz w:val="21"/>
                <w:szCs w:val="21"/>
                <w:highlight w:val="none"/>
              </w:rPr>
            </w:pPr>
            <w:r>
              <w:rPr>
                <w:rFonts w:hint="eastAsia"/>
                <w:color w:val="auto"/>
                <w:sz w:val="21"/>
                <w:szCs w:val="21"/>
                <w:highlight w:val="none"/>
              </w:rPr>
              <w:t>“纸质响应文件”：密封包装后投标截止时间前递交、一份。</w:t>
            </w:r>
          </w:p>
          <w:p w14:paraId="2AB841DD">
            <w:pPr>
              <w:pStyle w:val="11"/>
              <w:widowControl w:val="0"/>
              <w:overflowPunct w:val="0"/>
              <w:spacing w:before="0" w:beforeAutospacing="0" w:after="0" w:afterAutospacing="0" w:line="400" w:lineRule="exact"/>
              <w:rPr>
                <w:color w:val="auto"/>
                <w:sz w:val="21"/>
                <w:szCs w:val="21"/>
                <w:highlight w:val="none"/>
              </w:rPr>
            </w:pPr>
            <w:r>
              <w:rPr>
                <w:rFonts w:hint="eastAsia"/>
                <w:color w:val="auto"/>
                <w:sz w:val="21"/>
                <w:szCs w:val="21"/>
                <w:highlight w:val="none"/>
              </w:rPr>
              <w:t>注：“备份响应文件”、“纸质响应文件”不强制提交。</w:t>
            </w:r>
          </w:p>
        </w:tc>
      </w:tr>
      <w:tr w14:paraId="1A310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163B7E59">
            <w:pPr>
              <w:overflowPunct w:val="0"/>
              <w:spacing w:line="400" w:lineRule="exact"/>
              <w:jc w:val="center"/>
              <w:rPr>
                <w:rFonts w:ascii="宋体" w:cs="宋体"/>
                <w:color w:val="auto"/>
                <w:szCs w:val="21"/>
                <w:highlight w:val="none"/>
              </w:rPr>
            </w:pPr>
            <w:r>
              <w:rPr>
                <w:rFonts w:ascii="宋体" w:hAnsi="宋体" w:cs="宋体"/>
                <w:color w:val="auto"/>
                <w:szCs w:val="21"/>
                <w:highlight w:val="none"/>
              </w:rPr>
              <w:t>8</w:t>
            </w:r>
          </w:p>
        </w:tc>
        <w:tc>
          <w:tcPr>
            <w:tcW w:w="1762" w:type="dxa"/>
            <w:tcBorders>
              <w:top w:val="single" w:color="auto" w:sz="4" w:space="0"/>
              <w:left w:val="single" w:color="auto" w:sz="4" w:space="0"/>
              <w:bottom w:val="single" w:color="auto" w:sz="4" w:space="0"/>
              <w:right w:val="single" w:color="auto" w:sz="4" w:space="0"/>
            </w:tcBorders>
            <w:vAlign w:val="center"/>
          </w:tcPr>
          <w:p w14:paraId="6281E521">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磋商响应文件编制</w:t>
            </w:r>
          </w:p>
        </w:tc>
        <w:tc>
          <w:tcPr>
            <w:tcW w:w="6453" w:type="dxa"/>
            <w:tcBorders>
              <w:top w:val="single" w:color="auto" w:sz="4" w:space="0"/>
              <w:left w:val="single" w:color="auto" w:sz="4" w:space="0"/>
              <w:bottom w:val="single" w:color="auto" w:sz="4" w:space="0"/>
            </w:tcBorders>
            <w:vAlign w:val="center"/>
          </w:tcPr>
          <w:p w14:paraId="37EB2674">
            <w:pPr>
              <w:overflowPunct w:val="0"/>
              <w:spacing w:line="400" w:lineRule="exact"/>
              <w:rPr>
                <w:rFonts w:ascii="宋体" w:cs="宋体"/>
                <w:color w:val="auto"/>
                <w:kern w:val="0"/>
                <w:szCs w:val="21"/>
                <w:highlight w:val="none"/>
              </w:rPr>
            </w:pPr>
            <w:r>
              <w:rPr>
                <w:rFonts w:hint="eastAsia" w:ascii="宋体" w:hAnsi="宋体" w:cs="宋体"/>
                <w:color w:val="auto"/>
                <w:kern w:val="0"/>
                <w:szCs w:val="21"/>
                <w:highlight w:val="none"/>
              </w:rPr>
              <w:t>供应商应先安装“政采云电子交易客户端”，并按照本磋商文件和“政府采购云平台”的要求，通过“政采云电子交易客户端”编制并加密响应文件。</w:t>
            </w:r>
          </w:p>
        </w:tc>
      </w:tr>
      <w:tr w14:paraId="38B6C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61D8E29A">
            <w:pPr>
              <w:overflowPunct w:val="0"/>
              <w:spacing w:line="400" w:lineRule="exact"/>
              <w:jc w:val="center"/>
              <w:rPr>
                <w:rFonts w:ascii="宋体" w:cs="宋体"/>
                <w:color w:val="auto"/>
                <w:szCs w:val="21"/>
                <w:highlight w:val="none"/>
              </w:rPr>
            </w:pPr>
            <w:r>
              <w:rPr>
                <w:rFonts w:ascii="宋体" w:hAnsi="宋体" w:cs="宋体"/>
                <w:color w:val="auto"/>
                <w:szCs w:val="21"/>
                <w:highlight w:val="none"/>
              </w:rPr>
              <w:t>9</w:t>
            </w:r>
          </w:p>
        </w:tc>
        <w:tc>
          <w:tcPr>
            <w:tcW w:w="1762" w:type="dxa"/>
            <w:tcBorders>
              <w:top w:val="single" w:color="auto" w:sz="4" w:space="0"/>
              <w:left w:val="single" w:color="auto" w:sz="4" w:space="0"/>
              <w:bottom w:val="single" w:color="auto" w:sz="4" w:space="0"/>
              <w:right w:val="single" w:color="auto" w:sz="4" w:space="0"/>
            </w:tcBorders>
            <w:vAlign w:val="center"/>
          </w:tcPr>
          <w:p w14:paraId="46AB4FC9">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磋商响应文件签章</w:t>
            </w:r>
          </w:p>
        </w:tc>
        <w:tc>
          <w:tcPr>
            <w:tcW w:w="6453" w:type="dxa"/>
            <w:tcBorders>
              <w:top w:val="single" w:color="auto" w:sz="4" w:space="0"/>
              <w:left w:val="single" w:color="auto" w:sz="4" w:space="0"/>
              <w:bottom w:val="single" w:color="auto" w:sz="4" w:space="0"/>
            </w:tcBorders>
            <w:vAlign w:val="center"/>
          </w:tcPr>
          <w:p w14:paraId="0E558201">
            <w:pPr>
              <w:overflowPunct w:val="0"/>
              <w:spacing w:line="400" w:lineRule="exact"/>
              <w:rPr>
                <w:rFonts w:ascii="宋体" w:cs="宋体"/>
                <w:color w:val="auto"/>
                <w:kern w:val="0"/>
                <w:szCs w:val="21"/>
                <w:highlight w:val="none"/>
              </w:rPr>
            </w:pPr>
            <w:r>
              <w:rPr>
                <w:rFonts w:hint="eastAsia" w:ascii="宋体" w:hAnsi="宋体" w:cs="宋体"/>
                <w:color w:val="auto"/>
                <w:kern w:val="0"/>
                <w:szCs w:val="21"/>
                <w:highlight w:val="none"/>
              </w:rPr>
              <w:t>电子签章</w:t>
            </w:r>
          </w:p>
        </w:tc>
      </w:tr>
      <w:tr w14:paraId="31279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55551AEA">
            <w:pPr>
              <w:overflowPunct w:val="0"/>
              <w:spacing w:line="400" w:lineRule="exact"/>
              <w:jc w:val="center"/>
              <w:rPr>
                <w:rFonts w:ascii="宋体" w:cs="宋体"/>
                <w:color w:val="auto"/>
                <w:szCs w:val="21"/>
                <w:highlight w:val="none"/>
              </w:rPr>
            </w:pPr>
            <w:r>
              <w:rPr>
                <w:rFonts w:ascii="宋体" w:hAnsi="宋体" w:cs="宋体"/>
                <w:color w:val="auto"/>
                <w:szCs w:val="21"/>
                <w:highlight w:val="none"/>
              </w:rPr>
              <w:t>10</w:t>
            </w:r>
          </w:p>
        </w:tc>
        <w:tc>
          <w:tcPr>
            <w:tcW w:w="1762" w:type="dxa"/>
            <w:tcBorders>
              <w:top w:val="single" w:color="auto" w:sz="4" w:space="0"/>
              <w:left w:val="single" w:color="auto" w:sz="4" w:space="0"/>
              <w:bottom w:val="single" w:color="auto" w:sz="4" w:space="0"/>
              <w:right w:val="single" w:color="auto" w:sz="4" w:space="0"/>
            </w:tcBorders>
            <w:vAlign w:val="center"/>
          </w:tcPr>
          <w:p w14:paraId="038F5259">
            <w:pPr>
              <w:overflowPunct w:val="0"/>
              <w:spacing w:line="400" w:lineRule="exact"/>
              <w:rPr>
                <w:rFonts w:ascii="宋体" w:cs="宋体"/>
                <w:color w:val="auto"/>
                <w:highlight w:val="none"/>
              </w:rPr>
            </w:pPr>
            <w:r>
              <w:rPr>
                <w:rFonts w:hint="eastAsia" w:ascii="宋体" w:hAnsi="宋体" w:cs="宋体"/>
                <w:color w:val="auto"/>
                <w:highlight w:val="none"/>
              </w:rPr>
              <w:t>磋商响应文件的形式</w:t>
            </w:r>
          </w:p>
        </w:tc>
        <w:tc>
          <w:tcPr>
            <w:tcW w:w="6453" w:type="dxa"/>
            <w:tcBorders>
              <w:top w:val="single" w:color="auto" w:sz="4" w:space="0"/>
              <w:left w:val="single" w:color="auto" w:sz="4" w:space="0"/>
              <w:bottom w:val="single" w:color="auto" w:sz="4" w:space="0"/>
            </w:tcBorders>
            <w:vAlign w:val="center"/>
          </w:tcPr>
          <w:p w14:paraId="25DBE34F">
            <w:pPr>
              <w:overflowPunct w:val="0"/>
              <w:spacing w:line="400" w:lineRule="exact"/>
              <w:rPr>
                <w:rFonts w:ascii="宋体" w:cs="宋体"/>
                <w:color w:val="auto"/>
                <w:highlight w:val="none"/>
              </w:rPr>
            </w:pPr>
            <w:r>
              <w:rPr>
                <w:rFonts w:hint="eastAsia" w:ascii="MS Minchofalt" w:hAnsi="MS Minchofalt" w:eastAsia="MS Minchofalt" w:cs="MS Minchofalt"/>
                <w:color w:val="auto"/>
                <w:highlight w:val="none"/>
              </w:rPr>
              <w:t>☑</w:t>
            </w:r>
            <w:r>
              <w:rPr>
                <w:rFonts w:hint="eastAsia" w:ascii="宋体" w:hAnsi="宋体" w:cs="宋体"/>
                <w:color w:val="auto"/>
                <w:highlight w:val="none"/>
              </w:rPr>
              <w:t>电子响应文件（包括“电子加密响应文件”和“备份响应文件”，在响应文件编制完成后同时生成）及纸质响应文件；</w:t>
            </w:r>
          </w:p>
          <w:p w14:paraId="1904E307">
            <w:pPr>
              <w:overflowPunct w:val="0"/>
              <w:spacing w:line="400" w:lineRule="exac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）“电子加密响应文件”是指通过“政采云电子交易客户端”完成响应文件编制后生成并加密的数据电文形式的响应文件。</w:t>
            </w:r>
          </w:p>
          <w:p w14:paraId="7D34A36D">
            <w:pPr>
              <w:overflowPunct w:val="0"/>
              <w:spacing w:line="400" w:lineRule="exac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）“备份响应文件”是指与“电子加密响应文件”同时生成的数据电文形式的电子文件（备份标书），其他方式编制的备份响应文件视为无效备份响应文件。</w:t>
            </w:r>
          </w:p>
          <w:p w14:paraId="7C9908FA">
            <w:pPr>
              <w:overflowPunct w:val="0"/>
              <w:spacing w:line="400" w:lineRule="exac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）“纸质响应文件”。</w:t>
            </w:r>
          </w:p>
        </w:tc>
      </w:tr>
      <w:tr w14:paraId="73819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6BD2476A">
            <w:pPr>
              <w:overflowPunct w:val="0"/>
              <w:spacing w:line="400" w:lineRule="exact"/>
              <w:jc w:val="center"/>
              <w:rPr>
                <w:rFonts w:ascii="宋体" w:cs="宋体"/>
                <w:color w:val="auto"/>
                <w:szCs w:val="21"/>
                <w:highlight w:val="none"/>
              </w:rPr>
            </w:pPr>
            <w:r>
              <w:rPr>
                <w:rFonts w:ascii="宋体" w:hAnsi="宋体" w:cs="宋体"/>
                <w:color w:val="auto"/>
                <w:szCs w:val="21"/>
                <w:highlight w:val="none"/>
              </w:rPr>
              <w:t>11</w:t>
            </w:r>
          </w:p>
        </w:tc>
        <w:tc>
          <w:tcPr>
            <w:tcW w:w="1762" w:type="dxa"/>
            <w:tcBorders>
              <w:top w:val="single" w:color="auto" w:sz="4" w:space="0"/>
              <w:left w:val="single" w:color="auto" w:sz="4" w:space="0"/>
              <w:bottom w:val="single" w:color="auto" w:sz="4" w:space="0"/>
              <w:right w:val="single" w:color="auto" w:sz="4" w:space="0"/>
            </w:tcBorders>
            <w:vAlign w:val="center"/>
          </w:tcPr>
          <w:p w14:paraId="6C573B9A">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磋商响应文件的上传和递交</w:t>
            </w:r>
          </w:p>
        </w:tc>
        <w:tc>
          <w:tcPr>
            <w:tcW w:w="6453" w:type="dxa"/>
            <w:tcBorders>
              <w:top w:val="single" w:color="auto" w:sz="4" w:space="0"/>
              <w:left w:val="single" w:color="auto" w:sz="4" w:space="0"/>
              <w:bottom w:val="single" w:color="auto" w:sz="4" w:space="0"/>
            </w:tcBorders>
            <w:vAlign w:val="center"/>
          </w:tcPr>
          <w:p w14:paraId="7E535CAB">
            <w:pPr>
              <w:overflowPunct w:val="0"/>
              <w:spacing w:line="400" w:lineRule="exac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）“电子加密响应文件”的上传、递交：</w:t>
            </w:r>
          </w:p>
          <w:p w14:paraId="65822809">
            <w:pPr>
              <w:overflowPunct w:val="0"/>
              <w:spacing w:line="400" w:lineRule="exact"/>
              <w:rPr>
                <w:rFonts w:ascii="宋体" w:cs="宋体"/>
                <w:color w:val="auto"/>
                <w:highlight w:val="none"/>
              </w:rPr>
            </w:pPr>
            <w:r>
              <w:rPr>
                <w:rFonts w:ascii="宋体" w:hAnsi="宋体" w:cs="宋体"/>
                <w:color w:val="auto"/>
                <w:highlight w:val="none"/>
              </w:rPr>
              <w:t>a.</w:t>
            </w:r>
            <w:r>
              <w:rPr>
                <w:rFonts w:hint="eastAsia" w:ascii="宋体" w:hAnsi="宋体" w:cs="宋体"/>
                <w:color w:val="auto"/>
                <w:highlight w:val="none"/>
              </w:rPr>
              <w:t>供应商应在投标截止时间前将“电子加密响应文件”成功上传递交至“政府采购云平台”，否则投标无效。</w:t>
            </w:r>
          </w:p>
          <w:p w14:paraId="23C9C979">
            <w:pPr>
              <w:overflowPunct w:val="0"/>
              <w:spacing w:line="400" w:lineRule="exact"/>
              <w:rPr>
                <w:rFonts w:ascii="宋体" w:cs="宋体"/>
                <w:color w:val="auto"/>
                <w:highlight w:val="none"/>
              </w:rPr>
            </w:pPr>
            <w:r>
              <w:rPr>
                <w:rFonts w:ascii="宋体" w:hAnsi="宋体" w:cs="宋体"/>
                <w:color w:val="auto"/>
                <w:highlight w:val="none"/>
              </w:rPr>
              <w:t>b.</w:t>
            </w:r>
            <w:r>
              <w:rPr>
                <w:rFonts w:hint="eastAsia" w:ascii="宋体" w:hAnsi="宋体" w:cs="宋体"/>
                <w:color w:val="auto"/>
                <w:highlight w:val="none"/>
              </w:rPr>
              <w:t>“电子加密响应文件”成功上传递交后，供应商可自行打印响应文件接收回执。</w:t>
            </w:r>
          </w:p>
          <w:p w14:paraId="6F1F1E2E">
            <w:pPr>
              <w:overflowPunct w:val="0"/>
              <w:spacing w:line="400" w:lineRule="exac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）“备份响应文件”的密封包装、递交：</w:t>
            </w:r>
            <w:r>
              <w:rPr>
                <w:rFonts w:hint="eastAsia" w:ascii="宋体" w:hAnsi="宋体" w:cs="宋体"/>
                <w:b/>
                <w:bCs/>
                <w:color w:val="auto"/>
                <w:highlight w:val="none"/>
              </w:rPr>
              <w:t>（不强制提交）</w:t>
            </w:r>
          </w:p>
          <w:p w14:paraId="062BD6DB">
            <w:pPr>
              <w:overflowPunct w:val="0"/>
              <w:spacing w:line="400" w:lineRule="exact"/>
              <w:rPr>
                <w:rFonts w:ascii="宋体" w:cs="宋体"/>
                <w:color w:val="auto"/>
                <w:highlight w:val="none"/>
              </w:rPr>
            </w:pPr>
            <w:r>
              <w:rPr>
                <w:rFonts w:ascii="宋体" w:hAnsi="宋体" w:cs="宋体"/>
                <w:color w:val="auto"/>
                <w:highlight w:val="none"/>
              </w:rPr>
              <w:t>a.</w:t>
            </w:r>
            <w:r>
              <w:rPr>
                <w:rFonts w:hint="eastAsia" w:ascii="宋体" w:hAnsi="宋体" w:cs="宋体"/>
                <w:color w:val="auto"/>
                <w:highlight w:val="none"/>
              </w:rPr>
              <w:t>供应商在“政府采购云平台”完成“电子加密响应文件”的上传递交后，在投标截止时间前递交以介质（</w:t>
            </w:r>
            <w:r>
              <w:rPr>
                <w:rFonts w:ascii="宋体" w:hAnsi="宋体" w:cs="宋体"/>
                <w:color w:val="auto"/>
                <w:highlight w:val="none"/>
              </w:rPr>
              <w:t>U</w:t>
            </w:r>
            <w:r>
              <w:rPr>
                <w:rFonts w:hint="eastAsia" w:ascii="宋体" w:hAnsi="宋体" w:cs="宋体"/>
                <w:color w:val="auto"/>
                <w:highlight w:val="none"/>
              </w:rPr>
              <w:t>盘）存储的</w:t>
            </w:r>
            <w:r>
              <w:rPr>
                <w:rFonts w:ascii="宋体" w:hAnsi="宋体" w:cs="宋体"/>
                <w:color w:val="auto"/>
                <w:highlight w:val="none"/>
              </w:rPr>
              <w:t xml:space="preserve"> </w:t>
            </w:r>
            <w:r>
              <w:rPr>
                <w:rFonts w:hint="eastAsia" w:ascii="宋体" w:hAnsi="宋体" w:cs="宋体"/>
                <w:color w:val="auto"/>
                <w:highlight w:val="none"/>
              </w:rPr>
              <w:t>“备份响应文件”（一份）；</w:t>
            </w:r>
          </w:p>
          <w:p w14:paraId="3C63AA1F">
            <w:pPr>
              <w:overflowPunct w:val="0"/>
              <w:spacing w:line="400" w:lineRule="exact"/>
              <w:rPr>
                <w:rFonts w:ascii="宋体" w:cs="宋体"/>
                <w:color w:val="auto"/>
                <w:highlight w:val="none"/>
              </w:rPr>
            </w:pPr>
            <w:r>
              <w:rPr>
                <w:rFonts w:ascii="宋体" w:hAnsi="宋体" w:cs="宋体"/>
                <w:color w:val="auto"/>
                <w:highlight w:val="none"/>
              </w:rPr>
              <w:t>b.</w:t>
            </w:r>
            <w:r>
              <w:rPr>
                <w:rFonts w:hint="eastAsia" w:ascii="宋体" w:hAnsi="宋体" w:cs="宋体"/>
                <w:color w:val="auto"/>
                <w:highlight w:val="none"/>
              </w:rPr>
              <w:t>“备份响应文件”应当密封包装，并在包装上标注项目名称、供应商名称并加盖公章。没有密封包装或者逾期送达至投标地点的“备份响应文件”将不予接收；</w:t>
            </w:r>
          </w:p>
          <w:p w14:paraId="486957EE">
            <w:pPr>
              <w:overflowPunct w:val="0"/>
              <w:spacing w:line="400" w:lineRule="exact"/>
              <w:rPr>
                <w:rFonts w:ascii="宋体" w:cs="宋体"/>
                <w:color w:val="auto"/>
                <w:highlight w:val="none"/>
              </w:rPr>
            </w:pPr>
            <w:r>
              <w:rPr>
                <w:rFonts w:ascii="宋体" w:hAnsi="宋体" w:cs="宋体"/>
                <w:color w:val="auto"/>
                <w:highlight w:val="none"/>
              </w:rPr>
              <w:t>c.</w:t>
            </w:r>
            <w:r>
              <w:rPr>
                <w:rFonts w:hint="eastAsia" w:ascii="宋体" w:hAnsi="宋体" w:cs="宋体"/>
                <w:color w:val="auto"/>
                <w:highlight w:val="none"/>
              </w:rPr>
              <w:t>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6E042A03">
            <w:pPr>
              <w:overflowPunct w:val="0"/>
              <w:spacing w:line="400" w:lineRule="exac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）“纸质响应文件”的密封包装、递交：</w:t>
            </w:r>
            <w:r>
              <w:rPr>
                <w:rFonts w:hint="eastAsia" w:ascii="宋体" w:hAnsi="宋体" w:cs="宋体"/>
                <w:b/>
                <w:bCs/>
                <w:color w:val="auto"/>
                <w:highlight w:val="none"/>
              </w:rPr>
              <w:t>（不强制提交）</w:t>
            </w:r>
          </w:p>
          <w:p w14:paraId="0049CC33">
            <w:pPr>
              <w:overflowPunct w:val="0"/>
              <w:spacing w:line="400" w:lineRule="exact"/>
              <w:rPr>
                <w:rFonts w:ascii="宋体" w:cs="宋体"/>
                <w:color w:val="auto"/>
                <w:highlight w:val="none"/>
              </w:rPr>
            </w:pPr>
            <w:r>
              <w:rPr>
                <w:rFonts w:ascii="宋体" w:hAnsi="宋体" w:cs="宋体"/>
                <w:color w:val="auto"/>
                <w:highlight w:val="none"/>
              </w:rPr>
              <w:t>a.</w:t>
            </w:r>
            <w:r>
              <w:rPr>
                <w:rFonts w:hint="eastAsia" w:ascii="宋体" w:hAnsi="宋体" w:cs="宋体"/>
                <w:color w:val="auto"/>
                <w:highlight w:val="none"/>
              </w:rPr>
              <w:t>供应商在“政府采购云平台”完成“电子加密响应文件”的上传递交后，在投标截止时间前递交“纸质响应文件”（一份）；</w:t>
            </w:r>
          </w:p>
          <w:p w14:paraId="01949098">
            <w:pPr>
              <w:overflowPunct w:val="0"/>
              <w:spacing w:line="400" w:lineRule="exact"/>
              <w:rPr>
                <w:rFonts w:ascii="宋体" w:cs="宋体"/>
                <w:color w:val="auto"/>
                <w:highlight w:val="none"/>
              </w:rPr>
            </w:pPr>
            <w:r>
              <w:rPr>
                <w:rFonts w:ascii="宋体" w:hAnsi="宋体" w:cs="宋体"/>
                <w:color w:val="auto"/>
                <w:highlight w:val="none"/>
              </w:rPr>
              <w:t>b.</w:t>
            </w:r>
            <w:r>
              <w:rPr>
                <w:rFonts w:hint="eastAsia" w:ascii="宋体" w:hAnsi="宋体" w:cs="宋体"/>
                <w:color w:val="auto"/>
                <w:highlight w:val="none"/>
              </w:rPr>
              <w:t>“纸质响应文件”应当密封包装，并在包装上标注项目名称、供应商名称并加盖公章。没有密封包装或者逾期送达至投标地点的“纸质响应文件”将不予接收；</w:t>
            </w:r>
          </w:p>
          <w:p w14:paraId="498B69FB">
            <w:pPr>
              <w:overflowPunct w:val="0"/>
              <w:spacing w:line="400" w:lineRule="exact"/>
              <w:rPr>
                <w:rFonts w:ascii="宋体" w:cs="宋体"/>
                <w:color w:val="auto"/>
                <w:highlight w:val="none"/>
              </w:rPr>
            </w:pPr>
            <w:r>
              <w:rPr>
                <w:rFonts w:ascii="宋体" w:hAnsi="宋体" w:cs="宋体"/>
                <w:color w:val="auto"/>
                <w:highlight w:val="none"/>
              </w:rPr>
              <w:t>c.</w:t>
            </w:r>
            <w:r>
              <w:rPr>
                <w:rFonts w:hint="eastAsia" w:ascii="宋体" w:hAnsi="宋体" w:cs="宋体"/>
                <w:color w:val="auto"/>
                <w:highlight w:val="none"/>
              </w:rPr>
              <w:t>通过“政府采购云平台”成功上传递交的“电子加密响应文件”已按时解密的，“纸质响应文件”自动失效。投标截止时间前，投标供应商仅递交了“纸质响应文件”而未将“电子加密响应文件”成功上传至“政府采购云平台”的，投标无效。</w:t>
            </w:r>
          </w:p>
        </w:tc>
      </w:tr>
      <w:tr w14:paraId="38B52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087D954C">
            <w:pPr>
              <w:overflowPunct w:val="0"/>
              <w:spacing w:line="400" w:lineRule="exact"/>
              <w:jc w:val="center"/>
              <w:rPr>
                <w:rFonts w:ascii="宋体" w:cs="宋体"/>
                <w:color w:val="auto"/>
                <w:szCs w:val="21"/>
                <w:highlight w:val="none"/>
              </w:rPr>
            </w:pPr>
            <w:r>
              <w:rPr>
                <w:rFonts w:ascii="宋体" w:hAnsi="宋体" w:cs="宋体"/>
                <w:color w:val="auto"/>
                <w:szCs w:val="21"/>
                <w:highlight w:val="none"/>
              </w:rPr>
              <w:t>12</w:t>
            </w:r>
          </w:p>
        </w:tc>
        <w:tc>
          <w:tcPr>
            <w:tcW w:w="1762" w:type="dxa"/>
            <w:tcBorders>
              <w:top w:val="single" w:color="auto" w:sz="4" w:space="0"/>
              <w:left w:val="single" w:color="auto" w:sz="4" w:space="0"/>
              <w:bottom w:val="single" w:color="auto" w:sz="4" w:space="0"/>
              <w:right w:val="single" w:color="auto" w:sz="4" w:space="0"/>
            </w:tcBorders>
            <w:vAlign w:val="center"/>
          </w:tcPr>
          <w:p w14:paraId="04DDE91D">
            <w:pPr>
              <w:overflowPunct w:val="0"/>
              <w:spacing w:line="400" w:lineRule="exact"/>
              <w:rPr>
                <w:rFonts w:ascii="宋体" w:cs="宋体"/>
                <w:color w:val="auto"/>
                <w:highlight w:val="none"/>
              </w:rPr>
            </w:pPr>
            <w:r>
              <w:rPr>
                <w:rFonts w:hint="eastAsia" w:ascii="宋体" w:hAnsi="宋体" w:cs="宋体"/>
                <w:color w:val="auto"/>
                <w:highlight w:val="none"/>
              </w:rPr>
              <w:t>电子加密响应文件的解密和异常情况处理</w:t>
            </w:r>
          </w:p>
        </w:tc>
        <w:tc>
          <w:tcPr>
            <w:tcW w:w="6453" w:type="dxa"/>
            <w:tcBorders>
              <w:top w:val="single" w:color="auto" w:sz="4" w:space="0"/>
              <w:left w:val="single" w:color="auto" w:sz="4" w:space="0"/>
              <w:bottom w:val="single" w:color="auto" w:sz="4" w:space="0"/>
            </w:tcBorders>
            <w:vAlign w:val="center"/>
          </w:tcPr>
          <w:p w14:paraId="4D7D8FD8">
            <w:pPr>
              <w:overflowPunct w:val="0"/>
              <w:spacing w:line="400" w:lineRule="exac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）开标后，采购组织机构将向各供应商发出“电子加密响应文件”的解密通知，各供应商代表应当在接到解密通知后</w:t>
            </w:r>
            <w:r>
              <w:rPr>
                <w:rFonts w:ascii="宋体" w:hAnsi="宋体" w:cs="宋体"/>
                <w:color w:val="auto"/>
                <w:highlight w:val="none"/>
              </w:rPr>
              <w:t>30</w:t>
            </w:r>
            <w:r>
              <w:rPr>
                <w:rFonts w:hint="eastAsia" w:ascii="宋体" w:hAnsi="宋体" w:cs="宋体"/>
                <w:color w:val="auto"/>
                <w:highlight w:val="none"/>
              </w:rPr>
              <w:t>分钟内自行完成“电子加密响应文件”的在线解密。</w:t>
            </w:r>
          </w:p>
          <w:p w14:paraId="10CBDC5E">
            <w:pPr>
              <w:overflowPunct w:val="0"/>
              <w:spacing w:line="400" w:lineRule="exac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67BD97A3">
            <w:pPr>
              <w:pStyle w:val="11"/>
              <w:widowControl w:val="0"/>
              <w:spacing w:before="0" w:beforeAutospacing="0" w:after="0" w:afterAutospacing="0" w:line="400" w:lineRule="exact"/>
              <w:rPr>
                <w:color w:val="auto"/>
                <w:kern w:val="2"/>
                <w:sz w:val="21"/>
                <w:highlight w:val="none"/>
              </w:rPr>
            </w:pPr>
            <w:r>
              <w:rPr>
                <w:rFonts w:hint="eastAsia"/>
                <w:color w:val="auto"/>
                <w:kern w:val="2"/>
                <w:sz w:val="21"/>
                <w:highlight w:val="none"/>
              </w:rPr>
              <w:t>（</w:t>
            </w:r>
            <w:r>
              <w:rPr>
                <w:color w:val="auto"/>
                <w:kern w:val="2"/>
                <w:sz w:val="21"/>
                <w:highlight w:val="none"/>
              </w:rPr>
              <w:t>3</w:t>
            </w:r>
            <w:r>
              <w:rPr>
                <w:rFonts w:hint="eastAsia"/>
                <w:color w:val="auto"/>
                <w:kern w:val="2"/>
                <w:sz w:val="21"/>
                <w:highlight w:val="none"/>
              </w:rPr>
              <w:t>）若由于电子交易平台发生故障而无法登录访问等解密异常情况无法在线解密全部供应商的“电子加密响应文件”及“备份响应文件”时，经采购人、采购代理机构、监管人员认定后以纸质响应文件为准进行线下投标。</w:t>
            </w:r>
          </w:p>
          <w:p w14:paraId="7556B47E">
            <w:pPr>
              <w:overflowPunct w:val="0"/>
              <w:spacing w:line="400" w:lineRule="exac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）投标截止时间前，供应商仅递交了“备份响应文件”、“纸质响应文件”而未将电子加密响应文件上传至“政府采购云平台”的，投标无效。</w:t>
            </w:r>
          </w:p>
        </w:tc>
      </w:tr>
      <w:tr w14:paraId="45D9C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4B50C6E">
            <w:pPr>
              <w:overflowPunct w:val="0"/>
              <w:spacing w:line="400" w:lineRule="exact"/>
              <w:jc w:val="center"/>
              <w:rPr>
                <w:rFonts w:ascii="宋体" w:cs="宋体"/>
                <w:color w:val="auto"/>
                <w:szCs w:val="21"/>
                <w:highlight w:val="none"/>
              </w:rPr>
            </w:pPr>
            <w:r>
              <w:rPr>
                <w:rFonts w:ascii="宋体" w:hAnsi="宋体" w:cs="宋体"/>
                <w:color w:val="auto"/>
                <w:szCs w:val="21"/>
                <w:highlight w:val="none"/>
              </w:rPr>
              <w:t>13</w:t>
            </w:r>
          </w:p>
        </w:tc>
        <w:tc>
          <w:tcPr>
            <w:tcW w:w="1762" w:type="dxa"/>
            <w:tcBorders>
              <w:top w:val="single" w:color="auto" w:sz="4" w:space="0"/>
              <w:left w:val="single" w:color="auto" w:sz="4" w:space="0"/>
              <w:bottom w:val="single" w:color="auto" w:sz="4" w:space="0"/>
              <w:right w:val="single" w:color="auto" w:sz="4" w:space="0"/>
            </w:tcBorders>
            <w:vAlign w:val="center"/>
          </w:tcPr>
          <w:p w14:paraId="535EB2A2">
            <w:pPr>
              <w:overflowPunct w:val="0"/>
              <w:spacing w:line="400" w:lineRule="exact"/>
              <w:jc w:val="center"/>
              <w:rPr>
                <w:rFonts w:ascii="宋体" w:cs="宋体"/>
                <w:color w:val="auto"/>
                <w:szCs w:val="21"/>
                <w:highlight w:val="none"/>
              </w:rPr>
            </w:pPr>
            <w:r>
              <w:rPr>
                <w:rFonts w:hint="eastAsia" w:ascii="宋体" w:hAnsi="宋体" w:cs="宋体"/>
                <w:color w:val="auto"/>
                <w:szCs w:val="21"/>
                <w:highlight w:val="none"/>
              </w:rPr>
              <w:t>磋商响应文件提交截止时间</w:t>
            </w:r>
          </w:p>
        </w:tc>
        <w:tc>
          <w:tcPr>
            <w:tcW w:w="6453" w:type="dxa"/>
            <w:tcBorders>
              <w:top w:val="single" w:color="auto" w:sz="4" w:space="0"/>
              <w:left w:val="single" w:color="auto" w:sz="4" w:space="0"/>
              <w:bottom w:val="single" w:color="auto" w:sz="4" w:space="0"/>
            </w:tcBorders>
            <w:vAlign w:val="center"/>
          </w:tcPr>
          <w:p w14:paraId="60E31AF7">
            <w:pPr>
              <w:overflowPunct w:val="0"/>
              <w:snapToGrid w:val="0"/>
              <w:spacing w:line="400" w:lineRule="exact"/>
              <w:rPr>
                <w:rFonts w:ascii="宋体" w:cs="宋体"/>
                <w:color w:val="auto"/>
                <w:kern w:val="0"/>
                <w:szCs w:val="21"/>
                <w:highlight w:val="none"/>
              </w:rPr>
            </w:pP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14</w:t>
            </w:r>
            <w:r>
              <w:rPr>
                <w:rFonts w:ascii="宋体" w:hAnsi="宋体" w:cs="宋体"/>
                <w:color w:val="auto"/>
                <w:kern w:val="0"/>
                <w:szCs w:val="21"/>
                <w:highlight w:val="none"/>
              </w:rPr>
              <w:t>:00</w:t>
            </w:r>
          </w:p>
        </w:tc>
      </w:tr>
      <w:tr w14:paraId="798A7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5B9E5D63">
            <w:pPr>
              <w:overflowPunct w:val="0"/>
              <w:spacing w:line="400" w:lineRule="exact"/>
              <w:jc w:val="center"/>
              <w:rPr>
                <w:rFonts w:ascii="宋体" w:cs="宋体"/>
                <w:color w:val="auto"/>
                <w:szCs w:val="21"/>
                <w:highlight w:val="none"/>
              </w:rPr>
            </w:pPr>
            <w:r>
              <w:rPr>
                <w:rFonts w:ascii="宋体" w:hAnsi="宋体" w:cs="宋体"/>
                <w:color w:val="auto"/>
                <w:szCs w:val="21"/>
                <w:highlight w:val="none"/>
              </w:rPr>
              <w:t>14</w:t>
            </w:r>
          </w:p>
        </w:tc>
        <w:tc>
          <w:tcPr>
            <w:tcW w:w="1762" w:type="dxa"/>
            <w:tcBorders>
              <w:top w:val="single" w:color="auto" w:sz="4" w:space="0"/>
              <w:left w:val="single" w:color="auto" w:sz="4" w:space="0"/>
              <w:bottom w:val="single" w:color="auto" w:sz="4" w:space="0"/>
              <w:right w:val="single" w:color="auto" w:sz="4" w:space="0"/>
            </w:tcBorders>
            <w:vAlign w:val="center"/>
          </w:tcPr>
          <w:p w14:paraId="5FD89EFA">
            <w:pPr>
              <w:overflowPunct w:val="0"/>
              <w:spacing w:line="400" w:lineRule="exact"/>
              <w:jc w:val="center"/>
              <w:rPr>
                <w:rFonts w:ascii="宋体" w:cs="宋体"/>
                <w:color w:val="auto"/>
                <w:kern w:val="0"/>
                <w:szCs w:val="21"/>
                <w:highlight w:val="none"/>
              </w:rPr>
            </w:pPr>
            <w:r>
              <w:rPr>
                <w:rFonts w:hint="eastAsia" w:ascii="宋体" w:hAnsi="宋体" w:cs="宋体"/>
                <w:color w:val="auto"/>
                <w:kern w:val="0"/>
                <w:szCs w:val="21"/>
                <w:highlight w:val="none"/>
              </w:rPr>
              <w:t>磋商</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文件提交地点</w:t>
            </w:r>
          </w:p>
        </w:tc>
        <w:tc>
          <w:tcPr>
            <w:tcW w:w="6453" w:type="dxa"/>
            <w:tcBorders>
              <w:top w:val="single" w:color="auto" w:sz="4" w:space="0"/>
              <w:left w:val="single" w:color="auto" w:sz="4" w:space="0"/>
              <w:bottom w:val="single" w:color="auto" w:sz="4" w:space="0"/>
            </w:tcBorders>
            <w:vAlign w:val="center"/>
          </w:tcPr>
          <w:p w14:paraId="4A84FABC">
            <w:pPr>
              <w:overflowPunct w:val="0"/>
              <w:spacing w:line="400" w:lineRule="exact"/>
              <w:jc w:val="left"/>
              <w:rPr>
                <w:rFonts w:ascii="宋体" w:cs="宋体"/>
                <w:color w:val="auto"/>
                <w:kern w:val="0"/>
                <w:szCs w:val="21"/>
                <w:highlight w:val="none"/>
              </w:rPr>
            </w:pPr>
            <w:r>
              <w:rPr>
                <w:rFonts w:hint="eastAsia" w:ascii="宋体" w:hAnsi="宋体" w:cs="宋体"/>
                <w:bCs/>
                <w:color w:val="auto"/>
                <w:kern w:val="0"/>
                <w:szCs w:val="21"/>
                <w:highlight w:val="none"/>
              </w:rPr>
              <w:t>“政府采购云平台（</w:t>
            </w:r>
            <w:r>
              <w:rPr>
                <w:rFonts w:ascii="宋体" w:hAnsi="宋体" w:cs="宋体"/>
                <w:bCs/>
                <w:color w:val="auto"/>
                <w:kern w:val="0"/>
                <w:szCs w:val="21"/>
                <w:highlight w:val="none"/>
              </w:rPr>
              <w:t>www.zcygov.cn</w:t>
            </w:r>
            <w:r>
              <w:rPr>
                <w:rFonts w:hint="eastAsia" w:ascii="宋体" w:hAnsi="宋体" w:cs="宋体"/>
                <w:bCs/>
                <w:color w:val="auto"/>
                <w:kern w:val="0"/>
                <w:szCs w:val="21"/>
                <w:highlight w:val="none"/>
              </w:rPr>
              <w:t>）”在线响应及评审</w:t>
            </w:r>
          </w:p>
        </w:tc>
      </w:tr>
      <w:tr w14:paraId="7D68D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6064B7C2">
            <w:pPr>
              <w:overflowPunct w:val="0"/>
              <w:spacing w:line="400" w:lineRule="exact"/>
              <w:jc w:val="center"/>
              <w:rPr>
                <w:rFonts w:ascii="宋体" w:cs="宋体"/>
                <w:color w:val="auto"/>
                <w:szCs w:val="21"/>
                <w:highlight w:val="none"/>
              </w:rPr>
            </w:pPr>
            <w:r>
              <w:rPr>
                <w:rFonts w:ascii="宋体" w:hAnsi="宋体" w:cs="宋体"/>
                <w:color w:val="auto"/>
                <w:szCs w:val="21"/>
                <w:highlight w:val="none"/>
              </w:rPr>
              <w:t>15</w:t>
            </w:r>
          </w:p>
        </w:tc>
        <w:tc>
          <w:tcPr>
            <w:tcW w:w="1762" w:type="dxa"/>
            <w:tcBorders>
              <w:top w:val="single" w:color="auto" w:sz="4" w:space="0"/>
              <w:left w:val="single" w:color="auto" w:sz="4" w:space="0"/>
              <w:bottom w:val="single" w:color="auto" w:sz="4" w:space="0"/>
              <w:right w:val="single" w:color="auto" w:sz="4" w:space="0"/>
            </w:tcBorders>
            <w:vAlign w:val="center"/>
          </w:tcPr>
          <w:p w14:paraId="7653ABB3">
            <w:pPr>
              <w:overflowPunct w:val="0"/>
              <w:spacing w:line="400" w:lineRule="exact"/>
              <w:jc w:val="center"/>
              <w:rPr>
                <w:rFonts w:ascii="宋体" w:cs="宋体"/>
                <w:color w:val="auto"/>
                <w:szCs w:val="21"/>
                <w:highlight w:val="none"/>
              </w:rPr>
            </w:pPr>
            <w:r>
              <w:rPr>
                <w:rFonts w:hint="eastAsia" w:ascii="宋体" w:hAnsi="宋体" w:cs="宋体"/>
                <w:color w:val="auto"/>
                <w:szCs w:val="21"/>
                <w:highlight w:val="none"/>
              </w:rPr>
              <w:t>磋商时间（磋商截止时间）</w:t>
            </w:r>
          </w:p>
        </w:tc>
        <w:tc>
          <w:tcPr>
            <w:tcW w:w="6453" w:type="dxa"/>
            <w:tcBorders>
              <w:top w:val="single" w:color="auto" w:sz="4" w:space="0"/>
              <w:left w:val="single" w:color="auto" w:sz="4" w:space="0"/>
              <w:bottom w:val="single" w:color="auto" w:sz="4" w:space="0"/>
            </w:tcBorders>
            <w:vAlign w:val="center"/>
          </w:tcPr>
          <w:p w14:paraId="25E4680C">
            <w:pPr>
              <w:overflowPunct w:val="0"/>
              <w:snapToGrid w:val="0"/>
              <w:spacing w:line="400" w:lineRule="exact"/>
              <w:rPr>
                <w:rFonts w:ascii="宋体" w:cs="宋体"/>
                <w:color w:val="auto"/>
                <w:kern w:val="0"/>
                <w:szCs w:val="21"/>
                <w:highlight w:val="none"/>
              </w:rPr>
            </w:pP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 xml:space="preserve">日 </w:t>
            </w:r>
            <w:r>
              <w:rPr>
                <w:rFonts w:hint="eastAsia" w:ascii="宋体" w:hAnsi="宋体" w:cs="宋体"/>
                <w:color w:val="auto"/>
                <w:kern w:val="0"/>
                <w:szCs w:val="21"/>
                <w:highlight w:val="none"/>
                <w:lang w:val="en-US" w:eastAsia="zh-CN"/>
              </w:rPr>
              <w:t>14</w:t>
            </w:r>
            <w:r>
              <w:rPr>
                <w:rFonts w:ascii="宋体" w:hAnsi="宋体" w:cs="宋体"/>
                <w:color w:val="auto"/>
                <w:kern w:val="0"/>
                <w:szCs w:val="21"/>
                <w:highlight w:val="none"/>
              </w:rPr>
              <w:t>:00</w:t>
            </w:r>
          </w:p>
        </w:tc>
      </w:tr>
      <w:tr w14:paraId="2A5F7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0E1970E9">
            <w:pPr>
              <w:overflowPunct w:val="0"/>
              <w:spacing w:line="400" w:lineRule="exact"/>
              <w:jc w:val="center"/>
              <w:rPr>
                <w:rFonts w:ascii="宋体" w:cs="宋体"/>
                <w:color w:val="auto"/>
                <w:szCs w:val="21"/>
                <w:highlight w:val="none"/>
              </w:rPr>
            </w:pPr>
            <w:r>
              <w:rPr>
                <w:rFonts w:ascii="宋体" w:hAnsi="宋体" w:cs="宋体"/>
                <w:color w:val="auto"/>
                <w:szCs w:val="21"/>
                <w:highlight w:val="none"/>
              </w:rPr>
              <w:t>16</w:t>
            </w:r>
          </w:p>
        </w:tc>
        <w:tc>
          <w:tcPr>
            <w:tcW w:w="1762" w:type="dxa"/>
            <w:tcBorders>
              <w:top w:val="single" w:color="auto" w:sz="4" w:space="0"/>
              <w:left w:val="single" w:color="auto" w:sz="4" w:space="0"/>
              <w:bottom w:val="single" w:color="auto" w:sz="4" w:space="0"/>
              <w:right w:val="single" w:color="auto" w:sz="4" w:space="0"/>
            </w:tcBorders>
            <w:vAlign w:val="center"/>
          </w:tcPr>
          <w:p w14:paraId="2419BC82">
            <w:pPr>
              <w:overflowPunct w:val="0"/>
              <w:spacing w:line="400" w:lineRule="exact"/>
              <w:jc w:val="center"/>
              <w:rPr>
                <w:rFonts w:ascii="宋体" w:cs="宋体"/>
                <w:color w:val="auto"/>
                <w:kern w:val="0"/>
                <w:szCs w:val="21"/>
                <w:highlight w:val="none"/>
              </w:rPr>
            </w:pPr>
            <w:r>
              <w:rPr>
                <w:rFonts w:hint="eastAsia" w:ascii="宋体" w:hAnsi="宋体" w:cs="宋体"/>
                <w:color w:val="auto"/>
                <w:kern w:val="0"/>
                <w:szCs w:val="21"/>
                <w:highlight w:val="none"/>
              </w:rPr>
              <w:t>磋商地点</w:t>
            </w:r>
          </w:p>
        </w:tc>
        <w:tc>
          <w:tcPr>
            <w:tcW w:w="6453" w:type="dxa"/>
            <w:tcBorders>
              <w:top w:val="single" w:color="auto" w:sz="4" w:space="0"/>
              <w:left w:val="single" w:color="auto" w:sz="4" w:space="0"/>
              <w:bottom w:val="single" w:color="auto" w:sz="4" w:space="0"/>
            </w:tcBorders>
            <w:vAlign w:val="center"/>
          </w:tcPr>
          <w:p w14:paraId="6413FDC9">
            <w:pPr>
              <w:overflowPunct w:val="0"/>
              <w:spacing w:line="400" w:lineRule="exact"/>
              <w:rPr>
                <w:rFonts w:ascii="宋体" w:cs="宋体"/>
                <w:color w:val="auto"/>
                <w:kern w:val="0"/>
                <w:szCs w:val="21"/>
                <w:highlight w:val="none"/>
              </w:rPr>
            </w:pPr>
            <w:r>
              <w:rPr>
                <w:rFonts w:hint="eastAsia" w:ascii="宋体" w:hAnsi="宋体" w:cs="宋体"/>
                <w:color w:val="auto"/>
                <w:kern w:val="0"/>
                <w:szCs w:val="21"/>
                <w:highlight w:val="none"/>
              </w:rPr>
              <w:t>“政府采购云平台（</w:t>
            </w:r>
            <w:r>
              <w:rPr>
                <w:rFonts w:ascii="宋体" w:hAnsi="宋体" w:cs="宋体"/>
                <w:color w:val="auto"/>
                <w:kern w:val="0"/>
                <w:szCs w:val="21"/>
                <w:highlight w:val="none"/>
              </w:rPr>
              <w:t>www.zcygov.cn</w:t>
            </w:r>
            <w:r>
              <w:rPr>
                <w:rFonts w:hint="eastAsia" w:ascii="宋体" w:hAnsi="宋体" w:cs="宋体"/>
                <w:color w:val="auto"/>
                <w:kern w:val="0"/>
                <w:szCs w:val="21"/>
                <w:highlight w:val="none"/>
              </w:rPr>
              <w:t>）”在线响应及评审</w:t>
            </w:r>
          </w:p>
        </w:tc>
      </w:tr>
      <w:tr w14:paraId="6B2F4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207D43B6">
            <w:pPr>
              <w:overflowPunct w:val="0"/>
              <w:spacing w:line="400" w:lineRule="exact"/>
              <w:jc w:val="center"/>
              <w:rPr>
                <w:rFonts w:ascii="宋体" w:cs="宋体"/>
                <w:color w:val="auto"/>
                <w:szCs w:val="21"/>
                <w:highlight w:val="none"/>
              </w:rPr>
            </w:pPr>
            <w:r>
              <w:rPr>
                <w:rFonts w:ascii="宋体" w:hAnsi="宋体" w:cs="宋体"/>
                <w:color w:val="auto"/>
                <w:szCs w:val="21"/>
                <w:highlight w:val="none"/>
              </w:rPr>
              <w:t>17</w:t>
            </w:r>
          </w:p>
        </w:tc>
        <w:tc>
          <w:tcPr>
            <w:tcW w:w="1762" w:type="dxa"/>
            <w:tcBorders>
              <w:top w:val="single" w:color="auto" w:sz="4" w:space="0"/>
              <w:left w:val="single" w:color="auto" w:sz="4" w:space="0"/>
              <w:bottom w:val="single" w:color="auto" w:sz="4" w:space="0"/>
              <w:right w:val="single" w:color="auto" w:sz="4" w:space="0"/>
            </w:tcBorders>
            <w:vAlign w:val="center"/>
          </w:tcPr>
          <w:p w14:paraId="2D2E18AF">
            <w:pPr>
              <w:overflowPunct w:val="0"/>
              <w:spacing w:line="400" w:lineRule="exact"/>
              <w:jc w:val="center"/>
              <w:rPr>
                <w:rFonts w:ascii="宋体" w:cs="宋体"/>
                <w:color w:val="auto"/>
                <w:kern w:val="0"/>
                <w:szCs w:val="21"/>
                <w:highlight w:val="none"/>
              </w:rPr>
            </w:pPr>
            <w:r>
              <w:rPr>
                <w:rFonts w:hint="eastAsia" w:ascii="宋体" w:hAnsi="宋体" w:cs="宋体"/>
                <w:color w:val="auto"/>
                <w:kern w:val="0"/>
                <w:szCs w:val="21"/>
                <w:highlight w:val="none"/>
              </w:rPr>
              <w:t>磋商响应文件有效期</w:t>
            </w:r>
          </w:p>
        </w:tc>
        <w:tc>
          <w:tcPr>
            <w:tcW w:w="6453" w:type="dxa"/>
            <w:tcBorders>
              <w:top w:val="single" w:color="auto" w:sz="4" w:space="0"/>
              <w:left w:val="single" w:color="auto" w:sz="4" w:space="0"/>
              <w:bottom w:val="single" w:color="auto" w:sz="4" w:space="0"/>
            </w:tcBorders>
            <w:vAlign w:val="center"/>
          </w:tcPr>
          <w:p w14:paraId="09AF43DC">
            <w:pPr>
              <w:overflowPunct w:val="0"/>
              <w:spacing w:line="400" w:lineRule="exact"/>
              <w:rPr>
                <w:rFonts w:ascii="宋体" w:cs="宋体"/>
                <w:color w:val="auto"/>
                <w:szCs w:val="21"/>
                <w:highlight w:val="none"/>
              </w:rPr>
            </w:pPr>
            <w:r>
              <w:rPr>
                <w:rFonts w:ascii="宋体" w:hAnsi="宋体" w:cs="宋体"/>
                <w:color w:val="auto"/>
                <w:szCs w:val="21"/>
                <w:highlight w:val="none"/>
              </w:rPr>
              <w:t>90</w:t>
            </w:r>
            <w:r>
              <w:rPr>
                <w:rFonts w:hint="eastAsia" w:ascii="宋体" w:hAnsi="宋体" w:cs="宋体"/>
                <w:color w:val="auto"/>
                <w:szCs w:val="21"/>
                <w:highlight w:val="none"/>
              </w:rPr>
              <w:t>天（日历天）</w:t>
            </w:r>
          </w:p>
        </w:tc>
      </w:tr>
      <w:tr w14:paraId="28828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65D6E689">
            <w:pPr>
              <w:overflowPunct w:val="0"/>
              <w:spacing w:line="400" w:lineRule="exact"/>
              <w:jc w:val="center"/>
              <w:rPr>
                <w:rFonts w:ascii="宋体" w:cs="宋体"/>
                <w:color w:val="auto"/>
                <w:szCs w:val="21"/>
                <w:highlight w:val="none"/>
              </w:rPr>
            </w:pPr>
            <w:r>
              <w:rPr>
                <w:rFonts w:ascii="宋体" w:hAnsi="宋体" w:cs="宋体"/>
                <w:color w:val="auto"/>
                <w:szCs w:val="21"/>
                <w:highlight w:val="none"/>
              </w:rPr>
              <w:t>18</w:t>
            </w:r>
          </w:p>
        </w:tc>
        <w:tc>
          <w:tcPr>
            <w:tcW w:w="1762" w:type="dxa"/>
            <w:tcBorders>
              <w:top w:val="single" w:color="auto" w:sz="4" w:space="0"/>
              <w:left w:val="single" w:color="auto" w:sz="4" w:space="0"/>
              <w:bottom w:val="single" w:color="auto" w:sz="4" w:space="0"/>
              <w:right w:val="single" w:color="auto" w:sz="4" w:space="0"/>
            </w:tcBorders>
            <w:vAlign w:val="center"/>
          </w:tcPr>
          <w:p w14:paraId="475AFA32">
            <w:pPr>
              <w:overflowPunct w:val="0"/>
              <w:spacing w:line="400" w:lineRule="exact"/>
              <w:jc w:val="center"/>
              <w:rPr>
                <w:rFonts w:ascii="宋体" w:cs="宋体"/>
                <w:color w:val="auto"/>
                <w:szCs w:val="21"/>
                <w:highlight w:val="none"/>
              </w:rPr>
            </w:pPr>
            <w:r>
              <w:rPr>
                <w:rFonts w:hint="eastAsia" w:ascii="宋体" w:hAnsi="宋体" w:cs="宋体"/>
                <w:color w:val="auto"/>
                <w:szCs w:val="21"/>
                <w:highlight w:val="none"/>
              </w:rPr>
              <w:t>签订合同</w:t>
            </w:r>
          </w:p>
        </w:tc>
        <w:tc>
          <w:tcPr>
            <w:tcW w:w="6453" w:type="dxa"/>
            <w:tcBorders>
              <w:top w:val="single" w:color="auto" w:sz="4" w:space="0"/>
              <w:left w:val="single" w:color="auto" w:sz="4" w:space="0"/>
              <w:bottom w:val="single" w:color="auto" w:sz="4" w:space="0"/>
            </w:tcBorders>
            <w:vAlign w:val="center"/>
          </w:tcPr>
          <w:p w14:paraId="5BBE0731">
            <w:pPr>
              <w:overflowPunct w:val="0"/>
              <w:spacing w:line="400" w:lineRule="exact"/>
              <w:rPr>
                <w:rFonts w:ascii="宋体" w:cs="宋体"/>
                <w:color w:val="auto"/>
                <w:szCs w:val="21"/>
                <w:highlight w:val="none"/>
              </w:rPr>
            </w:pPr>
            <w:r>
              <w:rPr>
                <w:rFonts w:hint="eastAsia" w:ascii="宋体" w:hAnsi="宋体" w:cs="宋体"/>
                <w:color w:val="auto"/>
                <w:szCs w:val="21"/>
                <w:highlight w:val="none"/>
              </w:rPr>
              <w:t>成交通知书发出后</w:t>
            </w:r>
            <w:r>
              <w:rPr>
                <w:rFonts w:ascii="宋体" w:hAnsi="宋体" w:cs="宋体"/>
                <w:color w:val="auto"/>
                <w:szCs w:val="21"/>
                <w:highlight w:val="none"/>
              </w:rPr>
              <w:t>30</w:t>
            </w:r>
            <w:r>
              <w:rPr>
                <w:rFonts w:hint="eastAsia" w:ascii="宋体" w:hAnsi="宋体" w:cs="宋体"/>
                <w:color w:val="auto"/>
                <w:szCs w:val="21"/>
                <w:highlight w:val="none"/>
              </w:rPr>
              <w:t>天内</w:t>
            </w:r>
          </w:p>
        </w:tc>
      </w:tr>
      <w:tr w14:paraId="33C6B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7ECDD00A">
            <w:pPr>
              <w:overflowPunct w:val="0"/>
              <w:spacing w:line="400" w:lineRule="exact"/>
              <w:jc w:val="center"/>
              <w:rPr>
                <w:rFonts w:ascii="宋体" w:cs="宋体"/>
                <w:color w:val="auto"/>
                <w:szCs w:val="21"/>
                <w:highlight w:val="none"/>
              </w:rPr>
            </w:pPr>
            <w:r>
              <w:rPr>
                <w:rFonts w:ascii="宋体" w:hAnsi="宋体" w:cs="宋体"/>
                <w:color w:val="auto"/>
                <w:szCs w:val="21"/>
                <w:highlight w:val="none"/>
              </w:rPr>
              <w:t>19</w:t>
            </w:r>
          </w:p>
        </w:tc>
        <w:tc>
          <w:tcPr>
            <w:tcW w:w="1762" w:type="dxa"/>
            <w:tcBorders>
              <w:top w:val="single" w:color="auto" w:sz="4" w:space="0"/>
              <w:left w:val="single" w:color="auto" w:sz="4" w:space="0"/>
              <w:bottom w:val="single" w:color="auto" w:sz="4" w:space="0"/>
              <w:right w:val="single" w:color="auto" w:sz="4" w:space="0"/>
            </w:tcBorders>
            <w:vAlign w:val="center"/>
          </w:tcPr>
          <w:p w14:paraId="3BC1C67B">
            <w:pPr>
              <w:overflowPunct w:val="0"/>
              <w:spacing w:line="400" w:lineRule="exact"/>
              <w:jc w:val="center"/>
              <w:rPr>
                <w:rFonts w:ascii="宋体" w:cs="宋体"/>
                <w:bCs/>
                <w:color w:val="auto"/>
                <w:szCs w:val="21"/>
                <w:highlight w:val="none"/>
              </w:rPr>
            </w:pPr>
            <w:r>
              <w:rPr>
                <w:rFonts w:hint="eastAsia" w:ascii="宋体" w:hAnsi="宋体" w:cs="宋体"/>
                <w:color w:val="auto"/>
                <w:szCs w:val="21"/>
                <w:highlight w:val="none"/>
              </w:rPr>
              <w:t>履约保证金</w:t>
            </w:r>
          </w:p>
        </w:tc>
        <w:tc>
          <w:tcPr>
            <w:tcW w:w="6453" w:type="dxa"/>
            <w:tcBorders>
              <w:top w:val="single" w:color="auto" w:sz="4" w:space="0"/>
              <w:left w:val="single" w:color="auto" w:sz="4" w:space="0"/>
              <w:bottom w:val="single" w:color="auto" w:sz="4" w:space="0"/>
            </w:tcBorders>
            <w:vAlign w:val="center"/>
          </w:tcPr>
          <w:p w14:paraId="76CE6C9E">
            <w:pPr>
              <w:overflowPunct w:val="0"/>
              <w:spacing w:line="400" w:lineRule="exact"/>
              <w:rPr>
                <w:rFonts w:ascii="宋体" w:cs="宋体"/>
                <w:bCs/>
                <w:color w:val="auto"/>
                <w:szCs w:val="21"/>
                <w:highlight w:val="none"/>
              </w:rPr>
            </w:pPr>
            <w:r>
              <w:rPr>
                <w:rFonts w:hint="eastAsia" w:ascii="宋体" w:cs="宋体"/>
                <w:bCs/>
                <w:color w:val="auto"/>
                <w:szCs w:val="21"/>
                <w:highlight w:val="none"/>
              </w:rPr>
              <w:t>无</w:t>
            </w:r>
          </w:p>
        </w:tc>
      </w:tr>
      <w:tr w14:paraId="29AB8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35EEC4AC">
            <w:pPr>
              <w:overflowPunct w:val="0"/>
              <w:spacing w:line="400" w:lineRule="exact"/>
              <w:jc w:val="center"/>
              <w:rPr>
                <w:rFonts w:ascii="宋体" w:cs="宋体"/>
                <w:color w:val="auto"/>
                <w:szCs w:val="21"/>
                <w:highlight w:val="none"/>
              </w:rPr>
            </w:pPr>
            <w:r>
              <w:rPr>
                <w:rFonts w:ascii="宋体" w:hAnsi="宋体" w:cs="宋体"/>
                <w:color w:val="auto"/>
                <w:szCs w:val="21"/>
                <w:highlight w:val="none"/>
              </w:rPr>
              <w:t>20</w:t>
            </w:r>
          </w:p>
        </w:tc>
        <w:tc>
          <w:tcPr>
            <w:tcW w:w="1762" w:type="dxa"/>
            <w:tcBorders>
              <w:top w:val="single" w:color="auto" w:sz="4" w:space="0"/>
              <w:left w:val="single" w:color="auto" w:sz="4" w:space="0"/>
              <w:bottom w:val="single" w:color="auto" w:sz="4" w:space="0"/>
              <w:right w:val="single" w:color="auto" w:sz="4" w:space="0"/>
            </w:tcBorders>
            <w:vAlign w:val="center"/>
          </w:tcPr>
          <w:p w14:paraId="57D99037">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磋商办法及标准</w:t>
            </w:r>
          </w:p>
        </w:tc>
        <w:tc>
          <w:tcPr>
            <w:tcW w:w="6453" w:type="dxa"/>
            <w:tcBorders>
              <w:top w:val="single" w:color="auto" w:sz="4" w:space="0"/>
              <w:left w:val="single" w:color="auto" w:sz="4" w:space="0"/>
              <w:bottom w:val="single" w:color="auto" w:sz="4" w:space="0"/>
            </w:tcBorders>
            <w:vAlign w:val="center"/>
          </w:tcPr>
          <w:p w14:paraId="324214C4">
            <w:pPr>
              <w:overflowPunct w:val="0"/>
              <w:spacing w:line="400" w:lineRule="exact"/>
              <w:rPr>
                <w:rFonts w:ascii="宋体" w:cs="宋体"/>
                <w:bCs/>
                <w:color w:val="auto"/>
                <w:szCs w:val="21"/>
                <w:highlight w:val="none"/>
              </w:rPr>
            </w:pPr>
            <w:r>
              <w:rPr>
                <w:rFonts w:hint="eastAsia" w:ascii="宋体" w:hAnsi="宋体" w:cs="宋体"/>
                <w:bCs/>
                <w:color w:val="auto"/>
                <w:szCs w:val="21"/>
                <w:highlight w:val="none"/>
              </w:rPr>
              <w:t>详见磋商文件第五章</w:t>
            </w:r>
          </w:p>
        </w:tc>
      </w:tr>
      <w:tr w14:paraId="447A1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2AB7368A">
            <w:pPr>
              <w:overflowPunct w:val="0"/>
              <w:spacing w:line="400" w:lineRule="exact"/>
              <w:jc w:val="center"/>
              <w:rPr>
                <w:rFonts w:ascii="宋体" w:cs="宋体"/>
                <w:color w:val="auto"/>
                <w:szCs w:val="21"/>
                <w:highlight w:val="none"/>
              </w:rPr>
            </w:pPr>
            <w:r>
              <w:rPr>
                <w:rFonts w:ascii="宋体" w:hAnsi="宋体" w:cs="宋体"/>
                <w:color w:val="auto"/>
                <w:szCs w:val="21"/>
                <w:highlight w:val="none"/>
              </w:rPr>
              <w:t>21</w:t>
            </w:r>
          </w:p>
        </w:tc>
        <w:tc>
          <w:tcPr>
            <w:tcW w:w="1762" w:type="dxa"/>
            <w:tcBorders>
              <w:top w:val="single" w:color="auto" w:sz="4" w:space="0"/>
              <w:left w:val="single" w:color="auto" w:sz="4" w:space="0"/>
              <w:bottom w:val="single" w:color="auto" w:sz="4" w:space="0"/>
              <w:right w:val="single" w:color="auto" w:sz="4" w:space="0"/>
            </w:tcBorders>
            <w:vAlign w:val="center"/>
          </w:tcPr>
          <w:p w14:paraId="00B598DE">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采购单位</w:t>
            </w:r>
          </w:p>
        </w:tc>
        <w:tc>
          <w:tcPr>
            <w:tcW w:w="6453" w:type="dxa"/>
            <w:tcBorders>
              <w:top w:val="single" w:color="auto" w:sz="4" w:space="0"/>
              <w:left w:val="single" w:color="auto" w:sz="4" w:space="0"/>
              <w:bottom w:val="single" w:color="auto" w:sz="4" w:space="0"/>
            </w:tcBorders>
            <w:vAlign w:val="center"/>
          </w:tcPr>
          <w:p w14:paraId="10C69BCA">
            <w:pPr>
              <w:overflowPunct w:val="0"/>
              <w:spacing w:line="400" w:lineRule="exact"/>
              <w:rPr>
                <w:rFonts w:ascii="宋体" w:cs="宋体"/>
                <w:bCs/>
                <w:color w:val="auto"/>
                <w:szCs w:val="21"/>
                <w:highlight w:val="none"/>
              </w:rPr>
            </w:pPr>
            <w:r>
              <w:rPr>
                <w:rFonts w:hint="eastAsia" w:ascii="宋体" w:hAnsi="宋体" w:cs="宋体"/>
                <w:bCs/>
                <w:color w:val="auto"/>
                <w:szCs w:val="21"/>
                <w:highlight w:val="none"/>
              </w:rPr>
              <w:t>详见磋商公告</w:t>
            </w:r>
          </w:p>
        </w:tc>
      </w:tr>
      <w:tr w14:paraId="761A0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7C700583">
            <w:pPr>
              <w:overflowPunct w:val="0"/>
              <w:spacing w:line="400" w:lineRule="exact"/>
              <w:jc w:val="center"/>
              <w:rPr>
                <w:rFonts w:ascii="宋体" w:cs="宋体"/>
                <w:bCs/>
                <w:color w:val="auto"/>
                <w:szCs w:val="21"/>
                <w:highlight w:val="none"/>
              </w:rPr>
            </w:pPr>
            <w:r>
              <w:rPr>
                <w:rFonts w:ascii="宋体" w:hAnsi="宋体" w:cs="宋体"/>
                <w:bCs/>
                <w:color w:val="auto"/>
                <w:szCs w:val="21"/>
                <w:highlight w:val="none"/>
              </w:rPr>
              <w:t>22</w:t>
            </w:r>
          </w:p>
        </w:tc>
        <w:tc>
          <w:tcPr>
            <w:tcW w:w="1762" w:type="dxa"/>
            <w:tcBorders>
              <w:top w:val="single" w:color="auto" w:sz="4" w:space="0"/>
              <w:left w:val="single" w:color="auto" w:sz="4" w:space="0"/>
              <w:bottom w:val="single" w:color="auto" w:sz="4" w:space="0"/>
              <w:right w:val="single" w:color="auto" w:sz="4" w:space="0"/>
            </w:tcBorders>
            <w:vAlign w:val="center"/>
          </w:tcPr>
          <w:p w14:paraId="52446647">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招标采购单位</w:t>
            </w:r>
          </w:p>
        </w:tc>
        <w:tc>
          <w:tcPr>
            <w:tcW w:w="6453" w:type="dxa"/>
            <w:tcBorders>
              <w:top w:val="single" w:color="auto" w:sz="4" w:space="0"/>
              <w:left w:val="single" w:color="auto" w:sz="4" w:space="0"/>
              <w:bottom w:val="single" w:color="auto" w:sz="4" w:space="0"/>
            </w:tcBorders>
            <w:vAlign w:val="center"/>
          </w:tcPr>
          <w:p w14:paraId="0155D241">
            <w:pPr>
              <w:overflowPunct w:val="0"/>
              <w:spacing w:line="400" w:lineRule="exact"/>
              <w:rPr>
                <w:rFonts w:ascii="宋体" w:cs="宋体"/>
                <w:bCs/>
                <w:color w:val="auto"/>
                <w:szCs w:val="21"/>
                <w:highlight w:val="none"/>
              </w:rPr>
            </w:pPr>
            <w:r>
              <w:rPr>
                <w:rFonts w:hint="eastAsia" w:ascii="宋体" w:hAnsi="宋体" w:cs="宋体"/>
                <w:bCs/>
                <w:color w:val="auto"/>
                <w:szCs w:val="21"/>
                <w:highlight w:val="none"/>
              </w:rPr>
              <w:t>采购单位与采购代理机构的统称</w:t>
            </w:r>
          </w:p>
        </w:tc>
      </w:tr>
      <w:tr w14:paraId="17472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280D333">
            <w:pPr>
              <w:overflowPunct w:val="0"/>
              <w:spacing w:line="400" w:lineRule="exact"/>
              <w:jc w:val="center"/>
              <w:rPr>
                <w:rFonts w:ascii="宋体" w:cs="宋体"/>
                <w:bCs/>
                <w:color w:val="auto"/>
                <w:szCs w:val="21"/>
                <w:highlight w:val="none"/>
              </w:rPr>
            </w:pPr>
            <w:r>
              <w:rPr>
                <w:rFonts w:ascii="宋体" w:hAnsi="宋体" w:cs="宋体"/>
                <w:bCs/>
                <w:color w:val="auto"/>
                <w:szCs w:val="21"/>
                <w:highlight w:val="none"/>
              </w:rPr>
              <w:t>23</w:t>
            </w:r>
          </w:p>
        </w:tc>
        <w:tc>
          <w:tcPr>
            <w:tcW w:w="1762" w:type="dxa"/>
            <w:tcBorders>
              <w:top w:val="single" w:color="auto" w:sz="4" w:space="0"/>
              <w:left w:val="single" w:color="auto" w:sz="4" w:space="0"/>
              <w:bottom w:val="single" w:color="auto" w:sz="4" w:space="0"/>
              <w:right w:val="single" w:color="auto" w:sz="4" w:space="0"/>
            </w:tcBorders>
            <w:vAlign w:val="center"/>
          </w:tcPr>
          <w:p w14:paraId="1C058C5D">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解释</w:t>
            </w:r>
          </w:p>
        </w:tc>
        <w:tc>
          <w:tcPr>
            <w:tcW w:w="6453" w:type="dxa"/>
            <w:tcBorders>
              <w:top w:val="single" w:color="auto" w:sz="4" w:space="0"/>
              <w:left w:val="single" w:color="auto" w:sz="4" w:space="0"/>
              <w:bottom w:val="single" w:color="auto" w:sz="4" w:space="0"/>
            </w:tcBorders>
            <w:vAlign w:val="center"/>
          </w:tcPr>
          <w:p w14:paraId="4C9AA928">
            <w:pPr>
              <w:overflowPunct w:val="0"/>
              <w:spacing w:line="400" w:lineRule="exact"/>
              <w:rPr>
                <w:rFonts w:ascii="宋体" w:cs="宋体"/>
                <w:bCs/>
                <w:color w:val="auto"/>
                <w:szCs w:val="21"/>
                <w:highlight w:val="none"/>
              </w:rPr>
            </w:pPr>
            <w:r>
              <w:rPr>
                <w:rFonts w:hint="eastAsia" w:ascii="宋体" w:hAnsi="宋体" w:cs="宋体"/>
                <w:bCs/>
                <w:color w:val="auto"/>
                <w:szCs w:val="21"/>
                <w:highlight w:val="none"/>
              </w:rPr>
              <w:t>本磋商文件的解释权属于招标采购单位</w:t>
            </w:r>
          </w:p>
        </w:tc>
      </w:tr>
      <w:tr w14:paraId="1972A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1CE8E281">
            <w:pPr>
              <w:overflowPunct w:val="0"/>
              <w:spacing w:line="400" w:lineRule="exact"/>
              <w:jc w:val="center"/>
              <w:rPr>
                <w:rFonts w:ascii="宋体" w:cs="宋体"/>
                <w:bCs/>
                <w:color w:val="auto"/>
                <w:szCs w:val="21"/>
                <w:highlight w:val="none"/>
              </w:rPr>
            </w:pPr>
            <w:r>
              <w:rPr>
                <w:rFonts w:ascii="宋体" w:hAnsi="宋体" w:cs="宋体"/>
                <w:bCs/>
                <w:color w:val="auto"/>
                <w:szCs w:val="21"/>
                <w:highlight w:val="none"/>
              </w:rPr>
              <w:t>24</w:t>
            </w:r>
          </w:p>
        </w:tc>
        <w:tc>
          <w:tcPr>
            <w:tcW w:w="1762" w:type="dxa"/>
            <w:tcBorders>
              <w:top w:val="single" w:color="auto" w:sz="4" w:space="0"/>
              <w:left w:val="single" w:color="auto" w:sz="4" w:space="0"/>
              <w:bottom w:val="single" w:color="auto" w:sz="4" w:space="0"/>
              <w:right w:val="single" w:color="auto" w:sz="4" w:space="0"/>
            </w:tcBorders>
            <w:vAlign w:val="center"/>
          </w:tcPr>
          <w:p w14:paraId="470AEDF9">
            <w:pPr>
              <w:overflowPunct w:val="0"/>
              <w:spacing w:line="400" w:lineRule="exact"/>
              <w:jc w:val="center"/>
              <w:rPr>
                <w:rFonts w:ascii="宋体" w:cs="宋体"/>
                <w:bCs/>
                <w:color w:val="auto"/>
                <w:szCs w:val="21"/>
                <w:highlight w:val="none"/>
              </w:rPr>
            </w:pPr>
            <w:r>
              <w:rPr>
                <w:rFonts w:hint="eastAsia" w:ascii="宋体" w:hAnsi="宋体" w:cs="宋体"/>
                <w:bCs/>
                <w:color w:val="auto"/>
                <w:szCs w:val="21"/>
                <w:highlight w:val="none"/>
              </w:rPr>
              <w:t>其他</w:t>
            </w:r>
          </w:p>
        </w:tc>
        <w:tc>
          <w:tcPr>
            <w:tcW w:w="6453" w:type="dxa"/>
            <w:tcBorders>
              <w:top w:val="single" w:color="auto" w:sz="4" w:space="0"/>
              <w:left w:val="single" w:color="auto" w:sz="4" w:space="0"/>
              <w:bottom w:val="single" w:color="auto" w:sz="4" w:space="0"/>
            </w:tcBorders>
            <w:vAlign w:val="center"/>
          </w:tcPr>
          <w:p w14:paraId="2B2ACFFB">
            <w:pPr>
              <w:overflowPunct w:val="0"/>
              <w:spacing w:line="400" w:lineRule="exact"/>
              <w:rPr>
                <w:rFonts w:ascii="宋体" w:cs="宋体"/>
                <w:bCs/>
                <w:color w:val="auto"/>
                <w:szCs w:val="21"/>
                <w:highlight w:val="none"/>
              </w:rPr>
            </w:pPr>
            <w:r>
              <w:rPr>
                <w:rFonts w:hint="eastAsia" w:ascii="宋体" w:hAnsi="宋体" w:cs="宋体"/>
                <w:color w:val="auto"/>
                <w:highlight w:val="none"/>
              </w:rPr>
              <w:t>若供应商不能</w:t>
            </w:r>
            <w:r>
              <w:rPr>
                <w:rFonts w:hint="eastAsia" w:ascii="宋体" w:hAnsi="宋体" w:cs="宋体"/>
                <w:bCs/>
                <w:color w:val="auto"/>
                <w:kern w:val="0"/>
                <w:szCs w:val="21"/>
                <w:highlight w:val="none"/>
              </w:rPr>
              <w:t>参加现场开评标活动</w:t>
            </w:r>
            <w:r>
              <w:rPr>
                <w:rFonts w:hint="eastAsia" w:ascii="宋体" w:hAnsi="宋体" w:cs="宋体"/>
                <w:color w:val="auto"/>
                <w:szCs w:val="21"/>
                <w:highlight w:val="none"/>
              </w:rPr>
              <w:t>，可以将</w:t>
            </w:r>
            <w:r>
              <w:rPr>
                <w:rFonts w:hint="eastAsia" w:ascii="宋体" w:hAnsi="宋体" w:cs="宋体"/>
                <w:color w:val="auto"/>
                <w:highlight w:val="none"/>
              </w:rPr>
              <w:t>“备份响应文件”、“纸质响应文件”密封包装后（邮寄形式）</w:t>
            </w:r>
            <w:r>
              <w:rPr>
                <w:rFonts w:hint="eastAsia" w:ascii="宋体" w:hAnsi="宋体" w:cs="宋体"/>
                <w:color w:val="auto"/>
                <w:szCs w:val="21"/>
                <w:highlight w:val="none"/>
              </w:rPr>
              <w:t>磋商截止时间</w:t>
            </w:r>
            <w:r>
              <w:rPr>
                <w:rFonts w:hint="eastAsia" w:ascii="宋体" w:hAnsi="宋体" w:cs="宋体"/>
                <w:color w:val="auto"/>
                <w:highlight w:val="none"/>
              </w:rPr>
              <w:t>前递交、各一份（邮寄地址：安吉县昌硕街道天目中路</w:t>
            </w:r>
            <w:r>
              <w:rPr>
                <w:rFonts w:ascii="宋体" w:hAnsi="宋体" w:cs="宋体"/>
                <w:color w:val="auto"/>
                <w:highlight w:val="none"/>
              </w:rPr>
              <w:t>771</w:t>
            </w:r>
            <w:r>
              <w:rPr>
                <w:rFonts w:hint="eastAsia" w:ascii="宋体" w:hAnsi="宋体" w:cs="宋体"/>
                <w:color w:val="auto"/>
                <w:highlight w:val="none"/>
              </w:rPr>
              <w:t>号</w:t>
            </w:r>
            <w:r>
              <w:rPr>
                <w:rFonts w:ascii="宋体" w:hAnsi="宋体" w:cs="宋体"/>
                <w:color w:val="auto"/>
                <w:highlight w:val="none"/>
              </w:rPr>
              <w:t>310</w:t>
            </w:r>
            <w:r>
              <w:rPr>
                <w:rFonts w:hint="eastAsia" w:ascii="宋体" w:hAnsi="宋体" w:cs="宋体"/>
                <w:color w:val="auto"/>
                <w:highlight w:val="none"/>
              </w:rPr>
              <w:t>室，联系人：陈晨，联系电话：</w:t>
            </w:r>
            <w:r>
              <w:rPr>
                <w:rFonts w:ascii="宋体" w:hAnsi="宋体" w:cs="宋体"/>
                <w:color w:val="auto"/>
                <w:highlight w:val="none"/>
              </w:rPr>
              <w:t>0572-5601977</w:t>
            </w:r>
            <w:r>
              <w:rPr>
                <w:rFonts w:hint="eastAsia" w:ascii="宋体" w:hAnsi="宋体" w:cs="宋体"/>
                <w:color w:val="auto"/>
                <w:highlight w:val="none"/>
              </w:rPr>
              <w:t>），逾期寄达或未按要求密封将被拒收。</w:t>
            </w:r>
          </w:p>
        </w:tc>
      </w:tr>
    </w:tbl>
    <w:p w14:paraId="1E1C1492">
      <w:pPr>
        <w:overflowPunct w:val="0"/>
        <w:spacing w:line="400" w:lineRule="exact"/>
        <w:jc w:val="left"/>
        <w:rPr>
          <w:rFonts w:ascii="宋体" w:cs="宋体"/>
          <w:b/>
          <w:color w:val="auto"/>
          <w:szCs w:val="21"/>
          <w:highlight w:val="none"/>
        </w:rPr>
      </w:pPr>
      <w:bookmarkStart w:id="11" w:name="_Toc282640696"/>
      <w:bookmarkStart w:id="12" w:name="_Toc23399"/>
      <w:bookmarkStart w:id="13" w:name="_Toc15998"/>
      <w:r>
        <w:rPr>
          <w:rFonts w:hint="eastAsia" w:ascii="宋体" w:hAnsi="宋体" w:cs="宋体"/>
          <w:b/>
          <w:color w:val="auto"/>
          <w:szCs w:val="21"/>
          <w:highlight w:val="none"/>
        </w:rPr>
        <w:t>一、适用范围</w:t>
      </w:r>
      <w:bookmarkEnd w:id="11"/>
      <w:bookmarkEnd w:id="12"/>
      <w:bookmarkEnd w:id="13"/>
    </w:p>
    <w:p w14:paraId="4587F7DB">
      <w:pPr>
        <w:overflowPunct w:val="0"/>
        <w:spacing w:line="40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仅适用于本次竞争性磋商采购所叙述的工程、货物和服务。</w:t>
      </w:r>
      <w:bookmarkStart w:id="14" w:name="_Toc282640697"/>
    </w:p>
    <w:p w14:paraId="2A8816A4">
      <w:pPr>
        <w:overflowPunct w:val="0"/>
        <w:spacing w:line="400" w:lineRule="exact"/>
        <w:jc w:val="left"/>
        <w:rPr>
          <w:rFonts w:ascii="宋体" w:cs="宋体"/>
          <w:b/>
          <w:color w:val="auto"/>
          <w:szCs w:val="21"/>
          <w:highlight w:val="none"/>
        </w:rPr>
      </w:pPr>
      <w:r>
        <w:rPr>
          <w:rFonts w:hint="eastAsia" w:ascii="宋体" w:hAnsi="宋体" w:cs="宋体"/>
          <w:bCs/>
          <w:color w:val="auto"/>
          <w:szCs w:val="21"/>
          <w:highlight w:val="none"/>
        </w:rPr>
        <w:t>二、</w:t>
      </w:r>
      <w:r>
        <w:rPr>
          <w:rFonts w:hint="eastAsia" w:ascii="宋体" w:hAnsi="宋体" w:cs="宋体"/>
          <w:b/>
          <w:color w:val="auto"/>
          <w:szCs w:val="21"/>
          <w:highlight w:val="none"/>
        </w:rPr>
        <w:t>定义</w:t>
      </w:r>
      <w:bookmarkEnd w:id="14"/>
    </w:p>
    <w:p w14:paraId="1A056765">
      <w:pPr>
        <w:overflowPunct w:val="0"/>
        <w:spacing w:line="40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、“采购人”系指</w:t>
      </w:r>
      <w:r>
        <w:rPr>
          <w:rFonts w:hint="eastAsia" w:ascii="宋体" w:hAnsi="宋体" w:cs="宋体"/>
          <w:bCs/>
          <w:color w:val="auto"/>
          <w:szCs w:val="21"/>
          <w:highlight w:val="none"/>
          <w:lang w:eastAsia="zh-CN"/>
        </w:rPr>
        <w:t xml:space="preserve">安吉县妇幼保健院  </w:t>
      </w:r>
      <w:r>
        <w:rPr>
          <w:rFonts w:hint="eastAsia" w:ascii="宋体" w:hAnsi="宋体" w:cs="宋体"/>
          <w:bCs/>
          <w:color w:val="auto"/>
          <w:szCs w:val="21"/>
          <w:highlight w:val="none"/>
        </w:rPr>
        <w:t>。</w:t>
      </w:r>
    </w:p>
    <w:p w14:paraId="1BA2D4E6">
      <w:pPr>
        <w:overflowPunct w:val="0"/>
        <w:spacing w:line="40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、“采购代理机构”系指浙江华夏工程管理有限公司。</w:t>
      </w:r>
    </w:p>
    <w:p w14:paraId="2542BA39">
      <w:pPr>
        <w:overflowPunct w:val="0"/>
        <w:spacing w:line="40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、“供应商”系指向采购代理机构提交磋商响应文件的供应商。</w:t>
      </w:r>
    </w:p>
    <w:p w14:paraId="26CE0E6A">
      <w:pPr>
        <w:overflowPunct w:val="0"/>
        <w:spacing w:line="40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、“服务”系指按竞争性磋商文件要求提供的本项目的所有工作内容。</w:t>
      </w:r>
    </w:p>
    <w:p w14:paraId="5DCC460B">
      <w:pPr>
        <w:overflowPunct w:val="0"/>
        <w:spacing w:line="40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、“招标采购单位”系指组织本次磋商的“采购代理机构”和“采购人”</w:t>
      </w:r>
    </w:p>
    <w:p w14:paraId="78EC87DD">
      <w:pPr>
        <w:overflowPunct w:val="0"/>
        <w:spacing w:line="400" w:lineRule="exact"/>
        <w:jc w:val="left"/>
        <w:rPr>
          <w:rFonts w:ascii="宋体" w:cs="宋体"/>
          <w:b/>
          <w:color w:val="auto"/>
          <w:szCs w:val="21"/>
          <w:highlight w:val="none"/>
        </w:rPr>
      </w:pPr>
      <w:bookmarkStart w:id="15" w:name="_Toc31441"/>
      <w:bookmarkStart w:id="16" w:name="_Toc282640698"/>
      <w:bookmarkStart w:id="17" w:name="_Toc2086"/>
      <w:r>
        <w:rPr>
          <w:rFonts w:hint="eastAsia" w:ascii="宋体" w:hAnsi="宋体" w:cs="宋体"/>
          <w:b/>
          <w:color w:val="auto"/>
          <w:szCs w:val="21"/>
          <w:highlight w:val="none"/>
        </w:rPr>
        <w:t>三、供应商的资格要求</w:t>
      </w:r>
      <w:bookmarkEnd w:id="15"/>
      <w:bookmarkEnd w:id="16"/>
      <w:bookmarkEnd w:id="17"/>
    </w:p>
    <w:p w14:paraId="7AEA11DE">
      <w:pPr>
        <w:overflowPunct w:val="0"/>
        <w:spacing w:line="400" w:lineRule="exact"/>
        <w:ind w:firstLine="420" w:firstLineChars="200"/>
        <w:rPr>
          <w:rFonts w:ascii="宋体" w:cs="宋体"/>
          <w:bCs/>
          <w:color w:val="auto"/>
          <w:szCs w:val="21"/>
          <w:highlight w:val="none"/>
        </w:rPr>
      </w:pPr>
      <w:bookmarkStart w:id="18" w:name="_Toc282640699"/>
      <w:r>
        <w:rPr>
          <w:rFonts w:hint="eastAsia" w:ascii="宋体" w:hAnsi="宋体" w:cs="宋体"/>
          <w:bCs/>
          <w:color w:val="auto"/>
          <w:szCs w:val="21"/>
          <w:highlight w:val="none"/>
        </w:rPr>
        <w:t>符合竞争性磋商公告第二条供应商资格要求。</w:t>
      </w:r>
    </w:p>
    <w:p w14:paraId="464DD9FB">
      <w:pPr>
        <w:overflowPunct w:val="0"/>
        <w:spacing w:line="400" w:lineRule="exact"/>
        <w:jc w:val="left"/>
        <w:rPr>
          <w:rFonts w:ascii="宋体" w:cs="宋体"/>
          <w:b/>
          <w:color w:val="auto"/>
          <w:szCs w:val="21"/>
          <w:highlight w:val="none"/>
        </w:rPr>
      </w:pPr>
      <w:bookmarkStart w:id="19" w:name="_Toc19212"/>
      <w:bookmarkStart w:id="20" w:name="_Toc12662"/>
      <w:r>
        <w:rPr>
          <w:rFonts w:hint="eastAsia" w:ascii="宋体" w:hAnsi="宋体" w:cs="宋体"/>
          <w:b/>
          <w:color w:val="auto"/>
          <w:szCs w:val="21"/>
          <w:highlight w:val="none"/>
        </w:rPr>
        <w:t>四、磋商费用</w:t>
      </w:r>
      <w:bookmarkEnd w:id="18"/>
      <w:bookmarkEnd w:id="19"/>
      <w:bookmarkEnd w:id="20"/>
    </w:p>
    <w:p w14:paraId="4CAF6E9C">
      <w:pPr>
        <w:overflowPunct w:val="0"/>
        <w:spacing w:line="40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无论竞争性磋商过程和结果如何，供应商自行承担与磋商响应有关的全部费用。</w:t>
      </w:r>
    </w:p>
    <w:p w14:paraId="76FFB0B4">
      <w:pPr>
        <w:overflowPunct w:val="0"/>
        <w:spacing w:line="400" w:lineRule="exact"/>
        <w:jc w:val="left"/>
        <w:rPr>
          <w:rFonts w:ascii="宋体" w:cs="宋体"/>
          <w:b/>
          <w:color w:val="auto"/>
          <w:szCs w:val="21"/>
          <w:highlight w:val="none"/>
        </w:rPr>
      </w:pPr>
      <w:bookmarkStart w:id="21" w:name="_Toc282640700"/>
      <w:bookmarkStart w:id="22" w:name="_Toc26958"/>
      <w:bookmarkStart w:id="23" w:name="_Toc14194"/>
      <w:bookmarkStart w:id="24" w:name="_Toc282640701"/>
      <w:r>
        <w:rPr>
          <w:rFonts w:hint="eastAsia" w:ascii="宋体" w:hAnsi="宋体" w:cs="宋体"/>
          <w:b/>
          <w:color w:val="auto"/>
          <w:szCs w:val="21"/>
          <w:highlight w:val="none"/>
        </w:rPr>
        <w:t>五、竞争性磋商报价</w:t>
      </w:r>
      <w:bookmarkEnd w:id="21"/>
      <w:bookmarkEnd w:id="22"/>
      <w:bookmarkEnd w:id="23"/>
    </w:p>
    <w:bookmarkEnd w:id="24"/>
    <w:p w14:paraId="4224642D">
      <w:pPr>
        <w:overflowPunct w:val="0"/>
        <w:spacing w:line="400" w:lineRule="exact"/>
        <w:ind w:firstLine="420" w:firstLineChars="200"/>
        <w:rPr>
          <w:rFonts w:ascii="宋体" w:cs="宋体"/>
          <w:bCs/>
          <w:color w:val="auto"/>
          <w:szCs w:val="21"/>
          <w:highlight w:val="none"/>
        </w:rPr>
      </w:pPr>
      <w:bookmarkStart w:id="25" w:name="_Toc15229"/>
      <w:bookmarkStart w:id="26" w:name="_Toc9887"/>
      <w:r>
        <w:rPr>
          <w:rFonts w:ascii="宋体" w:hAnsi="宋体" w:cs="宋体"/>
          <w:bCs/>
          <w:color w:val="auto"/>
          <w:szCs w:val="21"/>
          <w:highlight w:val="none"/>
        </w:rPr>
        <w:t>1</w:t>
      </w:r>
      <w:r>
        <w:rPr>
          <w:rFonts w:hint="eastAsia" w:ascii="宋体" w:hAnsi="宋体" w:cs="宋体"/>
          <w:bCs/>
          <w:color w:val="auto"/>
          <w:szCs w:val="21"/>
          <w:highlight w:val="none"/>
        </w:rPr>
        <w:t>、竞争性磋商报价以人民币为结算货币。</w:t>
      </w:r>
    </w:p>
    <w:p w14:paraId="5D88CCC1">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磋商响应文件只允许有一个报价，任何有选择性的报价将不予接受。</w:t>
      </w:r>
    </w:p>
    <w:p w14:paraId="26ACA6EC">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、▲磋商报价应包括</w:t>
      </w:r>
      <w:r>
        <w:rPr>
          <w:rFonts w:hint="eastAsia" w:ascii="宋体" w:hAnsi="宋体" w:cs="宋体"/>
          <w:bCs/>
          <w:color w:val="auto"/>
          <w:kern w:val="0"/>
          <w:szCs w:val="21"/>
          <w:highlight w:val="none"/>
        </w:rPr>
        <w:t>整个服务项目所有费用</w:t>
      </w:r>
      <w:r>
        <w:rPr>
          <w:rFonts w:hint="eastAsia" w:ascii="宋体" w:hAnsi="宋体" w:cs="宋体"/>
          <w:bCs/>
          <w:color w:val="auto"/>
          <w:szCs w:val="21"/>
          <w:highlight w:val="none"/>
        </w:rPr>
        <w:t>。</w:t>
      </w:r>
    </w:p>
    <w:p w14:paraId="07FE5EA6">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、供应商应充分考虑因各种原因可能发生的费用。对没有填报的费用，采购人认为所有费用已包含在总价中，除合同条款另有规定外，不得进行调整。</w:t>
      </w:r>
    </w:p>
    <w:p w14:paraId="56688276">
      <w:pPr>
        <w:overflowPunct w:val="0"/>
        <w:spacing w:line="400" w:lineRule="exact"/>
        <w:jc w:val="left"/>
        <w:rPr>
          <w:rFonts w:ascii="宋体" w:cs="宋体"/>
          <w:b/>
          <w:color w:val="auto"/>
          <w:szCs w:val="21"/>
          <w:highlight w:val="none"/>
        </w:rPr>
      </w:pPr>
      <w:r>
        <w:rPr>
          <w:rFonts w:hint="eastAsia" w:ascii="宋体" w:hAnsi="宋体" w:cs="宋体"/>
          <w:b/>
          <w:color w:val="auto"/>
          <w:szCs w:val="21"/>
          <w:highlight w:val="none"/>
        </w:rPr>
        <w:t>六、履约保证金</w:t>
      </w:r>
      <w:bookmarkEnd w:id="25"/>
      <w:bookmarkEnd w:id="26"/>
    </w:p>
    <w:p w14:paraId="1C3E79CD">
      <w:pPr>
        <w:overflowPunct w:val="0"/>
        <w:spacing w:line="400" w:lineRule="exact"/>
        <w:ind w:firstLine="420" w:firstLineChars="200"/>
        <w:jc w:val="left"/>
        <w:rPr>
          <w:rFonts w:ascii="宋体" w:cs="宋体"/>
          <w:color w:val="auto"/>
          <w:szCs w:val="21"/>
          <w:highlight w:val="none"/>
        </w:rPr>
      </w:pPr>
      <w:bookmarkStart w:id="27" w:name="_Toc27409"/>
      <w:bookmarkStart w:id="28" w:name="_Toc31890"/>
      <w:r>
        <w:rPr>
          <w:rFonts w:hint="eastAsia" w:ascii="宋体" w:hAnsi="宋体" w:cs="宋体"/>
          <w:color w:val="auto"/>
          <w:szCs w:val="21"/>
          <w:highlight w:val="none"/>
          <w:lang w:val="zh-TW"/>
        </w:rPr>
        <w:t>无</w:t>
      </w:r>
      <w:r>
        <w:rPr>
          <w:rFonts w:hint="eastAsia" w:ascii="宋体" w:hAnsi="宋体" w:cs="宋体"/>
          <w:color w:val="auto"/>
          <w:szCs w:val="21"/>
          <w:highlight w:val="none"/>
        </w:rPr>
        <w:t>。</w:t>
      </w:r>
    </w:p>
    <w:p w14:paraId="2BDA1C2E">
      <w:pPr>
        <w:overflowPunct w:val="0"/>
        <w:spacing w:line="400" w:lineRule="exact"/>
        <w:jc w:val="left"/>
        <w:rPr>
          <w:rFonts w:ascii="宋体" w:cs="宋体"/>
          <w:b/>
          <w:color w:val="auto"/>
          <w:szCs w:val="21"/>
          <w:highlight w:val="none"/>
        </w:rPr>
      </w:pPr>
      <w:r>
        <w:rPr>
          <w:rFonts w:hint="eastAsia" w:ascii="宋体" w:hAnsi="宋体" w:cs="宋体"/>
          <w:b/>
          <w:color w:val="auto"/>
          <w:szCs w:val="21"/>
          <w:highlight w:val="none"/>
        </w:rPr>
        <w:t>七、磋商文件有效期</w:t>
      </w:r>
      <w:bookmarkEnd w:id="27"/>
      <w:bookmarkEnd w:id="28"/>
    </w:p>
    <w:p w14:paraId="5D32C91D">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、响应文件从磋商之日起，有效期为</w:t>
      </w:r>
      <w:r>
        <w:rPr>
          <w:rFonts w:ascii="宋体" w:hAnsi="宋体" w:cs="宋体"/>
          <w:bCs/>
          <w:color w:val="auto"/>
          <w:szCs w:val="21"/>
          <w:highlight w:val="none"/>
        </w:rPr>
        <w:t>90</w:t>
      </w:r>
      <w:r>
        <w:rPr>
          <w:rFonts w:hint="eastAsia" w:ascii="宋体" w:hAnsi="宋体" w:cs="宋体"/>
          <w:bCs/>
          <w:color w:val="auto"/>
          <w:szCs w:val="21"/>
          <w:highlight w:val="none"/>
        </w:rPr>
        <w:t>天。</w:t>
      </w:r>
    </w:p>
    <w:p w14:paraId="48F6A912">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、特殊情况下，采购人可与供应商协商延缓响应文件的有效期，这种要求和答复均以书面形式进行。</w:t>
      </w:r>
    </w:p>
    <w:p w14:paraId="5A2D31BE">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、供应商可拒绝接受延期要求。同意延长有效期的供应商不能修改磋商响应文件。</w:t>
      </w:r>
      <w:bookmarkStart w:id="29" w:name="_Toc282640702"/>
    </w:p>
    <w:p w14:paraId="1FAD02C9">
      <w:pPr>
        <w:overflowPunct w:val="0"/>
        <w:spacing w:line="400" w:lineRule="exact"/>
        <w:rPr>
          <w:rFonts w:ascii="宋体" w:cs="宋体"/>
          <w:b/>
          <w:color w:val="auto"/>
          <w:szCs w:val="21"/>
          <w:highlight w:val="none"/>
        </w:rPr>
      </w:pPr>
      <w:r>
        <w:rPr>
          <w:rFonts w:hint="eastAsia" w:ascii="宋体" w:hAnsi="宋体" w:cs="宋体"/>
          <w:b/>
          <w:color w:val="auto"/>
          <w:szCs w:val="21"/>
          <w:highlight w:val="none"/>
        </w:rPr>
        <w:t>八、响应文件的组成</w:t>
      </w:r>
      <w:bookmarkEnd w:id="29"/>
    </w:p>
    <w:p w14:paraId="20228816">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14:paraId="41162A2A">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6B9D4F96">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、响应文件的组成</w:t>
      </w:r>
    </w:p>
    <w:p w14:paraId="621A285C">
      <w:pPr>
        <w:overflowPunct w:val="0"/>
        <w:autoSpaceDE w:val="0"/>
        <w:autoSpaceDN w:val="0"/>
        <w:adjustRightInd w:val="0"/>
        <w:snapToGrid w:val="0"/>
        <w:spacing w:line="400" w:lineRule="exact"/>
        <w:ind w:firstLine="422" w:firstLineChars="200"/>
        <w:textAlignment w:val="bottom"/>
        <w:rPr>
          <w:rFonts w:ascii="宋体" w:cs="宋体"/>
          <w:b/>
          <w:color w:val="auto"/>
          <w:szCs w:val="21"/>
          <w:highlight w:val="none"/>
        </w:rPr>
      </w:pPr>
      <w:r>
        <w:rPr>
          <w:rFonts w:ascii="宋体" w:hAnsi="宋体" w:cs="宋体"/>
          <w:b/>
          <w:color w:val="auto"/>
          <w:szCs w:val="21"/>
          <w:highlight w:val="none"/>
        </w:rPr>
        <w:t xml:space="preserve">3.1 </w:t>
      </w:r>
      <w:r>
        <w:rPr>
          <w:rFonts w:hint="eastAsia" w:ascii="宋体" w:hAnsi="宋体" w:cs="宋体"/>
          <w:b/>
          <w:color w:val="auto"/>
          <w:szCs w:val="21"/>
          <w:highlight w:val="none"/>
        </w:rPr>
        <w:t>资格证明文件</w:t>
      </w:r>
    </w:p>
    <w:p w14:paraId="79FCE61C">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color w:val="auto"/>
          <w:szCs w:val="21"/>
          <w:highlight w:val="none"/>
        </w:rPr>
        <w:t>符合参加政府采购活动应当具备的一般条件的承诺函</w:t>
      </w:r>
      <w:r>
        <w:rPr>
          <w:rFonts w:hint="eastAsia" w:ascii="宋体" w:hAnsi="宋体" w:cs="宋体"/>
          <w:bCs/>
          <w:color w:val="auto"/>
          <w:szCs w:val="21"/>
          <w:highlight w:val="none"/>
        </w:rPr>
        <w:t>（格式见附件）；</w:t>
      </w:r>
    </w:p>
    <w:p w14:paraId="5A9F6AEE">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营业执照复印件（如联合体投标的，联合体成员均需提供）；</w:t>
      </w:r>
    </w:p>
    <w:p w14:paraId="5E6F46D9">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eastAsia="宋体" w:cs="宋体"/>
          <w:color w:val="auto"/>
          <w:szCs w:val="21"/>
          <w:highlight w:val="none"/>
          <w:lang w:eastAsia="zh-CN"/>
        </w:rPr>
        <w:t>联合体协议书（如有，格式自拟）</w:t>
      </w:r>
    </w:p>
    <w:p w14:paraId="53D27EC0">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eastAsia="宋体" w:cs="宋体"/>
          <w:color w:val="auto"/>
          <w:szCs w:val="21"/>
          <w:highlight w:val="none"/>
        </w:rPr>
        <w:t>符合本项目资格要求的资质证书</w:t>
      </w:r>
      <w:r>
        <w:rPr>
          <w:rFonts w:hint="eastAsia" w:ascii="宋体" w:hAnsi="宋体" w:cs="宋体"/>
          <w:color w:val="auto"/>
          <w:szCs w:val="21"/>
          <w:highlight w:val="none"/>
          <w:lang w:eastAsia="zh-CN"/>
        </w:rPr>
        <w:t>；</w:t>
      </w:r>
    </w:p>
    <w:p w14:paraId="1258A8AF">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中小企业声明函（格式见附件）；</w:t>
      </w:r>
    </w:p>
    <w:p w14:paraId="0D4EE76B">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法定代表人身份证明书（格式见附件）；</w:t>
      </w:r>
    </w:p>
    <w:p w14:paraId="6D77CDCD">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法定代表人授权委托书及授权代理人有效身份证明（格式见附件）；</w:t>
      </w:r>
    </w:p>
    <w:p w14:paraId="112D815E">
      <w:pPr>
        <w:overflowPunct w:val="0"/>
        <w:autoSpaceDE w:val="0"/>
        <w:autoSpaceDN w:val="0"/>
        <w:adjustRightInd w:val="0"/>
        <w:snapToGrid w:val="0"/>
        <w:spacing w:line="400" w:lineRule="exact"/>
        <w:ind w:firstLine="422" w:firstLineChars="200"/>
        <w:textAlignment w:val="bottom"/>
        <w:rPr>
          <w:rFonts w:ascii="宋体" w:cs="宋体"/>
          <w:b/>
          <w:color w:val="auto"/>
          <w:szCs w:val="21"/>
          <w:highlight w:val="none"/>
        </w:rPr>
      </w:pPr>
      <w:r>
        <w:rPr>
          <w:rFonts w:ascii="宋体" w:hAnsi="宋体" w:cs="宋体"/>
          <w:b/>
          <w:color w:val="auto"/>
          <w:szCs w:val="21"/>
          <w:highlight w:val="none"/>
        </w:rPr>
        <w:t xml:space="preserve">3.2 </w:t>
      </w:r>
      <w:r>
        <w:rPr>
          <w:rFonts w:hint="eastAsia" w:ascii="宋体" w:hAnsi="宋体" w:cs="宋体"/>
          <w:b/>
          <w:color w:val="auto"/>
          <w:szCs w:val="21"/>
          <w:highlight w:val="none"/>
        </w:rPr>
        <w:t>商务技术文件</w:t>
      </w:r>
    </w:p>
    <w:p w14:paraId="6628D6A2">
      <w:pPr>
        <w:numPr>
          <w:ilvl w:val="0"/>
          <w:numId w:val="3"/>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磋商声明书（格式见附件）；</w:t>
      </w:r>
    </w:p>
    <w:p w14:paraId="5C2AA25C">
      <w:pPr>
        <w:numPr>
          <w:ilvl w:val="0"/>
          <w:numId w:val="3"/>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营业执照复印件；</w:t>
      </w:r>
    </w:p>
    <w:p w14:paraId="12CF9609">
      <w:pPr>
        <w:numPr>
          <w:ilvl w:val="0"/>
          <w:numId w:val="3"/>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供应商情况一览表（格式见附件）；</w:t>
      </w:r>
    </w:p>
    <w:p w14:paraId="03E124B1">
      <w:pPr>
        <w:numPr>
          <w:ilvl w:val="0"/>
          <w:numId w:val="3"/>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成功案例及业绩（同类项目实施情况一览表）（格式见附件）；</w:t>
      </w:r>
    </w:p>
    <w:p w14:paraId="0D206ADD">
      <w:pPr>
        <w:numPr>
          <w:ilvl w:val="0"/>
          <w:numId w:val="3"/>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商务响应表（格式见附件）；</w:t>
      </w:r>
    </w:p>
    <w:p w14:paraId="5A8A7552">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lang w:eastAsia="zh-CN"/>
        </w:rPr>
        <w:t>服务</w:t>
      </w:r>
      <w:r>
        <w:rPr>
          <w:rFonts w:hint="eastAsia" w:ascii="宋体" w:hAnsi="宋体" w:cs="宋体"/>
          <w:bCs/>
          <w:color w:val="auto"/>
          <w:szCs w:val="21"/>
          <w:highlight w:val="none"/>
        </w:rPr>
        <w:t>响应表（格式见附件）；</w:t>
      </w:r>
    </w:p>
    <w:p w14:paraId="500A9E43">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总承包管理方案</w:t>
      </w:r>
      <w:r>
        <w:rPr>
          <w:rFonts w:hint="eastAsia" w:ascii="宋体" w:hAnsi="宋体" w:cs="宋体"/>
          <w:bCs/>
          <w:color w:val="auto"/>
          <w:szCs w:val="21"/>
          <w:highlight w:val="none"/>
        </w:rPr>
        <w:t>；</w:t>
      </w:r>
    </w:p>
    <w:p w14:paraId="21854D3A">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sz w:val="21"/>
          <w:szCs w:val="21"/>
          <w:highlight w:val="none"/>
        </w:rPr>
        <w:t>施工技术方案及</w:t>
      </w:r>
      <w:r>
        <w:rPr>
          <w:rFonts w:hint="eastAsia" w:ascii="宋体" w:hAnsi="宋体" w:eastAsia="宋体" w:cs="宋体"/>
          <w:color w:val="auto"/>
          <w:sz w:val="21"/>
          <w:szCs w:val="21"/>
          <w:highlight w:val="none"/>
          <w:lang w:eastAsia="zh-CN"/>
        </w:rPr>
        <w:t>关键</w:t>
      </w:r>
      <w:r>
        <w:rPr>
          <w:rFonts w:hint="eastAsia" w:ascii="宋体" w:hAnsi="宋体" w:eastAsia="宋体" w:cs="宋体"/>
          <w:color w:val="auto"/>
          <w:sz w:val="21"/>
          <w:szCs w:val="21"/>
          <w:highlight w:val="none"/>
        </w:rPr>
        <w:t>部位技术措施</w:t>
      </w:r>
      <w:r>
        <w:rPr>
          <w:rFonts w:hint="eastAsia" w:ascii="宋体" w:hAnsi="宋体" w:cs="宋体"/>
          <w:color w:val="auto"/>
          <w:szCs w:val="21"/>
          <w:highlight w:val="none"/>
        </w:rPr>
        <w:t>；</w:t>
      </w:r>
    </w:p>
    <w:p w14:paraId="74AFA742">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sz w:val="21"/>
          <w:szCs w:val="21"/>
          <w:highlight w:val="none"/>
        </w:rPr>
        <w:t>质量和安全文明</w:t>
      </w:r>
      <w:r>
        <w:rPr>
          <w:rFonts w:hint="eastAsia" w:ascii="宋体" w:hAnsi="宋体"/>
          <w:color w:val="auto"/>
          <w:szCs w:val="21"/>
          <w:highlight w:val="none"/>
        </w:rPr>
        <w:t>；</w:t>
      </w:r>
    </w:p>
    <w:p w14:paraId="3C7C2039">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sz w:val="21"/>
          <w:szCs w:val="21"/>
          <w:highlight w:val="none"/>
        </w:rPr>
        <w:t>工期保证措施及</w:t>
      </w:r>
      <w:r>
        <w:rPr>
          <w:rFonts w:hint="eastAsia" w:ascii="宋体" w:hAnsi="宋体" w:cs="宋体"/>
          <w:color w:val="auto"/>
          <w:szCs w:val="21"/>
          <w:highlight w:val="none"/>
        </w:rPr>
        <w:t>；</w:t>
      </w:r>
    </w:p>
    <w:p w14:paraId="7778CD7A">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highlight w:val="none"/>
          <w:lang w:val="zh-TW" w:eastAsia="zh-TW"/>
        </w:rPr>
        <w:t>项目重点、难点问题</w:t>
      </w:r>
      <w:r>
        <w:rPr>
          <w:rFonts w:hint="eastAsia" w:ascii="宋体" w:hAnsi="宋体" w:cs="宋体"/>
          <w:bCs/>
          <w:color w:val="auto"/>
          <w:szCs w:val="21"/>
          <w:highlight w:val="none"/>
        </w:rPr>
        <w:t>；</w:t>
      </w:r>
    </w:p>
    <w:p w14:paraId="6A030B40">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b w:val="0"/>
          <w:bCs/>
          <w:color w:val="auto"/>
          <w:highlight w:val="none"/>
          <w:lang w:val="zh-TW" w:eastAsia="zh-TW"/>
        </w:rPr>
        <w:t>设计说明</w:t>
      </w:r>
      <w:r>
        <w:rPr>
          <w:rFonts w:hint="eastAsia" w:ascii="宋体" w:hAnsi="宋体" w:cs="宋体"/>
          <w:b w:val="0"/>
          <w:bCs/>
          <w:color w:val="auto"/>
          <w:highlight w:val="none"/>
          <w:lang w:val="zh-TW" w:eastAsia="zh-CN"/>
        </w:rPr>
        <w:t>；</w:t>
      </w:r>
    </w:p>
    <w:p w14:paraId="309DE8F1">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仿宋"/>
          <w:bCs/>
          <w:color w:val="auto"/>
          <w:szCs w:val="21"/>
          <w:highlight w:val="none"/>
          <w:lang w:eastAsia="zh-CN"/>
        </w:rPr>
        <w:t>设计方案；</w:t>
      </w:r>
    </w:p>
    <w:p w14:paraId="5D938243">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初步预算</w:t>
      </w:r>
      <w:r>
        <w:rPr>
          <w:rFonts w:hint="eastAsia" w:ascii="宋体" w:hAnsi="宋体" w:eastAsia="宋体" w:cs="宋体"/>
          <w:color w:val="auto"/>
          <w:sz w:val="21"/>
          <w:szCs w:val="21"/>
          <w:highlight w:val="none"/>
        </w:rPr>
        <w:t>及说明</w:t>
      </w:r>
      <w:r>
        <w:rPr>
          <w:rFonts w:hint="eastAsia" w:ascii="宋体" w:hAnsi="宋体" w:cs="宋体"/>
          <w:color w:val="auto"/>
          <w:sz w:val="21"/>
          <w:szCs w:val="21"/>
          <w:highlight w:val="none"/>
          <w:lang w:eastAsia="zh-CN"/>
        </w:rPr>
        <w:t>；</w:t>
      </w:r>
    </w:p>
    <w:p w14:paraId="1195359A">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仿宋"/>
          <w:bCs/>
          <w:color w:val="auto"/>
          <w:kern w:val="2"/>
          <w:sz w:val="21"/>
          <w:szCs w:val="21"/>
          <w:highlight w:val="none"/>
          <w:lang w:val="en-US" w:eastAsia="zh-CN" w:bidi="ar-SA"/>
        </w:rPr>
        <w:t>认证体系</w:t>
      </w:r>
      <w:r>
        <w:rPr>
          <w:rFonts w:hint="eastAsia" w:ascii="宋体" w:hAnsi="宋体" w:cs="仿宋"/>
          <w:bCs/>
          <w:color w:val="auto"/>
          <w:kern w:val="2"/>
          <w:sz w:val="21"/>
          <w:szCs w:val="21"/>
          <w:highlight w:val="none"/>
          <w:lang w:val="en-US" w:eastAsia="zh-CN" w:bidi="ar-SA"/>
        </w:rPr>
        <w:t>；</w:t>
      </w:r>
    </w:p>
    <w:p w14:paraId="28B556AD">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项目实施人员一览表（格式见附件）；</w:t>
      </w:r>
    </w:p>
    <w:p w14:paraId="49C1F64F">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采购文件要求的及供应商认为可能需要的其他文件资料。</w:t>
      </w:r>
    </w:p>
    <w:p w14:paraId="3B90B8DD">
      <w:pPr>
        <w:overflowPunct w:val="0"/>
        <w:autoSpaceDE w:val="0"/>
        <w:autoSpaceDN w:val="0"/>
        <w:adjustRightInd w:val="0"/>
        <w:snapToGrid w:val="0"/>
        <w:spacing w:line="400" w:lineRule="exact"/>
        <w:ind w:firstLine="422" w:firstLineChars="200"/>
        <w:textAlignment w:val="bottom"/>
        <w:rPr>
          <w:rFonts w:ascii="宋体" w:hAnsi="宋体" w:cs="宋体"/>
          <w:b/>
          <w:color w:val="auto"/>
          <w:szCs w:val="21"/>
          <w:highlight w:val="none"/>
        </w:rPr>
      </w:pPr>
      <w:r>
        <w:rPr>
          <w:rFonts w:ascii="宋体" w:hAnsi="宋体" w:cs="宋体"/>
          <w:b/>
          <w:color w:val="auto"/>
          <w:szCs w:val="21"/>
          <w:highlight w:val="none"/>
        </w:rPr>
        <w:t xml:space="preserve">3.3 </w:t>
      </w:r>
      <w:r>
        <w:rPr>
          <w:rFonts w:hint="eastAsia" w:ascii="宋体" w:hAnsi="宋体" w:cs="宋体"/>
          <w:b/>
          <w:color w:val="auto"/>
          <w:szCs w:val="21"/>
          <w:highlight w:val="none"/>
        </w:rPr>
        <w:t>报价文件</w:t>
      </w:r>
      <w:r>
        <w:rPr>
          <w:rFonts w:ascii="宋体" w:hAnsi="宋体" w:cs="宋体"/>
          <w:b/>
          <w:color w:val="auto"/>
          <w:szCs w:val="21"/>
          <w:highlight w:val="none"/>
        </w:rPr>
        <w:t xml:space="preserve"> </w:t>
      </w:r>
    </w:p>
    <w:p w14:paraId="4CAD3676">
      <w:pPr>
        <w:numPr>
          <w:ilvl w:val="0"/>
          <w:numId w:val="4"/>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初次报价表（格式见附件）；</w:t>
      </w:r>
    </w:p>
    <w:p w14:paraId="497DB2DA">
      <w:pPr>
        <w:overflowPunct w:val="0"/>
        <w:spacing w:line="400" w:lineRule="exact"/>
        <w:ind w:firstLine="422" w:firstLineChars="200"/>
        <w:rPr>
          <w:rFonts w:hint="eastAsia" w:ascii="宋体" w:eastAsia="宋体" w:cs="宋体"/>
          <w:b/>
          <w:color w:val="auto"/>
          <w:szCs w:val="21"/>
          <w:highlight w:val="none"/>
          <w:lang w:eastAsia="zh-CN"/>
        </w:rPr>
      </w:pPr>
      <w:r>
        <w:rPr>
          <w:rFonts w:hint="eastAsia" w:ascii="宋体" w:hAnsi="宋体" w:cs="宋体"/>
          <w:b/>
          <w:color w:val="auto"/>
          <w:szCs w:val="21"/>
          <w:highlight w:val="none"/>
        </w:rPr>
        <w:t>以上磋商响应文件组成内容中的复印件或扫描件均须加盖供应商电子公章。本项目接受联合体投标，联合体成员总数不得超过2个，联合体牵头人必须为施工单位。联合体成员各方应签订联合体协议，明确各方职责分工，明确联合体牵头人和联合体成员的权利义务。</w:t>
      </w:r>
      <w:r>
        <w:rPr>
          <w:rFonts w:hint="eastAsia" w:ascii="宋体" w:hAnsi="宋体" w:cs="宋体"/>
          <w:b/>
          <w:color w:val="auto"/>
          <w:szCs w:val="21"/>
          <w:highlight w:val="none"/>
          <w:lang w:eastAsia="zh-CN"/>
        </w:rPr>
        <w:t>响应文件</w:t>
      </w:r>
      <w:r>
        <w:rPr>
          <w:rFonts w:hint="eastAsia" w:ascii="宋体" w:hAnsi="宋体" w:cs="宋体"/>
          <w:b/>
          <w:color w:val="auto"/>
          <w:szCs w:val="21"/>
          <w:highlight w:val="none"/>
        </w:rPr>
        <w:t>由联合体牵头人盖章（联合体协议须经联合体双方盖章）。联合体各成员方不得再单独或加入其他联合体参加本项目的投标。联合体牵头人代表联合体在投标和履行合同中承担联合体的义务和法律责任；联合体成员在投标、签约与履行合同过程中，承担连带法律责任</w:t>
      </w:r>
      <w:r>
        <w:rPr>
          <w:rFonts w:hint="eastAsia" w:ascii="宋体" w:hAnsi="宋体" w:cs="宋体"/>
          <w:b/>
          <w:color w:val="auto"/>
          <w:szCs w:val="21"/>
          <w:highlight w:val="none"/>
          <w:lang w:eastAsia="zh-CN"/>
        </w:rPr>
        <w:t>。</w:t>
      </w:r>
    </w:p>
    <w:p w14:paraId="1908ABAE">
      <w:pPr>
        <w:overflowPunct w:val="0"/>
        <w:spacing w:line="400" w:lineRule="exact"/>
        <w:jc w:val="left"/>
        <w:rPr>
          <w:rFonts w:ascii="宋体" w:cs="宋体"/>
          <w:b/>
          <w:color w:val="auto"/>
          <w:szCs w:val="21"/>
          <w:highlight w:val="none"/>
        </w:rPr>
      </w:pPr>
      <w:bookmarkStart w:id="30" w:name="_Toc21469"/>
      <w:bookmarkStart w:id="31" w:name="_Toc32090"/>
      <w:bookmarkStart w:id="32" w:name="_Toc282640705"/>
      <w:r>
        <w:rPr>
          <w:rFonts w:hint="eastAsia" w:ascii="宋体" w:hAnsi="宋体" w:cs="宋体"/>
          <w:b/>
          <w:color w:val="auto"/>
          <w:szCs w:val="21"/>
          <w:highlight w:val="none"/>
        </w:rPr>
        <w:t>九、响应文件</w:t>
      </w:r>
      <w:bookmarkEnd w:id="30"/>
      <w:bookmarkEnd w:id="31"/>
      <w:bookmarkEnd w:id="32"/>
      <w:r>
        <w:rPr>
          <w:rFonts w:hint="eastAsia" w:ascii="宋体" w:hAnsi="宋体" w:cs="宋体"/>
          <w:b/>
          <w:color w:val="auto"/>
          <w:szCs w:val="21"/>
          <w:highlight w:val="none"/>
        </w:rPr>
        <w:t>编制</w:t>
      </w:r>
    </w:p>
    <w:p w14:paraId="5E0EB9FB">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bookmarkStart w:id="33" w:name="_Toc414960351"/>
      <w:bookmarkStart w:id="34" w:name="_Toc282640706"/>
      <w:r>
        <w:rPr>
          <w:rFonts w:ascii="宋体" w:hAnsi="宋体" w:cs="宋体"/>
          <w:bCs/>
          <w:color w:val="auto"/>
          <w:szCs w:val="21"/>
          <w:highlight w:val="none"/>
        </w:rPr>
        <w:t>1</w:t>
      </w:r>
      <w:r>
        <w:rPr>
          <w:rFonts w:hint="eastAsia" w:ascii="宋体" w:hAnsi="宋体" w:cs="宋体"/>
          <w:bCs/>
          <w:color w:val="auto"/>
          <w:szCs w:val="21"/>
          <w:highlight w:val="none"/>
        </w:rPr>
        <w:t>、本项目通过“政府采购云平台（</w:t>
      </w:r>
      <w:r>
        <w:rPr>
          <w:rFonts w:ascii="宋体" w:hAnsi="宋体" w:cs="宋体"/>
          <w:bCs/>
          <w:color w:val="auto"/>
          <w:szCs w:val="21"/>
          <w:highlight w:val="none"/>
        </w:rPr>
        <w:t>www.zcygov.cn</w:t>
      </w:r>
      <w:r>
        <w:rPr>
          <w:rFonts w:hint="eastAsia" w:ascii="宋体" w:hAnsi="宋体" w:cs="宋体"/>
          <w:bCs/>
          <w:color w:val="auto"/>
          <w:szCs w:val="21"/>
          <w:highlight w:val="none"/>
        </w:rPr>
        <w:t>）”实行在线投标响应（电子投标）。供应商应通过“政采云电子交易客户端”，并按照本磋商文件和“政府采购云平台”的要求编制并加密响应文件。</w:t>
      </w:r>
      <w:bookmarkEnd w:id="33"/>
      <w:bookmarkEnd w:id="34"/>
      <w:bookmarkStart w:id="35" w:name="_Toc282640707"/>
    </w:p>
    <w:p w14:paraId="796C1FE6">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bookmarkStart w:id="36" w:name="_Toc414960352"/>
      <w:r>
        <w:rPr>
          <w:rFonts w:ascii="宋体" w:hAnsi="宋体" w:cs="宋体"/>
          <w:bCs/>
          <w:color w:val="auto"/>
          <w:szCs w:val="21"/>
          <w:highlight w:val="none"/>
        </w:rPr>
        <w:t>2</w:t>
      </w:r>
      <w:r>
        <w:rPr>
          <w:rFonts w:hint="eastAsia" w:ascii="宋体" w:hAnsi="宋体" w:cs="宋体"/>
          <w:bCs/>
          <w:color w:val="auto"/>
          <w:szCs w:val="21"/>
          <w:highlight w:val="none"/>
        </w:rPr>
        <w:t>、供应商应当按照本章节</w:t>
      </w:r>
      <w:r>
        <w:rPr>
          <w:rFonts w:ascii="宋体" w:hAnsi="宋体" w:cs="宋体"/>
          <w:bCs/>
          <w:color w:val="auto"/>
          <w:szCs w:val="21"/>
          <w:highlight w:val="none"/>
        </w:rPr>
        <w:t xml:space="preserve"> </w:t>
      </w:r>
      <w:r>
        <w:rPr>
          <w:rFonts w:hint="eastAsia" w:ascii="宋体" w:hAnsi="宋体" w:cs="宋体"/>
          <w:bCs/>
          <w:color w:val="auto"/>
          <w:szCs w:val="21"/>
          <w:highlight w:val="none"/>
        </w:rPr>
        <w:t>“响应文件组成”规定的内容及顺序在“政采云电子交易客户端”编制响应文件。</w:t>
      </w:r>
      <w:bookmarkEnd w:id="35"/>
      <w:bookmarkEnd w:id="36"/>
      <w:bookmarkStart w:id="37" w:name="_Toc282640708"/>
    </w:p>
    <w:p w14:paraId="6446AEE8">
      <w:pPr>
        <w:overflowPunct w:val="0"/>
        <w:autoSpaceDE w:val="0"/>
        <w:autoSpaceDN w:val="0"/>
        <w:adjustRightInd w:val="0"/>
        <w:spacing w:line="400" w:lineRule="exact"/>
        <w:ind w:firstLine="420" w:firstLineChars="200"/>
        <w:textAlignment w:val="bottom"/>
        <w:rPr>
          <w:rFonts w:ascii="宋体" w:cs="宋体"/>
          <w:bCs/>
          <w:color w:val="auto"/>
          <w:szCs w:val="21"/>
          <w:highlight w:val="none"/>
        </w:rPr>
      </w:pPr>
      <w:bookmarkStart w:id="38" w:name="_Toc414960353"/>
      <w:r>
        <w:rPr>
          <w:rFonts w:ascii="宋体" w:hAnsi="宋体" w:cs="宋体"/>
          <w:bCs/>
          <w:color w:val="auto"/>
          <w:szCs w:val="21"/>
          <w:highlight w:val="none"/>
        </w:rPr>
        <w:t>3</w:t>
      </w:r>
      <w:r>
        <w:rPr>
          <w:rFonts w:hint="eastAsia" w:ascii="宋体" w:hAnsi="宋体" w:cs="宋体"/>
          <w:bCs/>
          <w:color w:val="auto"/>
          <w:szCs w:val="21"/>
          <w:highlight w:val="none"/>
        </w:rPr>
        <w:t>、本文件《响应文件的组成》中有提供格式的，供应商须参照格式进行编制（格式中要求提供相关证明材料的还需后附相关证明材料），并按格式要求在指定位置根据要求进行签章，否则视为未提供；本文件《响应文件的组成》未提供格式的，请各供应商自行拟定格式，并加盖单位电子公章并由法定代表人或其授权代表签署（签字或盖章），否则视为未提供。</w:t>
      </w:r>
      <w:bookmarkEnd w:id="37"/>
      <w:bookmarkEnd w:id="38"/>
    </w:p>
    <w:p w14:paraId="78D2D2E1">
      <w:pPr>
        <w:pStyle w:val="11"/>
        <w:widowControl w:val="0"/>
        <w:overflowPunct w:val="0"/>
        <w:spacing w:before="0" w:beforeAutospacing="0" w:after="0" w:afterAutospacing="0" w:line="400" w:lineRule="exact"/>
        <w:ind w:firstLine="420" w:firstLineChars="200"/>
        <w:rPr>
          <w:bCs/>
          <w:color w:val="auto"/>
          <w:kern w:val="2"/>
          <w:sz w:val="21"/>
          <w:szCs w:val="21"/>
          <w:highlight w:val="none"/>
        </w:rPr>
      </w:pPr>
      <w:r>
        <w:rPr>
          <w:bCs/>
          <w:color w:val="auto"/>
          <w:kern w:val="2"/>
          <w:sz w:val="21"/>
          <w:szCs w:val="21"/>
          <w:highlight w:val="none"/>
        </w:rPr>
        <w:t>4</w:t>
      </w:r>
      <w:r>
        <w:rPr>
          <w:rFonts w:hint="eastAsia"/>
          <w:bCs/>
          <w:color w:val="auto"/>
          <w:kern w:val="2"/>
          <w:sz w:val="21"/>
          <w:szCs w:val="21"/>
          <w:highlight w:val="none"/>
        </w:rPr>
        <w:t>、响应文件内容不完整、编排混乱导致响应文件被误读、漏读或者查找不到相关内容的，是投标供应商的责任。</w:t>
      </w:r>
    </w:p>
    <w:p w14:paraId="7CB516D9">
      <w:pPr>
        <w:pStyle w:val="11"/>
        <w:widowControl w:val="0"/>
        <w:overflowPunct w:val="0"/>
        <w:spacing w:before="0" w:beforeAutospacing="0" w:after="0" w:afterAutospacing="0" w:line="400" w:lineRule="exact"/>
        <w:ind w:firstLine="420" w:firstLineChars="200"/>
        <w:rPr>
          <w:bCs/>
          <w:color w:val="auto"/>
          <w:kern w:val="2"/>
          <w:sz w:val="21"/>
          <w:szCs w:val="21"/>
          <w:highlight w:val="none"/>
        </w:rPr>
      </w:pPr>
      <w:r>
        <w:rPr>
          <w:bCs/>
          <w:color w:val="auto"/>
          <w:kern w:val="2"/>
          <w:sz w:val="21"/>
          <w:szCs w:val="21"/>
          <w:highlight w:val="none"/>
        </w:rPr>
        <w:t>5</w:t>
      </w:r>
      <w:r>
        <w:rPr>
          <w:rFonts w:hint="eastAsia"/>
          <w:bCs/>
          <w:color w:val="auto"/>
          <w:kern w:val="2"/>
          <w:sz w:val="21"/>
          <w:szCs w:val="21"/>
          <w:highlight w:val="none"/>
        </w:rPr>
        <w:t>、响应文件因字迹潦草或表达不清所引起的后果由投标供应商负责。</w:t>
      </w:r>
    </w:p>
    <w:p w14:paraId="6098735E">
      <w:pPr>
        <w:pStyle w:val="11"/>
        <w:widowControl w:val="0"/>
        <w:overflowPunct w:val="0"/>
        <w:spacing w:before="0" w:beforeAutospacing="0" w:after="0" w:afterAutospacing="0" w:line="400" w:lineRule="exact"/>
        <w:ind w:firstLine="420" w:firstLineChars="200"/>
        <w:rPr>
          <w:bCs/>
          <w:color w:val="auto"/>
          <w:kern w:val="2"/>
          <w:sz w:val="21"/>
          <w:szCs w:val="21"/>
          <w:highlight w:val="none"/>
        </w:rPr>
      </w:pPr>
      <w:r>
        <w:rPr>
          <w:bCs/>
          <w:color w:val="auto"/>
          <w:kern w:val="2"/>
          <w:sz w:val="21"/>
          <w:szCs w:val="21"/>
          <w:highlight w:val="none"/>
        </w:rPr>
        <w:t>6</w:t>
      </w:r>
      <w:r>
        <w:rPr>
          <w:rFonts w:hint="eastAsia"/>
          <w:bCs/>
          <w:color w:val="auto"/>
          <w:kern w:val="2"/>
          <w:sz w:val="21"/>
          <w:szCs w:val="21"/>
          <w:highlight w:val="none"/>
        </w:rPr>
        <w:t>、供应商没有按照本章节“响应文件的组成”要求提供全部资料，或者没有仔细阅读磋商文件，或者没有对磋商文件在各方面的要求作出实质性响应是供应商的风险，由此造成的一切后果由供应商自行承担。</w:t>
      </w:r>
    </w:p>
    <w:p w14:paraId="20CABE17">
      <w:pPr>
        <w:overflowPunct w:val="0"/>
        <w:spacing w:line="400" w:lineRule="exact"/>
        <w:jc w:val="left"/>
        <w:rPr>
          <w:rFonts w:ascii="宋体" w:cs="宋体"/>
          <w:b/>
          <w:color w:val="auto"/>
          <w:szCs w:val="21"/>
          <w:highlight w:val="none"/>
        </w:rPr>
      </w:pPr>
      <w:bookmarkStart w:id="39" w:name="_Toc25232"/>
      <w:bookmarkStart w:id="40" w:name="_Toc282640709"/>
      <w:bookmarkStart w:id="41" w:name="_Toc2064"/>
      <w:r>
        <w:rPr>
          <w:rFonts w:hint="eastAsia" w:ascii="宋体" w:hAnsi="宋体" w:cs="宋体"/>
          <w:b/>
          <w:color w:val="auto"/>
          <w:szCs w:val="21"/>
          <w:highlight w:val="none"/>
        </w:rPr>
        <w:t>十、响应文件的上传和递交</w:t>
      </w:r>
      <w:bookmarkEnd w:id="39"/>
      <w:bookmarkEnd w:id="40"/>
      <w:bookmarkEnd w:id="41"/>
    </w:p>
    <w:p w14:paraId="156EA325">
      <w:pPr>
        <w:overflowPunct w:val="0"/>
        <w:spacing w:line="400" w:lineRule="exact"/>
        <w:ind w:firstLine="420" w:firstLineChars="200"/>
        <w:jc w:val="left"/>
        <w:rPr>
          <w:rFonts w:ascii="宋体" w:cs="宋体"/>
          <w:bCs/>
          <w:color w:val="auto"/>
          <w:szCs w:val="21"/>
          <w:highlight w:val="none"/>
        </w:rPr>
      </w:pPr>
      <w:bookmarkStart w:id="42" w:name="_Toc16881"/>
      <w:bookmarkStart w:id="43" w:name="_Toc3104"/>
      <w:r>
        <w:rPr>
          <w:rFonts w:ascii="宋体" w:hAnsi="宋体" w:cs="宋体"/>
          <w:bCs/>
          <w:color w:val="auto"/>
          <w:szCs w:val="21"/>
          <w:highlight w:val="none"/>
        </w:rPr>
        <w:t>1</w:t>
      </w:r>
      <w:r>
        <w:rPr>
          <w:rFonts w:hint="eastAsia" w:ascii="宋体" w:hAnsi="宋体" w:cs="宋体"/>
          <w:bCs/>
          <w:color w:val="auto"/>
          <w:szCs w:val="21"/>
          <w:highlight w:val="none"/>
        </w:rPr>
        <w:t>、响应文件的上传、递交：</w:t>
      </w:r>
      <w:bookmarkEnd w:id="42"/>
      <w:bookmarkEnd w:id="43"/>
      <w:r>
        <w:rPr>
          <w:rFonts w:hint="eastAsia" w:ascii="宋体" w:hAnsi="宋体" w:cs="宋体"/>
          <w:bCs/>
          <w:color w:val="auto"/>
          <w:szCs w:val="21"/>
          <w:highlight w:val="none"/>
        </w:rPr>
        <w:t>见《前附表》。</w:t>
      </w:r>
    </w:p>
    <w:p w14:paraId="3A65FD03">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、响应文件的补充和修改：</w:t>
      </w:r>
    </w:p>
    <w:p w14:paraId="412BBFFE">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供应商应当在投标截止时间前完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投标截止时间后，供应商不得撤回、修改《响应文件》</w:t>
      </w:r>
    </w:p>
    <w:p w14:paraId="65AD5414">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3、响应文件填写字迹必须清楚、工整，对在响应文件中的不同文字文本的解释发生异议的，以中文文本为准。</w:t>
      </w:r>
    </w:p>
    <w:p w14:paraId="75E7E6E3">
      <w:pPr>
        <w:pStyle w:val="11"/>
        <w:widowControl w:val="0"/>
        <w:overflowPunct w:val="0"/>
        <w:spacing w:before="0" w:beforeAutospacing="0" w:after="0" w:afterAutospacing="0" w:line="400" w:lineRule="exact"/>
        <w:ind w:firstLine="420" w:firstLineChars="200"/>
        <w:rPr>
          <w:bCs/>
          <w:color w:val="auto"/>
          <w:kern w:val="2"/>
          <w:sz w:val="21"/>
          <w:szCs w:val="21"/>
          <w:highlight w:val="none"/>
        </w:rPr>
      </w:pPr>
      <w:r>
        <w:rPr>
          <w:rFonts w:hint="eastAsia"/>
          <w:bCs/>
          <w:color w:val="auto"/>
          <w:kern w:val="2"/>
          <w:sz w:val="21"/>
          <w:szCs w:val="21"/>
          <w:highlight w:val="none"/>
        </w:rPr>
        <w:t>4、供应商不得递交任何的投标备选（替代）方案，否则其响应文件将作无效标处理。与“电子加密响应文件”同时生成的“备份响应文件”及“纸质备选响应文件”不是投标备选（替代）方案。</w:t>
      </w:r>
    </w:p>
    <w:p w14:paraId="5634A0E5">
      <w:pPr>
        <w:overflowPunct w:val="0"/>
        <w:spacing w:line="400" w:lineRule="exact"/>
        <w:jc w:val="left"/>
        <w:rPr>
          <w:rFonts w:ascii="宋体" w:cs="宋体"/>
          <w:b/>
          <w:color w:val="auto"/>
          <w:szCs w:val="21"/>
          <w:highlight w:val="none"/>
        </w:rPr>
      </w:pPr>
      <w:bookmarkStart w:id="44" w:name="_Toc282640710"/>
      <w:bookmarkStart w:id="45" w:name="_Toc15269"/>
      <w:bookmarkStart w:id="46" w:name="_Toc17074"/>
      <w:r>
        <w:rPr>
          <w:rFonts w:hint="eastAsia" w:ascii="宋体" w:hAnsi="宋体" w:cs="宋体"/>
          <w:b/>
          <w:color w:val="auto"/>
          <w:szCs w:val="21"/>
          <w:highlight w:val="none"/>
        </w:rPr>
        <w:t>十一、无效响应文件</w:t>
      </w:r>
      <w:bookmarkEnd w:id="44"/>
      <w:bookmarkEnd w:id="45"/>
      <w:bookmarkEnd w:id="46"/>
    </w:p>
    <w:p w14:paraId="60587875">
      <w:pPr>
        <w:overflowPunct w:val="0"/>
        <w:spacing w:line="400" w:lineRule="exact"/>
        <w:ind w:firstLine="420" w:firstLineChars="200"/>
        <w:rPr>
          <w:rFonts w:ascii="宋体" w:hAnsi="宋体" w:cs="宋体"/>
          <w:bCs/>
          <w:color w:val="auto"/>
          <w:szCs w:val="21"/>
          <w:highlight w:val="none"/>
        </w:rPr>
      </w:pPr>
      <w:bookmarkStart w:id="47" w:name="_Toc24811"/>
      <w:bookmarkStart w:id="48" w:name="_Toc16373"/>
      <w:bookmarkStart w:id="49" w:name="_Toc282640720"/>
      <w:r>
        <w:rPr>
          <w:rFonts w:hint="eastAsia" w:ascii="宋体" w:hAnsi="宋体" w:cs="宋体"/>
          <w:bCs/>
          <w:color w:val="auto"/>
          <w:szCs w:val="21"/>
          <w:highlight w:val="none"/>
        </w:rPr>
        <w:t>1、响应文件逾期送达或未按规定的地点送达的；</w:t>
      </w:r>
    </w:p>
    <w:p w14:paraId="5CA67AA1">
      <w:pPr>
        <w:overflowPunct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2、电子响应文件解密失败的，且未在规定时间内提交备份响应文件的；</w:t>
      </w:r>
    </w:p>
    <w:p w14:paraId="12B5C6A7">
      <w:pPr>
        <w:overflowPunct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3、供应商仅递交了“备份响应文件”、“纸质响应文件”而未将电子加密响应文件上传至“政府采购云平台”的；</w:t>
      </w:r>
    </w:p>
    <w:p w14:paraId="770C036C">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、不具备磋商文件中规定的资格条件要求的；</w:t>
      </w:r>
    </w:p>
    <w:p w14:paraId="329E0022">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、供应商提交两份或两份以上内容不同的磋商响应文件，或在一份磋商响应文件中对同一采购项目有两个或两个以上报价的；</w:t>
      </w:r>
    </w:p>
    <w:p w14:paraId="222CBE1F">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6、磋商货物的技术规范、技术标准明显不符合国家强制性要求的；</w:t>
      </w:r>
    </w:p>
    <w:p w14:paraId="0B3A11E5">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7、提供不真实资料的；</w:t>
      </w:r>
    </w:p>
    <w:p w14:paraId="47F14250">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、《中小企业声明函》填写出现以下错误的，投标（响应）文件无效：</w:t>
      </w:r>
    </w:p>
    <w:p w14:paraId="2BD29F3C">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（1）中小企业声明函的行业填写错误（错填为“采购文件确定的行业”、或未填写行业全称经评审小组认定为明显笔误的除外）或者未填写行业的；</w:t>
      </w:r>
    </w:p>
    <w:p w14:paraId="27DD917F">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（2）供应商填写的行业不是采购文件明确的行业的（如采购文件明确的行业类型是租赁和商务服务业，供应商填写为制造业或其他行业的）；</w:t>
      </w:r>
    </w:p>
    <w:p w14:paraId="01844EE0">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（3）供应商填写的类型正确、但数据错误的，供应商对填报的数据来源不能作出合理解释或解释不合理磋商小组不认可的；</w:t>
      </w:r>
    </w:p>
    <w:p w14:paraId="6F7CC690">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（4）供应商填写的类型错误，大型企业填写为中型、或小型、或微型企业的。</w:t>
      </w:r>
    </w:p>
    <w:p w14:paraId="37E99BAA">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、在电子交易中，出现以下情形的，相关供应商的投标（响应）文件均无效：</w:t>
      </w:r>
    </w:p>
    <w:p w14:paraId="126BF8A6">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(1)不同供应商的电子投标(响应)文件上传计算机的网卡MAC地址、CPU序列号和硬盘序本系统别号等硬件信息相同的;</w:t>
      </w:r>
    </w:p>
    <w:p w14:paraId="74F2C542">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(2)上传的电子投标(响应)文件若出现使用本项目其他投标(响应)供应商的数字证书加密的，或者加盖本项目其他投标(响应)供应商的电子印章的;</w:t>
      </w:r>
    </w:p>
    <w:p w14:paraId="6D895D84">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(3)不同供应商的投标(响应)文件的内容存在三处(含)以上错误一致，且无法合理解释的;</w:t>
      </w:r>
    </w:p>
    <w:p w14:paraId="2D1BD36A">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(4)不同供应商联系人为同一人或不同联系人的联系电话一致，且无法合理解释的</w:t>
      </w:r>
    </w:p>
    <w:p w14:paraId="57E1B126">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、不符合法律、法规和磋商文件规定的其他实质性要求（磋商小组一致认定）的；</w:t>
      </w:r>
    </w:p>
    <w:p w14:paraId="4832D180">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rPr>
        <w:t>、磋商服务的服务指标、参数等存在实质性偏离（磋商小组一致认定）的；</w:t>
      </w:r>
    </w:p>
    <w:p w14:paraId="6B8CE88A">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、法律、法规、规章及省级以上规范性文件等规定的其他情形。</w:t>
      </w:r>
    </w:p>
    <w:p w14:paraId="1E59A0CB">
      <w:pPr>
        <w:overflowPunct w:val="0"/>
        <w:spacing w:line="400" w:lineRule="exact"/>
        <w:jc w:val="left"/>
        <w:rPr>
          <w:rFonts w:ascii="宋体" w:cs="宋体"/>
          <w:b/>
          <w:color w:val="auto"/>
          <w:szCs w:val="21"/>
          <w:highlight w:val="none"/>
        </w:rPr>
      </w:pPr>
      <w:r>
        <w:rPr>
          <w:rFonts w:hint="eastAsia" w:ascii="宋体" w:hAnsi="宋体" w:cs="宋体"/>
          <w:b/>
          <w:color w:val="auto"/>
          <w:szCs w:val="21"/>
          <w:highlight w:val="none"/>
        </w:rPr>
        <w:t>十二、废标</w:t>
      </w:r>
      <w:bookmarkEnd w:id="47"/>
      <w:bookmarkEnd w:id="48"/>
    </w:p>
    <w:p w14:paraId="46EA667C">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在磋商中，出现下列情形之一的，应予废标：</w:t>
      </w:r>
    </w:p>
    <w:p w14:paraId="1EBB917C">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、符合专业条件的供应商或者对磋商文件作实质响应的供应商不足三家的（特殊情况经审批同意的除外）；</w:t>
      </w:r>
    </w:p>
    <w:p w14:paraId="0838BBBF">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）出现影响采购公正的违法、违规行为的；</w:t>
      </w:r>
    </w:p>
    <w:p w14:paraId="0C5F736C">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）因重大变故，采购任务取消的；</w:t>
      </w:r>
    </w:p>
    <w:p w14:paraId="74319A00">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）供应商的报价均超最高限价的，采购人不能支付的；</w:t>
      </w:r>
    </w:p>
    <w:p w14:paraId="6F80DC01">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）法律、法规、规章等规定的其他情形除外；</w:t>
      </w:r>
    </w:p>
    <w:p w14:paraId="03504148">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5）废标后，招标采购单位将废标理由通知所有供应商。</w:t>
      </w:r>
    </w:p>
    <w:p w14:paraId="4F6D1227">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本磋商规则及程序只适用于“浙江华夏工程管理有限公司磋商文件”。</w:t>
      </w:r>
    </w:p>
    <w:bookmarkEnd w:id="49"/>
    <w:p w14:paraId="3BA13D4D">
      <w:pPr>
        <w:overflowPunct w:val="0"/>
        <w:spacing w:line="400" w:lineRule="exact"/>
        <w:jc w:val="left"/>
        <w:rPr>
          <w:rFonts w:ascii="宋体" w:cs="宋体"/>
          <w:b/>
          <w:color w:val="auto"/>
          <w:szCs w:val="21"/>
          <w:highlight w:val="none"/>
        </w:rPr>
      </w:pPr>
      <w:bookmarkStart w:id="50" w:name="串通投标的情形"/>
      <w:bookmarkStart w:id="51" w:name="_Toc27719"/>
      <w:bookmarkStart w:id="52" w:name="_Toc27014"/>
      <w:r>
        <w:rPr>
          <w:rFonts w:hint="eastAsia" w:ascii="宋体" w:hAnsi="宋体" w:cs="宋体"/>
          <w:b/>
          <w:color w:val="auto"/>
          <w:szCs w:val="21"/>
          <w:highlight w:val="none"/>
        </w:rPr>
        <w:t>十三、串通磋商的情形</w:t>
      </w:r>
    </w:p>
    <w:bookmarkEnd w:id="50"/>
    <w:p w14:paraId="48CD40EC">
      <w:pPr>
        <w:spacing w:line="360" w:lineRule="exact"/>
        <w:rPr>
          <w:rFonts w:ascii="宋体" w:cs="宋体"/>
          <w:bCs/>
          <w:vanish/>
          <w:color w:val="auto"/>
          <w:szCs w:val="21"/>
          <w:highlight w:val="none"/>
        </w:rPr>
      </w:pPr>
    </w:p>
    <w:p w14:paraId="48FC147C">
      <w:pPr>
        <w:spacing w:line="360" w:lineRule="exact"/>
        <w:rPr>
          <w:rFonts w:ascii="宋体" w:cs="宋体"/>
          <w:bCs/>
          <w:vanish/>
          <w:color w:val="auto"/>
          <w:szCs w:val="21"/>
          <w:highlight w:val="none"/>
        </w:rPr>
      </w:pPr>
    </w:p>
    <w:p w14:paraId="0E390B67">
      <w:pPr>
        <w:spacing w:line="360" w:lineRule="exact"/>
        <w:rPr>
          <w:rFonts w:ascii="宋体" w:cs="宋体"/>
          <w:bCs/>
          <w:vanish/>
          <w:color w:val="auto"/>
          <w:szCs w:val="21"/>
          <w:highlight w:val="none"/>
        </w:rPr>
      </w:pPr>
    </w:p>
    <w:p w14:paraId="55A95F7A">
      <w:pPr>
        <w:spacing w:line="360" w:lineRule="exact"/>
        <w:rPr>
          <w:rFonts w:ascii="宋体" w:cs="宋体"/>
          <w:bCs/>
          <w:vanish/>
          <w:color w:val="auto"/>
          <w:szCs w:val="21"/>
          <w:highlight w:val="none"/>
        </w:rPr>
      </w:pPr>
    </w:p>
    <w:p w14:paraId="140ABEBF">
      <w:pPr>
        <w:spacing w:line="360" w:lineRule="exact"/>
        <w:rPr>
          <w:rFonts w:ascii="宋体" w:cs="宋体"/>
          <w:bCs/>
          <w:vanish/>
          <w:color w:val="auto"/>
          <w:szCs w:val="21"/>
          <w:highlight w:val="none"/>
        </w:rPr>
      </w:pPr>
    </w:p>
    <w:p w14:paraId="67583398">
      <w:pPr>
        <w:spacing w:line="360" w:lineRule="exact"/>
        <w:rPr>
          <w:rFonts w:ascii="宋体" w:cs="宋体"/>
          <w:bCs/>
          <w:vanish/>
          <w:color w:val="auto"/>
          <w:szCs w:val="21"/>
          <w:highlight w:val="none"/>
        </w:rPr>
      </w:pPr>
    </w:p>
    <w:p w14:paraId="30B36A19">
      <w:pPr>
        <w:spacing w:line="360" w:lineRule="exact"/>
        <w:rPr>
          <w:rFonts w:ascii="宋体" w:cs="宋体"/>
          <w:bCs/>
          <w:vanish/>
          <w:color w:val="auto"/>
          <w:szCs w:val="21"/>
          <w:highlight w:val="none"/>
        </w:rPr>
      </w:pPr>
    </w:p>
    <w:p w14:paraId="70C926AC">
      <w:pPr>
        <w:spacing w:line="360" w:lineRule="exact"/>
        <w:rPr>
          <w:rFonts w:ascii="宋体" w:cs="宋体"/>
          <w:bCs/>
          <w:vanish/>
          <w:color w:val="auto"/>
          <w:szCs w:val="21"/>
          <w:highlight w:val="none"/>
        </w:rPr>
      </w:pPr>
    </w:p>
    <w:p w14:paraId="5C5544D2">
      <w:pPr>
        <w:spacing w:line="360" w:lineRule="exact"/>
        <w:rPr>
          <w:rFonts w:ascii="宋体" w:cs="宋体"/>
          <w:bCs/>
          <w:vanish/>
          <w:color w:val="auto"/>
          <w:szCs w:val="21"/>
          <w:highlight w:val="none"/>
        </w:rPr>
      </w:pPr>
    </w:p>
    <w:p w14:paraId="7B3AC92B">
      <w:pPr>
        <w:spacing w:line="360" w:lineRule="exact"/>
        <w:rPr>
          <w:rFonts w:ascii="宋体" w:cs="宋体"/>
          <w:bCs/>
          <w:vanish/>
          <w:color w:val="auto"/>
          <w:szCs w:val="21"/>
          <w:highlight w:val="none"/>
        </w:rPr>
      </w:pPr>
    </w:p>
    <w:p w14:paraId="53162A6F">
      <w:pPr>
        <w:spacing w:line="360" w:lineRule="exact"/>
        <w:rPr>
          <w:rFonts w:ascii="宋体" w:cs="宋体"/>
          <w:bCs/>
          <w:vanish/>
          <w:color w:val="auto"/>
          <w:szCs w:val="21"/>
          <w:highlight w:val="none"/>
        </w:rPr>
      </w:pPr>
    </w:p>
    <w:p w14:paraId="11346EA0">
      <w:pPr>
        <w:spacing w:line="360" w:lineRule="exact"/>
        <w:rPr>
          <w:rFonts w:ascii="宋体" w:cs="宋体"/>
          <w:bCs/>
          <w:vanish/>
          <w:color w:val="auto"/>
          <w:szCs w:val="21"/>
          <w:highlight w:val="none"/>
        </w:rPr>
      </w:pPr>
    </w:p>
    <w:p w14:paraId="1C93C858">
      <w:pPr>
        <w:spacing w:line="360" w:lineRule="exact"/>
        <w:rPr>
          <w:rFonts w:ascii="宋体" w:cs="宋体"/>
          <w:bCs/>
          <w:vanish/>
          <w:color w:val="auto"/>
          <w:szCs w:val="21"/>
          <w:highlight w:val="none"/>
        </w:rPr>
      </w:pPr>
    </w:p>
    <w:p w14:paraId="57220FCB">
      <w:pPr>
        <w:spacing w:line="360" w:lineRule="exact"/>
        <w:rPr>
          <w:rFonts w:ascii="宋体" w:cs="宋体"/>
          <w:bCs/>
          <w:vanish/>
          <w:color w:val="auto"/>
          <w:szCs w:val="21"/>
          <w:highlight w:val="none"/>
        </w:rPr>
      </w:pPr>
    </w:p>
    <w:p w14:paraId="77015080">
      <w:pPr>
        <w:spacing w:line="360" w:lineRule="exact"/>
        <w:rPr>
          <w:rFonts w:ascii="宋体" w:cs="宋体"/>
          <w:bCs/>
          <w:vanish/>
          <w:color w:val="auto"/>
          <w:szCs w:val="21"/>
          <w:highlight w:val="none"/>
        </w:rPr>
      </w:pPr>
    </w:p>
    <w:p w14:paraId="065F875B">
      <w:pPr>
        <w:spacing w:line="360" w:lineRule="exact"/>
        <w:rPr>
          <w:rFonts w:ascii="宋体" w:cs="宋体"/>
          <w:bCs/>
          <w:vanish/>
          <w:color w:val="auto"/>
          <w:szCs w:val="21"/>
          <w:highlight w:val="none"/>
        </w:rPr>
      </w:pPr>
    </w:p>
    <w:p w14:paraId="14E6D448">
      <w:pPr>
        <w:spacing w:line="360" w:lineRule="exact"/>
        <w:rPr>
          <w:rFonts w:ascii="宋体" w:cs="宋体"/>
          <w:bCs/>
          <w:vanish/>
          <w:color w:val="auto"/>
          <w:szCs w:val="21"/>
          <w:highlight w:val="none"/>
        </w:rPr>
      </w:pPr>
    </w:p>
    <w:p w14:paraId="31018857">
      <w:pPr>
        <w:spacing w:line="360" w:lineRule="exact"/>
        <w:rPr>
          <w:rFonts w:ascii="宋体" w:cs="宋体"/>
          <w:bCs/>
          <w:vanish/>
          <w:color w:val="auto"/>
          <w:szCs w:val="21"/>
          <w:highlight w:val="none"/>
        </w:rPr>
      </w:pPr>
    </w:p>
    <w:p w14:paraId="6043F3CE">
      <w:pPr>
        <w:spacing w:line="360" w:lineRule="exact"/>
        <w:rPr>
          <w:rFonts w:ascii="宋体" w:cs="宋体"/>
          <w:bCs/>
          <w:vanish/>
          <w:color w:val="auto"/>
          <w:szCs w:val="21"/>
          <w:highlight w:val="none"/>
        </w:rPr>
      </w:pPr>
    </w:p>
    <w:p w14:paraId="4BA2C2DC">
      <w:pPr>
        <w:spacing w:line="360" w:lineRule="exact"/>
        <w:rPr>
          <w:rFonts w:ascii="宋体" w:cs="宋体"/>
          <w:bCs/>
          <w:vanish/>
          <w:color w:val="auto"/>
          <w:szCs w:val="21"/>
          <w:highlight w:val="none"/>
        </w:rPr>
      </w:pPr>
    </w:p>
    <w:p w14:paraId="2F0DE02D">
      <w:pPr>
        <w:spacing w:line="360" w:lineRule="exact"/>
        <w:rPr>
          <w:rFonts w:ascii="宋体" w:cs="宋体"/>
          <w:bCs/>
          <w:vanish/>
          <w:color w:val="auto"/>
          <w:szCs w:val="21"/>
          <w:highlight w:val="none"/>
        </w:rPr>
      </w:pPr>
    </w:p>
    <w:p w14:paraId="214779A3">
      <w:pPr>
        <w:spacing w:line="360" w:lineRule="exact"/>
        <w:rPr>
          <w:rFonts w:ascii="宋体" w:cs="宋体"/>
          <w:bCs/>
          <w:vanish/>
          <w:color w:val="auto"/>
          <w:szCs w:val="21"/>
          <w:highlight w:val="none"/>
        </w:rPr>
      </w:pPr>
    </w:p>
    <w:p w14:paraId="1602418D">
      <w:pPr>
        <w:spacing w:line="360" w:lineRule="exact"/>
        <w:rPr>
          <w:rFonts w:ascii="宋体" w:cs="宋体"/>
          <w:bCs/>
          <w:vanish/>
          <w:color w:val="auto"/>
          <w:szCs w:val="21"/>
          <w:highlight w:val="none"/>
        </w:rPr>
      </w:pPr>
    </w:p>
    <w:p w14:paraId="47BA44E5">
      <w:pPr>
        <w:spacing w:line="360" w:lineRule="exact"/>
        <w:rPr>
          <w:rFonts w:ascii="宋体" w:cs="宋体"/>
          <w:bCs/>
          <w:vanish/>
          <w:color w:val="auto"/>
          <w:szCs w:val="21"/>
          <w:highlight w:val="none"/>
        </w:rPr>
      </w:pPr>
    </w:p>
    <w:p w14:paraId="29F9733E">
      <w:pPr>
        <w:spacing w:line="360" w:lineRule="exact"/>
        <w:rPr>
          <w:rFonts w:ascii="宋体" w:cs="宋体"/>
          <w:bCs/>
          <w:vanish/>
          <w:color w:val="auto"/>
          <w:szCs w:val="21"/>
          <w:highlight w:val="none"/>
        </w:rPr>
      </w:pPr>
    </w:p>
    <w:p w14:paraId="3490AC07">
      <w:pPr>
        <w:spacing w:line="360" w:lineRule="exact"/>
        <w:rPr>
          <w:rFonts w:ascii="宋体" w:cs="宋体"/>
          <w:bCs/>
          <w:vanish/>
          <w:color w:val="auto"/>
          <w:szCs w:val="21"/>
          <w:highlight w:val="none"/>
        </w:rPr>
      </w:pPr>
    </w:p>
    <w:p w14:paraId="59173803">
      <w:pPr>
        <w:spacing w:line="360" w:lineRule="exact"/>
        <w:rPr>
          <w:rFonts w:ascii="宋体" w:cs="宋体"/>
          <w:bCs/>
          <w:vanish/>
          <w:color w:val="auto"/>
          <w:szCs w:val="21"/>
          <w:highlight w:val="none"/>
        </w:rPr>
      </w:pPr>
    </w:p>
    <w:p w14:paraId="45CE5022">
      <w:pPr>
        <w:spacing w:line="360" w:lineRule="exact"/>
        <w:rPr>
          <w:rFonts w:ascii="宋体" w:cs="宋体"/>
          <w:bCs/>
          <w:vanish/>
          <w:color w:val="auto"/>
          <w:szCs w:val="21"/>
          <w:highlight w:val="none"/>
        </w:rPr>
      </w:pPr>
    </w:p>
    <w:p w14:paraId="3409FA18">
      <w:pPr>
        <w:spacing w:line="360" w:lineRule="exact"/>
        <w:rPr>
          <w:rFonts w:ascii="宋体" w:cs="宋体"/>
          <w:bCs/>
          <w:vanish/>
          <w:color w:val="auto"/>
          <w:szCs w:val="21"/>
          <w:highlight w:val="none"/>
        </w:rPr>
      </w:pPr>
    </w:p>
    <w:p w14:paraId="71289318">
      <w:pPr>
        <w:spacing w:line="360" w:lineRule="exact"/>
        <w:rPr>
          <w:rFonts w:ascii="宋体" w:cs="宋体"/>
          <w:bCs/>
          <w:vanish/>
          <w:color w:val="auto"/>
          <w:szCs w:val="21"/>
          <w:highlight w:val="none"/>
        </w:rPr>
      </w:pPr>
    </w:p>
    <w:p w14:paraId="5272481D">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、不同供应商的响应文件由同一单位或者个人编制；</w:t>
      </w:r>
    </w:p>
    <w:p w14:paraId="4167D1AD">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、不同供应商委托同一单位或者个人办理磋商事宜；</w:t>
      </w:r>
    </w:p>
    <w:p w14:paraId="34219BBC">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、不同供应商的响应文件载明的项目管理成员或者联系人员为同一人；</w:t>
      </w:r>
    </w:p>
    <w:p w14:paraId="5DC2E87D">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、不同供应商的响应文件异常一致或者磋商报价呈规律性差异；</w:t>
      </w:r>
    </w:p>
    <w:p w14:paraId="22F47F91">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、不同供应商的响应文件相互混装；</w:t>
      </w:r>
    </w:p>
    <w:p w14:paraId="5EE96E4E">
      <w:pPr>
        <w:overflowPunct w:val="0"/>
        <w:spacing w:line="400" w:lineRule="exact"/>
        <w:jc w:val="left"/>
        <w:rPr>
          <w:rFonts w:ascii="宋体" w:cs="宋体"/>
          <w:b/>
          <w:color w:val="auto"/>
          <w:szCs w:val="21"/>
          <w:highlight w:val="none"/>
        </w:rPr>
      </w:pPr>
      <w:r>
        <w:rPr>
          <w:rFonts w:hint="eastAsia" w:ascii="宋体" w:hAnsi="宋体" w:cs="宋体"/>
          <w:b/>
          <w:color w:val="auto"/>
          <w:szCs w:val="21"/>
          <w:highlight w:val="none"/>
        </w:rPr>
        <w:t>十四、出现以下情形，导致电子交易平台无法正常运行，或者无法保证电子交易的公平、公正和安全时，中止电子交易活动：</w:t>
      </w:r>
    </w:p>
    <w:p w14:paraId="0468483A">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、电子交易平台发生故障而无法登录访问的；</w:t>
      </w:r>
    </w:p>
    <w:p w14:paraId="6E645634">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、电子交易平台应用或数据库出现错误，不能进行正常操作的；</w:t>
      </w:r>
    </w:p>
    <w:p w14:paraId="297D5295">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、电子交易平台发现严重安全漏洞，有潜在泄密危险的；</w:t>
      </w:r>
    </w:p>
    <w:p w14:paraId="17C895AC">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、病毒发作导致不能进行正常操作的；</w:t>
      </w:r>
    </w:p>
    <w:p w14:paraId="08325297">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、其他无法保证电子交易的公平、公正和安全的情况。</w:t>
      </w:r>
    </w:p>
    <w:p w14:paraId="04E2FE16">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出现前款规定情形，不影响采购公平、公正性的，采购代理机构可以待上述情形消除后继续组织电子交易活动，也可以决定某些环节以纸质形式进行；影响或可能影响采购公平、公正性的，重新采购。</w:t>
      </w:r>
    </w:p>
    <w:bookmarkEnd w:id="51"/>
    <w:bookmarkEnd w:id="52"/>
    <w:p w14:paraId="48B85F88">
      <w:pPr>
        <w:overflowPunct w:val="0"/>
        <w:spacing w:line="400" w:lineRule="exact"/>
        <w:jc w:val="left"/>
        <w:rPr>
          <w:rFonts w:ascii="宋体" w:cs="宋体"/>
          <w:b/>
          <w:color w:val="auto"/>
          <w:szCs w:val="21"/>
          <w:highlight w:val="none"/>
        </w:rPr>
      </w:pPr>
      <w:bookmarkStart w:id="53" w:name="_Toc21657"/>
      <w:bookmarkStart w:id="54" w:name="_Toc282640721"/>
      <w:bookmarkStart w:id="55" w:name="_Toc26868"/>
      <w:r>
        <w:rPr>
          <w:rFonts w:hint="eastAsia" w:ascii="宋体" w:hAnsi="宋体" w:cs="宋体"/>
          <w:b/>
          <w:color w:val="auto"/>
          <w:szCs w:val="21"/>
          <w:highlight w:val="none"/>
        </w:rPr>
        <w:t>十五、确定成交供应商方法</w:t>
      </w:r>
      <w:bookmarkEnd w:id="53"/>
      <w:bookmarkEnd w:id="54"/>
      <w:bookmarkEnd w:id="55"/>
    </w:p>
    <w:p w14:paraId="673685A5">
      <w:pPr>
        <w:overflowPunct w:val="0"/>
        <w:spacing w:line="400" w:lineRule="exact"/>
        <w:ind w:firstLine="420" w:firstLineChars="200"/>
        <w:jc w:val="left"/>
        <w:rPr>
          <w:rFonts w:ascii="宋体" w:cs="宋体"/>
          <w:bCs/>
          <w:color w:val="auto"/>
          <w:szCs w:val="21"/>
          <w:highlight w:val="none"/>
        </w:rPr>
      </w:pPr>
      <w:bookmarkStart w:id="56" w:name="_Toc5559"/>
      <w:bookmarkStart w:id="57" w:name="_Toc282640722"/>
      <w:bookmarkStart w:id="58" w:name="_Toc18596"/>
      <w:r>
        <w:rPr>
          <w:rFonts w:hint="eastAsia" w:ascii="宋体" w:hAnsi="宋体" w:cs="宋体"/>
          <w:bCs/>
          <w:color w:val="auto"/>
          <w:szCs w:val="21"/>
          <w:highlight w:val="none"/>
        </w:rPr>
        <w:t>在质量与服务均能满足采购项目要求的前提下，以综合得分由高到低的原则确定成交供应商，详细的磋商程序见竞争性磋商文件第四章内容。</w:t>
      </w:r>
      <w:bookmarkEnd w:id="56"/>
      <w:bookmarkEnd w:id="57"/>
      <w:bookmarkEnd w:id="58"/>
    </w:p>
    <w:p w14:paraId="4768DF08">
      <w:pPr>
        <w:overflowPunct w:val="0"/>
        <w:spacing w:line="400" w:lineRule="exact"/>
        <w:jc w:val="left"/>
        <w:rPr>
          <w:rFonts w:ascii="宋体" w:cs="宋体"/>
          <w:b/>
          <w:color w:val="auto"/>
          <w:szCs w:val="21"/>
          <w:highlight w:val="none"/>
        </w:rPr>
      </w:pPr>
      <w:bookmarkStart w:id="59" w:name="_Toc16626"/>
      <w:bookmarkStart w:id="60" w:name="_Toc28666"/>
      <w:r>
        <w:rPr>
          <w:rFonts w:hint="eastAsia" w:ascii="宋体" w:hAnsi="宋体" w:cs="宋体"/>
          <w:b/>
          <w:color w:val="auto"/>
          <w:szCs w:val="21"/>
          <w:highlight w:val="none"/>
        </w:rPr>
        <w:t>十六、授予合同</w:t>
      </w:r>
      <w:bookmarkEnd w:id="59"/>
      <w:bookmarkEnd w:id="60"/>
    </w:p>
    <w:p w14:paraId="71707EFA">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、授予合同的依据</w:t>
      </w:r>
    </w:p>
    <w:p w14:paraId="294F7544">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招标采购单位签发的成交通知书；</w:t>
      </w:r>
    </w:p>
    <w:p w14:paraId="092D7E86">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磋商文件、磋商文件的修改及补充通知（函）；</w:t>
      </w:r>
    </w:p>
    <w:p w14:paraId="061EB6CD">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响应文件和磋商时供应商作出的书面澄清、说明、纠正、承诺等；</w:t>
      </w:r>
    </w:p>
    <w:p w14:paraId="4F7A4E00">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、合同签订</w:t>
      </w:r>
    </w:p>
    <w:p w14:paraId="5744381C">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2.1 </w:t>
      </w:r>
      <w:r>
        <w:rPr>
          <w:rFonts w:hint="eastAsia" w:ascii="宋体" w:hAnsi="宋体" w:cs="宋体"/>
          <w:bCs/>
          <w:color w:val="auto"/>
          <w:szCs w:val="21"/>
          <w:highlight w:val="none"/>
        </w:rPr>
        <w:t>成交供应商与采购人应按成交通知书中规定的时间、地点签订合同，否则应承担相应的法律责任。</w:t>
      </w:r>
    </w:p>
    <w:p w14:paraId="3886DC28">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2.2 </w:t>
      </w:r>
      <w:r>
        <w:rPr>
          <w:rFonts w:hint="eastAsia" w:ascii="宋体" w:hAnsi="宋体" w:cs="宋体"/>
          <w:bCs/>
          <w:color w:val="auto"/>
          <w:szCs w:val="21"/>
          <w:highlight w:val="none"/>
        </w:rPr>
        <w:t>磋商文件、成交供应商的响应文件及磋商过程中有关澄清文件和承诺均为合同附件。</w:t>
      </w:r>
    </w:p>
    <w:p w14:paraId="7D6F8FF7">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2.3 </w:t>
      </w:r>
      <w:r>
        <w:rPr>
          <w:rFonts w:hint="eastAsia" w:ascii="宋体" w:hAnsi="宋体" w:cs="宋体"/>
          <w:bCs/>
          <w:color w:val="auto"/>
          <w:szCs w:val="21"/>
          <w:highlight w:val="none"/>
        </w:rPr>
        <w:t>采购人与成交供应商将根据《中华人民共和国民法典》的规定，依据磋商文件和成交供应商的响应文件签订书面合同。</w:t>
      </w:r>
    </w:p>
    <w:p w14:paraId="5E026C00">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2.4 </w:t>
      </w:r>
      <w:r>
        <w:rPr>
          <w:rFonts w:hint="eastAsia" w:ascii="宋体" w:hAnsi="宋体" w:cs="宋体"/>
          <w:bCs/>
          <w:color w:val="auto"/>
          <w:szCs w:val="21"/>
          <w:highlight w:val="none"/>
        </w:rPr>
        <w:t>采购人如不与成交供应商订立合同，或者采购人、成交供应商订立背离合同实质性内容的协议，由政府有关部门责令改正，同时依法承担相应法律责任。</w:t>
      </w:r>
    </w:p>
    <w:p w14:paraId="061C77E7">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2.5 </w:t>
      </w:r>
      <w:r>
        <w:rPr>
          <w:rFonts w:hint="eastAsia" w:ascii="宋体" w:hAnsi="宋体" w:cs="宋体"/>
          <w:bCs/>
          <w:color w:val="auto"/>
          <w:szCs w:val="21"/>
          <w:highlight w:val="none"/>
        </w:rPr>
        <w:t>成交供应商如不按规定与采购人订立合同，则招标采购单位将废除授标，给招标采购单位造成的损失超过磋商担保数额的，还应当对超过部分予以赔偿，同时依法承担相应法律责任。</w:t>
      </w:r>
    </w:p>
    <w:p w14:paraId="5F80B59A">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2.6 </w:t>
      </w:r>
      <w:r>
        <w:rPr>
          <w:rFonts w:hint="eastAsia" w:ascii="宋体" w:hAnsi="宋体" w:cs="宋体"/>
          <w:bCs/>
          <w:color w:val="auto"/>
          <w:szCs w:val="21"/>
          <w:highlight w:val="none"/>
        </w:rPr>
        <w:t>成交供应商应当按照合同约定履行义务，完成成交项目各项工作，不得将成交项目违法转让（转包）给他人。</w:t>
      </w:r>
    </w:p>
    <w:p w14:paraId="253CD6E6">
      <w:pPr>
        <w:overflowPunct w:val="0"/>
        <w:spacing w:line="400" w:lineRule="exact"/>
        <w:ind w:firstLine="420" w:firstLineChars="200"/>
        <w:rPr>
          <w:rFonts w:hint="eastAsia" w:ascii="宋体" w:hAnsi="宋体" w:cs="宋体"/>
          <w:bCs/>
          <w:color w:val="auto"/>
          <w:szCs w:val="21"/>
          <w:highlight w:val="none"/>
        </w:rPr>
      </w:pPr>
      <w:r>
        <w:rPr>
          <w:rFonts w:ascii="宋体" w:hAnsi="宋体" w:cs="宋体"/>
          <w:bCs/>
          <w:color w:val="auto"/>
          <w:szCs w:val="21"/>
          <w:highlight w:val="none"/>
        </w:rPr>
        <w:t xml:space="preserve">2.7 </w:t>
      </w:r>
      <w:r>
        <w:rPr>
          <w:rFonts w:hint="eastAsia" w:ascii="宋体" w:hAnsi="宋体" w:cs="宋体"/>
          <w:bCs/>
          <w:color w:val="auto"/>
          <w:szCs w:val="21"/>
          <w:highlight w:val="none"/>
        </w:rPr>
        <w:t>如果成交供应商未能遵守上述</w:t>
      </w:r>
      <w:r>
        <w:rPr>
          <w:rFonts w:ascii="宋体" w:hAnsi="宋体" w:cs="宋体"/>
          <w:bCs/>
          <w:color w:val="auto"/>
          <w:szCs w:val="21"/>
          <w:highlight w:val="none"/>
        </w:rPr>
        <w:t>2.5</w:t>
      </w:r>
      <w:r>
        <w:rPr>
          <w:rFonts w:hint="eastAsia" w:ascii="宋体" w:hAnsi="宋体" w:cs="宋体"/>
          <w:bCs/>
          <w:color w:val="auto"/>
          <w:szCs w:val="21"/>
          <w:highlight w:val="none"/>
        </w:rPr>
        <w:t>条的规定，则可取消其成交资格。在此情况下，可将合同授予排序在成交供应商之后的第一位成交候选供应商。</w:t>
      </w:r>
    </w:p>
    <w:p w14:paraId="0191649E">
      <w:pPr>
        <w:rPr>
          <w:rFonts w:hint="eastAsia" w:ascii="宋体" w:hAnsi="宋体" w:cs="宋体"/>
          <w:bCs/>
          <w:color w:val="auto"/>
          <w:szCs w:val="21"/>
          <w:highlight w:val="none"/>
        </w:rPr>
      </w:pPr>
      <w:r>
        <w:rPr>
          <w:rFonts w:hint="eastAsia" w:ascii="宋体" w:hAnsi="宋体" w:cs="宋体"/>
          <w:bCs/>
          <w:color w:val="auto"/>
          <w:szCs w:val="21"/>
          <w:highlight w:val="none"/>
        </w:rPr>
        <w:br w:type="page"/>
      </w:r>
    </w:p>
    <w:p w14:paraId="77EACFCD">
      <w:pPr>
        <w:pStyle w:val="3"/>
        <w:keepNext w:val="0"/>
        <w:keepLines w:val="0"/>
        <w:overflowPunct w:val="0"/>
        <w:spacing w:before="0" w:after="0" w:line="600" w:lineRule="exact"/>
        <w:jc w:val="center"/>
        <w:rPr>
          <w:rFonts w:ascii="宋体" w:cs="宋体"/>
          <w:color w:val="auto"/>
          <w:sz w:val="32"/>
          <w:szCs w:val="32"/>
          <w:highlight w:val="none"/>
        </w:rPr>
      </w:pPr>
      <w:bookmarkStart w:id="61" w:name="_Toc19324"/>
      <w:bookmarkStart w:id="62" w:name="_Toc9049"/>
      <w:bookmarkStart w:id="63" w:name="_Toc6288"/>
      <w:bookmarkStart w:id="64" w:name="_Toc26242"/>
      <w:r>
        <w:rPr>
          <w:rFonts w:hint="eastAsia" w:ascii="宋体" w:hAnsi="宋体" w:cs="宋体"/>
          <w:color w:val="auto"/>
          <w:sz w:val="32"/>
          <w:szCs w:val="32"/>
          <w:highlight w:val="none"/>
        </w:rPr>
        <w:t>第三章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磋商项目服务内容及要求</w:t>
      </w:r>
      <w:bookmarkEnd w:id="61"/>
      <w:bookmarkEnd w:id="62"/>
      <w:bookmarkEnd w:id="63"/>
      <w:bookmarkEnd w:id="64"/>
    </w:p>
    <w:p w14:paraId="1CC241FC">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本技术要求适用于</w:t>
      </w:r>
      <w:r>
        <w:rPr>
          <w:rFonts w:hint="eastAsia" w:ascii="宋体" w:hAnsi="宋体" w:cs="宋体"/>
          <w:bCs/>
          <w:color w:val="auto"/>
          <w:szCs w:val="21"/>
          <w:highlight w:val="none"/>
          <w:lang w:eastAsia="zh-CN"/>
        </w:rPr>
        <w:t>安吉县托育综合服务中心设计和装修项目</w:t>
      </w:r>
      <w:r>
        <w:rPr>
          <w:rFonts w:hint="eastAsia" w:ascii="宋体" w:hAnsi="宋体" w:cs="宋体"/>
          <w:bCs/>
          <w:color w:val="auto"/>
          <w:szCs w:val="21"/>
          <w:highlight w:val="none"/>
        </w:rPr>
        <w:t>，是采购人为该项目的供应商提出的技术规范要求，为供应商完成响应文件的依据。本章所提出的内容为本项目的最低要求，供应商必须认真阅读以下内容，以免造成磋商损失。</w:t>
      </w:r>
    </w:p>
    <w:p w14:paraId="7C5ECBD5">
      <w:pPr>
        <w:numPr>
          <w:ilvl w:val="0"/>
          <w:numId w:val="5"/>
        </w:numPr>
        <w:overflowPunct w:val="0"/>
        <w:spacing w:line="400" w:lineRule="exact"/>
        <w:outlineLvl w:val="1"/>
        <w:rPr>
          <w:rFonts w:ascii="宋体" w:cs="宋体"/>
          <w:b/>
          <w:color w:val="auto"/>
          <w:szCs w:val="21"/>
          <w:highlight w:val="none"/>
        </w:rPr>
      </w:pPr>
      <w:bookmarkStart w:id="65" w:name="_Toc17284"/>
      <w:bookmarkStart w:id="66" w:name="_Toc5222"/>
      <w:bookmarkStart w:id="67" w:name="_Toc5615"/>
      <w:bookmarkStart w:id="68" w:name="_Toc5043"/>
      <w:bookmarkStart w:id="69" w:name="_Toc424544809"/>
      <w:bookmarkStart w:id="70" w:name="_Toc424544530"/>
      <w:r>
        <w:rPr>
          <w:rFonts w:hint="eastAsia" w:ascii="宋体" w:hAnsi="宋体" w:cs="宋体"/>
          <w:b/>
          <w:color w:val="auto"/>
          <w:sz w:val="24"/>
          <w:highlight w:val="none"/>
        </w:rPr>
        <w:t>项目概况</w:t>
      </w:r>
      <w:bookmarkEnd w:id="65"/>
      <w:bookmarkEnd w:id="66"/>
      <w:bookmarkEnd w:id="67"/>
      <w:bookmarkEnd w:id="68"/>
    </w:p>
    <w:p w14:paraId="55EB7484">
      <w:pPr>
        <w:snapToGrid w:val="0"/>
        <w:spacing w:line="400" w:lineRule="exact"/>
        <w:ind w:firstLine="420" w:firstLineChars="200"/>
        <w:rPr>
          <w:rFonts w:hint="eastAsia" w:ascii="宋体" w:hAnsi="宋体" w:eastAsia="宋体" w:cs="宋体"/>
          <w:color w:val="auto"/>
          <w:szCs w:val="21"/>
          <w:highlight w:val="none"/>
          <w:lang w:eastAsia="zh-CN"/>
        </w:rPr>
      </w:pPr>
      <w:bookmarkStart w:id="71" w:name="_Toc14480"/>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HXCG-ZF-2025-017</w:t>
      </w:r>
    </w:p>
    <w:p w14:paraId="36CCE193">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安吉县托育综合服务中心设计和装修项目</w:t>
      </w:r>
    </w:p>
    <w:p w14:paraId="7DF50B97">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3、预算金额：</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万元，报价时不得超预算，否则响应文件无效。</w:t>
      </w:r>
    </w:p>
    <w:p w14:paraId="3F4F0144">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基本情况</w:t>
      </w:r>
      <w:r>
        <w:rPr>
          <w:rFonts w:hint="eastAsia" w:ascii="宋体" w:hAnsi="宋体" w:cs="宋体"/>
          <w:color w:val="auto"/>
          <w:szCs w:val="21"/>
          <w:highlight w:val="none"/>
        </w:rPr>
        <w:t>：</w:t>
      </w:r>
    </w:p>
    <w:p w14:paraId="448971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仿宋_GB2312"/>
          <w:color w:val="auto"/>
          <w:kern w:val="0"/>
          <w:sz w:val="21"/>
          <w:szCs w:val="21"/>
          <w:highlight w:val="none"/>
          <w:shd w:val="clear" w:color="auto" w:fill="FFFFFF"/>
        </w:rPr>
      </w:pPr>
      <w:bookmarkStart w:id="72" w:name="OLE_LINK4"/>
      <w:bookmarkStart w:id="73" w:name="OLE_LINK3"/>
      <w:r>
        <w:rPr>
          <w:rFonts w:hint="eastAsia" w:ascii="宋体" w:hAnsi="宋体" w:eastAsia="宋体" w:cs="仿宋_GB2312"/>
          <w:color w:val="auto"/>
          <w:kern w:val="0"/>
          <w:sz w:val="21"/>
          <w:szCs w:val="21"/>
          <w:highlight w:val="none"/>
          <w:shd w:val="clear" w:color="auto" w:fill="FFFFFF"/>
        </w:rPr>
        <w:t>安吉县托育综合服务中心</w:t>
      </w:r>
      <w:bookmarkEnd w:id="72"/>
      <w:bookmarkEnd w:id="73"/>
      <w:r>
        <w:rPr>
          <w:rFonts w:hint="eastAsia" w:ascii="宋体" w:hAnsi="宋体" w:eastAsia="宋体" w:cs="仿宋_GB2312"/>
          <w:color w:val="auto"/>
          <w:kern w:val="0"/>
          <w:sz w:val="21"/>
          <w:szCs w:val="21"/>
          <w:highlight w:val="none"/>
          <w:shd w:val="clear" w:color="auto" w:fill="FFFFFF"/>
        </w:rPr>
        <w:t>设置在新建妇幼保健院一楼</w:t>
      </w:r>
      <w:r>
        <w:rPr>
          <w:rFonts w:hint="eastAsia" w:ascii="宋体" w:hAnsi="宋体" w:cs="仿宋_GB2312"/>
          <w:color w:val="auto"/>
          <w:kern w:val="0"/>
          <w:sz w:val="21"/>
          <w:szCs w:val="21"/>
          <w:highlight w:val="none"/>
          <w:shd w:val="clear" w:color="auto" w:fill="FFFFFF"/>
          <w:lang w:eastAsia="zh-CN"/>
        </w:rPr>
        <w:t>，</w:t>
      </w:r>
      <w:r>
        <w:rPr>
          <w:rFonts w:hint="eastAsia" w:ascii="宋体" w:hAnsi="宋体" w:eastAsia="宋体" w:cs="仿宋_GB2312"/>
          <w:color w:val="auto"/>
          <w:kern w:val="0"/>
          <w:sz w:val="21"/>
          <w:szCs w:val="21"/>
          <w:highlight w:val="none"/>
          <w:shd w:val="clear" w:color="auto" w:fill="FFFFFF"/>
        </w:rPr>
        <w:t>为普惠性托育综合服务中心</w:t>
      </w:r>
      <w:r>
        <w:rPr>
          <w:rFonts w:hint="eastAsia" w:ascii="宋体" w:hAnsi="宋体" w:cs="仿宋_GB2312"/>
          <w:color w:val="auto"/>
          <w:kern w:val="0"/>
          <w:sz w:val="21"/>
          <w:szCs w:val="21"/>
          <w:highlight w:val="none"/>
          <w:shd w:val="clear" w:color="auto" w:fill="FFFFFF"/>
          <w:lang w:eastAsia="zh-CN"/>
        </w:rPr>
        <w:t>，</w:t>
      </w:r>
      <w:r>
        <w:rPr>
          <w:rFonts w:hint="eastAsia" w:ascii="宋体" w:hAnsi="宋体" w:eastAsia="宋体" w:cs="仿宋_GB2312"/>
          <w:color w:val="auto"/>
          <w:kern w:val="0"/>
          <w:sz w:val="21"/>
          <w:szCs w:val="21"/>
          <w:highlight w:val="none"/>
          <w:shd w:val="clear" w:color="auto" w:fill="FFFFFF"/>
        </w:rPr>
        <w:t xml:space="preserve">项目总面积约1000平方米，规划托位45个。  </w:t>
      </w:r>
    </w:p>
    <w:p w14:paraId="60BF3A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仿宋_GB2312"/>
          <w:color w:val="auto"/>
          <w:kern w:val="0"/>
          <w:sz w:val="21"/>
          <w:szCs w:val="21"/>
          <w:highlight w:val="none"/>
          <w:shd w:val="clear" w:color="auto" w:fill="FFFFFF"/>
        </w:rPr>
      </w:pPr>
      <w:r>
        <w:rPr>
          <w:rFonts w:hint="eastAsia" w:ascii="宋体" w:hAnsi="宋体" w:eastAsia="宋体" w:cs="仿宋_GB2312"/>
          <w:color w:val="auto"/>
          <w:kern w:val="0"/>
          <w:sz w:val="21"/>
          <w:szCs w:val="21"/>
          <w:highlight w:val="none"/>
          <w:shd w:val="clear" w:color="auto" w:fill="FFFFFF"/>
        </w:rPr>
        <w:t xml:space="preserve">安吉县托育综合服务中心服务范围：托育服务、托育从业人员培训、托育机构管理咨询、托育产品研发和创新设计、家庭养育指导及婴幼儿早期发展等服务。 </w:t>
      </w:r>
    </w:p>
    <w:bookmarkEnd w:id="71"/>
    <w:p w14:paraId="0139111A">
      <w:pPr>
        <w:numPr>
          <w:ilvl w:val="0"/>
          <w:numId w:val="5"/>
        </w:numPr>
        <w:overflowPunct w:val="0"/>
        <w:spacing w:line="400" w:lineRule="exact"/>
        <w:outlineLvl w:val="1"/>
        <w:rPr>
          <w:rFonts w:ascii="宋体"/>
          <w:b/>
          <w:color w:val="auto"/>
          <w:sz w:val="24"/>
          <w:highlight w:val="none"/>
        </w:rPr>
      </w:pPr>
      <w:bookmarkStart w:id="74" w:name="_Toc31693"/>
      <w:r>
        <w:rPr>
          <w:rFonts w:hint="eastAsia" w:ascii="宋体" w:hAnsi="宋体"/>
          <w:b/>
          <w:color w:val="auto"/>
          <w:sz w:val="24"/>
          <w:highlight w:val="none"/>
          <w:lang w:val="en-US" w:eastAsia="zh-CN"/>
        </w:rPr>
        <w:t>设计要求及设计依据</w:t>
      </w:r>
      <w:bookmarkEnd w:id="74"/>
    </w:p>
    <w:p w14:paraId="23FE73DF">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1、设计要求：</w:t>
      </w:r>
    </w:p>
    <w:p w14:paraId="1F70539F">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(1)建筑防火设计应符合现行国家标准《建筑设计防火规范（2018年版）》（GB50016-2014）；</w:t>
      </w:r>
    </w:p>
    <w:p w14:paraId="422E3C06">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(2)建筑采光设计应符合现行国家标准《建筑采光设计标准》（GB50033-2013）；</w:t>
      </w:r>
    </w:p>
    <w:p w14:paraId="2155FFEB">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(3)建筑隔声、噪声控制应符合现行国家标准《民用建筑隔声设计规范》（GB 50118-2010）；</w:t>
      </w:r>
    </w:p>
    <w:p w14:paraId="6B6551FE">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(4)室内空气质量应符合现行国家标准《室内空气质量标准》（GB/T 18883-2022）；</w:t>
      </w:r>
    </w:p>
    <w:p w14:paraId="2324C402">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(5)建筑室内污染设计应符合现行国家标准《民用建筑工程室内环境污染控制标准》（GB 50325-2020）；</w:t>
      </w:r>
    </w:p>
    <w:p w14:paraId="387EF8A2">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(6)建筑用水量标准、系统选择和水质应符合现行国家标准国家现行标准《建筑给水排水设计标准》（GB 50015-2019）、《生活饮用水卫生标准》（GB 5749-2022）、《饮用净水水质标准》（CJ/T 94-2005）和《建筑给水排水及采暖工程施工质量验收规范》（GB 50242-2002）；</w:t>
      </w:r>
    </w:p>
    <w:p w14:paraId="096DE10F">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(7)符合《托幼机构消毒卫生规范》（DB31/T 8-2020）的有关标准要求。</w:t>
      </w:r>
    </w:p>
    <w:p w14:paraId="4235BD56">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2、设计依据：</w:t>
      </w:r>
    </w:p>
    <w:p w14:paraId="6E03233C">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(1)《浙江省托育机构3岁以下婴幼儿照护指南(试行)》；</w:t>
      </w:r>
    </w:p>
    <w:p w14:paraId="1BBDC2F8">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(2)《浙江省3岁以下婴幼儿照护服务实训基地建设标准(试行)》；</w:t>
      </w:r>
    </w:p>
    <w:p w14:paraId="32F9C194">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(3)《托育机构管理规范（试行）》；</w:t>
      </w:r>
    </w:p>
    <w:p w14:paraId="06575BB7">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(4)《托育机构质量评估标准》（WS/T 821-2023）；</w:t>
      </w:r>
    </w:p>
    <w:p w14:paraId="773416EB">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(5)《托儿所、幼儿园建筑设计规范(2019 年版)》（JGJ 39-2016）；</w:t>
      </w:r>
    </w:p>
    <w:p w14:paraId="72278ED6">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(6)《幼儿园建设标准》（建标 175-2016）；</w:t>
      </w:r>
    </w:p>
    <w:p w14:paraId="26C4427A">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(7)《室外排水设计标准》（GB 50014-2021）；</w:t>
      </w:r>
    </w:p>
    <w:p w14:paraId="6DE06D94">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(8)《室外给水设计标准》（GB 50013-2018）；</w:t>
      </w:r>
    </w:p>
    <w:p w14:paraId="7A887AAF">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(9)《市政公用工程设计文件编制深度规定》（2013 年版）；</w:t>
      </w:r>
    </w:p>
    <w:p w14:paraId="669D9237">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(10)《民用建筑设计统一标准》（GB 50352-2019）；</w:t>
      </w:r>
    </w:p>
    <w:p w14:paraId="5900EF6C">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(11)《无障碍设计规范》（GB 50763-2012）；</w:t>
      </w:r>
    </w:p>
    <w:p w14:paraId="1D01391F">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(12)《民用建筑热工设计规范(含光盘)》（GB 50176-2016）；</w:t>
      </w:r>
    </w:p>
    <w:p w14:paraId="2B5358E8">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(13)《公共建筑节能设计标准》（GB 50189-2015）；</w:t>
      </w:r>
    </w:p>
    <w:p w14:paraId="574B17AD">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(14)《建筑照明设计标准》(GB/T50034-2024)；</w:t>
      </w:r>
    </w:p>
    <w:p w14:paraId="75296846">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(15)《建筑内部装修设计防火规范》(GB 50222-2017)；</w:t>
      </w:r>
    </w:p>
    <w:p w14:paraId="1407EB52">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(16)《建筑设计防火规范（2018 年版）》（GB 50016-2014）；</w:t>
      </w:r>
    </w:p>
    <w:p w14:paraId="05439881">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(17)《建筑地基基础设计规范》（GB 50007-2011）；</w:t>
      </w:r>
    </w:p>
    <w:p w14:paraId="52FDBAAC">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(18)《建筑结构荷载规范》（GB 50009-2012）；</w:t>
      </w:r>
    </w:p>
    <w:p w14:paraId="3372A8C6">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(19)《混凝土结构设计标准（2024 年版）》（GB50010-2010）。</w:t>
      </w:r>
    </w:p>
    <w:p w14:paraId="1AE558C0">
      <w:pPr>
        <w:pStyle w:val="25"/>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以上规范及规定如有最新的，以最新文件为准。</w:t>
      </w:r>
    </w:p>
    <w:bookmarkEnd w:id="69"/>
    <w:bookmarkEnd w:id="70"/>
    <w:p w14:paraId="43F65540">
      <w:pPr>
        <w:numPr>
          <w:ilvl w:val="0"/>
          <w:numId w:val="5"/>
        </w:numPr>
        <w:spacing w:line="400" w:lineRule="exact"/>
        <w:outlineLvl w:val="1"/>
        <w:rPr>
          <w:rFonts w:ascii="宋体"/>
          <w:b/>
          <w:color w:val="auto"/>
          <w:sz w:val="24"/>
          <w:highlight w:val="none"/>
        </w:rPr>
      </w:pPr>
      <w:bookmarkStart w:id="75" w:name="_Toc391"/>
      <w:bookmarkStart w:id="76" w:name="_Toc23827"/>
      <w:bookmarkStart w:id="77" w:name="_Toc20637"/>
      <w:bookmarkStart w:id="78" w:name="_Toc27013"/>
      <w:r>
        <w:rPr>
          <w:rFonts w:hint="eastAsia" w:ascii="宋体"/>
          <w:b/>
          <w:color w:val="auto"/>
          <w:sz w:val="24"/>
          <w:highlight w:val="none"/>
          <w:lang w:val="en-US" w:eastAsia="zh-CN"/>
        </w:rPr>
        <w:t>设计要求</w:t>
      </w:r>
      <w:bookmarkEnd w:id="75"/>
    </w:p>
    <w:p w14:paraId="26F035DC">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22" w:firstLineChars="200"/>
        <w:textAlignment w:val="auto"/>
        <w:outlineLvl w:val="9"/>
        <w:rPr>
          <w:rFonts w:hint="eastAsia" w:ascii="宋体" w:hAnsi="宋体" w:eastAsia="宋体" w:cs="宋体"/>
          <w:b/>
          <w:bCs/>
          <w:color w:val="auto"/>
          <w:sz w:val="21"/>
          <w:szCs w:val="21"/>
          <w:highlight w:val="none"/>
          <w:shd w:val="clear" w:color="auto" w:fill="FFFFFF"/>
        </w:rPr>
      </w:pPr>
      <w:r>
        <w:rPr>
          <w:rFonts w:hint="eastAsia" w:cs="宋体"/>
          <w:b/>
          <w:bCs/>
          <w:color w:val="auto"/>
          <w:sz w:val="21"/>
          <w:szCs w:val="21"/>
          <w:highlight w:val="none"/>
          <w:shd w:val="clear" w:color="auto" w:fill="FFFFFF"/>
          <w:lang w:val="en-US" w:eastAsia="zh-CN"/>
        </w:rPr>
        <w:t>1、</w:t>
      </w:r>
      <w:r>
        <w:rPr>
          <w:rFonts w:hint="eastAsia" w:ascii="宋体" w:hAnsi="宋体" w:eastAsia="宋体" w:cs="宋体"/>
          <w:b/>
          <w:bCs/>
          <w:color w:val="auto"/>
          <w:sz w:val="21"/>
          <w:szCs w:val="21"/>
          <w:highlight w:val="none"/>
          <w:shd w:val="clear" w:color="auto" w:fill="FFFFFF"/>
        </w:rPr>
        <w:t>设计总体要求</w:t>
      </w:r>
    </w:p>
    <w:p w14:paraId="761CCB8B">
      <w:pPr>
        <w:spacing w:line="420" w:lineRule="exact"/>
        <w:ind w:firstLine="420" w:firstLineChars="200"/>
        <w:rPr>
          <w:rFonts w:hint="eastAsia" w:ascii="宋体" w:hAnsi="宋体" w:cs="宋体"/>
          <w:color w:val="auto"/>
          <w:sz w:val="21"/>
          <w:szCs w:val="21"/>
          <w:highlight w:val="none"/>
        </w:rPr>
      </w:pPr>
      <w:r>
        <w:rPr>
          <w:rFonts w:hint="eastAsia" w:ascii="Arial Narrow" w:hAnsi="宋体" w:cs="宋体"/>
          <w:bCs/>
          <w:color w:val="auto"/>
          <w:kern w:val="0"/>
          <w:sz w:val="21"/>
          <w:szCs w:val="21"/>
          <w:highlight w:val="none"/>
        </w:rPr>
        <w:t>托育中心</w:t>
      </w:r>
      <w:r>
        <w:rPr>
          <w:rFonts w:hint="eastAsia" w:ascii="宋体" w:hAnsi="宋体" w:cs="宋体"/>
          <w:bCs/>
          <w:color w:val="auto"/>
          <w:kern w:val="0"/>
          <w:sz w:val="21"/>
          <w:szCs w:val="21"/>
          <w:highlight w:val="none"/>
        </w:rPr>
        <w:t>作为针对婴儿及3岁以下的</w:t>
      </w:r>
      <w:r>
        <w:rPr>
          <w:rFonts w:hint="eastAsia" w:ascii="宋体" w:hAnsi="宋体" w:cs="宋体"/>
          <w:bCs/>
          <w:color w:val="auto"/>
          <w:kern w:val="0"/>
          <w:sz w:val="21"/>
          <w:szCs w:val="21"/>
          <w:highlight w:val="none"/>
          <w:lang w:val="en-US" w:eastAsia="zh-CN"/>
        </w:rPr>
        <w:t>幼儿</w:t>
      </w:r>
      <w:r>
        <w:rPr>
          <w:rFonts w:hint="eastAsia" w:ascii="宋体" w:hAnsi="宋体" w:cs="宋体"/>
          <w:bCs/>
          <w:color w:val="auto"/>
          <w:kern w:val="0"/>
          <w:sz w:val="21"/>
          <w:szCs w:val="21"/>
          <w:highlight w:val="none"/>
        </w:rPr>
        <w:t>设立的教育机构，与小学教育有所区别，这个年龄段的</w:t>
      </w:r>
      <w:r>
        <w:rPr>
          <w:rFonts w:hint="eastAsia" w:ascii="宋体" w:hAnsi="宋体" w:cs="宋体"/>
          <w:bCs/>
          <w:color w:val="auto"/>
          <w:kern w:val="0"/>
          <w:sz w:val="21"/>
          <w:szCs w:val="21"/>
          <w:highlight w:val="none"/>
          <w:lang w:val="en-US" w:eastAsia="zh-CN"/>
        </w:rPr>
        <w:t>幼儿</w:t>
      </w:r>
      <w:r>
        <w:rPr>
          <w:rFonts w:hint="eastAsia" w:ascii="宋体" w:hAnsi="宋体" w:cs="宋体"/>
          <w:bCs/>
          <w:color w:val="auto"/>
          <w:kern w:val="0"/>
          <w:sz w:val="21"/>
          <w:szCs w:val="21"/>
          <w:highlight w:val="none"/>
        </w:rPr>
        <w:t>需要特殊教育，而环境对</w:t>
      </w:r>
      <w:r>
        <w:rPr>
          <w:rFonts w:hint="eastAsia" w:ascii="宋体" w:hAnsi="宋体" w:cs="宋体"/>
          <w:bCs/>
          <w:color w:val="auto"/>
          <w:kern w:val="0"/>
          <w:sz w:val="21"/>
          <w:szCs w:val="21"/>
          <w:highlight w:val="none"/>
          <w:lang w:val="en-US" w:eastAsia="zh-CN"/>
        </w:rPr>
        <w:t>幼儿</w:t>
      </w:r>
      <w:r>
        <w:rPr>
          <w:rFonts w:hint="eastAsia" w:ascii="宋体" w:hAnsi="宋体" w:cs="宋体"/>
          <w:bCs/>
          <w:color w:val="auto"/>
          <w:kern w:val="0"/>
          <w:sz w:val="21"/>
          <w:szCs w:val="21"/>
          <w:highlight w:val="none"/>
        </w:rPr>
        <w:t>的发展是至关重要。</w:t>
      </w:r>
      <w:r>
        <w:rPr>
          <w:rFonts w:hint="eastAsia" w:ascii="宋体" w:hAnsi="宋体" w:cs="宋体"/>
          <w:color w:val="auto"/>
          <w:sz w:val="21"/>
          <w:szCs w:val="21"/>
          <w:highlight w:val="none"/>
        </w:rPr>
        <w:t>本</w:t>
      </w:r>
      <w:r>
        <w:rPr>
          <w:rFonts w:ascii="宋体" w:hAnsi="宋体" w:cs="宋体"/>
          <w:color w:val="auto"/>
          <w:sz w:val="21"/>
          <w:szCs w:val="21"/>
          <w:highlight w:val="none"/>
        </w:rPr>
        <w:t>项目</w:t>
      </w:r>
      <w:r>
        <w:rPr>
          <w:rFonts w:hint="eastAsia" w:ascii="宋体" w:hAnsi="宋体" w:cs="宋体"/>
          <w:color w:val="auto"/>
          <w:sz w:val="21"/>
          <w:szCs w:val="21"/>
          <w:highlight w:val="none"/>
        </w:rPr>
        <w:t>须</w:t>
      </w:r>
      <w:r>
        <w:rPr>
          <w:rFonts w:ascii="宋体" w:hAnsi="宋体" w:cs="宋体"/>
          <w:color w:val="auto"/>
          <w:sz w:val="21"/>
          <w:szCs w:val="21"/>
          <w:highlight w:val="none"/>
        </w:rPr>
        <w:t>满足0-3岁幼儿</w:t>
      </w:r>
      <w:r>
        <w:rPr>
          <w:rFonts w:hint="eastAsia" w:ascii="宋体" w:hAnsi="宋体" w:cs="宋体"/>
          <w:color w:val="auto"/>
          <w:sz w:val="21"/>
          <w:szCs w:val="21"/>
          <w:highlight w:val="none"/>
        </w:rPr>
        <w:t>使用，设计</w:t>
      </w:r>
      <w:r>
        <w:rPr>
          <w:rFonts w:ascii="宋体" w:hAnsi="宋体" w:cs="宋体"/>
          <w:color w:val="auto"/>
          <w:sz w:val="21"/>
          <w:szCs w:val="21"/>
          <w:highlight w:val="none"/>
        </w:rPr>
        <w:t>符合《托儿所、幼儿园建筑设计规范</w:t>
      </w:r>
      <w:r>
        <w:rPr>
          <w:rFonts w:hint="eastAsia" w:ascii="宋体" w:hAnsi="宋体" w:cs="宋体"/>
          <w:color w:val="auto"/>
          <w:sz w:val="21"/>
          <w:szCs w:val="21"/>
          <w:highlight w:val="none"/>
        </w:rPr>
        <w:t>》（</w:t>
      </w:r>
      <w:r>
        <w:rPr>
          <w:rFonts w:ascii="宋体" w:hAnsi="宋体" w:cs="宋体"/>
          <w:color w:val="auto"/>
          <w:sz w:val="21"/>
          <w:szCs w:val="21"/>
          <w:highlight w:val="none"/>
        </w:rPr>
        <w:t>JGJ39-2016（2019年版</w:t>
      </w:r>
      <w:r>
        <w:rPr>
          <w:rFonts w:hint="eastAsia" w:ascii="宋体" w:hAnsi="宋体" w:cs="宋体"/>
          <w:color w:val="auto"/>
          <w:sz w:val="21"/>
          <w:szCs w:val="21"/>
          <w:highlight w:val="none"/>
        </w:rPr>
        <w:t>））要求，要求</w:t>
      </w:r>
      <w:r>
        <w:rPr>
          <w:rFonts w:hint="eastAsia" w:ascii="Arial Narrow" w:hAnsi="宋体" w:cs="宋体"/>
          <w:bCs/>
          <w:color w:val="auto"/>
          <w:kern w:val="0"/>
          <w:sz w:val="21"/>
          <w:szCs w:val="21"/>
          <w:highlight w:val="none"/>
        </w:rPr>
        <w:t>托育中心</w:t>
      </w:r>
      <w:r>
        <w:rPr>
          <w:rFonts w:hint="eastAsia" w:ascii="宋体" w:hAnsi="宋体" w:cs="宋体"/>
          <w:color w:val="auto"/>
          <w:sz w:val="21"/>
          <w:szCs w:val="21"/>
          <w:highlight w:val="none"/>
        </w:rPr>
        <w:t>集活泼可爱、环保、舒适、美观于一体</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总体布局遵循科学、适用的原则。</w:t>
      </w:r>
    </w:p>
    <w:p w14:paraId="3D00856F">
      <w:pPr>
        <w:spacing w:line="420" w:lineRule="atLeas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托育中心平面设计须按</w:t>
      </w:r>
      <w:r>
        <w:rPr>
          <w:rFonts w:ascii="Arial Narrow" w:hAnsi="宋体"/>
          <w:color w:val="auto"/>
          <w:sz w:val="21"/>
          <w:szCs w:val="21"/>
          <w:highlight w:val="none"/>
        </w:rPr>
        <w:t>教学、体育运动、生活等不同功能进行分区</w:t>
      </w:r>
      <w:r>
        <w:rPr>
          <w:rFonts w:hint="eastAsia" w:ascii="Arial Narrow" w:hAnsi="宋体"/>
          <w:color w:val="auto"/>
          <w:sz w:val="21"/>
          <w:szCs w:val="21"/>
          <w:highlight w:val="none"/>
        </w:rPr>
        <w:t>，</w:t>
      </w:r>
      <w:r>
        <w:rPr>
          <w:rFonts w:ascii="Arial Narrow" w:hAnsi="宋体"/>
          <w:color w:val="auto"/>
          <w:sz w:val="21"/>
          <w:szCs w:val="21"/>
          <w:highlight w:val="none"/>
        </w:rPr>
        <w:t>合理布局美化符合幼儿的年龄特点。</w:t>
      </w:r>
      <w:r>
        <w:rPr>
          <w:rFonts w:ascii="宋体" w:hAnsi="宋体" w:cs="宋体"/>
          <w:color w:val="auto"/>
          <w:sz w:val="21"/>
          <w:szCs w:val="21"/>
          <w:highlight w:val="none"/>
        </w:rPr>
        <w:t>功能设计以“</w:t>
      </w:r>
      <w:r>
        <w:rPr>
          <w:rFonts w:hint="eastAsia" w:ascii="宋体" w:hAnsi="宋体" w:cs="宋体"/>
          <w:bCs/>
          <w:color w:val="auto"/>
          <w:kern w:val="0"/>
          <w:sz w:val="21"/>
          <w:szCs w:val="21"/>
          <w:highlight w:val="none"/>
          <w:lang w:val="en-US" w:eastAsia="zh-CN"/>
        </w:rPr>
        <w:t>幼儿</w:t>
      </w:r>
      <w:r>
        <w:rPr>
          <w:rFonts w:ascii="宋体" w:hAnsi="宋体" w:cs="宋体"/>
          <w:color w:val="auto"/>
          <w:sz w:val="21"/>
          <w:szCs w:val="21"/>
          <w:highlight w:val="none"/>
        </w:rPr>
        <w:t>活动为中心”，满足</w:t>
      </w:r>
      <w:r>
        <w:rPr>
          <w:rFonts w:hint="eastAsia" w:ascii="宋体" w:hAnsi="宋体" w:cs="宋体"/>
          <w:bCs/>
          <w:color w:val="auto"/>
          <w:kern w:val="0"/>
          <w:sz w:val="21"/>
          <w:szCs w:val="21"/>
          <w:highlight w:val="none"/>
          <w:lang w:val="en-US" w:eastAsia="zh-CN"/>
        </w:rPr>
        <w:t>幼儿</w:t>
      </w:r>
      <w:r>
        <w:rPr>
          <w:rFonts w:ascii="宋体" w:hAnsi="宋体" w:cs="宋体"/>
          <w:color w:val="auto"/>
          <w:sz w:val="21"/>
          <w:szCs w:val="21"/>
          <w:highlight w:val="none"/>
        </w:rPr>
        <w:t>的多元体验，让他们受益于外部环境，更好地享受学习。</w:t>
      </w:r>
      <w:r>
        <w:rPr>
          <w:rFonts w:hint="eastAsia" w:ascii="宋体" w:hAnsi="宋体" w:cs="宋体"/>
          <w:color w:val="auto"/>
          <w:sz w:val="21"/>
          <w:szCs w:val="21"/>
          <w:highlight w:val="none"/>
        </w:rPr>
        <w:t>功能区包含但不限于亲子活动室、</w:t>
      </w:r>
      <w:r>
        <w:rPr>
          <w:rFonts w:hint="eastAsia" w:ascii="宋体" w:hAnsi="宋体" w:cs="宋体"/>
          <w:color w:val="auto"/>
          <w:sz w:val="21"/>
          <w:szCs w:val="21"/>
          <w:highlight w:val="none"/>
          <w:lang w:eastAsia="zh-CN"/>
        </w:rPr>
        <w:t>教室</w:t>
      </w:r>
      <w:r>
        <w:rPr>
          <w:rFonts w:hint="eastAsia" w:ascii="宋体" w:hAnsi="宋体" w:cs="宋体"/>
          <w:color w:val="auto"/>
          <w:sz w:val="21"/>
          <w:szCs w:val="21"/>
          <w:highlight w:val="none"/>
        </w:rPr>
        <w:t>及</w:t>
      </w:r>
      <w:r>
        <w:rPr>
          <w:rFonts w:hint="eastAsia" w:ascii="Arial Narrow" w:hAnsi="宋体" w:cs="宋体"/>
          <w:bCs/>
          <w:color w:val="auto"/>
          <w:kern w:val="0"/>
          <w:sz w:val="21"/>
          <w:szCs w:val="21"/>
          <w:highlight w:val="none"/>
        </w:rPr>
        <w:t>托育中心相关配套的功能区设备房</w:t>
      </w:r>
      <w:r>
        <w:rPr>
          <w:rFonts w:hint="eastAsia" w:ascii="宋体" w:hAnsi="宋体" w:cs="宋体"/>
          <w:bCs/>
          <w:color w:val="auto"/>
          <w:kern w:val="0"/>
          <w:sz w:val="21"/>
          <w:szCs w:val="21"/>
          <w:highlight w:val="none"/>
        </w:rPr>
        <w:t>等区域，</w:t>
      </w:r>
      <w:r>
        <w:rPr>
          <w:rFonts w:ascii="宋体" w:hAnsi="宋体" w:cs="宋体"/>
          <w:color w:val="auto"/>
          <w:sz w:val="21"/>
          <w:szCs w:val="21"/>
          <w:highlight w:val="none"/>
        </w:rPr>
        <w:t>造型设计顺应</w:t>
      </w:r>
      <w:r>
        <w:rPr>
          <w:rFonts w:ascii="Arial Narrow" w:hAnsi="宋体" w:cs="宋体"/>
          <w:color w:val="auto"/>
          <w:kern w:val="0"/>
          <w:sz w:val="21"/>
          <w:szCs w:val="21"/>
          <w:highlight w:val="none"/>
        </w:rPr>
        <w:t>托育中心</w:t>
      </w:r>
      <w:r>
        <w:rPr>
          <w:rFonts w:ascii="宋体" w:hAnsi="宋体" w:cs="宋体"/>
          <w:color w:val="auto"/>
          <w:sz w:val="21"/>
          <w:szCs w:val="21"/>
          <w:highlight w:val="none"/>
        </w:rPr>
        <w:t>整体风格的打造，根据</w:t>
      </w:r>
      <w:r>
        <w:rPr>
          <w:rFonts w:ascii="Arial Narrow" w:hAnsi="宋体" w:cs="宋体"/>
          <w:color w:val="auto"/>
          <w:kern w:val="0"/>
          <w:sz w:val="21"/>
          <w:szCs w:val="21"/>
          <w:highlight w:val="none"/>
        </w:rPr>
        <w:t>托育中心</w:t>
      </w:r>
      <w:r>
        <w:rPr>
          <w:rFonts w:ascii="宋体" w:hAnsi="宋体" w:cs="宋体"/>
          <w:color w:val="auto"/>
          <w:sz w:val="21"/>
          <w:szCs w:val="21"/>
          <w:highlight w:val="none"/>
        </w:rPr>
        <w:t>不同功能区进行相应的造型设计。</w:t>
      </w:r>
      <w:r>
        <w:rPr>
          <w:rFonts w:hint="eastAsia" w:ascii="宋体" w:hAnsi="宋体" w:cs="宋体"/>
          <w:color w:val="auto"/>
          <w:sz w:val="21"/>
          <w:szCs w:val="21"/>
          <w:highlight w:val="none"/>
        </w:rPr>
        <w:t>具体要求如下：</w:t>
      </w:r>
    </w:p>
    <w:p w14:paraId="33AF00CC">
      <w:pPr>
        <w:spacing w:line="420" w:lineRule="atLeast"/>
        <w:ind w:firstLine="420" w:firstLineChars="200"/>
        <w:rPr>
          <w:color w:val="auto"/>
          <w:sz w:val="21"/>
          <w:szCs w:val="21"/>
          <w:highlight w:val="none"/>
        </w:rPr>
      </w:pP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关注幼儿的身体特征，合理的布置好</w:t>
      </w:r>
      <w:r>
        <w:rPr>
          <w:rFonts w:hint="eastAsia" w:ascii="宋体" w:hAnsi="宋体" w:cs="宋体"/>
          <w:color w:val="auto"/>
          <w:sz w:val="21"/>
          <w:szCs w:val="21"/>
          <w:highlight w:val="none"/>
          <w:lang w:eastAsia="zh-CN"/>
        </w:rPr>
        <w:t>托育中心</w:t>
      </w:r>
      <w:r>
        <w:rPr>
          <w:rFonts w:ascii="宋体" w:hAnsi="宋体" w:cs="宋体"/>
          <w:color w:val="auto"/>
          <w:sz w:val="21"/>
          <w:szCs w:val="21"/>
          <w:highlight w:val="none"/>
        </w:rPr>
        <w:t>、活动场地的位置，以幼儿的体量为主体，做到各部分的</w:t>
      </w:r>
      <w:r>
        <w:rPr>
          <w:rFonts w:hint="eastAsia" w:ascii="宋体" w:hAnsi="宋体" w:cs="宋体"/>
          <w:color w:val="auto"/>
          <w:sz w:val="21"/>
          <w:szCs w:val="21"/>
          <w:highlight w:val="none"/>
          <w:lang w:eastAsia="zh-CN"/>
        </w:rPr>
        <w:t>紧密</w:t>
      </w:r>
      <w:r>
        <w:rPr>
          <w:rFonts w:ascii="宋体" w:hAnsi="宋体" w:cs="宋体"/>
          <w:color w:val="auto"/>
          <w:sz w:val="21"/>
          <w:szCs w:val="21"/>
          <w:highlight w:val="none"/>
        </w:rPr>
        <w:t>结合，动静合理。</w:t>
      </w:r>
    </w:p>
    <w:p w14:paraId="733E15C6">
      <w:pPr>
        <w:spacing w:line="420" w:lineRule="atLeast"/>
        <w:ind w:firstLine="420" w:firstLineChars="200"/>
        <w:rPr>
          <w:color w:val="auto"/>
          <w:sz w:val="21"/>
          <w:szCs w:val="21"/>
          <w:highlight w:val="none"/>
        </w:rPr>
      </w:pPr>
      <w:r>
        <w:rPr>
          <w:rFonts w:hint="eastAsia" w:ascii="宋体" w:hAnsi="宋体" w:cs="宋体"/>
          <w:color w:val="auto"/>
          <w:sz w:val="21"/>
          <w:szCs w:val="21"/>
          <w:highlight w:val="none"/>
          <w:lang w:val="en-US" w:eastAsia="zh-CN"/>
        </w:rPr>
        <w:t>(2)</w:t>
      </w:r>
      <w:r>
        <w:rPr>
          <w:rFonts w:ascii="宋体" w:hAnsi="宋体" w:cs="宋体"/>
          <w:color w:val="auto"/>
          <w:sz w:val="21"/>
          <w:szCs w:val="21"/>
          <w:highlight w:val="none"/>
        </w:rPr>
        <w:t>根据幼儿教育原则，设计力求多样化，构筑多样的内外空间和丰富的形体造型，增加环境对幼儿的感染熏陶作用。</w:t>
      </w:r>
    </w:p>
    <w:p w14:paraId="3042090F">
      <w:pPr>
        <w:spacing w:line="420" w:lineRule="atLeast"/>
        <w:ind w:firstLine="420" w:firstLineChars="200"/>
        <w:rPr>
          <w:color w:val="auto"/>
          <w:sz w:val="21"/>
          <w:szCs w:val="21"/>
          <w:highlight w:val="none"/>
        </w:rPr>
      </w:pPr>
      <w:r>
        <w:rPr>
          <w:rFonts w:hint="eastAsia" w:ascii="宋体" w:hAnsi="宋体" w:cs="宋体"/>
          <w:color w:val="auto"/>
          <w:sz w:val="21"/>
          <w:szCs w:val="21"/>
          <w:highlight w:val="none"/>
          <w:lang w:val="en-US" w:eastAsia="zh-CN"/>
        </w:rPr>
        <w:t>(3)</w:t>
      </w:r>
      <w:r>
        <w:rPr>
          <w:rFonts w:ascii="宋体" w:hAnsi="宋体" w:cs="宋体"/>
          <w:color w:val="auto"/>
          <w:sz w:val="21"/>
          <w:szCs w:val="21"/>
          <w:highlight w:val="none"/>
        </w:rPr>
        <w:t>强调</w:t>
      </w:r>
      <w:r>
        <w:rPr>
          <w:rFonts w:ascii="Arial Narrow" w:hAnsi="宋体" w:cs="宋体"/>
          <w:color w:val="auto"/>
          <w:kern w:val="0"/>
          <w:sz w:val="21"/>
          <w:szCs w:val="21"/>
          <w:highlight w:val="none"/>
        </w:rPr>
        <w:t>托育中心</w:t>
      </w:r>
      <w:r>
        <w:rPr>
          <w:rFonts w:ascii="宋体" w:hAnsi="宋体" w:cs="宋体"/>
          <w:color w:val="auto"/>
          <w:sz w:val="21"/>
          <w:szCs w:val="21"/>
          <w:highlight w:val="none"/>
        </w:rPr>
        <w:t>内有充分的活动场地，使幼儿享受充足玩耍空间。</w:t>
      </w:r>
    </w:p>
    <w:p w14:paraId="44D5485A">
      <w:pPr>
        <w:spacing w:line="420" w:lineRule="atLeast"/>
        <w:ind w:firstLine="420" w:firstLineChars="200"/>
        <w:rPr>
          <w:color w:val="auto"/>
          <w:sz w:val="21"/>
          <w:szCs w:val="21"/>
          <w:highlight w:val="none"/>
        </w:rPr>
      </w:pPr>
      <w:r>
        <w:rPr>
          <w:rFonts w:hint="eastAsia" w:ascii="宋体" w:hAnsi="宋体" w:cs="宋体"/>
          <w:color w:val="auto"/>
          <w:sz w:val="21"/>
          <w:szCs w:val="21"/>
          <w:highlight w:val="none"/>
          <w:lang w:val="en-US" w:eastAsia="zh-CN"/>
        </w:rPr>
        <w:t>(4)</w:t>
      </w:r>
      <w:r>
        <w:rPr>
          <w:rFonts w:ascii="Arial Narrow" w:hAnsi="宋体" w:cs="宋体"/>
          <w:color w:val="auto"/>
          <w:kern w:val="0"/>
          <w:sz w:val="21"/>
          <w:szCs w:val="21"/>
          <w:highlight w:val="none"/>
        </w:rPr>
        <w:t>托育中心</w:t>
      </w:r>
      <w:r>
        <w:rPr>
          <w:rFonts w:ascii="宋体" w:hAnsi="宋体" w:cs="宋体"/>
          <w:color w:val="auto"/>
          <w:sz w:val="21"/>
          <w:szCs w:val="21"/>
          <w:highlight w:val="none"/>
        </w:rPr>
        <w:t>内、室外环境应该安全、宽敞、整洁，另外，在满足必要的管理房间，面积的同时，在孩子来</w:t>
      </w:r>
      <w:r>
        <w:rPr>
          <w:rFonts w:ascii="Arial Narrow" w:hAnsi="宋体" w:cs="宋体"/>
          <w:color w:val="auto"/>
          <w:kern w:val="0"/>
          <w:sz w:val="21"/>
          <w:szCs w:val="21"/>
          <w:highlight w:val="none"/>
        </w:rPr>
        <w:t>托育中心</w:t>
      </w:r>
      <w:r>
        <w:rPr>
          <w:rFonts w:ascii="宋体" w:hAnsi="宋体" w:cs="宋体"/>
          <w:color w:val="auto"/>
          <w:sz w:val="21"/>
          <w:szCs w:val="21"/>
          <w:highlight w:val="none"/>
        </w:rPr>
        <w:t>前，为老师们设计一个做准备工作用的空间。</w:t>
      </w:r>
    </w:p>
    <w:p w14:paraId="5778B95E">
      <w:pPr>
        <w:spacing w:line="420" w:lineRule="atLeas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ascii="Arial Narrow" w:hAnsi="宋体" w:cs="宋体"/>
          <w:color w:val="auto"/>
          <w:kern w:val="0"/>
          <w:sz w:val="21"/>
          <w:szCs w:val="21"/>
          <w:highlight w:val="none"/>
        </w:rPr>
        <w:t>托育中心</w:t>
      </w:r>
      <w:r>
        <w:rPr>
          <w:rFonts w:ascii="宋体" w:hAnsi="宋体" w:cs="宋体"/>
          <w:color w:val="auto"/>
          <w:sz w:val="21"/>
          <w:szCs w:val="21"/>
          <w:highlight w:val="none"/>
        </w:rPr>
        <w:t>的空间应该有一个独有的秩序，以适合孩子们不同的大小群体活动玩耍的需要，同时且能够提供给孩子们一个清晰的交通路径。</w:t>
      </w:r>
    </w:p>
    <w:p w14:paraId="60121DA3">
      <w:pPr>
        <w:spacing w:line="420" w:lineRule="atLeas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(6)要体现智慧托育，使家长放心、安心。</w:t>
      </w:r>
    </w:p>
    <w:p w14:paraId="7F364C0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cs="宋体"/>
          <w:color w:val="auto"/>
          <w:sz w:val="21"/>
          <w:szCs w:val="21"/>
          <w:highlight w:val="none"/>
          <w:lang w:val="en-US" w:eastAsia="zh-CN"/>
        </w:rPr>
        <w:t>(7)设计理念要体现关爱幼儿安全为关键。如：插座高度、开关等</w:t>
      </w:r>
      <w:r>
        <w:rPr>
          <w:rFonts w:hint="eastAsia" w:ascii="宋体" w:hAnsi="宋体" w:eastAsia="宋体" w:cs="宋体"/>
          <w:color w:val="auto"/>
          <w:sz w:val="21"/>
          <w:szCs w:val="21"/>
          <w:highlight w:val="none"/>
          <w:shd w:val="clear" w:color="auto" w:fill="FFFFFF"/>
          <w:lang w:eastAsia="zh-CN"/>
        </w:rPr>
        <w:t>。</w:t>
      </w:r>
    </w:p>
    <w:p w14:paraId="7BDBD189">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22" w:firstLineChars="200"/>
        <w:textAlignment w:val="auto"/>
        <w:outlineLvl w:val="9"/>
        <w:rPr>
          <w:rFonts w:hint="eastAsia" w:ascii="宋体" w:hAnsi="宋体" w:eastAsia="宋体" w:cs="宋体"/>
          <w:b/>
          <w:color w:val="auto"/>
          <w:kern w:val="0"/>
          <w:szCs w:val="21"/>
          <w:highlight w:val="none"/>
          <w:shd w:val="clear" w:color="auto" w:fill="FFFFFF"/>
          <w:lang w:val="en-US" w:eastAsia="zh-CN"/>
        </w:rPr>
      </w:pPr>
      <w:r>
        <w:rPr>
          <w:rFonts w:hint="eastAsia" w:ascii="宋体" w:hAnsi="宋体" w:cs="宋体"/>
          <w:b/>
          <w:color w:val="auto"/>
          <w:kern w:val="0"/>
          <w:szCs w:val="21"/>
          <w:highlight w:val="none"/>
          <w:shd w:val="clear" w:color="auto" w:fill="FFFFFF"/>
          <w:lang w:val="en-US" w:eastAsia="zh-CN"/>
        </w:rPr>
        <w:t>2</w:t>
      </w:r>
      <w:r>
        <w:rPr>
          <w:rFonts w:hint="eastAsia" w:ascii="宋体" w:hAnsi="宋体" w:eastAsia="宋体" w:cs="宋体"/>
          <w:b/>
          <w:color w:val="auto"/>
          <w:kern w:val="0"/>
          <w:szCs w:val="21"/>
          <w:highlight w:val="none"/>
          <w:shd w:val="clear" w:color="auto" w:fill="FFFFFF"/>
          <w:lang w:val="en-US" w:eastAsia="zh-CN"/>
        </w:rPr>
        <w:t>、设计工作内容</w:t>
      </w:r>
    </w:p>
    <w:p w14:paraId="16EA823C">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22" w:firstLineChars="200"/>
        <w:textAlignment w:val="auto"/>
        <w:outlineLvl w:val="9"/>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lang w:eastAsia="zh-CN"/>
        </w:rPr>
        <w:t>设计范围内的</w:t>
      </w:r>
      <w:r>
        <w:rPr>
          <w:rFonts w:hint="eastAsia" w:ascii="宋体" w:hAnsi="宋体" w:eastAsia="宋体" w:cs="宋体"/>
          <w:b/>
          <w:color w:val="auto"/>
          <w:kern w:val="0"/>
          <w:szCs w:val="21"/>
          <w:highlight w:val="none"/>
          <w:shd w:val="clear" w:color="auto" w:fill="FFFFFF"/>
        </w:rPr>
        <w:t>方案设计（含估算编制）、初步设计（含概算编制）、施工图设计</w:t>
      </w:r>
      <w:r>
        <w:rPr>
          <w:rFonts w:hint="eastAsia" w:ascii="宋体" w:hAnsi="宋体" w:eastAsia="宋体" w:cs="宋体"/>
          <w:b/>
          <w:color w:val="auto"/>
          <w:kern w:val="0"/>
          <w:szCs w:val="21"/>
          <w:highlight w:val="none"/>
          <w:shd w:val="clear" w:color="auto" w:fill="FFFFFF"/>
          <w:lang w:eastAsia="zh-CN"/>
        </w:rPr>
        <w:t>（含预算编制）</w:t>
      </w:r>
      <w:r>
        <w:rPr>
          <w:rFonts w:hint="eastAsia" w:ascii="宋体" w:hAnsi="宋体" w:eastAsia="宋体" w:cs="宋体"/>
          <w:b/>
          <w:color w:val="auto"/>
          <w:kern w:val="0"/>
          <w:szCs w:val="21"/>
          <w:highlight w:val="none"/>
          <w:shd w:val="clear" w:color="auto" w:fill="FFFFFF"/>
        </w:rPr>
        <w:t>以及其他相关</w:t>
      </w:r>
      <w:r>
        <w:rPr>
          <w:rFonts w:hint="eastAsia" w:ascii="宋体" w:hAnsi="宋体" w:eastAsia="宋体" w:cs="宋体"/>
          <w:b/>
          <w:color w:val="auto"/>
          <w:kern w:val="0"/>
          <w:szCs w:val="21"/>
          <w:highlight w:val="none"/>
          <w:shd w:val="clear" w:color="auto" w:fill="FFFFFF"/>
          <w:lang w:eastAsia="zh-CN"/>
        </w:rPr>
        <w:t>配合</w:t>
      </w:r>
      <w:r>
        <w:rPr>
          <w:rFonts w:hint="eastAsia" w:ascii="宋体" w:hAnsi="宋体" w:eastAsia="宋体" w:cs="宋体"/>
          <w:b/>
          <w:color w:val="auto"/>
          <w:kern w:val="0"/>
          <w:szCs w:val="21"/>
          <w:highlight w:val="none"/>
          <w:shd w:val="clear" w:color="auto" w:fill="FFFFFF"/>
        </w:rPr>
        <w:t>服务。</w:t>
      </w:r>
    </w:p>
    <w:p w14:paraId="713BDB48">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22" w:firstLineChars="200"/>
        <w:textAlignment w:val="auto"/>
        <w:outlineLvl w:val="9"/>
        <w:rPr>
          <w:rFonts w:hint="eastAsia" w:ascii="宋体" w:hAnsi="宋体" w:eastAsia="宋体" w:cs="宋体"/>
          <w:b/>
          <w:bCs/>
          <w:color w:val="auto"/>
          <w:kern w:val="0"/>
          <w:szCs w:val="21"/>
          <w:highlight w:val="none"/>
          <w:shd w:val="clear" w:color="auto" w:fill="FFFFFF"/>
          <w:lang w:eastAsia="zh-CN"/>
        </w:rPr>
      </w:pPr>
      <w:r>
        <w:rPr>
          <w:rFonts w:hint="eastAsia" w:ascii="宋体" w:hAnsi="宋体" w:cs="宋体"/>
          <w:b/>
          <w:color w:val="auto"/>
          <w:kern w:val="0"/>
          <w:szCs w:val="21"/>
          <w:highlight w:val="none"/>
          <w:shd w:val="clear" w:color="auto" w:fill="FFFFFF"/>
          <w:lang w:val="en-US" w:eastAsia="zh-CN"/>
        </w:rPr>
        <w:t>3</w:t>
      </w:r>
      <w:r>
        <w:rPr>
          <w:rFonts w:hint="eastAsia" w:ascii="宋体" w:hAnsi="宋体" w:eastAsia="宋体" w:cs="宋体"/>
          <w:b/>
          <w:color w:val="auto"/>
          <w:kern w:val="0"/>
          <w:szCs w:val="21"/>
          <w:highlight w:val="none"/>
          <w:shd w:val="clear" w:color="auto" w:fill="FFFFFF"/>
          <w:lang w:val="en-US" w:eastAsia="zh-CN"/>
        </w:rPr>
        <w:t>、</w:t>
      </w:r>
      <w:r>
        <w:rPr>
          <w:rFonts w:hint="eastAsia" w:ascii="宋体" w:hAnsi="宋体" w:eastAsia="宋体" w:cs="宋体"/>
          <w:b/>
          <w:bCs/>
          <w:color w:val="auto"/>
          <w:kern w:val="0"/>
          <w:szCs w:val="21"/>
          <w:highlight w:val="none"/>
          <w:shd w:val="clear" w:color="auto" w:fill="FFFFFF"/>
        </w:rPr>
        <w:t>设计的专业</w:t>
      </w:r>
      <w:r>
        <w:rPr>
          <w:rFonts w:hint="eastAsia" w:ascii="宋体" w:hAnsi="宋体" w:eastAsia="宋体" w:cs="宋体"/>
          <w:b/>
          <w:bCs/>
          <w:color w:val="auto"/>
          <w:kern w:val="0"/>
          <w:szCs w:val="21"/>
          <w:highlight w:val="none"/>
          <w:shd w:val="clear" w:color="auto" w:fill="FFFFFF"/>
          <w:lang w:eastAsia="zh-CN"/>
        </w:rPr>
        <w:t>内容</w:t>
      </w:r>
    </w:p>
    <w:p w14:paraId="2082A5E8">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22" w:firstLineChars="200"/>
        <w:textAlignment w:val="auto"/>
        <w:outlineLvl w:val="9"/>
        <w:rPr>
          <w:rFonts w:hint="eastAsia" w:ascii="宋体" w:hAnsi="宋体" w:eastAsia="宋体" w:cs="宋体"/>
          <w:b/>
          <w:bCs/>
          <w:color w:val="auto"/>
          <w:kern w:val="0"/>
          <w:szCs w:val="21"/>
          <w:highlight w:val="none"/>
          <w:shd w:val="clear" w:color="auto" w:fill="FFFFFF"/>
          <w:lang w:eastAsia="zh-CN"/>
        </w:rPr>
      </w:pPr>
      <w:r>
        <w:rPr>
          <w:rFonts w:hint="eastAsia" w:ascii="宋体" w:hAnsi="宋体" w:eastAsia="宋体" w:cs="宋体"/>
          <w:b/>
          <w:bCs/>
          <w:color w:val="auto"/>
          <w:kern w:val="0"/>
          <w:szCs w:val="21"/>
          <w:highlight w:val="none"/>
          <w:shd w:val="clear" w:color="auto" w:fill="FFFFFF"/>
        </w:rPr>
        <w:t>本项目设计涉及</w:t>
      </w:r>
      <w:r>
        <w:rPr>
          <w:rFonts w:hint="eastAsia" w:ascii="宋体" w:hAnsi="宋体" w:eastAsia="宋体" w:cs="宋体"/>
          <w:b/>
          <w:bCs/>
          <w:color w:val="auto"/>
          <w:kern w:val="0"/>
          <w:szCs w:val="21"/>
          <w:highlight w:val="none"/>
          <w:shd w:val="clear" w:color="auto" w:fill="FFFFFF"/>
          <w:lang w:eastAsia="zh-CN"/>
        </w:rPr>
        <w:t>的</w:t>
      </w:r>
      <w:r>
        <w:rPr>
          <w:rFonts w:hint="eastAsia" w:ascii="宋体" w:hAnsi="宋体" w:eastAsia="宋体" w:cs="宋体"/>
          <w:b/>
          <w:bCs/>
          <w:color w:val="auto"/>
          <w:kern w:val="0"/>
          <w:szCs w:val="21"/>
          <w:highlight w:val="none"/>
          <w:shd w:val="clear" w:color="auto" w:fill="FFFFFF"/>
        </w:rPr>
        <w:t>专业内容包括但不限于室内二次精装修、给排水、电气、暖通、消防、照明</w:t>
      </w:r>
      <w:r>
        <w:rPr>
          <w:rFonts w:hint="eastAsia" w:ascii="宋体" w:hAnsi="宋体" w:eastAsia="宋体" w:cs="宋体"/>
          <w:b/>
          <w:bCs/>
          <w:color w:val="auto"/>
          <w:kern w:val="0"/>
          <w:szCs w:val="21"/>
          <w:highlight w:val="none"/>
          <w:shd w:val="clear" w:color="auto" w:fill="FFFFFF"/>
          <w:lang w:eastAsia="zh-CN"/>
        </w:rPr>
        <w:t>以及弱电智能化、安防以等相关专业。家具等软装不在施工范围内，</w:t>
      </w:r>
      <w:r>
        <w:rPr>
          <w:rFonts w:hint="eastAsia" w:ascii="宋体" w:hAnsi="宋体" w:cs="宋体"/>
          <w:b/>
          <w:bCs/>
          <w:color w:val="auto"/>
          <w:kern w:val="0"/>
          <w:szCs w:val="21"/>
          <w:highlight w:val="none"/>
          <w:shd w:val="clear" w:color="auto" w:fill="FFFFFF"/>
          <w:lang w:val="en-US" w:eastAsia="zh-CN"/>
        </w:rPr>
        <w:t>但</w:t>
      </w:r>
      <w:r>
        <w:rPr>
          <w:rFonts w:hint="eastAsia" w:ascii="宋体" w:hAnsi="宋体" w:eastAsia="宋体" w:cs="宋体"/>
          <w:b/>
          <w:bCs/>
          <w:color w:val="auto"/>
          <w:kern w:val="0"/>
          <w:szCs w:val="21"/>
          <w:highlight w:val="none"/>
          <w:shd w:val="clear" w:color="auto" w:fill="FFFFFF"/>
          <w:lang w:eastAsia="zh-CN"/>
        </w:rPr>
        <w:t>本次设计需体现软装设计方案。</w:t>
      </w:r>
    </w:p>
    <w:p w14:paraId="6BB6E3CC">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22" w:firstLineChars="200"/>
        <w:textAlignment w:val="auto"/>
        <w:outlineLvl w:val="9"/>
        <w:rPr>
          <w:rFonts w:hint="eastAsia" w:ascii="宋体" w:hAnsi="宋体" w:eastAsia="宋体" w:cs="宋体"/>
          <w:b/>
          <w:bCs/>
          <w:color w:val="auto"/>
          <w:kern w:val="0"/>
          <w:szCs w:val="21"/>
          <w:highlight w:val="none"/>
          <w:shd w:val="clear" w:color="auto" w:fill="FFFFFF"/>
          <w:lang w:val="en-US" w:eastAsia="zh-CN"/>
        </w:rPr>
      </w:pPr>
      <w:r>
        <w:rPr>
          <w:rFonts w:hint="eastAsia" w:ascii="宋体" w:hAnsi="宋体" w:cs="宋体"/>
          <w:b/>
          <w:bCs/>
          <w:color w:val="auto"/>
          <w:kern w:val="0"/>
          <w:szCs w:val="21"/>
          <w:highlight w:val="none"/>
          <w:shd w:val="clear" w:color="auto" w:fill="FFFFFF"/>
          <w:lang w:val="en-US" w:eastAsia="zh-CN"/>
        </w:rPr>
        <w:t>4</w:t>
      </w:r>
      <w:r>
        <w:rPr>
          <w:rFonts w:hint="eastAsia" w:ascii="宋体" w:hAnsi="宋体" w:eastAsia="宋体" w:cs="宋体"/>
          <w:b/>
          <w:bCs/>
          <w:color w:val="auto"/>
          <w:kern w:val="0"/>
          <w:szCs w:val="21"/>
          <w:highlight w:val="none"/>
          <w:shd w:val="clear" w:color="auto" w:fill="FFFFFF"/>
          <w:lang w:val="en-US" w:eastAsia="zh-CN"/>
        </w:rPr>
        <w:t>、</w:t>
      </w:r>
      <w:r>
        <w:rPr>
          <w:rFonts w:hint="eastAsia" w:ascii="宋体" w:hAnsi="宋体" w:eastAsia="宋体" w:cs="宋体"/>
          <w:b/>
          <w:color w:val="auto"/>
          <w:kern w:val="0"/>
          <w:szCs w:val="21"/>
          <w:highlight w:val="none"/>
          <w:shd w:val="clear" w:color="auto" w:fill="FFFFFF"/>
          <w:lang w:val="en-US" w:eastAsia="zh-CN"/>
        </w:rPr>
        <w:t>设计范围</w:t>
      </w:r>
      <w:r>
        <w:rPr>
          <w:rFonts w:hint="eastAsia" w:ascii="宋体" w:hAnsi="宋体" w:cs="宋体"/>
          <w:b/>
          <w:color w:val="auto"/>
          <w:kern w:val="0"/>
          <w:szCs w:val="21"/>
          <w:highlight w:val="none"/>
          <w:shd w:val="clear" w:color="auto" w:fill="FFFFFF"/>
          <w:lang w:val="en-US" w:eastAsia="zh-CN"/>
        </w:rPr>
        <w:t>及</w:t>
      </w:r>
      <w:r>
        <w:rPr>
          <w:rFonts w:hint="eastAsia" w:ascii="宋体" w:hAnsi="宋体" w:eastAsia="宋体" w:cs="宋体"/>
          <w:b/>
          <w:bCs/>
          <w:color w:val="auto"/>
          <w:kern w:val="0"/>
          <w:szCs w:val="21"/>
          <w:highlight w:val="none"/>
          <w:shd w:val="clear" w:color="auto" w:fill="FFFFFF"/>
          <w:lang w:val="en-US" w:eastAsia="zh-CN"/>
        </w:rPr>
        <w:t>设计的具体要求</w:t>
      </w:r>
    </w:p>
    <w:p w14:paraId="44968356">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20" w:firstLineChars="200"/>
        <w:textAlignment w:val="auto"/>
        <w:outlineLvl w:val="9"/>
        <w:rPr>
          <w:rFonts w:hint="eastAsia" w:ascii="宋体" w:hAnsi="宋体" w:eastAsia="宋体" w:cs="宋体"/>
          <w:b w:val="0"/>
          <w:bCs/>
          <w:color w:val="auto"/>
          <w:kern w:val="0"/>
          <w:szCs w:val="21"/>
          <w:highlight w:val="none"/>
          <w:shd w:val="clear" w:color="auto" w:fill="FFFFFF"/>
          <w:lang w:val="en-US" w:eastAsia="zh-CN"/>
        </w:rPr>
      </w:pPr>
      <w:r>
        <w:rPr>
          <w:rFonts w:hint="eastAsia" w:ascii="宋体" w:hAnsi="宋体" w:eastAsia="宋体" w:cs="仿宋_GB2312"/>
          <w:color w:val="auto"/>
          <w:kern w:val="0"/>
          <w:sz w:val="21"/>
          <w:szCs w:val="21"/>
          <w:highlight w:val="none"/>
          <w:shd w:val="clear" w:color="auto" w:fill="FFFFFF"/>
        </w:rPr>
        <w:t>安吉县托育综合服务中心</w:t>
      </w:r>
      <w:r>
        <w:rPr>
          <w:rFonts w:hint="eastAsia" w:cs="仿宋_GB2312"/>
          <w:color w:val="auto"/>
          <w:sz w:val="21"/>
          <w:szCs w:val="21"/>
          <w:highlight w:val="none"/>
          <w:shd w:val="clear" w:color="auto" w:fill="FFFFFF"/>
        </w:rPr>
        <w:t>功能分区</w:t>
      </w:r>
      <w:r>
        <w:rPr>
          <w:rFonts w:hint="eastAsia" w:ascii="宋体" w:hAnsi="宋体" w:eastAsia="宋体" w:cs="宋体"/>
          <w:b w:val="0"/>
          <w:bCs/>
          <w:color w:val="auto"/>
          <w:kern w:val="0"/>
          <w:szCs w:val="21"/>
          <w:highlight w:val="none"/>
          <w:shd w:val="clear" w:color="auto" w:fill="FFFFFF"/>
          <w:lang w:val="en-US" w:eastAsia="zh-CN"/>
        </w:rPr>
        <w:t>主要布置如</w:t>
      </w:r>
      <w:r>
        <w:rPr>
          <w:rFonts w:hint="eastAsia" w:ascii="宋体" w:hAnsi="宋体" w:cs="宋体"/>
          <w:b w:val="0"/>
          <w:bCs/>
          <w:color w:val="auto"/>
          <w:kern w:val="0"/>
          <w:szCs w:val="21"/>
          <w:highlight w:val="none"/>
          <w:shd w:val="clear" w:color="auto" w:fill="FFFFFF"/>
          <w:lang w:val="en-US" w:eastAsia="zh-CN"/>
        </w:rPr>
        <w:t>下</w:t>
      </w:r>
      <w:r>
        <w:rPr>
          <w:rFonts w:hint="eastAsia" w:ascii="宋体" w:hAnsi="宋体" w:eastAsia="宋体" w:cs="宋体"/>
          <w:b w:val="0"/>
          <w:bCs/>
          <w:color w:val="auto"/>
          <w:kern w:val="0"/>
          <w:szCs w:val="21"/>
          <w:highlight w:val="none"/>
          <w:shd w:val="clear" w:color="auto" w:fill="FFFFFF"/>
          <w:lang w:val="en-US" w:eastAsia="zh-CN"/>
        </w:rPr>
        <w:t>（包括但不限于）</w:t>
      </w:r>
    </w:p>
    <w:p w14:paraId="35E10F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仿宋_GB2312"/>
          <w:color w:val="auto"/>
          <w:kern w:val="0"/>
          <w:sz w:val="21"/>
          <w:szCs w:val="21"/>
          <w:highlight w:val="none"/>
          <w:shd w:val="clear" w:color="auto" w:fill="FFFFFF"/>
        </w:rPr>
      </w:pPr>
      <w:r>
        <w:rPr>
          <w:rFonts w:hint="eastAsia" w:ascii="宋体" w:hAnsi="宋体" w:eastAsia="宋体" w:cs="楷体"/>
          <w:color w:val="auto"/>
          <w:kern w:val="0"/>
          <w:sz w:val="21"/>
          <w:szCs w:val="21"/>
          <w:highlight w:val="none"/>
          <w:shd w:val="clear" w:color="auto" w:fill="FFFFFF"/>
        </w:rPr>
        <w:t>（一） 托育照护区（</w:t>
      </w:r>
      <w:r>
        <w:rPr>
          <w:rFonts w:hint="eastAsia" w:ascii="宋体" w:hAnsi="宋体" w:eastAsia="宋体" w:cs="仿宋_GB2312"/>
          <w:color w:val="auto"/>
          <w:kern w:val="0"/>
          <w:sz w:val="21"/>
          <w:szCs w:val="21"/>
          <w:highlight w:val="none"/>
          <w:shd w:val="clear" w:color="auto" w:fill="FFFFFF"/>
        </w:rPr>
        <w:t>约</w:t>
      </w:r>
      <w:r>
        <w:rPr>
          <w:rFonts w:ascii="宋体" w:hAnsi="宋体" w:eastAsia="宋体" w:cs="楷体"/>
          <w:color w:val="auto"/>
          <w:kern w:val="0"/>
          <w:sz w:val="21"/>
          <w:szCs w:val="21"/>
          <w:highlight w:val="none"/>
          <w:shd w:val="clear" w:color="auto" w:fill="FFFFFF"/>
        </w:rPr>
        <w:t>440</w:t>
      </w:r>
      <w:r>
        <w:rPr>
          <w:rFonts w:hint="eastAsia" w:ascii="宋体" w:hAnsi="宋体" w:eastAsia="宋体" w:cs="楷体"/>
          <w:color w:val="auto"/>
          <w:kern w:val="0"/>
          <w:sz w:val="21"/>
          <w:szCs w:val="21"/>
          <w:highlight w:val="none"/>
          <w:shd w:val="clear" w:color="auto" w:fill="FFFFFF"/>
        </w:rPr>
        <w:t>平方米）</w:t>
      </w:r>
    </w:p>
    <w:p w14:paraId="1CD4B38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hint="eastAsia" w:ascii="宋体" w:hAnsi="宋体" w:eastAsia="宋体" w:cs="仿宋_GB2312"/>
          <w:b/>
          <w:bCs/>
          <w:color w:val="auto"/>
          <w:kern w:val="0"/>
          <w:sz w:val="21"/>
          <w:szCs w:val="21"/>
          <w:highlight w:val="none"/>
          <w:shd w:val="clear" w:color="auto" w:fill="FFFFFF"/>
        </w:rPr>
        <w:t>1.教室（3间，每间约</w:t>
      </w:r>
      <w:r>
        <w:rPr>
          <w:rFonts w:ascii="宋体" w:hAnsi="宋体" w:eastAsia="宋体" w:cs="仿宋_GB2312"/>
          <w:b/>
          <w:bCs/>
          <w:color w:val="auto"/>
          <w:kern w:val="0"/>
          <w:sz w:val="21"/>
          <w:szCs w:val="21"/>
          <w:highlight w:val="none"/>
          <w:shd w:val="clear" w:color="auto" w:fill="FFFFFF"/>
        </w:rPr>
        <w:t>110</w:t>
      </w:r>
      <w:r>
        <w:rPr>
          <w:rFonts w:hint="eastAsia" w:ascii="宋体" w:hAnsi="宋体" w:eastAsia="宋体" w:cs="仿宋_GB2312"/>
          <w:b/>
          <w:bCs/>
          <w:color w:val="auto"/>
          <w:kern w:val="0"/>
          <w:sz w:val="21"/>
          <w:szCs w:val="21"/>
          <w:highlight w:val="none"/>
          <w:shd w:val="clear" w:color="auto" w:fill="FFFFFF"/>
        </w:rPr>
        <w:t>平方米）</w:t>
      </w:r>
      <w:r>
        <w:rPr>
          <w:rFonts w:hint="eastAsia" w:ascii="宋体" w:hAnsi="宋体" w:eastAsia="宋体" w:cs="仿宋_GB2312"/>
          <w:color w:val="auto"/>
          <w:kern w:val="0"/>
          <w:sz w:val="21"/>
          <w:szCs w:val="21"/>
          <w:highlight w:val="none"/>
          <w:shd w:val="clear" w:color="auto" w:fill="FFFFFF"/>
        </w:rPr>
        <w:t xml:space="preserve">：按0-12月、12-24月、24-36月分班，配备独立睡眠区、盥洗区、游戏区。  </w:t>
      </w:r>
    </w:p>
    <w:p w14:paraId="7600004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ascii="宋体" w:hAnsi="宋体" w:eastAsia="宋体" w:cs="仿宋_GB2312"/>
          <w:b/>
          <w:bCs/>
          <w:color w:val="auto"/>
          <w:kern w:val="0"/>
          <w:sz w:val="21"/>
          <w:szCs w:val="21"/>
          <w:highlight w:val="none"/>
          <w:shd w:val="clear" w:color="auto" w:fill="FFFFFF"/>
        </w:rPr>
        <w:t>2</w:t>
      </w:r>
      <w:r>
        <w:rPr>
          <w:rFonts w:hint="eastAsia" w:ascii="宋体" w:hAnsi="宋体" w:eastAsia="宋体" w:cs="仿宋_GB2312"/>
          <w:b/>
          <w:bCs/>
          <w:color w:val="auto"/>
          <w:kern w:val="0"/>
          <w:sz w:val="21"/>
          <w:szCs w:val="21"/>
          <w:highlight w:val="none"/>
          <w:shd w:val="clear" w:color="auto" w:fill="FFFFFF"/>
        </w:rPr>
        <w:t>.配餐间（约20平方米）：</w:t>
      </w:r>
      <w:r>
        <w:rPr>
          <w:rFonts w:hint="eastAsia" w:ascii="宋体" w:hAnsi="宋体" w:eastAsia="宋体" w:cs="仿宋_GB2312"/>
          <w:color w:val="auto"/>
          <w:kern w:val="0"/>
          <w:sz w:val="21"/>
          <w:szCs w:val="21"/>
          <w:highlight w:val="none"/>
          <w:shd w:val="clear" w:color="auto" w:fill="FFFFFF"/>
        </w:rPr>
        <w:t xml:space="preserve">符合食品安全标准，配备消毒柜、分餐台、留样冰箱等设施设备。  </w:t>
      </w:r>
    </w:p>
    <w:p w14:paraId="647C239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ascii="宋体" w:hAnsi="宋体" w:eastAsia="宋体" w:cs="仿宋_GB2312"/>
          <w:b/>
          <w:bCs/>
          <w:color w:val="auto"/>
          <w:kern w:val="0"/>
          <w:sz w:val="21"/>
          <w:szCs w:val="21"/>
          <w:highlight w:val="none"/>
          <w:shd w:val="clear" w:color="auto" w:fill="FFFFFF"/>
        </w:rPr>
        <w:t>3</w:t>
      </w:r>
      <w:r>
        <w:rPr>
          <w:rFonts w:hint="eastAsia" w:ascii="宋体" w:hAnsi="宋体" w:eastAsia="宋体" w:cs="仿宋_GB2312"/>
          <w:b/>
          <w:bCs/>
          <w:color w:val="auto"/>
          <w:kern w:val="0"/>
          <w:sz w:val="21"/>
          <w:szCs w:val="21"/>
          <w:highlight w:val="none"/>
          <w:shd w:val="clear" w:color="auto" w:fill="FFFFFF"/>
        </w:rPr>
        <w:t>.保健室（约</w:t>
      </w:r>
      <w:r>
        <w:rPr>
          <w:rFonts w:ascii="宋体" w:hAnsi="宋体" w:eastAsia="宋体" w:cs="仿宋_GB2312"/>
          <w:b/>
          <w:bCs/>
          <w:color w:val="auto"/>
          <w:kern w:val="0"/>
          <w:sz w:val="21"/>
          <w:szCs w:val="21"/>
          <w:highlight w:val="none"/>
          <w:shd w:val="clear" w:color="auto" w:fill="FFFFFF"/>
        </w:rPr>
        <w:t>3</w:t>
      </w:r>
      <w:r>
        <w:rPr>
          <w:rFonts w:hint="eastAsia" w:ascii="宋体" w:hAnsi="宋体" w:eastAsia="宋体" w:cs="仿宋_GB2312"/>
          <w:b/>
          <w:bCs/>
          <w:color w:val="auto"/>
          <w:kern w:val="0"/>
          <w:sz w:val="21"/>
          <w:szCs w:val="21"/>
          <w:highlight w:val="none"/>
          <w:shd w:val="clear" w:color="auto" w:fill="FFFFFF"/>
        </w:rPr>
        <w:t>0平方米）：</w:t>
      </w:r>
      <w:r>
        <w:rPr>
          <w:rFonts w:hint="eastAsia" w:ascii="宋体" w:hAnsi="宋体" w:eastAsia="宋体" w:cs="仿宋_GB2312"/>
          <w:color w:val="auto"/>
          <w:kern w:val="0"/>
          <w:sz w:val="21"/>
          <w:szCs w:val="21"/>
          <w:highlight w:val="none"/>
          <w:shd w:val="clear" w:color="auto" w:fill="FFFFFF"/>
        </w:rPr>
        <w:t>具备晨检与观察</w:t>
      </w:r>
      <w:r>
        <w:rPr>
          <w:rFonts w:ascii="宋体" w:hAnsi="宋体" w:eastAsia="宋体" w:cs="仿宋_GB2312"/>
          <w:color w:val="auto"/>
          <w:kern w:val="0"/>
          <w:sz w:val="21"/>
          <w:szCs w:val="21"/>
          <w:highlight w:val="none"/>
          <w:shd w:val="clear" w:color="auto" w:fill="FFFFFF"/>
        </w:rPr>
        <w:t>功能等</w:t>
      </w:r>
      <w:r>
        <w:rPr>
          <w:rFonts w:hint="eastAsia" w:ascii="宋体" w:hAnsi="宋体" w:eastAsia="宋体" w:cs="仿宋_GB2312"/>
          <w:color w:val="auto"/>
          <w:kern w:val="0"/>
          <w:sz w:val="21"/>
          <w:szCs w:val="21"/>
          <w:highlight w:val="none"/>
          <w:shd w:val="clear" w:color="auto" w:fill="FFFFFF"/>
        </w:rPr>
        <w:t xml:space="preserve">。  </w:t>
      </w:r>
    </w:p>
    <w:p w14:paraId="3FA8E22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ascii="宋体" w:hAnsi="宋体" w:eastAsia="宋体" w:cs="仿宋_GB2312"/>
          <w:b/>
          <w:bCs/>
          <w:color w:val="auto"/>
          <w:kern w:val="0"/>
          <w:sz w:val="21"/>
          <w:szCs w:val="21"/>
          <w:highlight w:val="none"/>
          <w:shd w:val="clear" w:color="auto" w:fill="FFFFFF"/>
        </w:rPr>
        <w:t>4.仓库（</w:t>
      </w:r>
      <w:r>
        <w:rPr>
          <w:rFonts w:hint="eastAsia" w:ascii="宋体" w:hAnsi="宋体" w:eastAsia="宋体" w:cs="仿宋_GB2312"/>
          <w:b/>
          <w:bCs/>
          <w:color w:val="auto"/>
          <w:kern w:val="0"/>
          <w:sz w:val="21"/>
          <w:szCs w:val="21"/>
          <w:highlight w:val="none"/>
          <w:shd w:val="clear" w:color="auto" w:fill="FFFFFF"/>
        </w:rPr>
        <w:t>约</w:t>
      </w:r>
      <w:r>
        <w:rPr>
          <w:rFonts w:ascii="宋体" w:hAnsi="宋体" w:eastAsia="宋体" w:cs="仿宋_GB2312"/>
          <w:b/>
          <w:bCs/>
          <w:color w:val="auto"/>
          <w:kern w:val="0"/>
          <w:sz w:val="21"/>
          <w:szCs w:val="21"/>
          <w:highlight w:val="none"/>
          <w:shd w:val="clear" w:color="auto" w:fill="FFFFFF"/>
        </w:rPr>
        <w:t>20平方米）：</w:t>
      </w:r>
      <w:r>
        <w:rPr>
          <w:rFonts w:ascii="宋体" w:hAnsi="宋体" w:eastAsia="宋体" w:cs="仿宋_GB2312"/>
          <w:color w:val="auto"/>
          <w:kern w:val="0"/>
          <w:sz w:val="21"/>
          <w:szCs w:val="21"/>
          <w:highlight w:val="none"/>
          <w:shd w:val="clear" w:color="auto" w:fill="FFFFFF"/>
        </w:rPr>
        <w:t>存放教具、日用品等。</w:t>
      </w:r>
    </w:p>
    <w:p w14:paraId="370834A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ascii="宋体" w:hAnsi="宋体" w:eastAsia="宋体" w:cs="仿宋_GB2312"/>
          <w:b/>
          <w:bCs/>
          <w:color w:val="auto"/>
          <w:kern w:val="0"/>
          <w:sz w:val="21"/>
          <w:szCs w:val="21"/>
          <w:highlight w:val="none"/>
          <w:shd w:val="clear" w:color="auto" w:fill="FFFFFF"/>
        </w:rPr>
        <w:t>5.教具制作室（</w:t>
      </w:r>
      <w:r>
        <w:rPr>
          <w:rFonts w:hint="eastAsia" w:ascii="宋体" w:hAnsi="宋体" w:eastAsia="宋体" w:cs="仿宋_GB2312"/>
          <w:b/>
          <w:bCs/>
          <w:color w:val="auto"/>
          <w:kern w:val="0"/>
          <w:sz w:val="21"/>
          <w:szCs w:val="21"/>
          <w:highlight w:val="none"/>
          <w:shd w:val="clear" w:color="auto" w:fill="FFFFFF"/>
        </w:rPr>
        <w:t>约</w:t>
      </w:r>
      <w:r>
        <w:rPr>
          <w:rFonts w:ascii="宋体" w:hAnsi="宋体" w:eastAsia="宋体" w:cs="仿宋_GB2312"/>
          <w:b/>
          <w:bCs/>
          <w:color w:val="auto"/>
          <w:kern w:val="0"/>
          <w:sz w:val="21"/>
          <w:szCs w:val="21"/>
          <w:highlight w:val="none"/>
          <w:shd w:val="clear" w:color="auto" w:fill="FFFFFF"/>
        </w:rPr>
        <w:t>30平方米）：</w:t>
      </w:r>
      <w:r>
        <w:rPr>
          <w:rFonts w:ascii="宋体" w:hAnsi="宋体" w:eastAsia="宋体" w:cs="仿宋_GB2312"/>
          <w:color w:val="auto"/>
          <w:kern w:val="0"/>
          <w:sz w:val="21"/>
          <w:szCs w:val="21"/>
          <w:highlight w:val="none"/>
          <w:shd w:val="clear" w:color="auto" w:fill="FFFFFF"/>
        </w:rPr>
        <w:t>用于教玩具制作等。</w:t>
      </w:r>
    </w:p>
    <w:p w14:paraId="2C9E4C7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ascii="宋体" w:hAnsi="宋体" w:eastAsia="宋体" w:cs="仿宋_GB2312"/>
          <w:b/>
          <w:bCs/>
          <w:color w:val="auto"/>
          <w:kern w:val="0"/>
          <w:sz w:val="21"/>
          <w:szCs w:val="21"/>
          <w:highlight w:val="none"/>
          <w:shd w:val="clear" w:color="auto" w:fill="FFFFFF"/>
        </w:rPr>
        <w:t>6.保洁间（</w:t>
      </w:r>
      <w:r>
        <w:rPr>
          <w:rFonts w:hint="eastAsia" w:ascii="宋体" w:hAnsi="宋体" w:eastAsia="宋体" w:cs="仿宋_GB2312"/>
          <w:b/>
          <w:bCs/>
          <w:color w:val="auto"/>
          <w:kern w:val="0"/>
          <w:sz w:val="21"/>
          <w:szCs w:val="21"/>
          <w:highlight w:val="none"/>
          <w:shd w:val="clear" w:color="auto" w:fill="FFFFFF"/>
        </w:rPr>
        <w:t>约</w:t>
      </w:r>
      <w:r>
        <w:rPr>
          <w:rFonts w:ascii="宋体" w:hAnsi="宋体" w:eastAsia="宋体" w:cs="仿宋_GB2312"/>
          <w:b/>
          <w:bCs/>
          <w:color w:val="auto"/>
          <w:kern w:val="0"/>
          <w:sz w:val="21"/>
          <w:szCs w:val="21"/>
          <w:highlight w:val="none"/>
          <w:shd w:val="clear" w:color="auto" w:fill="FFFFFF"/>
        </w:rPr>
        <w:t>10平方米）：</w:t>
      </w:r>
      <w:r>
        <w:rPr>
          <w:rFonts w:ascii="宋体" w:hAnsi="宋体" w:eastAsia="宋体" w:cs="仿宋_GB2312"/>
          <w:color w:val="auto"/>
          <w:kern w:val="0"/>
          <w:sz w:val="21"/>
          <w:szCs w:val="21"/>
          <w:highlight w:val="none"/>
          <w:shd w:val="clear" w:color="auto" w:fill="FFFFFF"/>
        </w:rPr>
        <w:t>用于卫生清洁工作存放等。</w:t>
      </w:r>
    </w:p>
    <w:p w14:paraId="132CE7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仿宋_GB2312"/>
          <w:color w:val="auto"/>
          <w:kern w:val="0"/>
          <w:sz w:val="21"/>
          <w:szCs w:val="21"/>
          <w:highlight w:val="none"/>
          <w:shd w:val="clear" w:color="auto" w:fill="FFFFFF"/>
        </w:rPr>
      </w:pPr>
      <w:r>
        <w:rPr>
          <w:rFonts w:hint="eastAsia" w:ascii="宋体" w:hAnsi="宋体" w:eastAsia="宋体" w:cs="楷体"/>
          <w:color w:val="auto"/>
          <w:kern w:val="0"/>
          <w:sz w:val="21"/>
          <w:szCs w:val="21"/>
          <w:highlight w:val="none"/>
          <w:shd w:val="clear" w:color="auto" w:fill="FFFFFF"/>
        </w:rPr>
        <w:t>（二）</w:t>
      </w:r>
      <w:r>
        <w:rPr>
          <w:rFonts w:ascii="宋体" w:hAnsi="宋体" w:eastAsia="宋体" w:cs="楷体"/>
          <w:color w:val="auto"/>
          <w:kern w:val="0"/>
          <w:sz w:val="21"/>
          <w:szCs w:val="21"/>
          <w:highlight w:val="none"/>
          <w:shd w:val="clear" w:color="auto" w:fill="FFFFFF"/>
        </w:rPr>
        <w:t>托育从业人员培训区（</w:t>
      </w:r>
      <w:r>
        <w:rPr>
          <w:rFonts w:hint="eastAsia" w:ascii="宋体" w:hAnsi="宋体" w:eastAsia="宋体" w:cs="仿宋_GB2312"/>
          <w:color w:val="auto"/>
          <w:kern w:val="0"/>
          <w:sz w:val="21"/>
          <w:szCs w:val="21"/>
          <w:highlight w:val="none"/>
          <w:shd w:val="clear" w:color="auto" w:fill="FFFFFF"/>
        </w:rPr>
        <w:t>约</w:t>
      </w:r>
      <w:r>
        <w:rPr>
          <w:rFonts w:ascii="宋体" w:hAnsi="宋体" w:eastAsia="宋体" w:cs="楷体"/>
          <w:color w:val="auto"/>
          <w:kern w:val="0"/>
          <w:sz w:val="21"/>
          <w:szCs w:val="21"/>
          <w:highlight w:val="none"/>
          <w:shd w:val="clear" w:color="auto" w:fill="FFFFFF"/>
        </w:rPr>
        <w:t>260平方米）</w:t>
      </w:r>
    </w:p>
    <w:p w14:paraId="61F0999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hint="eastAsia" w:ascii="宋体" w:hAnsi="宋体" w:eastAsia="宋体" w:cs="仿宋_GB2312"/>
          <w:b/>
          <w:bCs/>
          <w:color w:val="auto"/>
          <w:kern w:val="0"/>
          <w:sz w:val="21"/>
          <w:szCs w:val="21"/>
          <w:highlight w:val="none"/>
          <w:shd w:val="clear" w:color="auto" w:fill="FFFFFF"/>
        </w:rPr>
        <w:t>1.</w:t>
      </w:r>
      <w:r>
        <w:rPr>
          <w:rFonts w:ascii="宋体" w:hAnsi="宋体" w:eastAsia="宋体" w:cs="仿宋_GB2312"/>
          <w:b/>
          <w:bCs/>
          <w:color w:val="auto"/>
          <w:kern w:val="0"/>
          <w:sz w:val="21"/>
          <w:szCs w:val="21"/>
          <w:highlight w:val="none"/>
          <w:shd w:val="clear" w:color="auto" w:fill="FFFFFF"/>
        </w:rPr>
        <w:t>实训室（</w:t>
      </w:r>
      <w:r>
        <w:rPr>
          <w:rFonts w:hint="eastAsia" w:ascii="宋体" w:hAnsi="宋体" w:eastAsia="宋体" w:cs="仿宋_GB2312"/>
          <w:b/>
          <w:bCs/>
          <w:color w:val="auto"/>
          <w:kern w:val="0"/>
          <w:sz w:val="21"/>
          <w:szCs w:val="21"/>
          <w:highlight w:val="none"/>
          <w:shd w:val="clear" w:color="auto" w:fill="FFFFFF"/>
        </w:rPr>
        <w:t>约</w:t>
      </w:r>
      <w:r>
        <w:rPr>
          <w:rFonts w:ascii="宋体" w:hAnsi="宋体" w:eastAsia="宋体" w:cs="仿宋_GB2312"/>
          <w:b/>
          <w:bCs/>
          <w:color w:val="auto"/>
          <w:kern w:val="0"/>
          <w:sz w:val="21"/>
          <w:szCs w:val="21"/>
          <w:highlight w:val="none"/>
          <w:shd w:val="clear" w:color="auto" w:fill="FFFFFF"/>
        </w:rPr>
        <w:t>70平方米）：</w:t>
      </w:r>
      <w:r>
        <w:rPr>
          <w:rFonts w:ascii="宋体" w:hAnsi="宋体" w:eastAsia="宋体" w:cs="仿宋_GB2312"/>
          <w:color w:val="auto"/>
          <w:kern w:val="0"/>
          <w:sz w:val="21"/>
          <w:szCs w:val="21"/>
          <w:highlight w:val="none"/>
          <w:shd w:val="clear" w:color="auto" w:fill="FFFFFF"/>
        </w:rPr>
        <w:t>配备妈咪厨房辅食制作、技能训练、小组活动、多媒体互动等设施设备。</w:t>
      </w:r>
    </w:p>
    <w:p w14:paraId="6677434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ascii="宋体" w:hAnsi="宋体" w:eastAsia="宋体" w:cs="仿宋_GB2312"/>
          <w:b/>
          <w:bCs/>
          <w:color w:val="auto"/>
          <w:kern w:val="0"/>
          <w:sz w:val="21"/>
          <w:szCs w:val="21"/>
          <w:highlight w:val="none"/>
          <w:shd w:val="clear" w:color="auto" w:fill="FFFFFF"/>
        </w:rPr>
        <w:t>2.养育照护小组活动室（</w:t>
      </w:r>
      <w:r>
        <w:rPr>
          <w:rFonts w:hint="eastAsia" w:ascii="宋体" w:hAnsi="宋体" w:eastAsia="宋体" w:cs="仿宋_GB2312"/>
          <w:b/>
          <w:bCs/>
          <w:color w:val="auto"/>
          <w:kern w:val="0"/>
          <w:sz w:val="21"/>
          <w:szCs w:val="21"/>
          <w:highlight w:val="none"/>
          <w:shd w:val="clear" w:color="auto" w:fill="FFFFFF"/>
        </w:rPr>
        <w:t>约</w:t>
      </w:r>
      <w:r>
        <w:rPr>
          <w:rFonts w:ascii="宋体" w:hAnsi="宋体" w:eastAsia="宋体" w:cs="仿宋_GB2312"/>
          <w:b/>
          <w:bCs/>
          <w:color w:val="auto"/>
          <w:kern w:val="0"/>
          <w:sz w:val="21"/>
          <w:szCs w:val="21"/>
          <w:highlight w:val="none"/>
          <w:shd w:val="clear" w:color="auto" w:fill="FFFFFF"/>
        </w:rPr>
        <w:t>50平方米）：</w:t>
      </w:r>
      <w:r>
        <w:rPr>
          <w:rFonts w:ascii="宋体" w:hAnsi="宋体" w:eastAsia="宋体" w:cs="仿宋_GB2312"/>
          <w:color w:val="auto"/>
          <w:kern w:val="0"/>
          <w:sz w:val="21"/>
          <w:szCs w:val="21"/>
          <w:highlight w:val="none"/>
          <w:shd w:val="clear" w:color="auto" w:fill="FFFFFF"/>
        </w:rPr>
        <w:t>开展养育照护活动等。</w:t>
      </w:r>
    </w:p>
    <w:p w14:paraId="22E4A1F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ascii="宋体" w:hAnsi="宋体" w:eastAsia="宋体" w:cs="仿宋_GB2312"/>
          <w:b/>
          <w:bCs/>
          <w:color w:val="auto"/>
          <w:kern w:val="0"/>
          <w:sz w:val="21"/>
          <w:szCs w:val="21"/>
          <w:highlight w:val="none"/>
          <w:shd w:val="clear" w:color="auto" w:fill="FFFFFF"/>
        </w:rPr>
        <w:t>3</w:t>
      </w:r>
      <w:r>
        <w:rPr>
          <w:rFonts w:hint="eastAsia" w:ascii="宋体" w:hAnsi="宋体" w:eastAsia="宋体" w:cs="仿宋_GB2312"/>
          <w:b/>
          <w:bCs/>
          <w:color w:val="auto"/>
          <w:kern w:val="0"/>
          <w:sz w:val="21"/>
          <w:szCs w:val="21"/>
          <w:highlight w:val="none"/>
          <w:shd w:val="clear" w:color="auto" w:fill="FFFFFF"/>
        </w:rPr>
        <w:t>.家长接待/咨询室（约</w:t>
      </w:r>
      <w:r>
        <w:rPr>
          <w:rFonts w:ascii="宋体" w:hAnsi="宋体" w:eastAsia="宋体" w:cs="仿宋_GB2312"/>
          <w:b/>
          <w:bCs/>
          <w:color w:val="auto"/>
          <w:kern w:val="0"/>
          <w:sz w:val="21"/>
          <w:szCs w:val="21"/>
          <w:highlight w:val="none"/>
          <w:shd w:val="clear" w:color="auto" w:fill="FFFFFF"/>
        </w:rPr>
        <w:t>30</w:t>
      </w:r>
      <w:r>
        <w:rPr>
          <w:rFonts w:hint="eastAsia" w:ascii="宋体" w:hAnsi="宋体" w:eastAsia="宋体" w:cs="仿宋_GB2312"/>
          <w:b/>
          <w:bCs/>
          <w:color w:val="auto"/>
          <w:kern w:val="0"/>
          <w:sz w:val="21"/>
          <w:szCs w:val="21"/>
          <w:highlight w:val="none"/>
          <w:shd w:val="clear" w:color="auto" w:fill="FFFFFF"/>
        </w:rPr>
        <w:t>平方米）：</w:t>
      </w:r>
      <w:r>
        <w:rPr>
          <w:rFonts w:hint="eastAsia" w:ascii="宋体" w:hAnsi="宋体" w:eastAsia="宋体" w:cs="仿宋_GB2312"/>
          <w:color w:val="auto"/>
          <w:kern w:val="0"/>
          <w:sz w:val="21"/>
          <w:szCs w:val="21"/>
          <w:highlight w:val="none"/>
          <w:shd w:val="clear" w:color="auto" w:fill="FFFFFF"/>
        </w:rPr>
        <w:t xml:space="preserve">提供育儿指导、政策咨询、签约服务。  </w:t>
      </w:r>
    </w:p>
    <w:p w14:paraId="6C5BDBF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ascii="宋体" w:hAnsi="宋体" w:eastAsia="宋体" w:cs="仿宋_GB2312"/>
          <w:b/>
          <w:bCs/>
          <w:color w:val="auto"/>
          <w:kern w:val="0"/>
          <w:sz w:val="21"/>
          <w:szCs w:val="21"/>
          <w:highlight w:val="none"/>
          <w:shd w:val="clear" w:color="auto" w:fill="FFFFFF"/>
        </w:rPr>
        <w:t>4</w:t>
      </w:r>
      <w:r>
        <w:rPr>
          <w:rFonts w:hint="eastAsia" w:ascii="宋体" w:hAnsi="宋体" w:eastAsia="宋体" w:cs="仿宋_GB2312"/>
          <w:b/>
          <w:bCs/>
          <w:color w:val="auto"/>
          <w:kern w:val="0"/>
          <w:sz w:val="21"/>
          <w:szCs w:val="21"/>
          <w:highlight w:val="none"/>
          <w:shd w:val="clear" w:color="auto" w:fill="FFFFFF"/>
        </w:rPr>
        <w:t>.多功能教室（约</w:t>
      </w:r>
      <w:r>
        <w:rPr>
          <w:rFonts w:ascii="宋体" w:hAnsi="宋体" w:eastAsia="宋体" w:cs="仿宋_GB2312"/>
          <w:b/>
          <w:bCs/>
          <w:color w:val="auto"/>
          <w:kern w:val="0"/>
          <w:sz w:val="21"/>
          <w:szCs w:val="21"/>
          <w:highlight w:val="none"/>
          <w:shd w:val="clear" w:color="auto" w:fill="FFFFFF"/>
        </w:rPr>
        <w:t>40</w:t>
      </w:r>
      <w:r>
        <w:rPr>
          <w:rFonts w:hint="eastAsia" w:ascii="宋体" w:hAnsi="宋体" w:eastAsia="宋体" w:cs="仿宋_GB2312"/>
          <w:b/>
          <w:bCs/>
          <w:color w:val="auto"/>
          <w:kern w:val="0"/>
          <w:sz w:val="21"/>
          <w:szCs w:val="21"/>
          <w:highlight w:val="none"/>
          <w:shd w:val="clear" w:color="auto" w:fill="FFFFFF"/>
        </w:rPr>
        <w:t>平方米）：</w:t>
      </w:r>
      <w:r>
        <w:rPr>
          <w:rFonts w:hint="eastAsia" w:ascii="宋体" w:hAnsi="宋体" w:eastAsia="宋体" w:cs="仿宋_GB2312"/>
          <w:color w:val="auto"/>
          <w:kern w:val="0"/>
          <w:sz w:val="21"/>
          <w:szCs w:val="21"/>
          <w:highlight w:val="none"/>
          <w:shd w:val="clear" w:color="auto" w:fill="FFFFFF"/>
        </w:rPr>
        <w:t xml:space="preserve">用于家长课堂、社区育儿讲座。 </w:t>
      </w:r>
    </w:p>
    <w:p w14:paraId="46DD261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ascii="宋体" w:hAnsi="宋体" w:eastAsia="宋体" w:cs="仿宋_GB2312"/>
          <w:b/>
          <w:bCs/>
          <w:color w:val="auto"/>
          <w:kern w:val="0"/>
          <w:sz w:val="21"/>
          <w:szCs w:val="21"/>
          <w:highlight w:val="none"/>
          <w:shd w:val="clear" w:color="auto" w:fill="FFFFFF"/>
        </w:rPr>
        <w:t>5.室内活动室（</w:t>
      </w:r>
      <w:r>
        <w:rPr>
          <w:rFonts w:hint="eastAsia" w:ascii="宋体" w:hAnsi="宋体" w:eastAsia="宋体" w:cs="仿宋_GB2312"/>
          <w:b/>
          <w:bCs/>
          <w:color w:val="auto"/>
          <w:kern w:val="0"/>
          <w:sz w:val="21"/>
          <w:szCs w:val="21"/>
          <w:highlight w:val="none"/>
          <w:shd w:val="clear" w:color="auto" w:fill="FFFFFF"/>
        </w:rPr>
        <w:t>约</w:t>
      </w:r>
      <w:r>
        <w:rPr>
          <w:rFonts w:ascii="宋体" w:hAnsi="宋体" w:eastAsia="宋体" w:cs="仿宋_GB2312"/>
          <w:b/>
          <w:bCs/>
          <w:color w:val="auto"/>
          <w:kern w:val="0"/>
          <w:sz w:val="21"/>
          <w:szCs w:val="21"/>
          <w:highlight w:val="none"/>
          <w:shd w:val="clear" w:color="auto" w:fill="FFFFFF"/>
        </w:rPr>
        <w:t>70个平方米）：</w:t>
      </w:r>
      <w:r>
        <w:rPr>
          <w:rFonts w:ascii="宋体" w:hAnsi="宋体" w:eastAsia="宋体" w:cs="仿宋_GB2312"/>
          <w:color w:val="auto"/>
          <w:kern w:val="0"/>
          <w:sz w:val="21"/>
          <w:szCs w:val="21"/>
          <w:highlight w:val="none"/>
          <w:shd w:val="clear" w:color="auto" w:fill="FFFFFF"/>
        </w:rPr>
        <w:t>室内活动场所。</w:t>
      </w:r>
    </w:p>
    <w:p w14:paraId="3EBE22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楷体"/>
          <w:color w:val="auto"/>
          <w:kern w:val="0"/>
          <w:sz w:val="21"/>
          <w:szCs w:val="21"/>
          <w:highlight w:val="none"/>
          <w:shd w:val="clear" w:color="auto" w:fill="FFFFFF"/>
        </w:rPr>
      </w:pPr>
      <w:r>
        <w:rPr>
          <w:rFonts w:hint="eastAsia" w:ascii="宋体" w:hAnsi="宋体" w:eastAsia="宋体" w:cs="楷体"/>
          <w:color w:val="auto"/>
          <w:kern w:val="0"/>
          <w:sz w:val="21"/>
          <w:szCs w:val="21"/>
          <w:highlight w:val="none"/>
          <w:shd w:val="clear" w:color="auto" w:fill="FFFFFF"/>
        </w:rPr>
        <w:t>（三）后勤与办公区（</w:t>
      </w:r>
      <w:r>
        <w:rPr>
          <w:rFonts w:hint="eastAsia" w:ascii="宋体" w:hAnsi="宋体" w:eastAsia="宋体" w:cs="仿宋_GB2312"/>
          <w:color w:val="auto"/>
          <w:kern w:val="0"/>
          <w:sz w:val="21"/>
          <w:szCs w:val="21"/>
          <w:highlight w:val="none"/>
          <w:shd w:val="clear" w:color="auto" w:fill="FFFFFF"/>
        </w:rPr>
        <w:t>约</w:t>
      </w:r>
      <w:r>
        <w:rPr>
          <w:rFonts w:ascii="宋体" w:hAnsi="宋体" w:eastAsia="宋体" w:cs="楷体"/>
          <w:color w:val="auto"/>
          <w:kern w:val="0"/>
          <w:sz w:val="21"/>
          <w:szCs w:val="21"/>
          <w:highlight w:val="none"/>
          <w:shd w:val="clear" w:color="auto" w:fill="FFFFFF"/>
        </w:rPr>
        <w:t>50</w:t>
      </w:r>
      <w:r>
        <w:rPr>
          <w:rFonts w:hint="eastAsia" w:ascii="宋体" w:hAnsi="宋体" w:eastAsia="宋体" w:cs="楷体"/>
          <w:color w:val="auto"/>
          <w:kern w:val="0"/>
          <w:sz w:val="21"/>
          <w:szCs w:val="21"/>
          <w:highlight w:val="none"/>
          <w:shd w:val="clear" w:color="auto" w:fill="FFFFFF"/>
        </w:rPr>
        <w:t>平方米）</w:t>
      </w:r>
    </w:p>
    <w:p w14:paraId="46C75E0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hint="eastAsia" w:ascii="宋体" w:hAnsi="宋体" w:eastAsia="宋体" w:cs="仿宋_GB2312"/>
          <w:b/>
          <w:bCs/>
          <w:color w:val="auto"/>
          <w:kern w:val="0"/>
          <w:sz w:val="21"/>
          <w:szCs w:val="21"/>
          <w:highlight w:val="none"/>
          <w:shd w:val="clear" w:color="auto" w:fill="FFFFFF"/>
        </w:rPr>
        <w:t>1.办公室（约30平方米）：</w:t>
      </w:r>
      <w:r>
        <w:rPr>
          <w:rFonts w:hint="eastAsia" w:ascii="宋体" w:hAnsi="宋体" w:eastAsia="宋体" w:cs="仿宋_GB2312"/>
          <w:color w:val="auto"/>
          <w:kern w:val="0"/>
          <w:sz w:val="21"/>
          <w:szCs w:val="21"/>
          <w:highlight w:val="none"/>
          <w:shd w:val="clear" w:color="auto" w:fill="FFFFFF"/>
        </w:rPr>
        <w:t xml:space="preserve">日常管理、档案存储等。  </w:t>
      </w:r>
    </w:p>
    <w:p w14:paraId="7C22AA9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hint="eastAsia" w:ascii="宋体" w:hAnsi="宋体" w:eastAsia="宋体" w:cs="仿宋_GB2312"/>
          <w:b/>
          <w:bCs/>
          <w:color w:val="auto"/>
          <w:kern w:val="0"/>
          <w:sz w:val="21"/>
          <w:szCs w:val="21"/>
          <w:highlight w:val="none"/>
          <w:shd w:val="clear" w:color="auto" w:fill="FFFFFF"/>
        </w:rPr>
        <w:t>2.员工休息室（约20平方米）：</w:t>
      </w:r>
      <w:r>
        <w:rPr>
          <w:rFonts w:hint="eastAsia" w:ascii="宋体" w:hAnsi="宋体" w:eastAsia="宋体" w:cs="仿宋_GB2312"/>
          <w:color w:val="auto"/>
          <w:kern w:val="0"/>
          <w:sz w:val="21"/>
          <w:szCs w:val="21"/>
          <w:highlight w:val="none"/>
          <w:shd w:val="clear" w:color="auto" w:fill="FFFFFF"/>
        </w:rPr>
        <w:t xml:space="preserve">保育员更衣、休息。  </w:t>
      </w:r>
    </w:p>
    <w:p w14:paraId="43A5FD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楷体"/>
          <w:color w:val="auto"/>
          <w:kern w:val="0"/>
          <w:sz w:val="21"/>
          <w:szCs w:val="21"/>
          <w:highlight w:val="none"/>
          <w:shd w:val="clear" w:color="auto" w:fill="FFFFFF"/>
        </w:rPr>
      </w:pPr>
      <w:r>
        <w:rPr>
          <w:rFonts w:hint="eastAsia" w:ascii="宋体" w:hAnsi="宋体" w:eastAsia="宋体" w:cs="楷体"/>
          <w:color w:val="auto"/>
          <w:kern w:val="0"/>
          <w:sz w:val="21"/>
          <w:szCs w:val="21"/>
          <w:highlight w:val="none"/>
          <w:shd w:val="clear" w:color="auto" w:fill="FFFFFF"/>
        </w:rPr>
        <w:t>（四）活动区（</w:t>
      </w:r>
      <w:r>
        <w:rPr>
          <w:rFonts w:hint="eastAsia" w:ascii="宋体" w:hAnsi="宋体" w:eastAsia="宋体" w:cs="仿宋_GB2312"/>
          <w:color w:val="auto"/>
          <w:kern w:val="0"/>
          <w:sz w:val="21"/>
          <w:szCs w:val="21"/>
          <w:highlight w:val="none"/>
          <w:shd w:val="clear" w:color="auto" w:fill="FFFFFF"/>
        </w:rPr>
        <w:t>约</w:t>
      </w:r>
      <w:r>
        <w:rPr>
          <w:rFonts w:hint="eastAsia" w:ascii="宋体" w:hAnsi="宋体" w:eastAsia="宋体" w:cs="楷体"/>
          <w:color w:val="auto"/>
          <w:kern w:val="0"/>
          <w:sz w:val="21"/>
          <w:szCs w:val="21"/>
          <w:highlight w:val="none"/>
          <w:shd w:val="clear" w:color="auto" w:fill="FFFFFF"/>
        </w:rPr>
        <w:t>100平方米）</w:t>
      </w:r>
    </w:p>
    <w:p w14:paraId="6779A30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仿宋_GB2312"/>
          <w:color w:val="auto"/>
          <w:kern w:val="0"/>
          <w:sz w:val="21"/>
          <w:szCs w:val="21"/>
          <w:highlight w:val="none"/>
          <w:shd w:val="clear" w:color="auto" w:fill="FFFFFF"/>
        </w:rPr>
      </w:pPr>
      <w:r>
        <w:rPr>
          <w:rFonts w:hint="eastAsia" w:ascii="宋体" w:hAnsi="宋体" w:eastAsia="宋体" w:cs="仿宋_GB2312"/>
          <w:b/>
          <w:bCs/>
          <w:color w:val="auto"/>
          <w:kern w:val="0"/>
          <w:sz w:val="21"/>
          <w:szCs w:val="21"/>
          <w:highlight w:val="none"/>
          <w:shd w:val="clear" w:color="auto" w:fill="FFFFFF"/>
        </w:rPr>
        <w:t>1.安全游乐场（约60平方米）：</w:t>
      </w:r>
      <w:r>
        <w:rPr>
          <w:rFonts w:hint="eastAsia" w:ascii="宋体" w:hAnsi="宋体" w:eastAsia="宋体" w:cs="仿宋_GB2312"/>
          <w:color w:val="auto"/>
          <w:kern w:val="0"/>
          <w:sz w:val="21"/>
          <w:szCs w:val="21"/>
          <w:highlight w:val="none"/>
          <w:shd w:val="clear" w:color="auto" w:fill="FFFFFF"/>
        </w:rPr>
        <w:t xml:space="preserve">软质地垫、滑梯、攀爬架等。  </w:t>
      </w:r>
    </w:p>
    <w:p w14:paraId="6A6A86B2">
      <w:pPr>
        <w:snapToGrid w:val="0"/>
        <w:spacing w:line="400" w:lineRule="exact"/>
        <w:ind w:firstLine="422" w:firstLineChars="200"/>
        <w:rPr>
          <w:rFonts w:ascii="宋体" w:hAnsi="宋体" w:eastAsia="宋体" w:cs="仿宋_GB2312"/>
          <w:color w:val="auto"/>
          <w:kern w:val="0"/>
          <w:sz w:val="21"/>
          <w:szCs w:val="21"/>
          <w:highlight w:val="none"/>
          <w:shd w:val="clear" w:color="auto" w:fill="FFFFFF"/>
        </w:rPr>
      </w:pPr>
      <w:r>
        <w:rPr>
          <w:rFonts w:hint="eastAsia" w:ascii="宋体" w:hAnsi="宋体" w:eastAsia="宋体" w:cs="仿宋_GB2312"/>
          <w:b/>
          <w:bCs/>
          <w:color w:val="auto"/>
          <w:kern w:val="0"/>
          <w:sz w:val="21"/>
          <w:szCs w:val="21"/>
          <w:highlight w:val="none"/>
          <w:shd w:val="clear" w:color="auto" w:fill="FFFFFF"/>
        </w:rPr>
        <w:t>2.自然观察区（约40平方米）：</w:t>
      </w:r>
      <w:r>
        <w:rPr>
          <w:rFonts w:hint="eastAsia" w:ascii="宋体" w:hAnsi="宋体" w:eastAsia="宋体" w:cs="仿宋_GB2312"/>
          <w:color w:val="auto"/>
          <w:kern w:val="0"/>
          <w:sz w:val="21"/>
          <w:szCs w:val="21"/>
          <w:highlight w:val="none"/>
          <w:shd w:val="clear" w:color="auto" w:fill="FFFFFF"/>
        </w:rPr>
        <w:t>小型种植区、感官路径</w:t>
      </w:r>
      <w:r>
        <w:rPr>
          <w:rFonts w:ascii="宋体" w:hAnsi="宋体" w:eastAsia="宋体" w:cs="仿宋_GB2312"/>
          <w:color w:val="auto"/>
          <w:kern w:val="0"/>
          <w:sz w:val="21"/>
          <w:szCs w:val="21"/>
          <w:highlight w:val="none"/>
          <w:shd w:val="clear" w:color="auto" w:fill="FFFFFF"/>
        </w:rPr>
        <w:t>等。</w:t>
      </w:r>
    </w:p>
    <w:p w14:paraId="541EAF1E">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cs="宋体"/>
          <w:b/>
          <w:bCs/>
          <w:color w:val="auto"/>
          <w:kern w:val="0"/>
          <w:szCs w:val="21"/>
          <w:highlight w:val="none"/>
          <w:shd w:val="clear" w:color="auto" w:fill="FFFFFF"/>
          <w:lang w:val="en-US" w:eastAsia="zh-CN"/>
        </w:rPr>
        <w:t>5</w:t>
      </w:r>
      <w:r>
        <w:rPr>
          <w:rFonts w:hint="eastAsia" w:ascii="宋体" w:hAnsi="宋体" w:eastAsia="宋体" w:cs="宋体"/>
          <w:b/>
          <w:bCs/>
          <w:color w:val="auto"/>
          <w:kern w:val="0"/>
          <w:szCs w:val="21"/>
          <w:highlight w:val="none"/>
          <w:shd w:val="clear" w:color="auto" w:fill="FFFFFF"/>
        </w:rPr>
        <w:t>、</w:t>
      </w:r>
      <w:r>
        <w:rPr>
          <w:rFonts w:hint="eastAsia" w:ascii="宋体" w:hAnsi="宋体" w:eastAsia="宋体" w:cs="宋体"/>
          <w:b/>
          <w:bCs/>
          <w:color w:val="auto"/>
          <w:szCs w:val="21"/>
          <w:highlight w:val="none"/>
        </w:rPr>
        <w:t>主要设计工作要求完成时间及各阶段文本数量要求</w:t>
      </w:r>
    </w:p>
    <w:p w14:paraId="036FFB2B">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420" w:firstLineChars="200"/>
        <w:textAlignment w:val="auto"/>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中标人应根据采购人的具体要求的时间完成各项设计成果，设计成果文件纸质文本</w:t>
      </w:r>
      <w:r>
        <w:rPr>
          <w:rFonts w:hint="eastAsia" w:ascii="宋体" w:hAnsi="宋体" w:eastAsia="宋体" w:cs="宋体"/>
          <w:b w:val="0"/>
          <w:bCs w:val="0"/>
          <w:color w:val="auto"/>
          <w:szCs w:val="21"/>
          <w:highlight w:val="none"/>
          <w:lang w:eastAsia="zh-CN"/>
        </w:rPr>
        <w:t>份数</w:t>
      </w:r>
      <w:r>
        <w:rPr>
          <w:rFonts w:hint="eastAsia" w:ascii="宋体" w:hAnsi="宋体" w:eastAsia="宋体" w:cs="宋体"/>
          <w:b w:val="0"/>
          <w:bCs w:val="0"/>
          <w:color w:val="auto"/>
          <w:szCs w:val="21"/>
          <w:highlight w:val="none"/>
        </w:rPr>
        <w:t>，设计成果制成CAD文件和PDF文件，提交</w:t>
      </w:r>
      <w:r>
        <w:rPr>
          <w:rFonts w:hint="eastAsia" w:ascii="宋体" w:hAnsi="宋体" w:eastAsia="宋体" w:cs="宋体"/>
          <w:b w:val="0"/>
          <w:bCs w:val="0"/>
          <w:color w:val="auto"/>
          <w:szCs w:val="21"/>
          <w:highlight w:val="none"/>
          <w:lang w:eastAsia="zh-CN"/>
        </w:rPr>
        <w:t>的</w:t>
      </w:r>
      <w:r>
        <w:rPr>
          <w:rFonts w:hint="eastAsia" w:ascii="宋体" w:hAnsi="宋体" w:eastAsia="宋体" w:cs="宋体"/>
          <w:b w:val="0"/>
          <w:bCs w:val="0"/>
          <w:color w:val="auto"/>
          <w:szCs w:val="21"/>
          <w:highlight w:val="none"/>
        </w:rPr>
        <w:t>光盘</w:t>
      </w:r>
      <w:r>
        <w:rPr>
          <w:rFonts w:hint="eastAsia" w:ascii="宋体" w:hAnsi="宋体" w:eastAsia="宋体" w:cs="宋体"/>
          <w:b w:val="0"/>
          <w:bCs w:val="0"/>
          <w:color w:val="auto"/>
          <w:szCs w:val="21"/>
          <w:highlight w:val="none"/>
          <w:lang w:eastAsia="zh-CN"/>
        </w:rPr>
        <w:t>资料份数，根据采购人实际需求提供</w:t>
      </w:r>
      <w:r>
        <w:rPr>
          <w:rFonts w:hint="eastAsia" w:ascii="宋体" w:hAnsi="宋体" w:eastAsia="宋体" w:cs="宋体"/>
          <w:b w:val="0"/>
          <w:bCs w:val="0"/>
          <w:color w:val="auto"/>
          <w:szCs w:val="21"/>
          <w:highlight w:val="none"/>
        </w:rPr>
        <w:t>。</w:t>
      </w:r>
    </w:p>
    <w:p w14:paraId="6DC8AF9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项目平面图</w:t>
      </w:r>
      <w:r>
        <w:rPr>
          <w:rFonts w:hint="eastAsia" w:ascii="宋体" w:hAnsi="宋体" w:cs="宋体"/>
          <w:color w:val="auto"/>
          <w:szCs w:val="21"/>
          <w:highlight w:val="none"/>
        </w:rPr>
        <w:t>：</w:t>
      </w:r>
    </w:p>
    <w:p w14:paraId="1FB47A43">
      <w:pPr>
        <w:pStyle w:val="47"/>
        <w:keepNext w:val="0"/>
        <w:keepLines w:val="0"/>
        <w:pageBreakBefore w:val="0"/>
        <w:widowControl w:val="0"/>
        <w:kinsoku/>
        <w:wordWrap/>
        <w:overflowPunct/>
        <w:topLinePunct w:val="0"/>
        <w:autoSpaceDE/>
        <w:autoSpaceDN/>
        <w:bidi w:val="0"/>
        <w:adjustRightInd/>
        <w:snapToGrid/>
        <w:spacing w:line="240" w:lineRule="auto"/>
        <w:textAlignment w:val="auto"/>
        <w:rPr>
          <w:color w:val="auto"/>
          <w:sz w:val="21"/>
          <w:szCs w:val="21"/>
          <w:highlight w:val="none"/>
        </w:rPr>
      </w:pPr>
      <w:r>
        <w:rPr>
          <w:rFonts w:hint="eastAsia" w:ascii="宋体" w:hAnsi="宋体" w:eastAsia="宋体" w:cs="仿宋_GB2312"/>
          <w:color w:val="auto"/>
          <w:kern w:val="0"/>
          <w:sz w:val="30"/>
          <w:szCs w:val="30"/>
          <w:highlight w:val="none"/>
          <w:shd w:val="clear" w:color="auto" w:fill="FFFFFF"/>
        </w:rPr>
        <w:drawing>
          <wp:inline distT="0" distB="0" distL="114300" distR="114300">
            <wp:extent cx="5659120" cy="4812665"/>
            <wp:effectExtent l="0" t="0" r="5080" b="635"/>
            <wp:docPr id="3" name="图片 3" descr="22cab8d5f00cb49296bb5aa44988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cab8d5f00cb49296bb5aa44988013"/>
                    <pic:cNvPicPr>
                      <a:picLocks noChangeAspect="1"/>
                    </pic:cNvPicPr>
                  </pic:nvPicPr>
                  <pic:blipFill>
                    <a:blip r:embed="rId6"/>
                    <a:stretch>
                      <a:fillRect/>
                    </a:stretch>
                  </pic:blipFill>
                  <pic:spPr>
                    <a:xfrm>
                      <a:off x="0" y="0"/>
                      <a:ext cx="5659120" cy="4812665"/>
                    </a:xfrm>
                    <a:prstGeom prst="rect">
                      <a:avLst/>
                    </a:prstGeom>
                  </pic:spPr>
                </pic:pic>
              </a:graphicData>
            </a:graphic>
          </wp:inline>
        </w:drawing>
      </w:r>
    </w:p>
    <w:p w14:paraId="76F33CDC">
      <w:pPr>
        <w:numPr>
          <w:ilvl w:val="0"/>
          <w:numId w:val="5"/>
        </w:numPr>
        <w:spacing w:line="400" w:lineRule="exact"/>
        <w:outlineLvl w:val="1"/>
        <w:rPr>
          <w:rFonts w:ascii="宋体"/>
          <w:b/>
          <w:color w:val="auto"/>
          <w:sz w:val="24"/>
          <w:highlight w:val="none"/>
        </w:rPr>
      </w:pPr>
      <w:bookmarkStart w:id="79" w:name="_Toc14793"/>
      <w:r>
        <w:rPr>
          <w:rFonts w:hint="eastAsia" w:ascii="宋体"/>
          <w:b/>
          <w:color w:val="auto"/>
          <w:sz w:val="24"/>
          <w:highlight w:val="none"/>
          <w:lang w:val="en-US" w:eastAsia="zh-CN"/>
        </w:rPr>
        <w:t>施工要求</w:t>
      </w:r>
      <w:bookmarkEnd w:id="79"/>
    </w:p>
    <w:p w14:paraId="08BFD7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根据</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eastAsia="zh-CN"/>
        </w:rPr>
        <w:t>文件中的设计方案后期进行优化，最终施工图经双方认可后最终出具施工图文件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施工单位必须按照双方认可的并且通过审查的施工图进行按图施工。本项目为交钥匙工程，</w:t>
      </w:r>
      <w:r>
        <w:rPr>
          <w:rFonts w:hint="eastAsia" w:ascii="宋体" w:hAnsi="宋体" w:eastAsia="宋体" w:cs="宋体"/>
          <w:color w:val="auto"/>
          <w:szCs w:val="21"/>
          <w:highlight w:val="none"/>
        </w:rPr>
        <w:t>工程开工后，</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人负责施工过程中所有问题，直至配合项目验收通过为止。</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根据各自的施工经验以及工程特点，现场提供的条件，同时充分考虑各种可能产生的不利因素，并结合企业自身实力，在</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文件中做出承诺，全部工作必须确保安全和质量，并满足采购人对工期和进度的要求。</w:t>
      </w:r>
    </w:p>
    <w:p w14:paraId="0997F84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施工方式：包工包料，至项目验收合格。</w:t>
      </w:r>
    </w:p>
    <w:p w14:paraId="76E7D5C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质量标准：合格工程。</w:t>
      </w:r>
    </w:p>
    <w:p w14:paraId="53DDF19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安全文明施工要求：按照县文明标化工地的标准做好安全文明措施。</w:t>
      </w:r>
    </w:p>
    <w:p w14:paraId="7481EC3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工作内容：</w:t>
      </w:r>
      <w:r>
        <w:rPr>
          <w:rFonts w:hint="eastAsia" w:ascii="宋体" w:hAnsi="宋体" w:eastAsia="宋体" w:cs="宋体"/>
          <w:b/>
          <w:color w:val="auto"/>
          <w:szCs w:val="21"/>
          <w:highlight w:val="none"/>
          <w:lang w:eastAsia="zh-CN"/>
        </w:rPr>
        <w:t>按照通过审查的施工</w:t>
      </w:r>
      <w:r>
        <w:rPr>
          <w:rFonts w:hint="eastAsia" w:ascii="宋体" w:hAnsi="宋体" w:eastAsia="宋体" w:cs="宋体"/>
          <w:b/>
          <w:color w:val="auto"/>
          <w:szCs w:val="21"/>
          <w:highlight w:val="none"/>
        </w:rPr>
        <w:t>图纸</w:t>
      </w:r>
      <w:r>
        <w:rPr>
          <w:rFonts w:hint="eastAsia" w:ascii="宋体" w:hAnsi="宋体" w:eastAsia="宋体" w:cs="宋体"/>
          <w:b/>
          <w:color w:val="auto"/>
          <w:szCs w:val="21"/>
          <w:highlight w:val="none"/>
          <w:lang w:eastAsia="zh-CN"/>
        </w:rPr>
        <w:t>进行施工</w:t>
      </w:r>
      <w:r>
        <w:rPr>
          <w:rFonts w:hint="eastAsia" w:ascii="宋体" w:hAnsi="宋体" w:eastAsia="宋体" w:cs="宋体"/>
          <w:b/>
          <w:color w:val="auto"/>
          <w:szCs w:val="21"/>
          <w:highlight w:val="none"/>
        </w:rPr>
        <w:t>。</w:t>
      </w:r>
    </w:p>
    <w:p w14:paraId="0E9E132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质保期及缺陷责任期：</w:t>
      </w:r>
      <w:r>
        <w:rPr>
          <w:rFonts w:hint="eastAsia" w:ascii="宋体" w:hAnsi="宋体" w:eastAsia="宋体" w:cs="宋体"/>
          <w:b/>
          <w:color w:val="auto"/>
          <w:szCs w:val="21"/>
          <w:highlight w:val="none"/>
          <w:lang w:val="en-US" w:eastAsia="zh-CN"/>
        </w:rPr>
        <w:t>1年。</w:t>
      </w:r>
    </w:p>
    <w:p w14:paraId="3B966D0D">
      <w:pPr>
        <w:numPr>
          <w:ilvl w:val="0"/>
          <w:numId w:val="5"/>
        </w:numPr>
        <w:spacing w:line="400" w:lineRule="exact"/>
        <w:outlineLvl w:val="1"/>
        <w:rPr>
          <w:rFonts w:ascii="宋体"/>
          <w:b/>
          <w:color w:val="auto"/>
          <w:sz w:val="24"/>
          <w:highlight w:val="none"/>
        </w:rPr>
      </w:pPr>
      <w:bookmarkStart w:id="80" w:name="_Toc9826"/>
      <w:r>
        <w:rPr>
          <w:rFonts w:hint="eastAsia" w:ascii="宋体"/>
          <w:b/>
          <w:color w:val="auto"/>
          <w:sz w:val="24"/>
          <w:highlight w:val="none"/>
          <w:lang w:val="en-US" w:eastAsia="zh-CN"/>
        </w:rPr>
        <w:t>人员要求</w:t>
      </w:r>
      <w:bookmarkEnd w:id="80"/>
    </w:p>
    <w:p w14:paraId="01F29990">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1、项目负责人要求</w:t>
      </w:r>
    </w:p>
    <w:p w14:paraId="67928588">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项目负责人必须由牵头人委派，</w:t>
      </w:r>
      <w:r>
        <w:rPr>
          <w:rFonts w:hint="eastAsia" w:ascii="宋体" w:hAnsi="宋体" w:eastAsia="宋体" w:cs="宋体"/>
          <w:b/>
          <w:bCs/>
          <w:color w:val="auto"/>
          <w:sz w:val="21"/>
          <w:szCs w:val="21"/>
          <w:highlight w:val="none"/>
        </w:rPr>
        <w:t>必须具有建筑工程注册建造师二级及其以上资质证书及安全考核证书（B类）</w:t>
      </w:r>
      <w:r>
        <w:rPr>
          <w:rFonts w:hint="eastAsia" w:ascii="宋体" w:hAnsi="宋体" w:eastAsia="宋体" w:cs="宋体"/>
          <w:b/>
          <w:bCs/>
          <w:color w:val="auto"/>
          <w:sz w:val="21"/>
          <w:szCs w:val="21"/>
          <w:highlight w:val="none"/>
          <w:lang w:val="en-US" w:eastAsia="zh-CN"/>
        </w:rPr>
        <w:t>，同时具有丰富的设计及施工经验。</w:t>
      </w:r>
    </w:p>
    <w:p w14:paraId="675B6180">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2、设计人员要求：</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39"/>
        <w:gridCol w:w="1700"/>
        <w:gridCol w:w="3196"/>
        <w:gridCol w:w="1487"/>
      </w:tblGrid>
      <w:tr w14:paraId="70EB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noWrap w:val="0"/>
            <w:vAlign w:val="center"/>
          </w:tcPr>
          <w:p w14:paraId="4E5025B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序号</w:t>
            </w:r>
          </w:p>
        </w:tc>
        <w:tc>
          <w:tcPr>
            <w:tcW w:w="972" w:type="pct"/>
            <w:noWrap w:val="0"/>
            <w:vAlign w:val="center"/>
          </w:tcPr>
          <w:p w14:paraId="3A67D76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shd w:val="clear" w:color="auto" w:fill="FFFFFF"/>
                <w:lang w:eastAsia="zh-CN"/>
              </w:rPr>
              <w:t>岗位要求</w:t>
            </w:r>
          </w:p>
        </w:tc>
        <w:tc>
          <w:tcPr>
            <w:tcW w:w="950" w:type="pct"/>
            <w:noWrap w:val="0"/>
            <w:vAlign w:val="center"/>
          </w:tcPr>
          <w:p w14:paraId="22973A9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人数要求</w:t>
            </w:r>
          </w:p>
        </w:tc>
        <w:tc>
          <w:tcPr>
            <w:tcW w:w="1786" w:type="pct"/>
            <w:noWrap w:val="0"/>
            <w:vAlign w:val="center"/>
          </w:tcPr>
          <w:p w14:paraId="328A6B2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要求</w:t>
            </w:r>
          </w:p>
        </w:tc>
        <w:tc>
          <w:tcPr>
            <w:tcW w:w="831" w:type="pct"/>
            <w:noWrap w:val="0"/>
            <w:vAlign w:val="center"/>
          </w:tcPr>
          <w:p w14:paraId="7E80A11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备注</w:t>
            </w:r>
          </w:p>
        </w:tc>
      </w:tr>
      <w:tr w14:paraId="7F66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noWrap w:val="0"/>
            <w:vAlign w:val="center"/>
          </w:tcPr>
          <w:p w14:paraId="6344206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972" w:type="pct"/>
            <w:noWrap w:val="0"/>
            <w:vAlign w:val="center"/>
          </w:tcPr>
          <w:p w14:paraId="3FD371B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shd w:val="clear" w:color="auto" w:fill="FFFFFF"/>
                <w:lang w:eastAsia="zh-CN"/>
              </w:rPr>
            </w:pPr>
            <w:r>
              <w:rPr>
                <w:rFonts w:hint="eastAsia" w:ascii="宋体" w:hAnsi="宋体" w:eastAsia="宋体" w:cs="宋体"/>
                <w:b w:val="0"/>
                <w:bCs w:val="0"/>
                <w:color w:val="auto"/>
                <w:sz w:val="21"/>
                <w:szCs w:val="21"/>
                <w:highlight w:val="none"/>
                <w:shd w:val="clear" w:color="auto" w:fill="FFFFFF"/>
                <w:lang w:eastAsia="zh-CN"/>
              </w:rPr>
              <w:t>设计项目负责人</w:t>
            </w:r>
          </w:p>
        </w:tc>
        <w:tc>
          <w:tcPr>
            <w:tcW w:w="950" w:type="pct"/>
            <w:noWrap w:val="0"/>
            <w:vAlign w:val="center"/>
          </w:tcPr>
          <w:p w14:paraId="5AF390F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1人</w:t>
            </w:r>
          </w:p>
        </w:tc>
        <w:tc>
          <w:tcPr>
            <w:tcW w:w="1786" w:type="pct"/>
            <w:noWrap w:val="0"/>
            <w:vAlign w:val="center"/>
          </w:tcPr>
          <w:p w14:paraId="1E65252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具有高级工程师职称</w:t>
            </w:r>
          </w:p>
        </w:tc>
        <w:tc>
          <w:tcPr>
            <w:tcW w:w="831" w:type="pct"/>
            <w:noWrap w:val="0"/>
            <w:vAlign w:val="center"/>
          </w:tcPr>
          <w:p w14:paraId="16A203E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p>
        </w:tc>
      </w:tr>
      <w:tr w14:paraId="16FC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noWrap w:val="0"/>
            <w:vAlign w:val="center"/>
          </w:tcPr>
          <w:p w14:paraId="63F4D7B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972" w:type="pct"/>
            <w:noWrap w:val="0"/>
            <w:vAlign w:val="center"/>
          </w:tcPr>
          <w:p w14:paraId="3A12C21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装修设计人员</w:t>
            </w:r>
          </w:p>
        </w:tc>
        <w:tc>
          <w:tcPr>
            <w:tcW w:w="950" w:type="pct"/>
            <w:noWrap w:val="0"/>
            <w:vAlign w:val="center"/>
          </w:tcPr>
          <w:p w14:paraId="4A9A6BB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1人</w:t>
            </w:r>
          </w:p>
        </w:tc>
        <w:tc>
          <w:tcPr>
            <w:tcW w:w="1786" w:type="pct"/>
            <w:noWrap w:val="0"/>
            <w:vAlign w:val="center"/>
          </w:tcPr>
          <w:p w14:paraId="7A0BF2F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具有高级工程师职称</w:t>
            </w:r>
          </w:p>
        </w:tc>
        <w:tc>
          <w:tcPr>
            <w:tcW w:w="831" w:type="pct"/>
            <w:noWrap w:val="0"/>
            <w:vAlign w:val="center"/>
          </w:tcPr>
          <w:p w14:paraId="045252E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可有设计项目负责人兼任</w:t>
            </w:r>
          </w:p>
        </w:tc>
      </w:tr>
      <w:tr w14:paraId="7003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noWrap w:val="0"/>
            <w:vAlign w:val="center"/>
          </w:tcPr>
          <w:p w14:paraId="0EA67BA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972" w:type="pct"/>
            <w:noWrap w:val="0"/>
            <w:vAlign w:val="center"/>
          </w:tcPr>
          <w:p w14:paraId="791F9495">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水电设计人员</w:t>
            </w:r>
          </w:p>
        </w:tc>
        <w:tc>
          <w:tcPr>
            <w:tcW w:w="950" w:type="pct"/>
            <w:noWrap w:val="0"/>
            <w:vAlign w:val="center"/>
          </w:tcPr>
          <w:p w14:paraId="4FDCECD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1人</w:t>
            </w:r>
          </w:p>
        </w:tc>
        <w:tc>
          <w:tcPr>
            <w:tcW w:w="1786" w:type="pct"/>
            <w:noWrap w:val="0"/>
            <w:vAlign w:val="center"/>
          </w:tcPr>
          <w:p w14:paraId="1CB0EDD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eastAsia="zh-CN"/>
              </w:rPr>
              <w:t>具有工程师职称及以上职称</w:t>
            </w:r>
          </w:p>
        </w:tc>
        <w:tc>
          <w:tcPr>
            <w:tcW w:w="831" w:type="pct"/>
            <w:noWrap w:val="0"/>
            <w:vAlign w:val="center"/>
          </w:tcPr>
          <w:p w14:paraId="3C6BBF9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p>
        </w:tc>
      </w:tr>
      <w:tr w14:paraId="1E32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noWrap w:val="0"/>
            <w:vAlign w:val="center"/>
          </w:tcPr>
          <w:p w14:paraId="601437D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972" w:type="pct"/>
            <w:noWrap w:val="0"/>
            <w:vAlign w:val="center"/>
          </w:tcPr>
          <w:p w14:paraId="1D70628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弱电智能化及安防设计人员</w:t>
            </w:r>
          </w:p>
        </w:tc>
        <w:tc>
          <w:tcPr>
            <w:tcW w:w="950" w:type="pct"/>
            <w:noWrap w:val="0"/>
            <w:vAlign w:val="center"/>
          </w:tcPr>
          <w:p w14:paraId="43E9DB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1人</w:t>
            </w:r>
          </w:p>
        </w:tc>
        <w:tc>
          <w:tcPr>
            <w:tcW w:w="1786" w:type="pct"/>
            <w:noWrap w:val="0"/>
            <w:vAlign w:val="center"/>
          </w:tcPr>
          <w:p w14:paraId="0324B80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eastAsia="zh-CN"/>
              </w:rPr>
              <w:t>具有工程师职称及以上职称</w:t>
            </w:r>
          </w:p>
        </w:tc>
        <w:tc>
          <w:tcPr>
            <w:tcW w:w="831" w:type="pct"/>
            <w:noWrap w:val="0"/>
            <w:vAlign w:val="center"/>
          </w:tcPr>
          <w:p w14:paraId="1C13A88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p>
        </w:tc>
      </w:tr>
      <w:tr w14:paraId="54AB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noWrap w:val="0"/>
            <w:vAlign w:val="center"/>
          </w:tcPr>
          <w:p w14:paraId="0177AEF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972" w:type="pct"/>
            <w:noWrap w:val="0"/>
            <w:vAlign w:val="center"/>
          </w:tcPr>
          <w:p w14:paraId="2EBBED0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现场</w:t>
            </w:r>
            <w:r>
              <w:rPr>
                <w:rFonts w:hint="eastAsia" w:ascii="宋体" w:hAnsi="宋体" w:eastAsia="宋体" w:cs="宋体"/>
                <w:b w:val="0"/>
                <w:bCs w:val="0"/>
                <w:color w:val="auto"/>
                <w:sz w:val="21"/>
                <w:szCs w:val="21"/>
                <w:highlight w:val="none"/>
                <w:vertAlign w:val="baseline"/>
                <w:lang w:val="en-US" w:eastAsia="zh-CN"/>
              </w:rPr>
              <w:t>驻地设计代表</w:t>
            </w:r>
          </w:p>
        </w:tc>
        <w:tc>
          <w:tcPr>
            <w:tcW w:w="950" w:type="pct"/>
            <w:noWrap w:val="0"/>
            <w:vAlign w:val="center"/>
          </w:tcPr>
          <w:p w14:paraId="7ABEA9D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1人</w:t>
            </w:r>
          </w:p>
        </w:tc>
        <w:tc>
          <w:tcPr>
            <w:tcW w:w="1786" w:type="pct"/>
            <w:noWrap w:val="0"/>
            <w:vAlign w:val="center"/>
          </w:tcPr>
          <w:p w14:paraId="2C29BEC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具有工程师职称及以上职称</w:t>
            </w:r>
          </w:p>
        </w:tc>
        <w:tc>
          <w:tcPr>
            <w:tcW w:w="831" w:type="pct"/>
            <w:noWrap w:val="0"/>
            <w:vAlign w:val="center"/>
          </w:tcPr>
          <w:p w14:paraId="7EB01A7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p>
        </w:tc>
      </w:tr>
      <w:tr w14:paraId="78DD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9" w:type="pct"/>
            <w:noWrap w:val="0"/>
            <w:vAlign w:val="center"/>
          </w:tcPr>
          <w:p w14:paraId="0344F76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972" w:type="pct"/>
            <w:noWrap w:val="0"/>
            <w:vAlign w:val="center"/>
          </w:tcPr>
          <w:p w14:paraId="24DDB2E5">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其他设计人员</w:t>
            </w:r>
          </w:p>
        </w:tc>
        <w:tc>
          <w:tcPr>
            <w:tcW w:w="950" w:type="pct"/>
            <w:noWrap w:val="0"/>
            <w:vAlign w:val="center"/>
          </w:tcPr>
          <w:p w14:paraId="6FA58EE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投标人自行安排</w:t>
            </w:r>
          </w:p>
        </w:tc>
        <w:tc>
          <w:tcPr>
            <w:tcW w:w="1786" w:type="pct"/>
            <w:noWrap w:val="0"/>
            <w:vAlign w:val="center"/>
          </w:tcPr>
          <w:p w14:paraId="1A5766D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由投标人自行委派确定，要求具有相应专业工程师及以上职称</w:t>
            </w:r>
          </w:p>
        </w:tc>
        <w:tc>
          <w:tcPr>
            <w:tcW w:w="831" w:type="pct"/>
            <w:noWrap w:val="0"/>
            <w:vAlign w:val="center"/>
          </w:tcPr>
          <w:p w14:paraId="5074B86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p>
        </w:tc>
      </w:tr>
    </w:tbl>
    <w:p w14:paraId="458F6F76">
      <w:pPr>
        <w:keepNext w:val="0"/>
        <w:keepLines w:val="0"/>
        <w:pageBreakBefore w:val="0"/>
        <w:kinsoku/>
        <w:wordWrap/>
        <w:overflowPunct/>
        <w:topLinePunct w:val="0"/>
        <w:autoSpaceDE/>
        <w:autoSpaceDN/>
        <w:bidi w:val="0"/>
        <w:spacing w:line="40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3、施工人员要求</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750"/>
        <w:gridCol w:w="1729"/>
        <w:gridCol w:w="3636"/>
        <w:gridCol w:w="1019"/>
      </w:tblGrid>
      <w:tr w14:paraId="10BA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73F11C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序号</w:t>
            </w:r>
          </w:p>
        </w:tc>
        <w:tc>
          <w:tcPr>
            <w:tcW w:w="978" w:type="pct"/>
            <w:noWrap w:val="0"/>
            <w:vAlign w:val="center"/>
          </w:tcPr>
          <w:p w14:paraId="5024DE6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shd w:val="clear" w:color="auto" w:fill="FFFFFF"/>
                <w:lang w:eastAsia="zh-CN"/>
              </w:rPr>
              <w:t>岗位要求</w:t>
            </w:r>
          </w:p>
        </w:tc>
        <w:tc>
          <w:tcPr>
            <w:tcW w:w="966" w:type="pct"/>
            <w:noWrap w:val="0"/>
            <w:vAlign w:val="center"/>
          </w:tcPr>
          <w:p w14:paraId="77AB4EF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eastAsia="zh-CN"/>
              </w:rPr>
              <w:t>人数要求</w:t>
            </w:r>
          </w:p>
        </w:tc>
        <w:tc>
          <w:tcPr>
            <w:tcW w:w="2032" w:type="pct"/>
            <w:noWrap w:val="0"/>
            <w:vAlign w:val="center"/>
          </w:tcPr>
          <w:p w14:paraId="1F4527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要求</w:t>
            </w:r>
          </w:p>
        </w:tc>
        <w:tc>
          <w:tcPr>
            <w:tcW w:w="569" w:type="pct"/>
            <w:noWrap w:val="0"/>
            <w:vAlign w:val="center"/>
          </w:tcPr>
          <w:p w14:paraId="729CC7F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备注</w:t>
            </w:r>
          </w:p>
        </w:tc>
      </w:tr>
      <w:tr w14:paraId="10DE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7BD4FCD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978" w:type="pct"/>
            <w:noWrap w:val="0"/>
            <w:vAlign w:val="center"/>
          </w:tcPr>
          <w:p w14:paraId="1506729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shd w:val="clear" w:color="auto" w:fill="FFFFFF"/>
                <w:lang w:eastAsia="zh-CN"/>
              </w:rPr>
            </w:pPr>
            <w:r>
              <w:rPr>
                <w:rFonts w:hint="eastAsia" w:ascii="宋体" w:hAnsi="宋体" w:eastAsia="宋体" w:cs="宋体"/>
                <w:b w:val="0"/>
                <w:bCs w:val="0"/>
                <w:color w:val="auto"/>
                <w:sz w:val="21"/>
                <w:szCs w:val="21"/>
                <w:highlight w:val="none"/>
                <w:shd w:val="clear" w:color="auto" w:fill="FFFFFF"/>
                <w:lang w:eastAsia="zh-CN"/>
              </w:rPr>
              <w:t>施工项目负责人</w:t>
            </w:r>
          </w:p>
        </w:tc>
        <w:tc>
          <w:tcPr>
            <w:tcW w:w="966" w:type="pct"/>
            <w:noWrap w:val="0"/>
            <w:vAlign w:val="center"/>
          </w:tcPr>
          <w:p w14:paraId="057B9EE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1人</w:t>
            </w:r>
          </w:p>
        </w:tc>
        <w:tc>
          <w:tcPr>
            <w:tcW w:w="2032" w:type="pct"/>
            <w:noWrap w:val="0"/>
            <w:vAlign w:val="center"/>
          </w:tcPr>
          <w:p w14:paraId="378A65C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Cs w:val="21"/>
                <w:highlight w:val="none"/>
                <w:lang w:val="en-US" w:eastAsia="zh-CN"/>
              </w:rPr>
              <w:t>建筑工程注册建造师二级及其以上资质证书及安全考核合格证书（B类）</w:t>
            </w:r>
          </w:p>
        </w:tc>
        <w:tc>
          <w:tcPr>
            <w:tcW w:w="569" w:type="pct"/>
            <w:noWrap w:val="0"/>
            <w:vAlign w:val="center"/>
          </w:tcPr>
          <w:p w14:paraId="79A85FC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p>
        </w:tc>
      </w:tr>
      <w:tr w14:paraId="2A9D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1190DB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978" w:type="pct"/>
            <w:noWrap w:val="0"/>
            <w:vAlign w:val="center"/>
          </w:tcPr>
          <w:p w14:paraId="288C529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施工技术负责人</w:t>
            </w:r>
          </w:p>
        </w:tc>
        <w:tc>
          <w:tcPr>
            <w:tcW w:w="966" w:type="pct"/>
            <w:noWrap w:val="0"/>
            <w:vAlign w:val="center"/>
          </w:tcPr>
          <w:p w14:paraId="5CEC962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1人</w:t>
            </w:r>
          </w:p>
        </w:tc>
        <w:tc>
          <w:tcPr>
            <w:tcW w:w="2032" w:type="pct"/>
            <w:noWrap w:val="0"/>
            <w:vAlign w:val="center"/>
          </w:tcPr>
          <w:p w14:paraId="3A87851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vertAlign w:val="baseline"/>
                <w:lang w:eastAsia="zh-CN"/>
              </w:rPr>
              <w:t>工程师及以上职称</w:t>
            </w:r>
          </w:p>
        </w:tc>
        <w:tc>
          <w:tcPr>
            <w:tcW w:w="569" w:type="pct"/>
            <w:noWrap w:val="0"/>
            <w:vAlign w:val="center"/>
          </w:tcPr>
          <w:p w14:paraId="7288D7F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p>
        </w:tc>
      </w:tr>
      <w:tr w14:paraId="1DF1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7C19F8E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978" w:type="pct"/>
            <w:noWrap w:val="0"/>
            <w:vAlign w:val="center"/>
          </w:tcPr>
          <w:p w14:paraId="5F7D110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施工员</w:t>
            </w:r>
          </w:p>
        </w:tc>
        <w:tc>
          <w:tcPr>
            <w:tcW w:w="966" w:type="pct"/>
            <w:noWrap w:val="0"/>
            <w:vAlign w:val="center"/>
          </w:tcPr>
          <w:p w14:paraId="492E6D2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1人</w:t>
            </w:r>
          </w:p>
        </w:tc>
        <w:tc>
          <w:tcPr>
            <w:tcW w:w="2032" w:type="pct"/>
            <w:noWrap w:val="0"/>
            <w:vAlign w:val="center"/>
          </w:tcPr>
          <w:p w14:paraId="37CB67B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具有相应专业的岗位证书或培训证书</w:t>
            </w:r>
          </w:p>
        </w:tc>
        <w:tc>
          <w:tcPr>
            <w:tcW w:w="569" w:type="pct"/>
            <w:noWrap w:val="0"/>
            <w:vAlign w:val="center"/>
          </w:tcPr>
          <w:p w14:paraId="4E6E88E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p>
        </w:tc>
      </w:tr>
      <w:tr w14:paraId="3285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15CF4F2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978" w:type="pct"/>
            <w:noWrap w:val="0"/>
            <w:vAlign w:val="center"/>
          </w:tcPr>
          <w:p w14:paraId="1AF2970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质量员</w:t>
            </w:r>
          </w:p>
        </w:tc>
        <w:tc>
          <w:tcPr>
            <w:tcW w:w="966" w:type="pct"/>
            <w:noWrap w:val="0"/>
            <w:vAlign w:val="center"/>
          </w:tcPr>
          <w:p w14:paraId="29ADBEC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1人</w:t>
            </w:r>
          </w:p>
        </w:tc>
        <w:tc>
          <w:tcPr>
            <w:tcW w:w="2032" w:type="pct"/>
            <w:noWrap w:val="0"/>
            <w:vAlign w:val="center"/>
          </w:tcPr>
          <w:p w14:paraId="287313F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eastAsia="zh-CN"/>
              </w:rPr>
              <w:t>具有相应专业的岗位证书或培训证书</w:t>
            </w:r>
          </w:p>
        </w:tc>
        <w:tc>
          <w:tcPr>
            <w:tcW w:w="569" w:type="pct"/>
            <w:noWrap w:val="0"/>
            <w:vAlign w:val="center"/>
          </w:tcPr>
          <w:p w14:paraId="3E1B082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p>
        </w:tc>
      </w:tr>
      <w:tr w14:paraId="2511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49D5A82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978" w:type="pct"/>
            <w:noWrap w:val="0"/>
            <w:vAlign w:val="center"/>
          </w:tcPr>
          <w:p w14:paraId="58C48EA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专职安全管理人员</w:t>
            </w:r>
          </w:p>
        </w:tc>
        <w:tc>
          <w:tcPr>
            <w:tcW w:w="966" w:type="pct"/>
            <w:noWrap w:val="0"/>
            <w:vAlign w:val="center"/>
          </w:tcPr>
          <w:p w14:paraId="213C9C9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1人</w:t>
            </w:r>
          </w:p>
        </w:tc>
        <w:tc>
          <w:tcPr>
            <w:tcW w:w="2032" w:type="pct"/>
            <w:noWrap w:val="0"/>
            <w:vAlign w:val="center"/>
          </w:tcPr>
          <w:p w14:paraId="4933708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具有安全考核合格证书（</w:t>
            </w:r>
            <w:r>
              <w:rPr>
                <w:rFonts w:hint="eastAsia" w:ascii="宋体" w:hAnsi="宋体" w:eastAsia="宋体" w:cs="宋体"/>
                <w:b w:val="0"/>
                <w:bCs w:val="0"/>
                <w:color w:val="auto"/>
                <w:sz w:val="21"/>
                <w:szCs w:val="21"/>
                <w:highlight w:val="none"/>
                <w:vertAlign w:val="baseline"/>
                <w:lang w:val="en-US" w:eastAsia="zh-CN"/>
              </w:rPr>
              <w:t>C类</w:t>
            </w:r>
            <w:r>
              <w:rPr>
                <w:rFonts w:hint="eastAsia" w:ascii="宋体" w:hAnsi="宋体" w:eastAsia="宋体" w:cs="宋体"/>
                <w:b w:val="0"/>
                <w:bCs w:val="0"/>
                <w:color w:val="auto"/>
                <w:sz w:val="21"/>
                <w:szCs w:val="21"/>
                <w:highlight w:val="none"/>
                <w:vertAlign w:val="baseline"/>
                <w:lang w:eastAsia="zh-CN"/>
              </w:rPr>
              <w:t>）</w:t>
            </w:r>
          </w:p>
        </w:tc>
        <w:tc>
          <w:tcPr>
            <w:tcW w:w="569" w:type="pct"/>
            <w:noWrap w:val="0"/>
            <w:vAlign w:val="center"/>
          </w:tcPr>
          <w:p w14:paraId="54F2706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p>
        </w:tc>
      </w:tr>
      <w:tr w14:paraId="471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1D5EB91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978" w:type="pct"/>
            <w:noWrap w:val="0"/>
            <w:vAlign w:val="center"/>
          </w:tcPr>
          <w:p w14:paraId="00549C0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资料员</w:t>
            </w:r>
          </w:p>
        </w:tc>
        <w:tc>
          <w:tcPr>
            <w:tcW w:w="966" w:type="pct"/>
            <w:noWrap w:val="0"/>
            <w:vAlign w:val="center"/>
          </w:tcPr>
          <w:p w14:paraId="0C0AEC0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1人</w:t>
            </w:r>
          </w:p>
        </w:tc>
        <w:tc>
          <w:tcPr>
            <w:tcW w:w="2032" w:type="pct"/>
            <w:noWrap w:val="0"/>
            <w:vAlign w:val="center"/>
          </w:tcPr>
          <w:p w14:paraId="17F67DC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eastAsia="zh-CN"/>
              </w:rPr>
              <w:t>具有相应专业的岗位证书或培训证书</w:t>
            </w:r>
          </w:p>
        </w:tc>
        <w:tc>
          <w:tcPr>
            <w:tcW w:w="569" w:type="pct"/>
            <w:noWrap w:val="0"/>
            <w:vAlign w:val="center"/>
          </w:tcPr>
          <w:p w14:paraId="07577E1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p>
        </w:tc>
      </w:tr>
      <w:tr w14:paraId="55E2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E2298F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978" w:type="pct"/>
            <w:noWrap w:val="0"/>
            <w:vAlign w:val="center"/>
          </w:tcPr>
          <w:p w14:paraId="6633ABD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造价负责人</w:t>
            </w:r>
          </w:p>
        </w:tc>
        <w:tc>
          <w:tcPr>
            <w:tcW w:w="966" w:type="pct"/>
            <w:noWrap w:val="0"/>
            <w:vAlign w:val="center"/>
          </w:tcPr>
          <w:p w14:paraId="7ED273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1人</w:t>
            </w:r>
          </w:p>
        </w:tc>
        <w:tc>
          <w:tcPr>
            <w:tcW w:w="2032" w:type="pct"/>
            <w:noWrap w:val="0"/>
            <w:vAlign w:val="center"/>
          </w:tcPr>
          <w:p w14:paraId="5E9FEA5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具有一级或二级造价师资格</w:t>
            </w:r>
          </w:p>
        </w:tc>
        <w:tc>
          <w:tcPr>
            <w:tcW w:w="569" w:type="pct"/>
            <w:noWrap w:val="0"/>
            <w:vAlign w:val="center"/>
          </w:tcPr>
          <w:p w14:paraId="43C088E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p>
        </w:tc>
      </w:tr>
      <w:tr w14:paraId="40C4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1F94A85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978" w:type="pct"/>
            <w:noWrap w:val="0"/>
            <w:vAlign w:val="center"/>
          </w:tcPr>
          <w:p w14:paraId="196586F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其他岗位人员</w:t>
            </w:r>
          </w:p>
        </w:tc>
        <w:tc>
          <w:tcPr>
            <w:tcW w:w="966" w:type="pct"/>
            <w:noWrap w:val="0"/>
            <w:vAlign w:val="center"/>
          </w:tcPr>
          <w:p w14:paraId="7C7CF0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投标人自行安排</w:t>
            </w:r>
          </w:p>
        </w:tc>
        <w:tc>
          <w:tcPr>
            <w:tcW w:w="2032" w:type="pct"/>
            <w:noWrap w:val="0"/>
            <w:vAlign w:val="center"/>
          </w:tcPr>
          <w:p w14:paraId="4A458FF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eastAsia="zh-CN"/>
              </w:rPr>
              <w:t>具有相应专业的岗位证书或培训证书</w:t>
            </w:r>
          </w:p>
        </w:tc>
        <w:tc>
          <w:tcPr>
            <w:tcW w:w="569" w:type="pct"/>
            <w:noWrap w:val="0"/>
            <w:vAlign w:val="center"/>
          </w:tcPr>
          <w:p w14:paraId="610F352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val="0"/>
                <w:bCs w:val="0"/>
                <w:color w:val="auto"/>
                <w:sz w:val="21"/>
                <w:szCs w:val="21"/>
                <w:highlight w:val="none"/>
                <w:vertAlign w:val="baseline"/>
              </w:rPr>
            </w:pPr>
          </w:p>
        </w:tc>
      </w:tr>
    </w:tbl>
    <w:p w14:paraId="48ED5B8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color w:val="auto"/>
          <w:sz w:val="21"/>
          <w:szCs w:val="21"/>
          <w:highlight w:val="none"/>
          <w:shd w:val="clear" w:color="auto" w:fill="FFFFFF"/>
        </w:rPr>
        <w:t>所有设计人员</w:t>
      </w:r>
      <w:r>
        <w:rPr>
          <w:rFonts w:hint="eastAsia" w:ascii="宋体" w:hAnsi="宋体" w:eastAsia="宋体" w:cs="宋体"/>
          <w:b/>
          <w:color w:val="auto"/>
          <w:sz w:val="21"/>
          <w:szCs w:val="21"/>
          <w:highlight w:val="none"/>
          <w:shd w:val="clear" w:color="auto" w:fill="FFFFFF"/>
          <w:lang w:eastAsia="zh-CN"/>
        </w:rPr>
        <w:t>及施工人员</w:t>
      </w:r>
      <w:r>
        <w:rPr>
          <w:rFonts w:hint="eastAsia" w:ascii="宋体" w:hAnsi="宋体" w:eastAsia="宋体" w:cs="宋体"/>
          <w:b/>
          <w:color w:val="auto"/>
          <w:sz w:val="21"/>
          <w:szCs w:val="21"/>
          <w:highlight w:val="none"/>
          <w:shd w:val="clear" w:color="auto" w:fill="FFFFFF"/>
        </w:rPr>
        <w:t>必须为本单位</w:t>
      </w:r>
      <w:r>
        <w:rPr>
          <w:rFonts w:hint="eastAsia" w:ascii="宋体" w:hAnsi="宋体" w:eastAsia="宋体" w:cs="宋体"/>
          <w:b/>
          <w:color w:val="auto"/>
          <w:sz w:val="21"/>
          <w:szCs w:val="21"/>
          <w:highlight w:val="none"/>
          <w:shd w:val="clear" w:color="auto" w:fill="FFFFFF"/>
          <w:lang w:eastAsia="zh-CN"/>
        </w:rPr>
        <w:t>（总公司或分公司）</w:t>
      </w:r>
      <w:r>
        <w:rPr>
          <w:rFonts w:hint="eastAsia" w:ascii="宋体" w:hAnsi="宋体" w:eastAsia="宋体" w:cs="宋体"/>
          <w:b/>
          <w:color w:val="auto"/>
          <w:sz w:val="21"/>
          <w:szCs w:val="21"/>
          <w:highlight w:val="none"/>
          <w:shd w:val="clear" w:color="auto" w:fill="FFFFFF"/>
        </w:rPr>
        <w:t>在职职工，必须提供本单位近</w:t>
      </w:r>
      <w:r>
        <w:rPr>
          <w:rFonts w:hint="eastAsia" w:ascii="宋体" w:hAnsi="宋体" w:cs="宋体"/>
          <w:b/>
          <w:color w:val="auto"/>
          <w:sz w:val="21"/>
          <w:szCs w:val="21"/>
          <w:highlight w:val="none"/>
          <w:shd w:val="clear" w:color="auto" w:fill="FFFFFF"/>
          <w:lang w:val="en-US" w:eastAsia="zh-CN"/>
        </w:rPr>
        <w:t>3</w:t>
      </w:r>
      <w:r>
        <w:rPr>
          <w:rFonts w:hint="eastAsia" w:ascii="宋体" w:hAnsi="宋体" w:eastAsia="宋体" w:cs="宋体"/>
          <w:b/>
          <w:color w:val="auto"/>
          <w:sz w:val="21"/>
          <w:szCs w:val="21"/>
          <w:highlight w:val="none"/>
          <w:shd w:val="clear" w:color="auto" w:fill="FFFFFF"/>
        </w:rPr>
        <w:t>个月</w:t>
      </w:r>
      <w:r>
        <w:rPr>
          <w:rFonts w:hint="eastAsia" w:ascii="宋体" w:hAnsi="宋体" w:cs="宋体"/>
          <w:b/>
          <w:color w:val="auto"/>
          <w:sz w:val="21"/>
          <w:szCs w:val="21"/>
          <w:highlight w:val="none"/>
          <w:shd w:val="clear" w:color="auto" w:fill="FFFFFF"/>
          <w:lang w:val="en-US" w:eastAsia="zh-CN"/>
        </w:rPr>
        <w:t>任意一个月</w:t>
      </w:r>
      <w:r>
        <w:rPr>
          <w:rFonts w:hint="eastAsia" w:ascii="宋体" w:hAnsi="宋体" w:eastAsia="宋体" w:cs="宋体"/>
          <w:b/>
          <w:color w:val="auto"/>
          <w:sz w:val="21"/>
          <w:szCs w:val="21"/>
          <w:highlight w:val="none"/>
          <w:shd w:val="clear" w:color="auto" w:fill="FFFFFF"/>
        </w:rPr>
        <w:t>的缴纳社保的缴费凭证复印件</w:t>
      </w:r>
      <w:r>
        <w:rPr>
          <w:rFonts w:hint="eastAsia" w:ascii="宋体" w:hAnsi="宋体" w:eastAsia="宋体" w:cs="宋体"/>
          <w:b/>
          <w:color w:val="auto"/>
          <w:sz w:val="21"/>
          <w:szCs w:val="21"/>
          <w:highlight w:val="none"/>
          <w:shd w:val="clear" w:color="auto" w:fill="FFFFFF"/>
          <w:lang w:eastAsia="zh-CN"/>
        </w:rPr>
        <w:t>，且必须提供相应的证书复印件</w:t>
      </w:r>
      <w:r>
        <w:rPr>
          <w:rFonts w:hint="eastAsia" w:ascii="宋体" w:hAnsi="宋体" w:eastAsia="宋体" w:cs="宋体"/>
          <w:b/>
          <w:color w:val="auto"/>
          <w:sz w:val="21"/>
          <w:szCs w:val="21"/>
          <w:highlight w:val="none"/>
          <w:shd w:val="clear" w:color="auto" w:fill="FFFFFF"/>
        </w:rPr>
        <w:t>。</w:t>
      </w:r>
    </w:p>
    <w:p w14:paraId="2C515F90">
      <w:pPr>
        <w:numPr>
          <w:ilvl w:val="0"/>
          <w:numId w:val="5"/>
        </w:numPr>
        <w:spacing w:line="400" w:lineRule="exact"/>
        <w:outlineLvl w:val="1"/>
        <w:rPr>
          <w:rFonts w:ascii="宋体"/>
          <w:b/>
          <w:color w:val="auto"/>
          <w:sz w:val="24"/>
          <w:highlight w:val="none"/>
        </w:rPr>
      </w:pPr>
      <w:bookmarkStart w:id="81" w:name="_Toc2923"/>
      <w:r>
        <w:rPr>
          <w:rFonts w:hint="eastAsia" w:ascii="宋体" w:hAnsi="宋体"/>
          <w:b/>
          <w:color w:val="auto"/>
          <w:sz w:val="24"/>
          <w:highlight w:val="none"/>
        </w:rPr>
        <w:t>投标及结算</w:t>
      </w:r>
      <w:bookmarkEnd w:id="81"/>
    </w:p>
    <w:p w14:paraId="0614D4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 w:val="21"/>
          <w:szCs w:val="21"/>
          <w:highlight w:val="none"/>
          <w:u w:val="none"/>
          <w:lang w:val="en-US" w:eastAsia="zh-CN"/>
        </w:rPr>
        <w:t>本项目的预算价</w:t>
      </w:r>
      <w:r>
        <w:rPr>
          <w:rFonts w:hint="eastAsia" w:ascii="宋体" w:hAnsi="宋体" w:cs="宋体"/>
          <w:b w:val="0"/>
          <w:bCs/>
          <w:color w:val="auto"/>
          <w:sz w:val="21"/>
          <w:szCs w:val="21"/>
          <w:highlight w:val="none"/>
          <w:u w:val="none"/>
          <w:lang w:val="en-US" w:eastAsia="zh-CN"/>
        </w:rPr>
        <w:t>100</w:t>
      </w:r>
      <w:r>
        <w:rPr>
          <w:rFonts w:hint="eastAsia" w:ascii="宋体" w:hAnsi="宋体" w:eastAsia="宋体" w:cs="宋体"/>
          <w:b w:val="0"/>
          <w:bCs/>
          <w:color w:val="auto"/>
          <w:sz w:val="21"/>
          <w:szCs w:val="21"/>
          <w:highlight w:val="none"/>
          <w:u w:val="none"/>
          <w:lang w:val="en-US" w:eastAsia="zh-CN"/>
        </w:rPr>
        <w:t>万元为估值，投标单位为根据预算价进行自行报价，该报价不作为最终结算的依据，最终结算按实计算并按照投标下浮率进行下浮。下浮率=【1-（投标报价/预算价</w:t>
      </w:r>
      <w:r>
        <w:rPr>
          <w:rFonts w:hint="eastAsia" w:ascii="宋体" w:hAnsi="宋体" w:cs="宋体"/>
          <w:b w:val="0"/>
          <w:bCs/>
          <w:color w:val="auto"/>
          <w:sz w:val="21"/>
          <w:szCs w:val="21"/>
          <w:highlight w:val="none"/>
          <w:u w:val="none"/>
          <w:lang w:val="en-US" w:eastAsia="zh-CN"/>
        </w:rPr>
        <w:t>100</w:t>
      </w:r>
      <w:r>
        <w:rPr>
          <w:rFonts w:hint="eastAsia" w:ascii="宋体" w:hAnsi="宋体" w:eastAsia="宋体" w:cs="宋体"/>
          <w:b w:val="0"/>
          <w:bCs/>
          <w:color w:val="auto"/>
          <w:sz w:val="21"/>
          <w:szCs w:val="21"/>
          <w:highlight w:val="none"/>
          <w:u w:val="none"/>
          <w:lang w:val="en-US" w:eastAsia="zh-CN"/>
        </w:rPr>
        <w:t>万元）】*100%。</w:t>
      </w:r>
    </w:p>
    <w:p w14:paraId="5636EF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本项目最终的施工图出具后，由投标单位编制施工图预算，采购方将委托第三方造价咨询机构进行预算审核，最终结果三方主体同意后由第三造价咨询机构出具正式的预算审核报告。该预算审核报告作为最终结算的依据，该报告中单价视为施工方的结算单价，工程量按实调整，并结合投标下浮率同比例下浮，最终结算以审计结算为准。</w:t>
      </w:r>
    </w:p>
    <w:p w14:paraId="4AD9B0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eastAsia="zh-CN"/>
        </w:rPr>
      </w:pPr>
      <w:r>
        <w:rPr>
          <w:rFonts w:hint="eastAsia" w:ascii="宋体" w:hAnsi="宋体" w:eastAsia="宋体" w:cs="宋体"/>
          <w:b w:val="0"/>
          <w:bCs/>
          <w:color w:val="auto"/>
          <w:sz w:val="21"/>
          <w:szCs w:val="21"/>
          <w:highlight w:val="none"/>
          <w:u w:val="none"/>
          <w:lang w:val="en-US" w:eastAsia="zh-CN"/>
        </w:rPr>
        <w:t>3、</w:t>
      </w:r>
      <w:r>
        <w:rPr>
          <w:rFonts w:hint="eastAsia" w:ascii="宋体" w:hAnsi="宋体" w:eastAsia="宋体" w:cs="宋体"/>
          <w:b w:val="0"/>
          <w:bCs/>
          <w:color w:val="auto"/>
          <w:sz w:val="21"/>
          <w:szCs w:val="21"/>
          <w:highlight w:val="none"/>
          <w:u w:val="none"/>
          <w:lang w:eastAsia="zh-CN"/>
        </w:rPr>
        <w:t>施工图预算编制及审核依据</w:t>
      </w:r>
    </w:p>
    <w:p w14:paraId="0FF90A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eastAsia="zh-CN"/>
        </w:rPr>
      </w:pPr>
      <w:r>
        <w:rPr>
          <w:rFonts w:hint="eastAsia" w:ascii="宋体" w:hAnsi="宋体" w:eastAsia="宋体" w:cs="宋体"/>
          <w:b w:val="0"/>
          <w:bCs/>
          <w:color w:val="auto"/>
          <w:sz w:val="21"/>
          <w:szCs w:val="21"/>
          <w:highlight w:val="none"/>
          <w:u w:val="none"/>
          <w:lang w:eastAsia="zh-CN"/>
        </w:rPr>
        <w:t>施工图预算采用工程量清单方式编制及审核，</w:t>
      </w:r>
      <w:r>
        <w:rPr>
          <w:rFonts w:hint="eastAsia" w:ascii="宋体" w:hAnsi="宋体" w:eastAsia="宋体" w:cs="宋体"/>
          <w:b w:val="0"/>
          <w:bCs/>
          <w:color w:val="auto"/>
          <w:sz w:val="21"/>
          <w:szCs w:val="21"/>
          <w:highlight w:val="none"/>
          <w:u w:val="none"/>
          <w:lang w:val="en-US" w:eastAsia="zh-CN"/>
        </w:rPr>
        <w:t>采用招标控制价编制模板（即措施项目费、规费及其他相关费用的计费基数按定额人工加定额机械计取）。</w:t>
      </w:r>
    </w:p>
    <w:p w14:paraId="0B1DF5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eastAsia="zh-CN"/>
        </w:rPr>
      </w:pPr>
      <w:r>
        <w:rPr>
          <w:rFonts w:hint="eastAsia" w:ascii="宋体" w:hAnsi="宋体" w:eastAsia="宋体" w:cs="宋体"/>
          <w:b w:val="0"/>
          <w:bCs/>
          <w:color w:val="auto"/>
          <w:sz w:val="21"/>
          <w:szCs w:val="21"/>
          <w:highlight w:val="none"/>
          <w:u w:val="none"/>
          <w:lang w:eastAsia="zh-CN"/>
        </w:rPr>
        <w:t>编制及审核依据如下：</w:t>
      </w:r>
    </w:p>
    <w:p w14:paraId="11C15D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eastAsia="zh-CN"/>
        </w:rPr>
      </w:pPr>
      <w:r>
        <w:rPr>
          <w:rFonts w:hint="eastAsia" w:ascii="宋体" w:hAnsi="宋体" w:eastAsia="宋体" w:cs="宋体"/>
          <w:b w:val="0"/>
          <w:bCs/>
          <w:color w:val="auto"/>
          <w:sz w:val="21"/>
          <w:szCs w:val="21"/>
          <w:highlight w:val="none"/>
          <w:u w:val="none"/>
        </w:rPr>
        <w:fldChar w:fldCharType="begin"/>
      </w:r>
      <w:r>
        <w:rPr>
          <w:rFonts w:hint="eastAsia" w:ascii="宋体" w:hAnsi="宋体" w:eastAsia="宋体" w:cs="宋体"/>
          <w:b w:val="0"/>
          <w:bCs/>
          <w:color w:val="auto"/>
          <w:sz w:val="21"/>
          <w:szCs w:val="21"/>
          <w:highlight w:val="none"/>
          <w:u w:val="none"/>
        </w:rPr>
        <w:instrText xml:space="preserve"> = 1 \* GB3 </w:instrText>
      </w:r>
      <w:r>
        <w:rPr>
          <w:rFonts w:hint="eastAsia" w:ascii="宋体" w:hAnsi="宋体" w:eastAsia="宋体" w:cs="宋体"/>
          <w:b w:val="0"/>
          <w:bCs/>
          <w:color w:val="auto"/>
          <w:sz w:val="21"/>
          <w:szCs w:val="21"/>
          <w:highlight w:val="none"/>
          <w:u w:val="none"/>
        </w:rPr>
        <w:fldChar w:fldCharType="separate"/>
      </w:r>
      <w:r>
        <w:rPr>
          <w:rFonts w:hint="eastAsia" w:ascii="宋体" w:hAnsi="宋体" w:eastAsia="宋体" w:cs="宋体"/>
          <w:b w:val="0"/>
          <w:bCs/>
          <w:color w:val="auto"/>
          <w:sz w:val="21"/>
          <w:szCs w:val="21"/>
          <w:highlight w:val="none"/>
          <w:u w:val="none"/>
        </w:rPr>
        <w:t>①</w:t>
      </w:r>
      <w:r>
        <w:rPr>
          <w:rFonts w:hint="eastAsia" w:ascii="宋体" w:hAnsi="宋体" w:eastAsia="宋体" w:cs="宋体"/>
          <w:b w:val="0"/>
          <w:bCs/>
          <w:color w:val="auto"/>
          <w:sz w:val="21"/>
          <w:szCs w:val="21"/>
          <w:highlight w:val="none"/>
          <w:u w:val="none"/>
        </w:rPr>
        <w:fldChar w:fldCharType="end"/>
      </w:r>
      <w:r>
        <w:rPr>
          <w:rFonts w:hint="eastAsia" w:ascii="宋体" w:hAnsi="宋体" w:eastAsia="宋体" w:cs="宋体"/>
          <w:b w:val="0"/>
          <w:bCs/>
          <w:color w:val="auto"/>
          <w:sz w:val="21"/>
          <w:szCs w:val="21"/>
          <w:highlight w:val="none"/>
          <w:u w:val="none"/>
          <w:lang w:eastAsia="zh-CN"/>
        </w:rPr>
        <w:t>定额及规范依据：</w:t>
      </w:r>
    </w:p>
    <w:p w14:paraId="4B430D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val="zh-CN" w:eastAsia="zh-CN"/>
        </w:rPr>
      </w:pPr>
      <w:r>
        <w:rPr>
          <w:rFonts w:hint="eastAsia" w:ascii="宋体" w:hAnsi="宋体" w:eastAsia="宋体" w:cs="宋体"/>
          <w:b w:val="0"/>
          <w:bCs/>
          <w:color w:val="auto"/>
          <w:sz w:val="21"/>
          <w:szCs w:val="21"/>
          <w:highlight w:val="none"/>
          <w:u w:val="none"/>
          <w:lang w:val="zh-CN" w:eastAsia="zh-CN"/>
        </w:rPr>
        <w:t>《建设工程工程量清单计价规范》（GB50500-2013）及建设工程工程量计算规范（2013）浙江省补充规定；</w:t>
      </w:r>
    </w:p>
    <w:p w14:paraId="0E503C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val="zh-CN" w:eastAsia="zh-CN"/>
        </w:rPr>
      </w:pPr>
      <w:r>
        <w:rPr>
          <w:rFonts w:hint="eastAsia" w:ascii="宋体" w:hAnsi="宋体" w:eastAsia="宋体" w:cs="宋体"/>
          <w:b w:val="0"/>
          <w:bCs/>
          <w:color w:val="auto"/>
          <w:sz w:val="21"/>
          <w:szCs w:val="21"/>
          <w:highlight w:val="none"/>
          <w:u w:val="none"/>
          <w:lang w:val="zh-CN" w:eastAsia="zh-CN"/>
        </w:rPr>
        <w:t>《房屋建筑与装饰工程工程量计算规范》(GB50854-2013)；</w:t>
      </w:r>
    </w:p>
    <w:p w14:paraId="6BA0D411">
      <w:pPr>
        <w:keepNext w:val="0"/>
        <w:keepLines w:val="0"/>
        <w:pageBreakBefore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val="zh-CN" w:eastAsia="zh-CN"/>
        </w:rPr>
      </w:pPr>
      <w:r>
        <w:rPr>
          <w:rFonts w:hint="eastAsia" w:ascii="宋体" w:hAnsi="宋体" w:eastAsia="宋体" w:cs="宋体"/>
          <w:b w:val="0"/>
          <w:bCs/>
          <w:color w:val="auto"/>
          <w:sz w:val="21"/>
          <w:szCs w:val="21"/>
          <w:highlight w:val="none"/>
          <w:u w:val="none"/>
          <w:lang w:val="zh-CN" w:eastAsia="zh-CN"/>
        </w:rPr>
        <w:t>《仿古建筑工程工程量计算规范》(GB50855-2013)；</w:t>
      </w:r>
    </w:p>
    <w:p w14:paraId="52C2FA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val="zh-CN" w:eastAsia="zh-CN"/>
        </w:rPr>
      </w:pPr>
      <w:r>
        <w:rPr>
          <w:rFonts w:hint="eastAsia" w:ascii="宋体" w:hAnsi="宋体" w:eastAsia="宋体" w:cs="宋体"/>
          <w:b w:val="0"/>
          <w:bCs/>
          <w:color w:val="auto"/>
          <w:sz w:val="21"/>
          <w:szCs w:val="21"/>
          <w:highlight w:val="none"/>
          <w:u w:val="none"/>
          <w:lang w:val="zh-CN" w:eastAsia="zh-CN"/>
        </w:rPr>
        <w:t>《通用安装工程工程量计算规范》（GB50856-2013）；</w:t>
      </w:r>
    </w:p>
    <w:p w14:paraId="2A00FC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eastAsia="zh-CN"/>
        </w:rPr>
        <w:t>《浙江省建设工程计价依据》（</w:t>
      </w:r>
      <w:r>
        <w:rPr>
          <w:rFonts w:hint="eastAsia" w:ascii="宋体" w:hAnsi="宋体" w:eastAsia="宋体" w:cs="宋体"/>
          <w:b w:val="0"/>
          <w:bCs/>
          <w:color w:val="auto"/>
          <w:sz w:val="21"/>
          <w:szCs w:val="21"/>
          <w:highlight w:val="none"/>
          <w:u w:val="none"/>
          <w:lang w:val="en-US" w:eastAsia="zh-CN"/>
        </w:rPr>
        <w:t>2018版</w:t>
      </w:r>
      <w:r>
        <w:rPr>
          <w:rFonts w:hint="eastAsia" w:ascii="宋体" w:hAnsi="宋体" w:eastAsia="宋体" w:cs="宋体"/>
          <w:b w:val="0"/>
          <w:bCs/>
          <w:color w:val="auto"/>
          <w:sz w:val="21"/>
          <w:szCs w:val="21"/>
          <w:highlight w:val="none"/>
          <w:u w:val="none"/>
          <w:lang w:eastAsia="zh-CN"/>
        </w:rPr>
        <w:t>）、含《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w:t>
      </w:r>
      <w:r>
        <w:rPr>
          <w:rFonts w:hint="eastAsia" w:ascii="宋体" w:hAnsi="宋体" w:eastAsia="宋体" w:cs="宋体"/>
          <w:b w:val="0"/>
          <w:bCs/>
          <w:color w:val="auto"/>
          <w:sz w:val="21"/>
          <w:szCs w:val="21"/>
          <w:highlight w:val="none"/>
          <w:u w:val="none"/>
          <w:lang w:val="en-US" w:eastAsia="zh-CN"/>
        </w:rPr>
        <w:t>2018版</w:t>
      </w:r>
      <w:r>
        <w:rPr>
          <w:rFonts w:hint="eastAsia" w:ascii="宋体" w:hAnsi="宋体" w:eastAsia="宋体" w:cs="宋体"/>
          <w:b w:val="0"/>
          <w:bCs/>
          <w:color w:val="auto"/>
          <w:sz w:val="21"/>
          <w:szCs w:val="21"/>
          <w:highlight w:val="none"/>
          <w:u w:val="none"/>
          <w:lang w:eastAsia="zh-CN"/>
        </w:rPr>
        <w:t>）、《浙江省建筑安装材料基期价格》（</w:t>
      </w:r>
      <w:r>
        <w:rPr>
          <w:rFonts w:hint="eastAsia" w:ascii="宋体" w:hAnsi="宋体" w:eastAsia="宋体" w:cs="宋体"/>
          <w:b w:val="0"/>
          <w:bCs/>
          <w:color w:val="auto"/>
          <w:sz w:val="21"/>
          <w:szCs w:val="21"/>
          <w:highlight w:val="none"/>
          <w:u w:val="none"/>
          <w:lang w:val="en-US" w:eastAsia="zh-CN"/>
        </w:rPr>
        <w:t>2018版</w:t>
      </w:r>
      <w:r>
        <w:rPr>
          <w:rFonts w:hint="eastAsia" w:ascii="宋体" w:hAnsi="宋体" w:eastAsia="宋体" w:cs="宋体"/>
          <w:b w:val="0"/>
          <w:bCs/>
          <w:color w:val="auto"/>
          <w:sz w:val="21"/>
          <w:szCs w:val="21"/>
          <w:highlight w:val="none"/>
          <w:u w:val="none"/>
          <w:lang w:eastAsia="zh-CN"/>
        </w:rPr>
        <w:t>）以及</w:t>
      </w:r>
      <w:r>
        <w:rPr>
          <w:rFonts w:hint="eastAsia" w:ascii="宋体" w:hAnsi="宋体" w:eastAsia="宋体" w:cs="宋体"/>
          <w:b w:val="0"/>
          <w:bCs/>
          <w:color w:val="auto"/>
          <w:sz w:val="21"/>
          <w:szCs w:val="21"/>
          <w:highlight w:val="none"/>
          <w:u w:val="none"/>
          <w:lang w:val="en-US" w:eastAsia="zh-CN"/>
        </w:rPr>
        <w:t>《浙江省建设工程计价依据（2018版）综合解释》；</w:t>
      </w:r>
    </w:p>
    <w:p w14:paraId="180F51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eastAsia="zh-CN"/>
        </w:rPr>
      </w:pPr>
      <w:r>
        <w:rPr>
          <w:rFonts w:hint="eastAsia" w:ascii="宋体" w:hAnsi="宋体" w:eastAsia="宋体" w:cs="宋体"/>
          <w:b w:val="0"/>
          <w:bCs/>
          <w:color w:val="auto"/>
          <w:sz w:val="21"/>
          <w:szCs w:val="21"/>
          <w:highlight w:val="none"/>
          <w:u w:val="none"/>
          <w:lang w:val="en-US" w:eastAsia="zh-CN"/>
        </w:rPr>
        <w:t>《关于增值税调整后我省建设工程计价依据增值税税率及有关计价调整的通知》（浙建建发[2019]92号）等。</w:t>
      </w:r>
    </w:p>
    <w:p w14:paraId="54393A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fldChar w:fldCharType="begin"/>
      </w:r>
      <w:r>
        <w:rPr>
          <w:rFonts w:hint="eastAsia" w:ascii="宋体" w:hAnsi="宋体" w:eastAsia="宋体" w:cs="宋体"/>
          <w:b w:val="0"/>
          <w:bCs/>
          <w:color w:val="auto"/>
          <w:sz w:val="21"/>
          <w:szCs w:val="21"/>
          <w:highlight w:val="none"/>
          <w:u w:val="none"/>
        </w:rPr>
        <w:instrText xml:space="preserve"> = 2 \* GB3 </w:instrText>
      </w:r>
      <w:r>
        <w:rPr>
          <w:rFonts w:hint="eastAsia" w:ascii="宋体" w:hAnsi="宋体" w:eastAsia="宋体" w:cs="宋体"/>
          <w:b w:val="0"/>
          <w:bCs/>
          <w:color w:val="auto"/>
          <w:sz w:val="21"/>
          <w:szCs w:val="21"/>
          <w:highlight w:val="none"/>
          <w:u w:val="none"/>
        </w:rPr>
        <w:fldChar w:fldCharType="separate"/>
      </w:r>
      <w:r>
        <w:rPr>
          <w:rFonts w:hint="eastAsia" w:ascii="宋体" w:hAnsi="宋体" w:eastAsia="宋体" w:cs="宋体"/>
          <w:b w:val="0"/>
          <w:bCs/>
          <w:color w:val="auto"/>
          <w:sz w:val="21"/>
          <w:szCs w:val="21"/>
          <w:highlight w:val="none"/>
          <w:u w:val="none"/>
        </w:rPr>
        <w:t>②</w:t>
      </w:r>
      <w:r>
        <w:rPr>
          <w:rFonts w:hint="eastAsia" w:ascii="宋体" w:hAnsi="宋体" w:eastAsia="宋体" w:cs="宋体"/>
          <w:b w:val="0"/>
          <w:bCs/>
          <w:color w:val="auto"/>
          <w:sz w:val="21"/>
          <w:szCs w:val="21"/>
          <w:highlight w:val="none"/>
          <w:u w:val="none"/>
        </w:rPr>
        <w:fldChar w:fldCharType="end"/>
      </w:r>
      <w:r>
        <w:rPr>
          <w:rFonts w:hint="eastAsia" w:ascii="宋体" w:hAnsi="宋体" w:eastAsia="宋体" w:cs="宋体"/>
          <w:b w:val="0"/>
          <w:bCs/>
          <w:color w:val="auto"/>
          <w:sz w:val="21"/>
          <w:szCs w:val="21"/>
          <w:highlight w:val="none"/>
          <w:u w:val="none"/>
        </w:rPr>
        <w:t xml:space="preserve">材料及人工价格: </w:t>
      </w:r>
    </w:p>
    <w:p w14:paraId="1CB645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有信息价的人工、材料价格按</w:t>
      </w:r>
      <w:r>
        <w:rPr>
          <w:rFonts w:hint="eastAsia" w:ascii="宋体" w:hAnsi="宋体" w:eastAsia="宋体" w:cs="宋体"/>
          <w:b w:val="0"/>
          <w:bCs/>
          <w:color w:val="auto"/>
          <w:sz w:val="21"/>
          <w:szCs w:val="21"/>
          <w:highlight w:val="none"/>
          <w:u w:val="none"/>
          <w:lang w:eastAsia="zh-CN"/>
        </w:rPr>
        <w:t>开工报告时间前</w:t>
      </w:r>
      <w:r>
        <w:rPr>
          <w:rFonts w:hint="eastAsia" w:ascii="宋体" w:hAnsi="宋体" w:eastAsia="宋体" w:cs="宋体"/>
          <w:b w:val="0"/>
          <w:bCs/>
          <w:color w:val="auto"/>
          <w:sz w:val="21"/>
          <w:szCs w:val="21"/>
          <w:highlight w:val="none"/>
          <w:u w:val="none"/>
          <w:lang w:val="en-US" w:eastAsia="zh-CN"/>
        </w:rPr>
        <w:t>28天对应月份的</w:t>
      </w:r>
      <w:r>
        <w:rPr>
          <w:rFonts w:hint="eastAsia" w:ascii="宋体" w:hAnsi="宋体" w:eastAsia="宋体" w:cs="宋体"/>
          <w:b w:val="0"/>
          <w:bCs/>
          <w:color w:val="auto"/>
          <w:sz w:val="21"/>
          <w:szCs w:val="21"/>
          <w:highlight w:val="none"/>
          <w:u w:val="none"/>
        </w:rPr>
        <w:t>《湖州市建设工程造价信息》。《湖州市建设工程造价信息》没有的按《浙江省信息价》，无信息价格的材料价格在</w:t>
      </w:r>
      <w:r>
        <w:rPr>
          <w:rFonts w:hint="eastAsia" w:ascii="宋体" w:hAnsi="宋体" w:eastAsia="宋体" w:cs="宋体"/>
          <w:b w:val="0"/>
          <w:bCs/>
          <w:color w:val="auto"/>
          <w:sz w:val="21"/>
          <w:szCs w:val="21"/>
          <w:highlight w:val="none"/>
          <w:u w:val="none"/>
          <w:lang w:eastAsia="zh-CN"/>
        </w:rPr>
        <w:t>确定</w:t>
      </w:r>
      <w:r>
        <w:rPr>
          <w:rFonts w:hint="eastAsia" w:ascii="宋体" w:hAnsi="宋体" w:eastAsia="宋体" w:cs="宋体"/>
          <w:b w:val="0"/>
          <w:bCs/>
          <w:color w:val="auto"/>
          <w:sz w:val="21"/>
          <w:szCs w:val="21"/>
          <w:highlight w:val="none"/>
          <w:u w:val="none"/>
        </w:rPr>
        <w:t>材料品牌、规格、颜色、材质等</w:t>
      </w:r>
      <w:r>
        <w:rPr>
          <w:rFonts w:hint="eastAsia" w:ascii="宋体" w:hAnsi="宋体" w:eastAsia="宋体" w:cs="宋体"/>
          <w:b w:val="0"/>
          <w:bCs/>
          <w:color w:val="auto"/>
          <w:sz w:val="21"/>
          <w:szCs w:val="21"/>
          <w:highlight w:val="none"/>
          <w:u w:val="none"/>
          <w:lang w:eastAsia="zh-CN"/>
        </w:rPr>
        <w:t>询价后作为预算单价</w:t>
      </w:r>
      <w:r>
        <w:rPr>
          <w:rFonts w:hint="eastAsia" w:ascii="宋体" w:hAnsi="宋体" w:eastAsia="宋体" w:cs="宋体"/>
          <w:b w:val="0"/>
          <w:bCs/>
          <w:color w:val="auto"/>
          <w:sz w:val="21"/>
          <w:szCs w:val="21"/>
          <w:highlight w:val="none"/>
          <w:u w:val="none"/>
        </w:rPr>
        <w:t>。</w:t>
      </w:r>
    </w:p>
    <w:p w14:paraId="328DEA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③取费标准：</w:t>
      </w:r>
    </w:p>
    <w:p w14:paraId="4293B8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a)</w:t>
      </w:r>
      <w:r>
        <w:rPr>
          <w:rFonts w:hint="eastAsia" w:ascii="宋体" w:hAnsi="宋体" w:eastAsia="宋体" w:cs="宋体"/>
          <w:b w:val="0"/>
          <w:bCs/>
          <w:color w:val="auto"/>
          <w:sz w:val="21"/>
          <w:szCs w:val="21"/>
          <w:highlight w:val="none"/>
          <w:u w:val="none"/>
          <w:lang w:eastAsia="zh-CN"/>
        </w:rPr>
        <w:t>本项目按照</w:t>
      </w:r>
      <w:r>
        <w:rPr>
          <w:rFonts w:hint="eastAsia" w:ascii="宋体" w:hAnsi="宋体" w:eastAsia="宋体" w:cs="宋体"/>
          <w:b w:val="0"/>
          <w:bCs/>
          <w:color w:val="auto"/>
          <w:sz w:val="21"/>
          <w:szCs w:val="21"/>
          <w:highlight w:val="none"/>
          <w:u w:val="none"/>
        </w:rPr>
        <w:t>按一般计税方法</w:t>
      </w:r>
      <w:r>
        <w:rPr>
          <w:rFonts w:hint="eastAsia" w:ascii="宋体" w:hAnsi="宋体" w:eastAsia="宋体" w:cs="宋体"/>
          <w:b w:val="0"/>
          <w:bCs/>
          <w:color w:val="auto"/>
          <w:sz w:val="21"/>
          <w:szCs w:val="21"/>
          <w:highlight w:val="none"/>
          <w:u w:val="none"/>
          <w:lang w:eastAsia="zh-CN"/>
        </w:rPr>
        <w:t>计取，施工组织措施费、企业管理费、利润、规费根据《浙江省建设工程计价规则》（2018版）其相对应的专业及规定计取，施工组织措施费、企业管理费、利润按中间值计取，其中</w:t>
      </w:r>
      <w:r>
        <w:rPr>
          <w:rFonts w:hint="eastAsia" w:ascii="宋体" w:hAnsi="宋体" w:eastAsia="宋体" w:cs="宋体"/>
          <w:b w:val="0"/>
          <w:bCs/>
          <w:color w:val="auto"/>
          <w:sz w:val="21"/>
          <w:szCs w:val="21"/>
          <w:highlight w:val="none"/>
          <w:u w:val="none"/>
        </w:rPr>
        <w:t>安全文明施工费按照</w:t>
      </w:r>
      <w:r>
        <w:rPr>
          <w:rFonts w:hint="eastAsia" w:ascii="宋体" w:hAnsi="宋体" w:eastAsia="宋体" w:cs="宋体"/>
          <w:b w:val="0"/>
          <w:bCs/>
          <w:color w:val="auto"/>
          <w:sz w:val="21"/>
          <w:szCs w:val="21"/>
          <w:highlight w:val="none"/>
          <w:u w:val="none"/>
          <w:lang w:eastAsia="zh-CN"/>
        </w:rPr>
        <w:t>市区工程计取</w:t>
      </w:r>
      <w:r>
        <w:rPr>
          <w:rFonts w:hint="eastAsia" w:ascii="宋体" w:hAnsi="宋体" w:eastAsia="宋体" w:cs="宋体"/>
          <w:b w:val="0"/>
          <w:bCs/>
          <w:color w:val="auto"/>
          <w:sz w:val="21"/>
          <w:szCs w:val="21"/>
          <w:highlight w:val="none"/>
          <w:u w:val="none"/>
        </w:rPr>
        <w:t>。</w:t>
      </w:r>
    </w:p>
    <w:p w14:paraId="29E7F7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b</w:t>
      </w:r>
      <w:r>
        <w:rPr>
          <w:rFonts w:hint="eastAsia" w:ascii="宋体" w:hAnsi="宋体" w:eastAsia="宋体" w:cs="宋体"/>
          <w:b w:val="0"/>
          <w:bCs/>
          <w:color w:val="auto"/>
          <w:sz w:val="21"/>
          <w:szCs w:val="21"/>
          <w:highlight w:val="none"/>
          <w:u w:val="none"/>
        </w:rPr>
        <w:t>)</w:t>
      </w:r>
      <w:r>
        <w:rPr>
          <w:rFonts w:hint="eastAsia" w:ascii="宋体" w:hAnsi="宋体" w:eastAsia="宋体" w:cs="宋体"/>
          <w:b w:val="0"/>
          <w:bCs/>
          <w:color w:val="auto"/>
          <w:sz w:val="21"/>
          <w:szCs w:val="21"/>
          <w:highlight w:val="none"/>
          <w:u w:val="none"/>
          <w:lang w:eastAsia="zh-CN"/>
        </w:rPr>
        <w:t>税金</w:t>
      </w:r>
      <w:r>
        <w:rPr>
          <w:rFonts w:hint="eastAsia" w:ascii="宋体" w:hAnsi="宋体" w:eastAsia="宋体" w:cs="宋体"/>
          <w:b w:val="0"/>
          <w:bCs/>
          <w:color w:val="auto"/>
          <w:sz w:val="21"/>
          <w:szCs w:val="21"/>
          <w:highlight w:val="none"/>
          <w:u w:val="none"/>
        </w:rPr>
        <w:t>采用增值税（按一般计税方法）</w:t>
      </w:r>
      <w:r>
        <w:rPr>
          <w:rFonts w:hint="eastAsia" w:ascii="宋体" w:hAnsi="宋体" w:eastAsia="宋体" w:cs="宋体"/>
          <w:b w:val="0"/>
          <w:bCs/>
          <w:color w:val="auto"/>
          <w:sz w:val="21"/>
          <w:szCs w:val="21"/>
          <w:highlight w:val="none"/>
          <w:u w:val="none"/>
          <w:lang w:eastAsia="zh-CN"/>
        </w:rPr>
        <w:t>，按</w:t>
      </w:r>
      <w:r>
        <w:rPr>
          <w:rFonts w:hint="eastAsia" w:ascii="宋体" w:hAnsi="宋体" w:eastAsia="宋体" w:cs="宋体"/>
          <w:b w:val="0"/>
          <w:bCs/>
          <w:color w:val="auto"/>
          <w:sz w:val="21"/>
          <w:szCs w:val="21"/>
          <w:highlight w:val="none"/>
          <w:u w:val="none"/>
          <w:lang w:val="en-US" w:eastAsia="zh-CN"/>
        </w:rPr>
        <w:t>浙建建发[2019]92号计取，如国家政策有调整的，按新规定进行调整。</w:t>
      </w:r>
    </w:p>
    <w:p w14:paraId="209807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fldChar w:fldCharType="begin"/>
      </w:r>
      <w:r>
        <w:rPr>
          <w:rFonts w:hint="eastAsia" w:ascii="宋体" w:hAnsi="宋体" w:eastAsia="宋体" w:cs="宋体"/>
          <w:b w:val="0"/>
          <w:bCs/>
          <w:color w:val="auto"/>
          <w:sz w:val="21"/>
          <w:szCs w:val="21"/>
          <w:highlight w:val="none"/>
          <w:u w:val="none"/>
        </w:rPr>
        <w:instrText xml:space="preserve"> = 4 \* GB3 </w:instrText>
      </w:r>
      <w:r>
        <w:rPr>
          <w:rFonts w:hint="eastAsia" w:ascii="宋体" w:hAnsi="宋体" w:eastAsia="宋体" w:cs="宋体"/>
          <w:b w:val="0"/>
          <w:bCs/>
          <w:color w:val="auto"/>
          <w:sz w:val="21"/>
          <w:szCs w:val="21"/>
          <w:highlight w:val="none"/>
          <w:u w:val="none"/>
        </w:rPr>
        <w:fldChar w:fldCharType="separate"/>
      </w:r>
      <w:r>
        <w:rPr>
          <w:rFonts w:hint="eastAsia" w:ascii="宋体" w:hAnsi="宋体" w:eastAsia="宋体" w:cs="宋体"/>
          <w:b w:val="0"/>
          <w:bCs/>
          <w:color w:val="auto"/>
          <w:sz w:val="21"/>
          <w:szCs w:val="21"/>
          <w:highlight w:val="none"/>
          <w:u w:val="none"/>
        </w:rPr>
        <w:t>④</w:t>
      </w:r>
      <w:r>
        <w:rPr>
          <w:rFonts w:hint="eastAsia" w:ascii="宋体" w:hAnsi="宋体" w:eastAsia="宋体" w:cs="宋体"/>
          <w:b w:val="0"/>
          <w:bCs/>
          <w:color w:val="auto"/>
          <w:sz w:val="21"/>
          <w:szCs w:val="21"/>
          <w:highlight w:val="none"/>
          <w:u w:val="none"/>
        </w:rPr>
        <w:fldChar w:fldCharType="end"/>
      </w:r>
      <w:r>
        <w:rPr>
          <w:rFonts w:hint="eastAsia" w:ascii="宋体" w:hAnsi="宋体" w:eastAsia="宋体" w:cs="宋体"/>
          <w:b w:val="0"/>
          <w:bCs/>
          <w:color w:val="auto"/>
          <w:sz w:val="21"/>
          <w:szCs w:val="21"/>
          <w:highlight w:val="none"/>
          <w:u w:val="none"/>
        </w:rPr>
        <w:t>政策性条款：在项目执行期内国家或地方政府颁发的所有相关调价或调整政策均应执行。在合同履行过程中，若有新的与建设工程活动有关的政府发文颁布，按照新规定相应调整。</w:t>
      </w:r>
      <w:bookmarkStart w:id="82" w:name="_Toc6226212"/>
      <w:bookmarkStart w:id="83" w:name="_Toc23974"/>
      <w:bookmarkStart w:id="84" w:name="_Toc184635113"/>
      <w:bookmarkStart w:id="85" w:name="_Toc413830646"/>
      <w:bookmarkStart w:id="86" w:name="_Toc270512743"/>
      <w:bookmarkStart w:id="87" w:name="_Toc217819054"/>
    </w:p>
    <w:p w14:paraId="3DE251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最终</w:t>
      </w:r>
      <w:r>
        <w:rPr>
          <w:rFonts w:hint="eastAsia" w:ascii="宋体" w:hAnsi="宋体" w:eastAsia="宋体" w:cs="宋体"/>
          <w:b w:val="0"/>
          <w:bCs/>
          <w:color w:val="auto"/>
          <w:sz w:val="21"/>
          <w:szCs w:val="21"/>
          <w:highlight w:val="none"/>
        </w:rPr>
        <w:t>价款的调整与工程结算：</w:t>
      </w:r>
      <w:bookmarkEnd w:id="82"/>
      <w:bookmarkEnd w:id="83"/>
    </w:p>
    <w:p w14:paraId="4E84486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.1工程量清单项目和工程量的调整</w:t>
      </w:r>
    </w:p>
    <w:p w14:paraId="18C0739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.1.1 发生下列情况的，工程量清单项目应予调整：</w:t>
      </w:r>
    </w:p>
    <w:p w14:paraId="74A5675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审定预算中的</w:t>
      </w:r>
      <w:r>
        <w:rPr>
          <w:rFonts w:hint="eastAsia" w:ascii="宋体" w:hAnsi="宋体" w:eastAsia="宋体" w:cs="宋体"/>
          <w:b w:val="0"/>
          <w:bCs/>
          <w:color w:val="auto"/>
          <w:sz w:val="21"/>
          <w:szCs w:val="21"/>
          <w:highlight w:val="none"/>
        </w:rPr>
        <w:t>工程量清单项目漏缺陷、重复列项；</w:t>
      </w:r>
    </w:p>
    <w:p w14:paraId="2167CAD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（2）工程变更引起新增或减少清单项目；</w:t>
      </w:r>
    </w:p>
    <w:p w14:paraId="2230124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（3）施工图纸、工程变更后与</w:t>
      </w:r>
      <w:r>
        <w:rPr>
          <w:rFonts w:hint="eastAsia" w:ascii="宋体" w:hAnsi="宋体" w:eastAsia="宋体" w:cs="宋体"/>
          <w:b w:val="0"/>
          <w:bCs/>
          <w:color w:val="auto"/>
          <w:sz w:val="21"/>
          <w:szCs w:val="21"/>
          <w:highlight w:val="none"/>
          <w:lang w:eastAsia="zh-CN"/>
        </w:rPr>
        <w:t>审定预算中的</w:t>
      </w:r>
      <w:r>
        <w:rPr>
          <w:rFonts w:hint="eastAsia" w:ascii="宋体" w:hAnsi="宋体" w:eastAsia="宋体" w:cs="宋体"/>
          <w:b w:val="0"/>
          <w:bCs/>
          <w:color w:val="auto"/>
          <w:sz w:val="21"/>
          <w:szCs w:val="21"/>
          <w:highlight w:val="none"/>
        </w:rPr>
        <w:t>特征描述不符。</w:t>
      </w:r>
    </w:p>
    <w:p w14:paraId="1962678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.1.2 发生下列情况的，工程量清单项目的工程量应予调整：</w:t>
      </w:r>
    </w:p>
    <w:p w14:paraId="4E5CB58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审定预算中的</w:t>
      </w:r>
      <w:r>
        <w:rPr>
          <w:rFonts w:hint="eastAsia" w:ascii="宋体" w:hAnsi="宋体" w:eastAsia="宋体" w:cs="宋体"/>
          <w:b w:val="0"/>
          <w:bCs/>
          <w:color w:val="auto"/>
          <w:sz w:val="21"/>
          <w:szCs w:val="21"/>
          <w:highlight w:val="none"/>
        </w:rPr>
        <w:t>工程量清单项目工程量有偏差；</w:t>
      </w:r>
    </w:p>
    <w:p w14:paraId="6E854E32">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（2）工程变更引起的工程量的增减。</w:t>
      </w:r>
    </w:p>
    <w:p w14:paraId="197F365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.1.3 清单项目或工程量调整应根据合同约定、施工图纸、工程变更联系单登内容，按“计价规范”、浙江省“计价依据”等要求进行列项、计量。</w:t>
      </w:r>
    </w:p>
    <w:p w14:paraId="376285D2">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.2 综合单价的调整</w:t>
      </w:r>
    </w:p>
    <w:p w14:paraId="59F5C9D0">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因</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.1款的工程量清单项目或工程数量变化，按以下规定调整综合单价：</w:t>
      </w:r>
    </w:p>
    <w:p w14:paraId="60E4666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（1）已标价的工程清单中有适用单价的，按原综合单价；合价</w:t>
      </w:r>
      <w:r>
        <w:rPr>
          <w:rFonts w:hint="eastAsia" w:ascii="宋体" w:hAnsi="宋体" w:eastAsia="宋体" w:cs="宋体"/>
          <w:b w:val="0"/>
          <w:bCs/>
          <w:color w:val="auto"/>
          <w:sz w:val="21"/>
          <w:szCs w:val="21"/>
          <w:highlight w:val="none"/>
          <w:lang w:eastAsia="zh-CN"/>
        </w:rPr>
        <w:t>金额</w:t>
      </w:r>
      <w:r>
        <w:rPr>
          <w:rFonts w:hint="eastAsia" w:ascii="宋体" w:hAnsi="宋体" w:eastAsia="宋体" w:cs="宋体"/>
          <w:b w:val="0"/>
          <w:bCs/>
          <w:color w:val="auto"/>
          <w:sz w:val="21"/>
          <w:szCs w:val="21"/>
          <w:highlight w:val="none"/>
        </w:rPr>
        <w:t>占合同总价2%及以上的分部分项清单项目，其工程量增减超过本项工程量15%及以上，或合价金额占合同总价不到2%的分部分项清单项目，但其工程量增减超过本项目工程数量25%及以上的，增减工程量单价按</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.2条第（3）款处理。</w:t>
      </w:r>
    </w:p>
    <w:p w14:paraId="7A4C5EA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（2）已标价工程量清单中没有适用的综合单价，但有类似工程项目的综合单价，可参照类似工程项目综合单价计算确定。</w:t>
      </w:r>
    </w:p>
    <w:p w14:paraId="2DB47E4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①某种材料（或半成品及成品）等级、标准变化的，清单组合子目不变，仅调整不同的材料市场价之差；</w:t>
      </w:r>
    </w:p>
    <w:p w14:paraId="04002CB8">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②清单项目组合内容中某一个（或多个）定额子目发生变化，不影响其他特征及工程内容价格的，仅调整发生变化的定额子目价格；</w:t>
      </w:r>
    </w:p>
    <w:p w14:paraId="3CE088C0">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③如该类似工程项目综合单价异常，则不宜参照，按</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.2条第（3）款重新计算综合单价。</w:t>
      </w:r>
    </w:p>
    <w:p w14:paraId="1186A2D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（3）已标价工程量清单中没有适用的综合单价，可按以下原则处理：</w:t>
      </w:r>
    </w:p>
    <w:p w14:paraId="484299D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a.依据合同约定编制依据、组价原则和承包人投标报价</w:t>
      </w:r>
      <w:r>
        <w:rPr>
          <w:rFonts w:hint="eastAsia" w:ascii="宋体" w:hAnsi="宋体" w:eastAsia="宋体" w:cs="宋体"/>
          <w:b w:val="0"/>
          <w:bCs/>
          <w:color w:val="auto"/>
          <w:sz w:val="21"/>
          <w:szCs w:val="21"/>
          <w:highlight w:val="none"/>
          <w:lang w:eastAsia="zh-CN"/>
        </w:rPr>
        <w:t>下浮</w:t>
      </w:r>
      <w:r>
        <w:rPr>
          <w:rFonts w:hint="eastAsia" w:ascii="宋体" w:hAnsi="宋体" w:eastAsia="宋体" w:cs="宋体"/>
          <w:b w:val="0"/>
          <w:bCs/>
          <w:color w:val="auto"/>
          <w:sz w:val="21"/>
          <w:szCs w:val="21"/>
          <w:highlight w:val="none"/>
        </w:rPr>
        <w:t>率，提出适当的单价，经发包人确认后执行：</w:t>
      </w:r>
    </w:p>
    <w:p w14:paraId="04357E8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b.承包人依据合同约定的组价原则，合理成本和利润提出适当的单价经发包人确认后执行</w:t>
      </w:r>
      <w:r>
        <w:rPr>
          <w:rFonts w:hint="eastAsia" w:ascii="宋体" w:hAnsi="宋体" w:eastAsia="宋体" w:cs="宋体"/>
          <w:b w:val="0"/>
          <w:bCs/>
          <w:color w:val="auto"/>
          <w:sz w:val="21"/>
          <w:szCs w:val="21"/>
          <w:highlight w:val="none"/>
          <w:lang w:eastAsia="zh-CN"/>
        </w:rPr>
        <w:t>，</w:t>
      </w:r>
    </w:p>
    <w:p w14:paraId="1F968C40">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c.如当前施工的计价依据缺项内容，承包人应通过市场调查等手段提出单价，经发包人确定后执行。</w:t>
      </w:r>
    </w:p>
    <w:p w14:paraId="33A545C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.3 措施项目调整</w:t>
      </w:r>
    </w:p>
    <w:p w14:paraId="7A70A1B0">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（1）采用综合单价计价的措施项目，按以上</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.2条规定计价；</w:t>
      </w:r>
    </w:p>
    <w:p w14:paraId="2DCFE716">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（2）采用以“项”计价的技术措施项目的，</w:t>
      </w:r>
      <w:r>
        <w:rPr>
          <w:rFonts w:hint="eastAsia" w:ascii="宋体" w:hAnsi="宋体" w:eastAsia="宋体" w:cs="宋体"/>
          <w:b w:val="0"/>
          <w:bCs/>
          <w:color w:val="auto"/>
          <w:sz w:val="21"/>
          <w:szCs w:val="21"/>
          <w:highlight w:val="none"/>
          <w:lang w:eastAsia="zh-CN"/>
        </w:rPr>
        <w:t>原则上</w:t>
      </w:r>
      <w:r>
        <w:rPr>
          <w:rFonts w:hint="eastAsia" w:ascii="宋体" w:hAnsi="宋体" w:eastAsia="宋体" w:cs="宋体"/>
          <w:b w:val="0"/>
          <w:bCs/>
          <w:color w:val="auto"/>
          <w:sz w:val="21"/>
          <w:szCs w:val="21"/>
          <w:highlight w:val="none"/>
        </w:rPr>
        <w:t>按投标价执行</w:t>
      </w:r>
      <w:r>
        <w:rPr>
          <w:rFonts w:hint="eastAsia" w:ascii="宋体" w:hAnsi="宋体" w:eastAsia="宋体" w:cs="宋体"/>
          <w:b w:val="0"/>
          <w:bCs/>
          <w:color w:val="auto"/>
          <w:sz w:val="21"/>
          <w:szCs w:val="21"/>
          <w:highlight w:val="none"/>
          <w:lang w:eastAsia="zh-CN"/>
        </w:rPr>
        <w:t>，但因重大设计变更引起措施变动部分除外</w:t>
      </w:r>
      <w:r>
        <w:rPr>
          <w:rFonts w:hint="eastAsia" w:ascii="宋体" w:hAnsi="宋体" w:eastAsia="宋体" w:cs="宋体"/>
          <w:b w:val="0"/>
          <w:bCs/>
          <w:color w:val="auto"/>
          <w:sz w:val="21"/>
          <w:szCs w:val="21"/>
          <w:highlight w:val="none"/>
        </w:rPr>
        <w:t>；</w:t>
      </w:r>
    </w:p>
    <w:p w14:paraId="09184C4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（3）施工组织措施项目按照合同约定的费率内容调整相关措施费用。</w:t>
      </w:r>
    </w:p>
    <w:p w14:paraId="0894F243">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4.4 价格波动引起合同价款的调整</w:t>
      </w:r>
    </w:p>
    <w:p w14:paraId="0547FEB1">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承包人承担±5%以内的人工和单项材料的价格风险，超过部分由发包人承担或收益。施工机械台班一类费用（机械原值）不做调整，仅调整二类费用中机上人工和燃料动力，风险幅度与人工和单项材料的价格风险相同。</w:t>
      </w:r>
    </w:p>
    <w:p w14:paraId="63AAF7B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采用抽料补差法进行价差调整。按施工期信息价算术平均值，与基准价格</w:t>
      </w:r>
      <w:r>
        <w:rPr>
          <w:rFonts w:hint="eastAsia" w:ascii="宋体" w:hAnsi="宋体" w:eastAsia="宋体" w:cs="宋体"/>
          <w:b w:val="0"/>
          <w:bCs/>
          <w:color w:val="auto"/>
          <w:sz w:val="21"/>
          <w:szCs w:val="21"/>
          <w:highlight w:val="none"/>
          <w:lang w:eastAsia="zh-CN"/>
        </w:rPr>
        <w:t>【基准日（开工报告前</w:t>
      </w:r>
      <w:r>
        <w:rPr>
          <w:rFonts w:hint="eastAsia" w:ascii="宋体" w:hAnsi="宋体" w:eastAsia="宋体" w:cs="宋体"/>
          <w:b w:val="0"/>
          <w:bCs/>
          <w:color w:val="auto"/>
          <w:sz w:val="21"/>
          <w:szCs w:val="21"/>
          <w:highlight w:val="none"/>
          <w:lang w:val="en-US" w:eastAsia="zh-CN"/>
        </w:rPr>
        <w:t>28天</w:t>
      </w:r>
      <w:r>
        <w:rPr>
          <w:rFonts w:hint="eastAsia" w:ascii="宋体" w:hAnsi="宋体" w:eastAsia="宋体" w:cs="宋体"/>
          <w:b w:val="0"/>
          <w:bCs/>
          <w:color w:val="auto"/>
          <w:sz w:val="21"/>
          <w:szCs w:val="21"/>
          <w:highlight w:val="none"/>
          <w:lang w:eastAsia="zh-CN"/>
        </w:rPr>
        <w:t>）当天所对应月份的</w:t>
      </w:r>
      <w:r>
        <w:rPr>
          <w:rFonts w:hint="eastAsia" w:ascii="宋体" w:hAnsi="宋体" w:eastAsia="宋体" w:cs="宋体"/>
          <w:b w:val="0"/>
          <w:bCs/>
          <w:color w:val="auto"/>
          <w:sz w:val="21"/>
          <w:szCs w:val="21"/>
          <w:highlight w:val="none"/>
        </w:rPr>
        <w:t>信息价</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相比扣减风险费用后</w:t>
      </w:r>
      <w:r>
        <w:rPr>
          <w:rFonts w:hint="eastAsia" w:ascii="宋体" w:hAnsi="宋体" w:eastAsia="宋体" w:cs="宋体"/>
          <w:b w:val="0"/>
          <w:bCs/>
          <w:color w:val="auto"/>
          <w:sz w:val="21"/>
          <w:szCs w:val="21"/>
          <w:highlight w:val="none"/>
          <w:lang w:eastAsia="zh-CN"/>
        </w:rPr>
        <w:t>并同比例下浮</w:t>
      </w:r>
      <w:r>
        <w:rPr>
          <w:rFonts w:hint="eastAsia" w:ascii="宋体" w:hAnsi="宋体" w:eastAsia="宋体" w:cs="宋体"/>
          <w:b w:val="0"/>
          <w:bCs/>
          <w:color w:val="auto"/>
          <w:sz w:val="21"/>
          <w:szCs w:val="21"/>
          <w:highlight w:val="none"/>
        </w:rPr>
        <w:t>，计算</w:t>
      </w:r>
      <w:r>
        <w:rPr>
          <w:rFonts w:hint="eastAsia" w:ascii="宋体" w:hAnsi="宋体" w:eastAsia="宋体" w:cs="宋体"/>
          <w:b w:val="0"/>
          <w:bCs/>
          <w:color w:val="auto"/>
          <w:sz w:val="21"/>
          <w:szCs w:val="21"/>
          <w:highlight w:val="none"/>
          <w:lang w:eastAsia="zh-CN"/>
        </w:rPr>
        <w:t>全部或部分</w:t>
      </w:r>
      <w:r>
        <w:rPr>
          <w:rFonts w:hint="eastAsia" w:ascii="宋体" w:hAnsi="宋体" w:eastAsia="宋体" w:cs="宋体"/>
          <w:b w:val="0"/>
          <w:bCs/>
          <w:color w:val="auto"/>
          <w:sz w:val="21"/>
          <w:szCs w:val="21"/>
          <w:highlight w:val="none"/>
        </w:rPr>
        <w:t>人工、材料、机械价差，调整合同价格，价差只计税金，并按整体工程一次性结算。</w:t>
      </w:r>
    </w:p>
    <w:p w14:paraId="39A24B7B">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工期延误（工期延误、工期延长、工程延误开工、工程中途停工）的责任担当按《浙江省建设工程计价规则（2018版）》5.0.6条有关条款执行</w:t>
      </w:r>
      <w:r>
        <w:rPr>
          <w:rFonts w:hint="eastAsia" w:ascii="宋体" w:hAnsi="宋体" w:eastAsia="宋体" w:cs="宋体"/>
          <w:b w:val="0"/>
          <w:bCs/>
          <w:snapToGrid w:val="0"/>
          <w:color w:val="auto"/>
          <w:sz w:val="21"/>
          <w:szCs w:val="21"/>
          <w:highlight w:val="none"/>
        </w:rPr>
        <w:t>。</w:t>
      </w:r>
    </w:p>
    <w:p w14:paraId="5962DD5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4.5 关于结算的有关其他说明</w:t>
      </w:r>
    </w:p>
    <w:p w14:paraId="42B7EE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Cs w:val="21"/>
          <w:highlight w:val="none"/>
          <w:u w:val="none"/>
          <w:lang w:val="en-US" w:eastAsia="zh-CN"/>
        </w:rPr>
      </w:pPr>
      <w:r>
        <w:rPr>
          <w:rFonts w:hint="eastAsia" w:ascii="宋体" w:hAnsi="宋体" w:eastAsia="宋体" w:cs="宋体"/>
          <w:b w:val="0"/>
          <w:bCs/>
          <w:color w:val="auto"/>
          <w:szCs w:val="21"/>
          <w:highlight w:val="none"/>
          <w:u w:val="none"/>
          <w:lang w:val="en-US" w:eastAsia="zh-CN"/>
        </w:rPr>
        <w:t>（1）承包人装修完毕后遗留的建筑垃圾由承包人自行处理外运，费用不另行单独计算。</w:t>
      </w:r>
    </w:p>
    <w:p w14:paraId="660B17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Cs w:val="21"/>
          <w:highlight w:val="none"/>
          <w:u w:val="none"/>
          <w:lang w:val="en-US" w:eastAsia="zh-CN"/>
        </w:rPr>
      </w:pPr>
      <w:r>
        <w:rPr>
          <w:rFonts w:hint="eastAsia" w:ascii="宋体" w:hAnsi="宋体" w:eastAsia="宋体" w:cs="宋体"/>
          <w:b w:val="0"/>
          <w:bCs/>
          <w:color w:val="auto"/>
          <w:szCs w:val="21"/>
          <w:highlight w:val="none"/>
          <w:u w:val="none"/>
          <w:lang w:val="en-US" w:eastAsia="zh-CN"/>
        </w:rPr>
        <w:t>（2）承包人装修完毕后的卫生清理，包括细卫生清理由承包人负责，费用不另行单独计算。</w:t>
      </w:r>
    </w:p>
    <w:p w14:paraId="7422B8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Cs w:val="21"/>
          <w:highlight w:val="none"/>
          <w:u w:val="none"/>
          <w:lang w:val="en-US" w:eastAsia="zh-CN"/>
        </w:rPr>
      </w:pPr>
      <w:r>
        <w:rPr>
          <w:rFonts w:hint="eastAsia" w:ascii="宋体" w:hAnsi="宋体" w:eastAsia="宋体" w:cs="宋体"/>
          <w:b w:val="0"/>
          <w:bCs/>
          <w:color w:val="auto"/>
          <w:szCs w:val="21"/>
          <w:highlight w:val="none"/>
          <w:u w:val="none"/>
          <w:lang w:val="en-US" w:eastAsia="zh-CN"/>
        </w:rPr>
        <w:t>（3）承包人装修过程中的材料上楼搬运费以及材料的二次或多次材料搬运的费用，此费用综合考虑在 组织措施费（二次搬运费）中，该费用不再另行计取。</w:t>
      </w:r>
    </w:p>
    <w:p w14:paraId="6B5657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Cs w:val="21"/>
          <w:highlight w:val="none"/>
          <w:u w:val="none"/>
          <w:lang w:val="en-US" w:eastAsia="zh-CN"/>
        </w:rPr>
      </w:pPr>
      <w:r>
        <w:rPr>
          <w:rFonts w:hint="eastAsia" w:ascii="宋体" w:hAnsi="宋体" w:eastAsia="宋体" w:cs="宋体"/>
          <w:b w:val="0"/>
          <w:bCs/>
          <w:color w:val="auto"/>
          <w:szCs w:val="21"/>
          <w:highlight w:val="none"/>
          <w:u w:val="none"/>
          <w:lang w:val="en-US" w:eastAsia="zh-CN"/>
        </w:rPr>
        <w:t>（4）本项目的夜间加班费、赶工费等，不另行计取。</w:t>
      </w:r>
    </w:p>
    <w:p w14:paraId="11E095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Cs w:val="21"/>
          <w:highlight w:val="none"/>
          <w:u w:val="none"/>
          <w:lang w:val="en-US" w:eastAsia="zh-CN"/>
        </w:rPr>
      </w:pPr>
      <w:r>
        <w:rPr>
          <w:rFonts w:hint="eastAsia" w:ascii="宋体" w:hAnsi="宋体" w:eastAsia="宋体" w:cs="宋体"/>
          <w:b w:val="0"/>
          <w:bCs/>
          <w:color w:val="auto"/>
          <w:szCs w:val="21"/>
          <w:highlight w:val="none"/>
          <w:u w:val="none"/>
          <w:lang w:val="en-US" w:eastAsia="zh-CN"/>
        </w:rPr>
        <w:t>（5）承包人施工过程中应做好现场已有设施的成品保护，承包保护措施相关费用不在另行计取，如由于承包人的成品保护措施未到位造成现有设施损坏的，由承包人负责修复，费用承包人自理。</w:t>
      </w:r>
    </w:p>
    <w:p w14:paraId="10D878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Cs w:val="21"/>
          <w:highlight w:val="none"/>
          <w:u w:val="none"/>
          <w:lang w:val="en-US" w:eastAsia="zh-CN"/>
        </w:rPr>
      </w:pPr>
      <w:r>
        <w:rPr>
          <w:rFonts w:hint="eastAsia" w:ascii="宋体" w:hAnsi="宋体" w:eastAsia="宋体" w:cs="宋体"/>
          <w:b w:val="0"/>
          <w:bCs/>
          <w:color w:val="auto"/>
          <w:szCs w:val="21"/>
          <w:highlight w:val="none"/>
          <w:u w:val="none"/>
          <w:lang w:val="en-US" w:eastAsia="zh-CN"/>
        </w:rPr>
        <w:t>（6）施工用水、用电由发包人提供接口，承包人负责接出，水、电费用由施工单位自行承担并及时支付。</w:t>
      </w:r>
    </w:p>
    <w:p w14:paraId="2BC978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Cs w:val="21"/>
          <w:highlight w:val="none"/>
          <w:u w:val="none"/>
          <w:lang w:val="en-US" w:eastAsia="zh-CN"/>
        </w:rPr>
      </w:pPr>
      <w:r>
        <w:rPr>
          <w:rFonts w:hint="eastAsia" w:ascii="宋体" w:hAnsi="宋体" w:eastAsia="宋体" w:cs="宋体"/>
          <w:b w:val="0"/>
          <w:bCs/>
          <w:color w:val="auto"/>
          <w:szCs w:val="21"/>
          <w:highlight w:val="none"/>
          <w:u w:val="none"/>
          <w:lang w:val="en-US" w:eastAsia="zh-CN"/>
        </w:rPr>
        <w:t>（7）承包人开展设计工作时应充分考虑合同总工期的要求，合理安排设计工作进度，因方案评审、初步设计评审或甲方另行要求进行的设计调整（包括多次调整及重大调整），承包人应无条件配合，根据甲方要求提供评审文本及施工图纸的数量、涉及的评审专家费及由此产生的所有费用在报价中综合考虑，不再另行计量。</w:t>
      </w:r>
    </w:p>
    <w:p w14:paraId="1EED45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Cs w:val="21"/>
          <w:highlight w:val="none"/>
          <w:u w:val="none"/>
          <w:lang w:val="en-US" w:eastAsia="zh-CN"/>
        </w:rPr>
      </w:pPr>
      <w:r>
        <w:rPr>
          <w:rFonts w:hint="eastAsia" w:ascii="宋体" w:hAnsi="宋体" w:eastAsia="宋体" w:cs="宋体"/>
          <w:b w:val="0"/>
          <w:bCs/>
          <w:color w:val="auto"/>
          <w:szCs w:val="21"/>
          <w:highlight w:val="none"/>
          <w:u w:val="none"/>
          <w:lang w:val="en-US" w:eastAsia="zh-CN"/>
        </w:rPr>
        <w:t>（8）承包人应做好安全文明施工措施，并做好施工扬尘治理、环保等，相关费用一并在组织措施费（安全文明施工费）中考虑。</w:t>
      </w:r>
    </w:p>
    <w:p w14:paraId="19CD14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color w:val="auto"/>
          <w:szCs w:val="21"/>
          <w:highlight w:val="none"/>
          <w:u w:val="none"/>
          <w:lang w:val="en-US" w:eastAsia="zh-CN"/>
        </w:rPr>
      </w:pPr>
      <w:r>
        <w:rPr>
          <w:rFonts w:hint="eastAsia" w:ascii="宋体" w:hAnsi="宋体" w:eastAsia="宋体" w:cs="宋体"/>
          <w:b w:val="0"/>
          <w:bCs/>
          <w:color w:val="auto"/>
          <w:szCs w:val="21"/>
          <w:highlight w:val="none"/>
          <w:u w:val="none"/>
          <w:lang w:val="en-US" w:eastAsia="zh-CN"/>
        </w:rPr>
        <w:t>（9）承包人应做好相应的限额设计，本项目工程费用总投资为</w:t>
      </w:r>
      <w:r>
        <w:rPr>
          <w:rFonts w:hint="eastAsia" w:ascii="宋体" w:hAnsi="宋体" w:cs="宋体"/>
          <w:b w:val="0"/>
          <w:bCs/>
          <w:color w:val="auto"/>
          <w:szCs w:val="21"/>
          <w:highlight w:val="none"/>
          <w:u w:val="none"/>
          <w:lang w:val="en-US" w:eastAsia="zh-CN"/>
        </w:rPr>
        <w:t>100</w:t>
      </w:r>
      <w:r>
        <w:rPr>
          <w:rFonts w:hint="eastAsia" w:ascii="宋体" w:hAnsi="宋体" w:eastAsia="宋体" w:cs="宋体"/>
          <w:b w:val="0"/>
          <w:bCs/>
          <w:color w:val="auto"/>
          <w:szCs w:val="21"/>
          <w:highlight w:val="none"/>
          <w:u w:val="none"/>
          <w:lang w:val="en-US" w:eastAsia="zh-CN"/>
        </w:rPr>
        <w:t>万元，结算最终审计后（下浮后）价款不得超过</w:t>
      </w:r>
      <w:r>
        <w:rPr>
          <w:rFonts w:hint="eastAsia" w:ascii="宋体" w:hAnsi="宋体" w:cs="宋体"/>
          <w:b w:val="0"/>
          <w:bCs/>
          <w:color w:val="auto"/>
          <w:szCs w:val="21"/>
          <w:highlight w:val="none"/>
          <w:u w:val="none"/>
          <w:lang w:val="en-US" w:eastAsia="zh-CN"/>
        </w:rPr>
        <w:t>100</w:t>
      </w:r>
      <w:r>
        <w:rPr>
          <w:rFonts w:hint="eastAsia" w:ascii="宋体" w:hAnsi="宋体" w:eastAsia="宋体" w:cs="宋体"/>
          <w:b w:val="0"/>
          <w:bCs/>
          <w:color w:val="auto"/>
          <w:szCs w:val="21"/>
          <w:highlight w:val="none"/>
          <w:u w:val="none"/>
          <w:lang w:val="en-US" w:eastAsia="zh-CN"/>
        </w:rPr>
        <w:t>万元，如最终结算审计价款超过</w:t>
      </w:r>
      <w:r>
        <w:rPr>
          <w:rFonts w:hint="eastAsia" w:ascii="宋体" w:hAnsi="宋体" w:cs="宋体"/>
          <w:b w:val="0"/>
          <w:bCs/>
          <w:color w:val="auto"/>
          <w:szCs w:val="21"/>
          <w:highlight w:val="none"/>
          <w:u w:val="none"/>
          <w:lang w:val="en-US" w:eastAsia="zh-CN"/>
        </w:rPr>
        <w:t>100</w:t>
      </w:r>
      <w:r>
        <w:rPr>
          <w:rFonts w:hint="eastAsia" w:ascii="宋体" w:hAnsi="宋体" w:eastAsia="宋体" w:cs="宋体"/>
          <w:b w:val="0"/>
          <w:bCs/>
          <w:color w:val="auto"/>
          <w:szCs w:val="21"/>
          <w:highlight w:val="none"/>
          <w:u w:val="none"/>
          <w:lang w:val="en-US" w:eastAsia="zh-CN"/>
        </w:rPr>
        <w:t>万元的，则结算按</w:t>
      </w:r>
      <w:r>
        <w:rPr>
          <w:rFonts w:hint="eastAsia" w:ascii="宋体" w:hAnsi="宋体" w:cs="宋体"/>
          <w:b w:val="0"/>
          <w:bCs/>
          <w:color w:val="auto"/>
          <w:szCs w:val="21"/>
          <w:highlight w:val="none"/>
          <w:u w:val="none"/>
          <w:lang w:val="en-US" w:eastAsia="zh-CN"/>
        </w:rPr>
        <w:t>100</w:t>
      </w:r>
      <w:r>
        <w:rPr>
          <w:rFonts w:hint="eastAsia" w:ascii="宋体" w:hAnsi="宋体" w:eastAsia="宋体" w:cs="宋体"/>
          <w:b w:val="0"/>
          <w:bCs/>
          <w:color w:val="auto"/>
          <w:szCs w:val="21"/>
          <w:highlight w:val="none"/>
          <w:u w:val="none"/>
          <w:lang w:val="en-US" w:eastAsia="zh-CN"/>
        </w:rPr>
        <w:t>万元计取，如未超过</w:t>
      </w:r>
      <w:r>
        <w:rPr>
          <w:rFonts w:hint="eastAsia" w:ascii="宋体" w:hAnsi="宋体" w:cs="宋体"/>
          <w:b w:val="0"/>
          <w:bCs/>
          <w:color w:val="auto"/>
          <w:szCs w:val="21"/>
          <w:highlight w:val="none"/>
          <w:u w:val="none"/>
          <w:lang w:val="en-US" w:eastAsia="zh-CN"/>
        </w:rPr>
        <w:t>100</w:t>
      </w:r>
      <w:r>
        <w:rPr>
          <w:rFonts w:hint="eastAsia" w:ascii="宋体" w:hAnsi="宋体" w:eastAsia="宋体" w:cs="宋体"/>
          <w:b w:val="0"/>
          <w:bCs/>
          <w:color w:val="auto"/>
          <w:szCs w:val="21"/>
          <w:highlight w:val="none"/>
          <w:u w:val="none"/>
          <w:lang w:val="en-US" w:eastAsia="zh-CN"/>
        </w:rPr>
        <w:t>万元的，则结算按实际审计价款计取。故承包人应进行合理设计，做好投资控制，该风险由承包人承担。</w:t>
      </w:r>
    </w:p>
    <w:bookmarkEnd w:id="84"/>
    <w:bookmarkEnd w:id="85"/>
    <w:bookmarkEnd w:id="86"/>
    <w:bookmarkEnd w:id="87"/>
    <w:p w14:paraId="547FCE02">
      <w:pPr>
        <w:numPr>
          <w:ilvl w:val="0"/>
          <w:numId w:val="5"/>
        </w:numPr>
        <w:spacing w:line="400" w:lineRule="exact"/>
        <w:outlineLvl w:val="1"/>
        <w:rPr>
          <w:rFonts w:ascii="宋体"/>
          <w:b/>
          <w:color w:val="auto"/>
          <w:sz w:val="24"/>
          <w:highlight w:val="none"/>
        </w:rPr>
      </w:pPr>
      <w:bookmarkStart w:id="88" w:name="_Toc23295"/>
      <w:r>
        <w:rPr>
          <w:rFonts w:hint="eastAsia" w:ascii="宋体" w:hAnsi="宋体"/>
          <w:b/>
          <w:color w:val="auto"/>
          <w:sz w:val="24"/>
          <w:highlight w:val="none"/>
        </w:rPr>
        <w:t>商务要求表</w:t>
      </w:r>
      <w:bookmarkEnd w:id="76"/>
      <w:bookmarkEnd w:id="77"/>
      <w:bookmarkEnd w:id="78"/>
      <w:bookmarkEnd w:id="88"/>
    </w:p>
    <w:tbl>
      <w:tblPr>
        <w:tblStyle w:val="30"/>
        <w:tblW w:w="876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483"/>
      </w:tblGrid>
      <w:tr w14:paraId="049A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5" w:type="dxa"/>
            <w:vAlign w:val="center"/>
          </w:tcPr>
          <w:p w14:paraId="1F1C6B61">
            <w:pPr>
              <w:adjustRightInd w:val="0"/>
              <w:snapToGrid w:val="0"/>
              <w:spacing w:line="400" w:lineRule="exact"/>
              <w:rPr>
                <w:rFonts w:hint="eastAsia" w:ascii="宋体" w:hAnsi="宋体" w:eastAsia="宋体" w:cs="宋体"/>
                <w:b/>
                <w:color w:val="auto"/>
                <w:szCs w:val="21"/>
                <w:highlight w:val="none"/>
                <w:lang w:eastAsia="zh-CN"/>
              </w:rPr>
            </w:pPr>
            <w:bookmarkStart w:id="89" w:name="_Toc1410"/>
            <w:r>
              <w:rPr>
                <w:rFonts w:hint="eastAsia" w:ascii="宋体" w:hAnsi="宋体" w:cs="宋体"/>
                <w:b/>
                <w:color w:val="auto"/>
                <w:szCs w:val="21"/>
                <w:highlight w:val="none"/>
              </w:rPr>
              <w:t>▲</w:t>
            </w:r>
            <w:r>
              <w:rPr>
                <w:rFonts w:hint="eastAsia" w:ascii="宋体" w:hAnsi="宋体" w:cs="宋体"/>
                <w:bCs/>
                <w:color w:val="auto"/>
                <w:szCs w:val="21"/>
                <w:highlight w:val="none"/>
                <w:lang w:val="en-US" w:eastAsia="zh-CN"/>
              </w:rPr>
              <w:t>工期</w:t>
            </w:r>
          </w:p>
        </w:tc>
        <w:tc>
          <w:tcPr>
            <w:tcW w:w="7483" w:type="dxa"/>
            <w:vAlign w:val="center"/>
          </w:tcPr>
          <w:p w14:paraId="7A600F02">
            <w:pPr>
              <w:spacing w:line="400" w:lineRule="exact"/>
              <w:jc w:val="left"/>
              <w:rPr>
                <w:rFonts w:ascii="宋体" w:hAnsi="宋体" w:cs="宋体"/>
                <w:color w:val="auto"/>
                <w:szCs w:val="21"/>
                <w:highlight w:val="none"/>
              </w:rPr>
            </w:pPr>
            <w:r>
              <w:rPr>
                <w:rFonts w:hint="eastAsia" w:ascii="宋体" w:hAnsi="宋体" w:cs="宋体"/>
                <w:color w:val="auto"/>
                <w:kern w:val="0"/>
                <w:szCs w:val="21"/>
                <w:highlight w:val="none"/>
              </w:rPr>
              <w:t>90日历天（设计工期10日历天、施工工期80日历天）</w:t>
            </w:r>
          </w:p>
        </w:tc>
      </w:tr>
      <w:bookmarkEnd w:id="89"/>
      <w:tr w14:paraId="2F61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5" w:type="dxa"/>
            <w:vAlign w:val="center"/>
          </w:tcPr>
          <w:p w14:paraId="7D7C3E15">
            <w:pPr>
              <w:spacing w:line="40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▲付款方式</w:t>
            </w:r>
          </w:p>
        </w:tc>
        <w:tc>
          <w:tcPr>
            <w:tcW w:w="7483" w:type="dxa"/>
            <w:vAlign w:val="center"/>
          </w:tcPr>
          <w:p w14:paraId="4C21685C">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b/>
                <w:color w:val="auto"/>
                <w:szCs w:val="21"/>
                <w:highlight w:val="none"/>
                <w:u w:val="single"/>
                <w:lang w:eastAsia="zh-CN"/>
              </w:rPr>
            </w:pPr>
            <w:r>
              <w:rPr>
                <w:rFonts w:hint="eastAsia" w:ascii="宋体" w:hAnsi="宋体" w:cs="宋体"/>
                <w:b w:val="0"/>
                <w:bCs/>
                <w:color w:val="auto"/>
                <w:kern w:val="0"/>
                <w:szCs w:val="21"/>
                <w:highlight w:val="none"/>
              </w:rPr>
              <w:t>合同生效以及具备实施条件后7个工作日内支付</w:t>
            </w:r>
            <w:r>
              <w:rPr>
                <w:rFonts w:hint="eastAsia" w:ascii="宋体" w:hAnsi="宋体" w:eastAsia="宋体" w:cs="宋体"/>
                <w:b w:val="0"/>
                <w:bCs/>
                <w:color w:val="auto"/>
                <w:szCs w:val="21"/>
                <w:highlight w:val="none"/>
                <w:lang w:val="en-US" w:eastAsia="zh-CN"/>
              </w:rPr>
              <w:t>支付</w:t>
            </w:r>
            <w:r>
              <w:rPr>
                <w:rFonts w:hint="eastAsia" w:ascii="宋体" w:hAnsi="宋体" w:cs="宋体"/>
                <w:b w:val="0"/>
                <w:bCs/>
                <w:color w:val="auto"/>
                <w:szCs w:val="21"/>
                <w:highlight w:val="none"/>
                <w:lang w:val="en-US" w:eastAsia="zh-CN"/>
              </w:rPr>
              <w:t>施工</w:t>
            </w:r>
            <w:r>
              <w:rPr>
                <w:rFonts w:hint="eastAsia" w:ascii="宋体" w:hAnsi="宋体" w:eastAsia="宋体" w:cs="宋体"/>
                <w:b w:val="0"/>
                <w:bCs/>
                <w:color w:val="auto"/>
                <w:szCs w:val="21"/>
                <w:highlight w:val="none"/>
                <w:lang w:val="en-US" w:eastAsia="zh-CN"/>
              </w:rPr>
              <w:t>费用的40%</w:t>
            </w:r>
            <w:r>
              <w:rPr>
                <w:rFonts w:hint="eastAsia" w:ascii="宋体" w:hAnsi="宋体" w:cs="宋体"/>
                <w:b w:val="0"/>
                <w:bCs/>
                <w:color w:val="auto"/>
                <w:szCs w:val="21"/>
                <w:highlight w:val="none"/>
                <w:lang w:val="en-US" w:eastAsia="zh-CN"/>
              </w:rPr>
              <w:t>（预付款）</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u w:val="none"/>
                <w:lang w:eastAsia="zh-CN"/>
              </w:rPr>
              <w:t>进度款</w:t>
            </w:r>
            <w:r>
              <w:rPr>
                <w:rFonts w:hint="eastAsia" w:ascii="宋体" w:hAnsi="宋体" w:eastAsia="宋体" w:cs="宋体"/>
                <w:b w:val="0"/>
                <w:bCs/>
                <w:color w:val="auto"/>
                <w:szCs w:val="21"/>
                <w:highlight w:val="none"/>
                <w:u w:val="none"/>
              </w:rPr>
              <w:t>按月支付，每月支付当月实际完成工程量的</w:t>
            </w:r>
            <w:r>
              <w:rPr>
                <w:rFonts w:hint="eastAsia" w:ascii="宋体" w:hAnsi="宋体" w:eastAsia="宋体" w:cs="宋体"/>
                <w:b w:val="0"/>
                <w:bCs/>
                <w:color w:val="auto"/>
                <w:szCs w:val="21"/>
                <w:highlight w:val="none"/>
                <w:u w:val="none"/>
                <w:lang w:val="en-US" w:eastAsia="zh-CN"/>
              </w:rPr>
              <w:t>80</w:t>
            </w:r>
            <w:r>
              <w:rPr>
                <w:rFonts w:hint="eastAsia" w:ascii="宋体" w:hAnsi="宋体" w:eastAsia="宋体" w:cs="宋体"/>
                <w:b w:val="0"/>
                <w:bCs/>
                <w:color w:val="auto"/>
                <w:szCs w:val="21"/>
                <w:highlight w:val="none"/>
                <w:u w:val="none"/>
              </w:rPr>
              <w:t>%；工程竣工验收合格并提供竣工资料后付至</w:t>
            </w:r>
            <w:r>
              <w:rPr>
                <w:rFonts w:hint="eastAsia" w:ascii="宋体" w:hAnsi="宋体" w:eastAsia="宋体" w:cs="宋体"/>
                <w:b w:val="0"/>
                <w:bCs/>
                <w:color w:val="auto"/>
                <w:szCs w:val="21"/>
                <w:highlight w:val="none"/>
                <w:u w:val="none"/>
                <w:lang w:eastAsia="zh-CN"/>
              </w:rPr>
              <w:t>实际</w:t>
            </w:r>
            <w:r>
              <w:rPr>
                <w:rFonts w:hint="eastAsia" w:ascii="宋体" w:hAnsi="宋体" w:eastAsia="宋体" w:cs="宋体"/>
                <w:b w:val="0"/>
                <w:bCs/>
                <w:color w:val="auto"/>
                <w:szCs w:val="21"/>
                <w:highlight w:val="none"/>
                <w:u w:val="none"/>
              </w:rPr>
              <w:t>工程费用的</w:t>
            </w:r>
            <w:r>
              <w:rPr>
                <w:rFonts w:hint="eastAsia" w:ascii="宋体" w:hAnsi="宋体" w:eastAsia="宋体" w:cs="宋体"/>
                <w:b w:val="0"/>
                <w:bCs/>
                <w:color w:val="auto"/>
                <w:szCs w:val="21"/>
                <w:highlight w:val="none"/>
                <w:u w:val="none"/>
                <w:lang w:val="en-US" w:eastAsia="zh-CN"/>
              </w:rPr>
              <w:t>85</w:t>
            </w:r>
            <w:r>
              <w:rPr>
                <w:rFonts w:hint="eastAsia" w:ascii="宋体" w:hAnsi="宋体" w:eastAsia="宋体" w:cs="宋体"/>
                <w:b w:val="0"/>
                <w:bCs/>
                <w:color w:val="auto"/>
                <w:szCs w:val="21"/>
                <w:highlight w:val="none"/>
                <w:u w:val="none"/>
              </w:rPr>
              <w:t>%</w:t>
            </w:r>
            <w:r>
              <w:rPr>
                <w:rFonts w:hint="eastAsia" w:ascii="宋体" w:hAnsi="宋体" w:eastAsia="宋体" w:cs="宋体"/>
                <w:b w:val="0"/>
                <w:bCs/>
                <w:color w:val="auto"/>
                <w:szCs w:val="21"/>
                <w:highlight w:val="none"/>
                <w:u w:val="none"/>
                <w:lang w:eastAsia="zh-CN"/>
              </w:rPr>
              <w:t>或审定预算价的</w:t>
            </w:r>
            <w:r>
              <w:rPr>
                <w:rFonts w:hint="eastAsia" w:ascii="宋体" w:hAnsi="宋体" w:eastAsia="宋体" w:cs="宋体"/>
                <w:b w:val="0"/>
                <w:bCs/>
                <w:color w:val="auto"/>
                <w:szCs w:val="21"/>
                <w:highlight w:val="none"/>
                <w:u w:val="none"/>
                <w:lang w:val="en-US" w:eastAsia="zh-CN"/>
              </w:rPr>
              <w:t>85%</w:t>
            </w:r>
            <w:r>
              <w:rPr>
                <w:rFonts w:hint="eastAsia" w:ascii="宋体" w:hAnsi="宋体" w:eastAsia="宋体" w:cs="宋体"/>
                <w:b w:val="0"/>
                <w:bCs/>
                <w:color w:val="auto"/>
                <w:szCs w:val="21"/>
                <w:highlight w:val="none"/>
                <w:u w:val="none"/>
                <w:lang w:eastAsia="zh-CN"/>
              </w:rPr>
              <w:t>（以两者中较少者为准，且最后支付扣回预付款）</w:t>
            </w:r>
            <w:r>
              <w:rPr>
                <w:rFonts w:hint="eastAsia" w:ascii="宋体" w:hAnsi="宋体" w:eastAsia="宋体" w:cs="宋体"/>
                <w:b w:val="0"/>
                <w:bCs/>
                <w:color w:val="auto"/>
                <w:szCs w:val="21"/>
                <w:highlight w:val="none"/>
                <w:u w:val="none"/>
              </w:rPr>
              <w:t>，工程审计完成支付至审计价的</w:t>
            </w:r>
            <w:r>
              <w:rPr>
                <w:rFonts w:hint="eastAsia" w:ascii="宋体" w:hAnsi="宋体" w:cs="宋体"/>
                <w:b w:val="0"/>
                <w:bCs/>
                <w:color w:val="auto"/>
                <w:szCs w:val="21"/>
                <w:highlight w:val="none"/>
                <w:u w:val="none"/>
                <w:lang w:val="en-US" w:eastAsia="zh-CN"/>
              </w:rPr>
              <w:t>100</w:t>
            </w:r>
            <w:r>
              <w:rPr>
                <w:rFonts w:hint="eastAsia" w:ascii="宋体" w:hAnsi="宋体" w:eastAsia="宋体" w:cs="宋体"/>
                <w:b w:val="0"/>
                <w:bCs/>
                <w:color w:val="auto"/>
                <w:szCs w:val="21"/>
                <w:highlight w:val="none"/>
                <w:u w:val="none"/>
              </w:rPr>
              <w:t>%</w:t>
            </w:r>
            <w:r>
              <w:rPr>
                <w:rFonts w:hint="eastAsia" w:ascii="宋体" w:hAnsi="宋体" w:cs="宋体"/>
                <w:b w:val="0"/>
                <w:bCs/>
                <w:color w:val="auto"/>
                <w:szCs w:val="21"/>
                <w:highlight w:val="none"/>
                <w:u w:val="none"/>
                <w:lang w:eastAsia="zh-CN"/>
              </w:rPr>
              <w:t>。</w:t>
            </w:r>
          </w:p>
          <w:p w14:paraId="4E41C669">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b w:val="0"/>
                <w:bCs/>
                <w:i w:val="0"/>
                <w:iCs w:val="0"/>
                <w:color w:val="auto"/>
                <w:sz w:val="21"/>
                <w:szCs w:val="21"/>
                <w:highlight w:val="none"/>
                <w:u w:val="none"/>
                <w:lang w:eastAsia="zh-CN"/>
              </w:rPr>
            </w:pPr>
            <w:r>
              <w:rPr>
                <w:rFonts w:hint="eastAsia" w:ascii="宋体" w:hAnsi="宋体" w:eastAsia="宋体" w:cs="宋体"/>
                <w:b w:val="0"/>
                <w:bCs/>
                <w:i w:val="0"/>
                <w:iCs w:val="0"/>
                <w:color w:val="auto"/>
                <w:sz w:val="21"/>
                <w:szCs w:val="21"/>
                <w:highlight w:val="none"/>
                <w:u w:val="none"/>
                <w:lang w:eastAsia="zh-CN"/>
              </w:rPr>
              <w:t>注：月进度款支付依据为本项目审核后的施工图预算，如施工图预算未审核或未定稿月进度款不予支付。</w:t>
            </w:r>
          </w:p>
          <w:p w14:paraId="1B4BE71F">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按采购人要求提供结算资料及合法的税务发票。</w:t>
            </w:r>
          </w:p>
        </w:tc>
      </w:tr>
      <w:tr w14:paraId="4E8E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5" w:type="dxa"/>
            <w:vAlign w:val="center"/>
          </w:tcPr>
          <w:p w14:paraId="2246869B">
            <w:pPr>
              <w:spacing w:line="400" w:lineRule="exact"/>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知识产权保护</w:t>
            </w:r>
          </w:p>
        </w:tc>
        <w:tc>
          <w:tcPr>
            <w:tcW w:w="7483" w:type="dxa"/>
            <w:vAlign w:val="center"/>
          </w:tcPr>
          <w:p w14:paraId="5EECB30B">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1、投标人保证本项投标文件及资料均未侵犯他人的知识产权，否则须承担由此引起的全部法律责任和经济责任；</w:t>
            </w:r>
          </w:p>
          <w:p w14:paraId="74DC8825">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2、若投标人使用他人的专利、专有技术，投标人应自行承担所涉及的一切费用；</w:t>
            </w:r>
          </w:p>
          <w:p w14:paraId="24D228A1">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3、招标人对各投标人递交的投标方案不予退回。</w:t>
            </w:r>
          </w:p>
          <w:p w14:paraId="5D6866C3">
            <w:pPr>
              <w:keepNext w:val="0"/>
              <w:keepLines w:val="0"/>
              <w:pageBreakBefore w:val="0"/>
              <w:kinsoku/>
              <w:wordWrap/>
              <w:overflowPunct/>
              <w:topLinePunct w:val="0"/>
              <w:autoSpaceDE/>
              <w:autoSpaceDN/>
              <w:bidi w:val="0"/>
              <w:adjustRightInd w:val="0"/>
              <w:snapToGrid w:val="0"/>
              <w:spacing w:line="400" w:lineRule="exact"/>
              <w:textAlignment w:val="auto"/>
              <w:outlineLvl w:val="9"/>
              <w:rPr>
                <w:rFonts w:ascii="宋体" w:hAnsi="宋体" w:cs="宋体"/>
                <w:bCs/>
                <w:color w:val="auto"/>
                <w:kern w:val="0"/>
                <w:szCs w:val="21"/>
                <w:highlight w:val="none"/>
              </w:rPr>
            </w:pPr>
            <w:r>
              <w:rPr>
                <w:rFonts w:hint="eastAsia" w:ascii="宋体" w:hAnsi="宋体" w:eastAsia="宋体" w:cs="宋体"/>
                <w:b/>
                <w:bCs/>
                <w:color w:val="auto"/>
                <w:szCs w:val="21"/>
                <w:highlight w:val="none"/>
                <w:shd w:val="clear" w:color="auto" w:fill="FFFFFF"/>
              </w:rPr>
              <w:t>4、</w:t>
            </w:r>
            <w:r>
              <w:rPr>
                <w:rFonts w:hint="eastAsia" w:ascii="宋体" w:hAnsi="宋体" w:eastAsia="宋体" w:cs="宋体"/>
                <w:b/>
                <w:color w:val="auto"/>
                <w:szCs w:val="21"/>
                <w:highlight w:val="none"/>
                <w:shd w:val="clear" w:color="auto" w:fill="FFFFFF"/>
              </w:rPr>
              <w:t>招标人有权在评标会后公开介绍、展示、评价、推广已支付方案设计使用费的投标方案，不再支付其它费用。</w:t>
            </w:r>
          </w:p>
        </w:tc>
      </w:tr>
    </w:tbl>
    <w:p w14:paraId="3402161C">
      <w:pPr>
        <w:overflowPunct w:val="0"/>
        <w:spacing w:line="400" w:lineRule="exact"/>
        <w:ind w:firstLine="422" w:firstLineChars="200"/>
        <w:rPr>
          <w:rFonts w:ascii="宋体" w:hAnsi="宋体" w:cs="宋体"/>
          <w:b/>
          <w:bCs/>
          <w:color w:val="auto"/>
          <w:szCs w:val="21"/>
          <w:highlight w:val="none"/>
        </w:rPr>
      </w:pPr>
    </w:p>
    <w:p w14:paraId="51629FF3">
      <w:pPr>
        <w:overflowPunct w:val="0"/>
        <w:spacing w:line="400" w:lineRule="exact"/>
        <w:ind w:firstLine="422" w:firstLineChars="200"/>
        <w:rPr>
          <w:rFonts w:ascii="宋体" w:cs="宋体"/>
          <w:b/>
          <w:bCs/>
          <w:color w:val="auto"/>
          <w:szCs w:val="21"/>
          <w:highlight w:val="none"/>
        </w:rPr>
      </w:pPr>
      <w:r>
        <w:rPr>
          <w:rFonts w:hint="eastAsia" w:ascii="宋体" w:hAnsi="宋体" w:cs="宋体"/>
          <w:b/>
          <w:bCs/>
          <w:color w:val="auto"/>
          <w:szCs w:val="21"/>
          <w:highlight w:val="none"/>
        </w:rPr>
        <w:t>本磋商文件中带“</w:t>
      </w:r>
      <w:r>
        <w:rPr>
          <w:rFonts w:hint="eastAsia" w:ascii="宋体" w:hAnsi="宋体" w:cs="宋体"/>
          <w:color w:val="auto"/>
          <w:kern w:val="0"/>
          <w:szCs w:val="21"/>
          <w:highlight w:val="none"/>
          <w:lang w:eastAsia="zh-Hans" w:bidi="ar"/>
        </w:rPr>
        <w:t>★</w:t>
      </w:r>
      <w:r>
        <w:rPr>
          <w:rFonts w:hint="eastAsia" w:ascii="宋体" w:hAnsi="宋体" w:cs="宋体"/>
          <w:b/>
          <w:bCs/>
          <w:color w:val="auto"/>
          <w:szCs w:val="21"/>
          <w:highlight w:val="none"/>
        </w:rPr>
        <w:t>”的条款为重要条款，供应商在响应文件中未作出响应，不作无效标处理；带“▲”的条款为主要条款，供应商必须在响应文件中全部作出响应，否则将作无效标处理。</w:t>
      </w:r>
    </w:p>
    <w:p w14:paraId="11EBCE4D">
      <w:pPr>
        <w:overflowPunct w:val="0"/>
        <w:autoSpaceDE w:val="0"/>
        <w:autoSpaceDN w:val="0"/>
        <w:adjustRightInd w:val="0"/>
        <w:snapToGrid w:val="0"/>
        <w:spacing w:line="400" w:lineRule="exact"/>
        <w:ind w:firstLine="422" w:firstLineChars="200"/>
        <w:textAlignment w:val="bottom"/>
        <w:rPr>
          <w:rFonts w:ascii="宋体" w:hAnsi="宋体" w:cs="宋体"/>
          <w:b/>
          <w:bCs/>
          <w:iCs/>
          <w:color w:val="auto"/>
          <w:szCs w:val="21"/>
          <w:highlight w:val="none"/>
        </w:rPr>
      </w:pPr>
      <w:r>
        <w:rPr>
          <w:rFonts w:hint="eastAsia" w:ascii="宋体" w:hAnsi="宋体" w:cs="宋体"/>
          <w:b/>
          <w:bCs/>
          <w:iCs/>
          <w:color w:val="auto"/>
          <w:szCs w:val="21"/>
          <w:highlight w:val="non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0DE45134">
      <w:pPr>
        <w:rPr>
          <w:rFonts w:ascii="宋体" w:hAnsi="宋体" w:cs="宋体"/>
          <w:b/>
          <w:bCs/>
          <w:iCs/>
          <w:color w:val="auto"/>
          <w:szCs w:val="21"/>
          <w:highlight w:val="none"/>
        </w:rPr>
      </w:pPr>
      <w:r>
        <w:rPr>
          <w:rFonts w:hint="eastAsia" w:ascii="宋体" w:hAnsi="宋体" w:cs="宋体"/>
          <w:b/>
          <w:bCs/>
          <w:iCs/>
          <w:color w:val="auto"/>
          <w:szCs w:val="21"/>
          <w:highlight w:val="none"/>
        </w:rPr>
        <w:br w:type="page"/>
      </w:r>
    </w:p>
    <w:p w14:paraId="416AD5AB">
      <w:pPr>
        <w:pStyle w:val="3"/>
        <w:keepNext w:val="0"/>
        <w:keepLines w:val="0"/>
        <w:overflowPunct w:val="0"/>
        <w:spacing w:before="0" w:after="0" w:line="600" w:lineRule="exact"/>
        <w:jc w:val="center"/>
        <w:rPr>
          <w:rFonts w:ascii="宋体" w:cs="宋体"/>
          <w:color w:val="auto"/>
          <w:sz w:val="32"/>
          <w:szCs w:val="32"/>
          <w:highlight w:val="none"/>
        </w:rPr>
      </w:pPr>
      <w:bookmarkStart w:id="90" w:name="_Toc21683"/>
      <w:bookmarkStart w:id="91" w:name="_Toc12970"/>
      <w:bookmarkStart w:id="92" w:name="_Toc18790"/>
      <w:bookmarkStart w:id="93" w:name="_Toc402872203"/>
      <w:bookmarkStart w:id="94" w:name="_Toc18787"/>
      <w:r>
        <w:rPr>
          <w:rFonts w:hint="eastAsia" w:ascii="宋体" w:hAnsi="宋体" w:cs="宋体"/>
          <w:color w:val="auto"/>
          <w:sz w:val="32"/>
          <w:szCs w:val="32"/>
          <w:highlight w:val="none"/>
        </w:rPr>
        <w:t>第四章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磋商原则和程序</w:t>
      </w:r>
      <w:bookmarkEnd w:id="90"/>
      <w:bookmarkEnd w:id="91"/>
      <w:bookmarkEnd w:id="92"/>
      <w:bookmarkEnd w:id="93"/>
      <w:bookmarkEnd w:id="94"/>
    </w:p>
    <w:p w14:paraId="0A29F8AA">
      <w:pPr>
        <w:overflowPunct w:val="0"/>
        <w:snapToGrid w:val="0"/>
        <w:spacing w:line="400" w:lineRule="exact"/>
        <w:ind w:firstLine="420" w:firstLineChars="200"/>
        <w:rPr>
          <w:rFonts w:ascii="宋体" w:cs="宋体"/>
          <w:bCs/>
          <w:color w:val="auto"/>
          <w:szCs w:val="21"/>
          <w:highlight w:val="none"/>
        </w:rPr>
      </w:pPr>
      <w:bookmarkStart w:id="95" w:name="_Toc17438"/>
      <w:bookmarkStart w:id="96" w:name="_Toc6985"/>
      <w:r>
        <w:rPr>
          <w:rFonts w:hint="eastAsia" w:ascii="宋体" w:hAnsi="宋体" w:cs="宋体"/>
          <w:bCs/>
          <w:color w:val="auto"/>
          <w:szCs w:val="21"/>
          <w:highlight w:val="none"/>
        </w:rPr>
        <w:t>根据《中华人民共和国政府采购法》、《政府采购竞争性磋商采购方式管理暂行办法》等要求，遵循公开、公平、公正、科学、择优原则和诚实、信誉、效率的服务原则，制定本评审办法。</w:t>
      </w:r>
      <w:bookmarkEnd w:id="95"/>
      <w:bookmarkEnd w:id="96"/>
    </w:p>
    <w:p w14:paraId="708ADD76">
      <w:pPr>
        <w:pStyle w:val="4"/>
        <w:keepNext w:val="0"/>
        <w:keepLines w:val="0"/>
        <w:overflowPunct w:val="0"/>
        <w:spacing w:before="0" w:after="0" w:line="400" w:lineRule="exact"/>
        <w:rPr>
          <w:rFonts w:ascii="宋体" w:hAnsi="宋体" w:eastAsia="宋体" w:cs="宋体"/>
          <w:color w:val="auto"/>
          <w:sz w:val="21"/>
          <w:szCs w:val="21"/>
          <w:highlight w:val="none"/>
        </w:rPr>
      </w:pPr>
      <w:bookmarkStart w:id="97" w:name="_Toc3163"/>
      <w:bookmarkStart w:id="98" w:name="_Toc402872204"/>
      <w:bookmarkStart w:id="99" w:name="_Toc282640741"/>
      <w:bookmarkStart w:id="100" w:name="_Toc14739"/>
      <w:bookmarkStart w:id="101" w:name="_Toc5294"/>
      <w:bookmarkStart w:id="102" w:name="_Toc31017"/>
      <w:bookmarkStart w:id="103" w:name="_Toc20773"/>
      <w:bookmarkStart w:id="104" w:name="_Toc10937"/>
      <w:bookmarkStart w:id="105" w:name="_Toc25894"/>
      <w:r>
        <w:rPr>
          <w:rFonts w:hint="eastAsia" w:ascii="宋体" w:hAnsi="宋体" w:eastAsia="宋体" w:cs="宋体"/>
          <w:color w:val="auto"/>
          <w:sz w:val="21"/>
          <w:szCs w:val="21"/>
          <w:highlight w:val="none"/>
        </w:rPr>
        <w:t>一、</w:t>
      </w:r>
      <w:bookmarkEnd w:id="97"/>
      <w:bookmarkEnd w:id="98"/>
      <w:bookmarkEnd w:id="99"/>
      <w:bookmarkEnd w:id="100"/>
      <w:bookmarkEnd w:id="101"/>
      <w:r>
        <w:rPr>
          <w:rFonts w:hint="eastAsia" w:ascii="宋体" w:hAnsi="宋体" w:eastAsia="宋体" w:cs="宋体"/>
          <w:color w:val="auto"/>
          <w:sz w:val="21"/>
          <w:szCs w:val="21"/>
          <w:highlight w:val="none"/>
        </w:rPr>
        <w:t>开启响应文件</w:t>
      </w:r>
      <w:bookmarkEnd w:id="102"/>
      <w:bookmarkEnd w:id="103"/>
      <w:bookmarkEnd w:id="104"/>
      <w:bookmarkEnd w:id="105"/>
    </w:p>
    <w:p w14:paraId="09E8677A">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bookmarkStart w:id="106" w:name="_Toc282640744"/>
      <w:bookmarkStart w:id="107" w:name="_Toc8657"/>
      <w:bookmarkStart w:id="108" w:name="_Toc21671"/>
      <w:bookmarkStart w:id="109" w:name="_Toc10100"/>
      <w:bookmarkStart w:id="110" w:name="_Toc402872205"/>
      <w:r>
        <w:rPr>
          <w:rFonts w:hint="eastAsia" w:ascii="宋体" w:hAnsi="宋体" w:cs="宋体"/>
          <w:bCs/>
          <w:color w:val="auto"/>
          <w:szCs w:val="21"/>
          <w:highlight w:val="none"/>
        </w:rPr>
        <w:t>1、采购组织机构将按照采购文件规定的时间通过“政采云平台”组织磋商、开启响应文件，所有供应商均应当准时在线参加。</w:t>
      </w:r>
    </w:p>
    <w:p w14:paraId="2FC0BA58">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2、供应商法定代表人或法定代表人授权代表必须在线出席磋商会议。供应商因未在线出席磋商会议而导致响应文件无法按时解密等一切后果由供应商自行承担。</w:t>
      </w:r>
    </w:p>
    <w:p w14:paraId="3304F8CB">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3、磋商时间到，采购代理机构将向各供应商发出“电子加密响应文件”的解密通知，各供应商代 表应当在接到解密通知后30分钟内自行完成“电子加密响应文件”的在线解密。</w:t>
      </w:r>
    </w:p>
    <w:p w14:paraId="24C6575C">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14:paraId="6BEC18EF">
      <w:pPr>
        <w:pStyle w:val="4"/>
        <w:keepNext w:val="0"/>
        <w:keepLines w:val="0"/>
        <w:overflowPunct w:val="0"/>
        <w:spacing w:before="0" w:after="0" w:line="400" w:lineRule="exact"/>
        <w:rPr>
          <w:rFonts w:ascii="宋体" w:hAnsi="宋体" w:eastAsia="宋体" w:cs="宋体"/>
          <w:color w:val="auto"/>
          <w:sz w:val="21"/>
          <w:szCs w:val="21"/>
          <w:highlight w:val="none"/>
        </w:rPr>
      </w:pPr>
      <w:bookmarkStart w:id="111" w:name="_Toc5477"/>
      <w:bookmarkStart w:id="112" w:name="_Toc23343"/>
      <w:bookmarkStart w:id="113" w:name="_Toc18438"/>
      <w:bookmarkStart w:id="114" w:name="_Toc10089"/>
      <w:r>
        <w:rPr>
          <w:rFonts w:hint="eastAsia" w:ascii="宋体" w:hAnsi="宋体" w:eastAsia="宋体" w:cs="宋体"/>
          <w:color w:val="auto"/>
          <w:sz w:val="21"/>
          <w:szCs w:val="21"/>
          <w:highlight w:val="none"/>
        </w:rPr>
        <w:t>二、磋商小组</w:t>
      </w:r>
      <w:bookmarkEnd w:id="106"/>
      <w:bookmarkEnd w:id="107"/>
      <w:bookmarkEnd w:id="108"/>
      <w:bookmarkEnd w:id="109"/>
      <w:bookmarkEnd w:id="110"/>
      <w:bookmarkEnd w:id="111"/>
      <w:bookmarkEnd w:id="112"/>
      <w:bookmarkEnd w:id="113"/>
      <w:bookmarkEnd w:id="114"/>
    </w:p>
    <w:p w14:paraId="40ED678B">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1、本项目磋商小组依法由3人（含）以上奇数的人员组成，磋商小组对响应文件进行审查、质疑、评估和比较。</w:t>
      </w:r>
    </w:p>
    <w:p w14:paraId="39C813F5">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2、磋商期间，供应商法人代表或授权委托人必须在场，负责解答有关事宜。 </w:t>
      </w:r>
    </w:p>
    <w:p w14:paraId="3781E288">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3、磋商过程应严格保密，磋商小组及有关工作人员应严格遵守纪律，不得泄露任何磋商信息。</w:t>
      </w:r>
    </w:p>
    <w:p w14:paraId="49F2A2F0">
      <w:pPr>
        <w:pStyle w:val="4"/>
        <w:keepNext w:val="0"/>
        <w:keepLines w:val="0"/>
        <w:overflowPunct w:val="0"/>
        <w:spacing w:before="0" w:after="0" w:line="400" w:lineRule="exact"/>
        <w:rPr>
          <w:rFonts w:ascii="宋体" w:hAnsi="宋体" w:eastAsia="宋体" w:cs="宋体"/>
          <w:color w:val="auto"/>
          <w:sz w:val="21"/>
          <w:szCs w:val="21"/>
          <w:highlight w:val="none"/>
        </w:rPr>
      </w:pPr>
      <w:bookmarkStart w:id="115" w:name="_Toc1065"/>
      <w:bookmarkStart w:id="116" w:name="_Toc1103"/>
      <w:bookmarkStart w:id="117" w:name="_Toc20285"/>
      <w:bookmarkStart w:id="118" w:name="_Toc1737"/>
      <w:bookmarkStart w:id="119" w:name="_Toc19155"/>
      <w:bookmarkStart w:id="120" w:name="_Toc24827"/>
      <w:bookmarkStart w:id="121" w:name="_Toc1211"/>
      <w:bookmarkStart w:id="122" w:name="_Toc402872206"/>
      <w:r>
        <w:rPr>
          <w:rFonts w:hint="eastAsia" w:ascii="宋体" w:hAnsi="宋体" w:eastAsia="宋体" w:cs="宋体"/>
          <w:color w:val="auto"/>
          <w:sz w:val="21"/>
          <w:szCs w:val="21"/>
          <w:highlight w:val="none"/>
        </w:rPr>
        <w:t>三、竞争性磋商原则与方法</w:t>
      </w:r>
      <w:bookmarkEnd w:id="115"/>
      <w:bookmarkEnd w:id="116"/>
      <w:bookmarkEnd w:id="117"/>
      <w:bookmarkEnd w:id="118"/>
      <w:bookmarkEnd w:id="119"/>
      <w:bookmarkEnd w:id="120"/>
      <w:bookmarkEnd w:id="121"/>
      <w:bookmarkEnd w:id="122"/>
    </w:p>
    <w:p w14:paraId="12BCA869">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1、磋商小组将遵循公开、公平、公正的原则，对供应商提供服务的价格、服务水平、服务期、服务方案、人员配置、供应商基本情况、履约能力等进行综合分析考评。</w:t>
      </w:r>
    </w:p>
    <w:p w14:paraId="62ADBCE9">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2、磋商小组应客观、公正的对待所有供应商，对所有响应文件评价，均采用相同的程序和标准。 </w:t>
      </w:r>
    </w:p>
    <w:p w14:paraId="23B596AE">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3、在磋商期间，供应商不得向磋商小组成员询问磋商情况，不得进行旨在影响磋商结果的活动，否则将废除其磋商资格。 </w:t>
      </w:r>
    </w:p>
    <w:p w14:paraId="775ECB85">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4、在磋商过程中，磋商小组成员不得与供应商私下交换意见，在竞争性磋商工作结束后，凡与磋商情况有接触的人不得将磋商情况扩散出磋商小组成员之外。 </w:t>
      </w:r>
    </w:p>
    <w:p w14:paraId="540E30D7">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5、采购招标单位不向未成交供应商解释未成交原因，不退还响应文件。</w:t>
      </w:r>
    </w:p>
    <w:p w14:paraId="332393CC">
      <w:pPr>
        <w:pStyle w:val="4"/>
        <w:keepNext w:val="0"/>
        <w:keepLines w:val="0"/>
        <w:overflowPunct w:val="0"/>
        <w:spacing w:before="0" w:after="0" w:line="400" w:lineRule="exact"/>
        <w:rPr>
          <w:rFonts w:ascii="宋体" w:hAnsi="宋体" w:eastAsia="宋体" w:cs="宋体"/>
          <w:color w:val="auto"/>
          <w:sz w:val="21"/>
          <w:szCs w:val="21"/>
          <w:highlight w:val="none"/>
        </w:rPr>
      </w:pPr>
      <w:bookmarkStart w:id="123" w:name="_Toc5611"/>
      <w:bookmarkStart w:id="124" w:name="_Toc22542"/>
      <w:bookmarkStart w:id="125" w:name="_Toc32039"/>
      <w:bookmarkStart w:id="126" w:name="_Toc15794"/>
      <w:bookmarkStart w:id="127" w:name="_Toc32595"/>
      <w:bookmarkStart w:id="128" w:name="_Toc19079"/>
      <w:bookmarkStart w:id="129" w:name="_Toc29829"/>
      <w:bookmarkStart w:id="130" w:name="_Toc282640747"/>
      <w:bookmarkStart w:id="131" w:name="_Toc402872207"/>
      <w:r>
        <w:rPr>
          <w:rFonts w:hint="eastAsia" w:ascii="宋体" w:hAnsi="宋体" w:eastAsia="宋体" w:cs="宋体"/>
          <w:color w:val="auto"/>
          <w:sz w:val="21"/>
          <w:szCs w:val="21"/>
          <w:highlight w:val="none"/>
        </w:rPr>
        <w:t>四、磋商程序</w:t>
      </w:r>
      <w:bookmarkEnd w:id="123"/>
      <w:bookmarkEnd w:id="124"/>
      <w:bookmarkEnd w:id="125"/>
      <w:bookmarkEnd w:id="126"/>
      <w:bookmarkEnd w:id="127"/>
      <w:bookmarkEnd w:id="128"/>
      <w:bookmarkEnd w:id="129"/>
      <w:bookmarkEnd w:id="130"/>
      <w:bookmarkEnd w:id="131"/>
    </w:p>
    <w:p w14:paraId="4E779613">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1、响应文件解密后，磋商小组将对依法对供应商的资格进行审查，资格审查结束后进入符合性审查和资信技术的评审工作。 </w:t>
      </w:r>
    </w:p>
    <w:p w14:paraId="4A9151CD">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 </w:t>
      </w:r>
    </w:p>
    <w:p w14:paraId="43524622">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3、磋商小组所有成员应当集中与单一供应商分别进行磋商，并给予所有参加磋商的供应商平等的磋商机会。 </w:t>
      </w:r>
    </w:p>
    <w:p w14:paraId="3FDDA4D3">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 权代表签字或者加盖公章。由授权代表签字的，应当附法定代表人授权书。 </w:t>
      </w:r>
    </w:p>
    <w:p w14:paraId="1A9157CB">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5、磋商文件能够详细列明采购标的的技术、服务要求的，磋商结束后，磋商小组应当要求所有实质性响应的供应商在规定时间内提交最后报价，除规定的情形外，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初次报价不公开。</w:t>
      </w:r>
    </w:p>
    <w:p w14:paraId="53E3F512">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6、已提交响应文件的供应商，在提交最后报价之前，可以根据磋商情况退出磋商。 </w:t>
      </w:r>
    </w:p>
    <w:p w14:paraId="1CB51638">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7、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 </w:t>
      </w:r>
    </w:p>
    <w:p w14:paraId="4047E2AD">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8、经磋商确定最终采购需求后，由磋商小组根据采购文件规定的评分办法对响应文件的技术资信部分进行评分。 </w:t>
      </w:r>
    </w:p>
    <w:p w14:paraId="43C86F31">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9、磋商小组在磋商结束后，要求所有继续参加磋商的供应商在规定时间内提交最后报价。超过规定时间提交的报价无效。 </w:t>
      </w:r>
    </w:p>
    <w:p w14:paraId="3D847E51">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10、供应商在规定的时间内提交最终报价，代理机构协助计算供应商的价格得分。 </w:t>
      </w:r>
    </w:p>
    <w:p w14:paraId="1F802F37">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11、采购代理机构协助磋商小组汇总计算各供应商综合得分。 </w:t>
      </w:r>
    </w:p>
    <w:p w14:paraId="78599D01">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12、磋商小组应当根据综合评分情况，按照评审得分由高到低顺序推荐3名成交候选供应商（有效供应商不足3家的情形除外），并编写评审报告，采购人根据评审报告推荐的顺序确定第一名为成交供应商。符合相关规定情形的，可以推荐2家成交候选供应商。评审得分相同的，按照最后报价由低到高的顺序推荐。评审得分且最后报价相同的，按照技术指标优劣顺序推荐。 </w:t>
      </w:r>
    </w:p>
    <w:p w14:paraId="16FB8C33">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13、磋商小组通过电子交易平台向采购人及其委托的代理机构提交评审报告。同时打印纸质评审报告签署后由采购代理机构保存。</w:t>
      </w:r>
    </w:p>
    <w:p w14:paraId="2EE84CA5">
      <w:pPr>
        <w:overflowPunct w:val="0"/>
        <w:autoSpaceDE w:val="0"/>
        <w:autoSpaceDN w:val="0"/>
        <w:adjustRightInd w:val="0"/>
        <w:snapToGrid w:val="0"/>
        <w:spacing w:line="400" w:lineRule="exact"/>
        <w:ind w:firstLine="422" w:firstLineChars="200"/>
        <w:textAlignment w:val="bottom"/>
        <w:rPr>
          <w:rFonts w:ascii="宋体" w:cs="宋体"/>
          <w:bCs/>
          <w:color w:val="auto"/>
          <w:szCs w:val="21"/>
          <w:highlight w:val="none"/>
        </w:rPr>
      </w:pPr>
      <w:r>
        <w:rPr>
          <w:rFonts w:hint="eastAsia" w:ascii="宋体" w:hAnsi="宋体" w:cs="宋体"/>
          <w:b/>
          <w:color w:val="auto"/>
          <w:szCs w:val="21"/>
          <w:highlight w:val="none"/>
        </w:rPr>
        <w:t>特别说明：政采云平台如对电子化开标及评审程序有调整的，按调整后的程序操作。</w:t>
      </w:r>
    </w:p>
    <w:p w14:paraId="2B2A1E15">
      <w:pPr>
        <w:pStyle w:val="4"/>
        <w:keepNext w:val="0"/>
        <w:keepLines w:val="0"/>
        <w:overflowPunct w:val="0"/>
        <w:spacing w:before="0" w:after="0" w:line="400" w:lineRule="exact"/>
        <w:rPr>
          <w:rFonts w:ascii="宋体" w:hAnsi="宋体" w:eastAsia="宋体" w:cs="宋体"/>
          <w:color w:val="auto"/>
          <w:sz w:val="21"/>
          <w:szCs w:val="21"/>
          <w:highlight w:val="none"/>
        </w:rPr>
      </w:pPr>
      <w:bookmarkStart w:id="132" w:name="_Toc19351"/>
      <w:bookmarkStart w:id="133" w:name="_Toc4468"/>
      <w:bookmarkStart w:id="134" w:name="_Toc282640735"/>
      <w:bookmarkStart w:id="135" w:name="_Toc16204"/>
      <w:bookmarkStart w:id="136" w:name="_Toc30295"/>
      <w:bookmarkStart w:id="137" w:name="_Toc14058"/>
      <w:bookmarkStart w:id="138" w:name="_Toc16129"/>
      <w:bookmarkStart w:id="139" w:name="_Toc402872208"/>
      <w:bookmarkStart w:id="140" w:name="_Toc17570"/>
      <w:r>
        <w:rPr>
          <w:rFonts w:hint="eastAsia" w:ascii="宋体" w:hAnsi="宋体" w:eastAsia="宋体" w:cs="宋体"/>
          <w:color w:val="auto"/>
          <w:sz w:val="21"/>
          <w:szCs w:val="21"/>
          <w:highlight w:val="none"/>
        </w:rPr>
        <w:t>五、磋商文件的澄清</w:t>
      </w:r>
      <w:bookmarkEnd w:id="132"/>
      <w:bookmarkEnd w:id="133"/>
      <w:bookmarkEnd w:id="134"/>
      <w:bookmarkEnd w:id="135"/>
      <w:bookmarkEnd w:id="136"/>
      <w:bookmarkEnd w:id="137"/>
      <w:bookmarkEnd w:id="138"/>
      <w:bookmarkEnd w:id="139"/>
      <w:bookmarkEnd w:id="140"/>
    </w:p>
    <w:p w14:paraId="5D75B709">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bookmarkStart w:id="141" w:name="_Toc6445"/>
      <w:bookmarkStart w:id="142" w:name="_Toc402872209"/>
      <w:bookmarkStart w:id="143" w:name="_Toc16835"/>
      <w:bookmarkStart w:id="144" w:name="_Toc24587"/>
      <w:r>
        <w:rPr>
          <w:rFonts w:hint="eastAsia" w:ascii="宋体" w:hAnsi="宋体" w:cs="宋体"/>
          <w:bCs/>
          <w:color w:val="auto"/>
          <w:szCs w:val="21"/>
          <w:highlight w:val="none"/>
        </w:rPr>
        <w:t xml:space="preserve">1、供应商对磋商文件如有疑义的，应在规定的答疑时间内以书面形式告知采购人，以便及时对磋商文件作出澄清。 </w:t>
      </w:r>
    </w:p>
    <w:p w14:paraId="276E78DF">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2、在磋商期间，磋商小组有权要求供应商对其提交的文件资料进行澄清。供应商应派授权代表和有关专业人员接受询问，并对有关内容进行澄清。 </w:t>
      </w:r>
    </w:p>
    <w:p w14:paraId="12D7D978">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3、对在澄清中涉及到的商业秘密，磋商小组成员及参加磋商的有关工作人员负有保密责任。 </w:t>
      </w:r>
    </w:p>
    <w:p w14:paraId="5A753FC3">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4、磋商小组以书面形式对磋商文件作出的修改或补充，与磋商文件具有同等法律效力。</w:t>
      </w:r>
    </w:p>
    <w:p w14:paraId="52B2D9CA">
      <w:pPr>
        <w:pStyle w:val="4"/>
        <w:keepNext w:val="0"/>
        <w:keepLines w:val="0"/>
        <w:overflowPunct w:val="0"/>
        <w:spacing w:before="0" w:after="0" w:line="400" w:lineRule="exact"/>
        <w:rPr>
          <w:rFonts w:ascii="宋体" w:hAnsi="宋体" w:eastAsia="宋体" w:cs="宋体"/>
          <w:color w:val="auto"/>
          <w:sz w:val="21"/>
          <w:szCs w:val="21"/>
          <w:highlight w:val="none"/>
        </w:rPr>
      </w:pPr>
      <w:bookmarkStart w:id="145" w:name="_Toc21661"/>
      <w:bookmarkStart w:id="146" w:name="_Toc14474"/>
      <w:bookmarkStart w:id="147" w:name="_Toc17585"/>
      <w:bookmarkStart w:id="148" w:name="_Toc20548"/>
      <w:r>
        <w:rPr>
          <w:rFonts w:hint="eastAsia" w:ascii="宋体" w:hAnsi="宋体" w:eastAsia="宋体" w:cs="宋体"/>
          <w:color w:val="auto"/>
          <w:sz w:val="21"/>
          <w:szCs w:val="21"/>
          <w:highlight w:val="none"/>
        </w:rPr>
        <w:t>六、确定供应商办法</w:t>
      </w:r>
      <w:bookmarkEnd w:id="141"/>
      <w:bookmarkEnd w:id="142"/>
      <w:bookmarkEnd w:id="143"/>
      <w:bookmarkEnd w:id="144"/>
      <w:bookmarkEnd w:id="145"/>
      <w:bookmarkEnd w:id="146"/>
      <w:bookmarkEnd w:id="147"/>
      <w:bookmarkEnd w:id="148"/>
    </w:p>
    <w:p w14:paraId="1B8172F8">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bookmarkStart w:id="149" w:name="_Toc402872210"/>
      <w:bookmarkStart w:id="150" w:name="_Toc389216170"/>
      <w:bookmarkStart w:id="151" w:name="_Toc282640748"/>
      <w:r>
        <w:rPr>
          <w:rFonts w:ascii="宋体" w:hAnsi="宋体" w:cs="宋体"/>
          <w:bCs/>
          <w:color w:val="auto"/>
          <w:szCs w:val="21"/>
          <w:highlight w:val="none"/>
        </w:rPr>
        <w:t>1</w:t>
      </w:r>
      <w:r>
        <w:rPr>
          <w:rFonts w:hint="eastAsia" w:ascii="宋体" w:hAnsi="宋体" w:cs="宋体"/>
          <w:bCs/>
          <w:color w:val="auto"/>
          <w:szCs w:val="21"/>
          <w:highlight w:val="none"/>
        </w:rPr>
        <w:t>、本项目由采购人确定成交供应商。</w:t>
      </w:r>
    </w:p>
    <w:p w14:paraId="57F2EE5A">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、本次评审采用</w:t>
      </w:r>
      <w:r>
        <w:rPr>
          <w:rFonts w:hint="eastAsia" w:ascii="宋体" w:hAnsi="宋体" w:cs="宋体"/>
          <w:b/>
          <w:color w:val="auto"/>
          <w:szCs w:val="21"/>
          <w:highlight w:val="none"/>
        </w:rPr>
        <w:t>综合评分法</w:t>
      </w:r>
      <w:r>
        <w:rPr>
          <w:rFonts w:hint="eastAsia" w:ascii="宋体" w:hAnsi="宋体" w:cs="宋体"/>
          <w:bCs/>
          <w:color w:val="auto"/>
          <w:szCs w:val="21"/>
          <w:highlight w:val="none"/>
        </w:rPr>
        <w:t>，即在质量和服务均能满足竞争性磋商文件实质性要求且综合得分由高到低的原则确定成交供应商。</w:t>
      </w:r>
      <w:r>
        <w:rPr>
          <w:rFonts w:ascii="宋体" w:hAnsi="宋体" w:cs="宋体"/>
          <w:bCs/>
          <w:color w:val="auto"/>
          <w:szCs w:val="21"/>
          <w:highlight w:val="none"/>
        </w:rPr>
        <w:t xml:space="preserve"> </w:t>
      </w:r>
    </w:p>
    <w:p w14:paraId="132B66C2">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、磋商结束后，磋商小组拟制评审报告。</w:t>
      </w:r>
      <w:r>
        <w:rPr>
          <w:rFonts w:ascii="宋体" w:hAnsi="宋体" w:cs="宋体"/>
          <w:bCs/>
          <w:color w:val="auto"/>
          <w:szCs w:val="21"/>
          <w:highlight w:val="none"/>
        </w:rPr>
        <w:t xml:space="preserve"> </w:t>
      </w:r>
    </w:p>
    <w:p w14:paraId="42AFC94C">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、采购代理机构在评审结束后</w:t>
      </w:r>
      <w:r>
        <w:rPr>
          <w:rFonts w:ascii="宋体" w:hAnsi="宋体" w:cs="宋体"/>
          <w:bCs/>
          <w:color w:val="auto"/>
          <w:szCs w:val="21"/>
          <w:highlight w:val="none"/>
        </w:rPr>
        <w:t>2</w:t>
      </w:r>
      <w:r>
        <w:rPr>
          <w:rFonts w:hint="eastAsia" w:ascii="宋体" w:hAnsi="宋体" w:cs="宋体"/>
          <w:bCs/>
          <w:color w:val="auto"/>
          <w:szCs w:val="21"/>
          <w:highlight w:val="none"/>
        </w:rPr>
        <w:t>个工作日内将评审报告交采购人确认。</w:t>
      </w:r>
      <w:r>
        <w:rPr>
          <w:rFonts w:ascii="宋体" w:hAnsi="宋体" w:cs="宋体"/>
          <w:bCs/>
          <w:color w:val="auto"/>
          <w:szCs w:val="21"/>
          <w:highlight w:val="none"/>
        </w:rPr>
        <w:t xml:space="preserve"> </w:t>
      </w:r>
    </w:p>
    <w:p w14:paraId="2451B564">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、采购人在收到评审报告后</w:t>
      </w:r>
      <w:r>
        <w:rPr>
          <w:rFonts w:ascii="宋体" w:hAnsi="宋体" w:cs="宋体"/>
          <w:bCs/>
          <w:color w:val="auto"/>
          <w:szCs w:val="21"/>
          <w:highlight w:val="none"/>
        </w:rPr>
        <w:t>5</w:t>
      </w:r>
      <w:r>
        <w:rPr>
          <w:rFonts w:hint="eastAsia" w:ascii="宋体" w:hAnsi="宋体" w:cs="宋体"/>
          <w:bCs/>
          <w:color w:val="auto"/>
          <w:szCs w:val="21"/>
          <w:highlight w:val="none"/>
        </w:rPr>
        <w:t>个工作日内对评审结果进行确认。</w:t>
      </w:r>
    </w:p>
    <w:p w14:paraId="08715AE7">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6</w:t>
      </w:r>
      <w:r>
        <w:rPr>
          <w:rFonts w:hint="eastAsia" w:ascii="宋体" w:hAnsi="宋体" w:cs="宋体"/>
          <w:bCs/>
          <w:color w:val="auto"/>
          <w:szCs w:val="21"/>
          <w:highlight w:val="none"/>
        </w:rPr>
        <w:t>、采购人确定成交供应商后</w:t>
      </w:r>
      <w:r>
        <w:rPr>
          <w:rFonts w:ascii="宋体" w:hAnsi="宋体" w:cs="宋体"/>
          <w:bCs/>
          <w:color w:val="auto"/>
          <w:szCs w:val="21"/>
          <w:highlight w:val="none"/>
        </w:rPr>
        <w:t>2</w:t>
      </w:r>
      <w:r>
        <w:rPr>
          <w:rFonts w:hint="eastAsia" w:ascii="宋体" w:hAnsi="宋体" w:cs="宋体"/>
          <w:bCs/>
          <w:color w:val="auto"/>
          <w:szCs w:val="21"/>
          <w:highlight w:val="none"/>
        </w:rPr>
        <w:t>个工作日内，采购代理机构在相关网站上发布成交公告，同时发出成交通知书。</w:t>
      </w:r>
    </w:p>
    <w:p w14:paraId="23F3BD2B">
      <w:pPr>
        <w:pStyle w:val="4"/>
        <w:keepNext w:val="0"/>
        <w:keepLines w:val="0"/>
        <w:overflowPunct w:val="0"/>
        <w:spacing w:before="0" w:after="0" w:line="400" w:lineRule="exact"/>
        <w:rPr>
          <w:rFonts w:ascii="宋体" w:hAnsi="宋体" w:eastAsia="宋体" w:cs="宋体"/>
          <w:color w:val="auto"/>
          <w:sz w:val="21"/>
          <w:szCs w:val="21"/>
          <w:highlight w:val="none"/>
        </w:rPr>
      </w:pPr>
      <w:bookmarkStart w:id="152" w:name="_Toc14956"/>
      <w:bookmarkStart w:id="153" w:name="_Toc6858"/>
      <w:bookmarkStart w:id="154" w:name="_Toc18677"/>
      <w:bookmarkStart w:id="155" w:name="_Toc12036"/>
      <w:bookmarkStart w:id="156" w:name="_Toc20879"/>
      <w:bookmarkStart w:id="157" w:name="_Toc7318"/>
      <w:bookmarkStart w:id="158" w:name="_Toc17287"/>
      <w:r>
        <w:rPr>
          <w:rFonts w:hint="eastAsia" w:ascii="宋体" w:hAnsi="宋体" w:eastAsia="宋体" w:cs="宋体"/>
          <w:color w:val="auto"/>
          <w:sz w:val="21"/>
          <w:szCs w:val="21"/>
          <w:highlight w:val="none"/>
        </w:rPr>
        <w:t>七、综合评分法</w:t>
      </w:r>
      <w:bookmarkEnd w:id="149"/>
      <w:bookmarkEnd w:id="150"/>
      <w:bookmarkEnd w:id="151"/>
      <w:bookmarkEnd w:id="152"/>
      <w:bookmarkEnd w:id="153"/>
      <w:bookmarkEnd w:id="154"/>
      <w:bookmarkEnd w:id="155"/>
      <w:bookmarkEnd w:id="156"/>
      <w:bookmarkEnd w:id="157"/>
      <w:bookmarkEnd w:id="158"/>
    </w:p>
    <w:p w14:paraId="71AF22CC">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为公正、公平、科学地选择成交供应商，根据《中华人民共和国政府采购法》等有关法律法规的规定，并结合本项目的实际，制定本办法。</w:t>
      </w:r>
    </w:p>
    <w:p w14:paraId="4BE67D64">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1、总则</w:t>
      </w:r>
    </w:p>
    <w:p w14:paraId="4BE8B701">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本次评审采用</w:t>
      </w:r>
      <w:r>
        <w:rPr>
          <w:rFonts w:hint="eastAsia" w:ascii="宋体" w:hAnsi="宋体" w:cs="宋体"/>
          <w:b/>
          <w:color w:val="auto"/>
          <w:szCs w:val="21"/>
          <w:highlight w:val="none"/>
        </w:rPr>
        <w:t>综合评分法</w:t>
      </w:r>
      <w:r>
        <w:rPr>
          <w:rFonts w:hint="eastAsia" w:ascii="宋体" w:hAnsi="宋体" w:cs="宋体"/>
          <w:bCs/>
          <w:color w:val="auto"/>
          <w:szCs w:val="21"/>
          <w:highlight w:val="none"/>
        </w:rPr>
        <w:t>，总分为</w:t>
      </w:r>
      <w:r>
        <w:rPr>
          <w:rFonts w:ascii="宋体" w:hAnsi="宋体" w:cs="宋体"/>
          <w:bCs/>
          <w:color w:val="auto"/>
          <w:szCs w:val="21"/>
          <w:highlight w:val="none"/>
        </w:rPr>
        <w:t>100</w:t>
      </w:r>
      <w:r>
        <w:rPr>
          <w:rFonts w:hint="eastAsia" w:ascii="宋体" w:hAnsi="宋体" w:cs="宋体"/>
          <w:bCs/>
          <w:color w:val="auto"/>
          <w:szCs w:val="21"/>
          <w:highlight w:val="none"/>
        </w:rPr>
        <w:t>分，其中价格分</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0分、技术商务分</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0分。合格供应商的评审得分为各项目汇总得分，成交候选资格按综合得分由高到低顺序排列，得分相同的，按报价由低到高顺序排列；得分且报价相同的并列。按照评审得分由高到低顺序推荐3名成交候选供应商（有效供应商不足3家的情形除外）。评分过程中采用四舍五入法，并保留小数</w:t>
      </w:r>
      <w:r>
        <w:rPr>
          <w:rFonts w:ascii="宋体" w:hAnsi="宋体" w:cs="宋体"/>
          <w:bCs/>
          <w:color w:val="auto"/>
          <w:szCs w:val="21"/>
          <w:highlight w:val="none"/>
        </w:rPr>
        <w:t>2</w:t>
      </w:r>
      <w:r>
        <w:rPr>
          <w:rFonts w:hint="eastAsia" w:ascii="宋体" w:hAnsi="宋体" w:cs="宋体"/>
          <w:bCs/>
          <w:color w:val="auto"/>
          <w:szCs w:val="21"/>
          <w:highlight w:val="none"/>
        </w:rPr>
        <w:t>位。</w:t>
      </w:r>
    </w:p>
    <w:p w14:paraId="02DBAC87">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2、计算方法：</w:t>
      </w:r>
    </w:p>
    <w:p w14:paraId="7CCFBDC3">
      <w:pPr>
        <w:keepNext w:val="0"/>
        <w:keepLines w:val="0"/>
        <w:pageBreakBefore w:val="0"/>
        <w:widowControl w:val="0"/>
        <w:kinsoku/>
        <w:wordWrap/>
        <w:overflowPunct w:val="0"/>
        <w:topLinePunct w:val="0"/>
        <w:bidi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（一）价格部分：</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w:t>
      </w:r>
    </w:p>
    <w:p w14:paraId="2ECC75E9">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以有效磋商报价最低的报价为评标基准价，其价格分为满分</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0分。其他供应商的报价分按照下列公式计算：报价得分</w:t>
      </w:r>
      <w:r>
        <w:rPr>
          <w:rFonts w:ascii="宋体" w:hAnsi="宋体" w:cs="宋体"/>
          <w:bCs/>
          <w:color w:val="auto"/>
          <w:szCs w:val="21"/>
          <w:highlight w:val="none"/>
        </w:rPr>
        <w:t>=</w:t>
      </w:r>
      <w:r>
        <w:rPr>
          <w:rFonts w:hint="eastAsia" w:ascii="宋体" w:hAnsi="宋体" w:cs="宋体"/>
          <w:bCs/>
          <w:color w:val="auto"/>
          <w:szCs w:val="21"/>
          <w:highlight w:val="none"/>
        </w:rPr>
        <w:t>（评标基准价</w:t>
      </w:r>
      <w:r>
        <w:rPr>
          <w:rFonts w:ascii="宋体" w:hAnsi="宋体" w:cs="宋体"/>
          <w:bCs/>
          <w:color w:val="auto"/>
          <w:szCs w:val="21"/>
          <w:highlight w:val="none"/>
        </w:rPr>
        <w:t>/</w:t>
      </w:r>
      <w:r>
        <w:rPr>
          <w:rFonts w:hint="eastAsia" w:ascii="宋体" w:hAnsi="宋体" w:cs="宋体"/>
          <w:bCs/>
          <w:color w:val="auto"/>
          <w:szCs w:val="21"/>
          <w:highlight w:val="none"/>
        </w:rPr>
        <w:t>投标报价）×</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w:t>
      </w:r>
      <w:r>
        <w:rPr>
          <w:rFonts w:ascii="宋体" w:hAnsi="宋体" w:cs="宋体"/>
          <w:bCs/>
          <w:color w:val="auto"/>
          <w:szCs w:val="21"/>
          <w:highlight w:val="none"/>
        </w:rPr>
        <w:t>%</w:t>
      </w:r>
      <w:r>
        <w:rPr>
          <w:rFonts w:hint="eastAsia" w:ascii="宋体" w:hAnsi="宋体" w:cs="宋体"/>
          <w:bCs/>
          <w:color w:val="auto"/>
          <w:szCs w:val="21"/>
          <w:highlight w:val="none"/>
        </w:rPr>
        <w:t>×</w:t>
      </w:r>
      <w:r>
        <w:rPr>
          <w:rFonts w:ascii="宋体" w:hAnsi="宋体" w:cs="宋体"/>
          <w:bCs/>
          <w:color w:val="auto"/>
          <w:szCs w:val="21"/>
          <w:highlight w:val="none"/>
        </w:rPr>
        <w:t>100</w:t>
      </w:r>
    </w:p>
    <w:p w14:paraId="3A6E4676">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磋商报价超出最高限价的，其报价无效。</w:t>
      </w:r>
    </w:p>
    <w:p w14:paraId="493FD45A">
      <w:pPr>
        <w:keepNext w:val="0"/>
        <w:keepLines w:val="0"/>
        <w:pageBreakBefore w:val="0"/>
        <w:widowControl w:val="0"/>
        <w:numPr>
          <w:ilvl w:val="255"/>
          <w:numId w:val="0"/>
        </w:numPr>
        <w:kinsoku/>
        <w:wordWrap/>
        <w:topLinePunct w:val="0"/>
        <w:bidi w:val="0"/>
        <w:spacing w:line="400" w:lineRule="exact"/>
        <w:ind w:firstLine="420" w:firstLineChars="200"/>
        <w:rPr>
          <w:rFonts w:hint="eastAsia" w:ascii="宋体" w:hAnsi="宋体" w:cs="宋体"/>
          <w:bCs/>
          <w:color w:val="auto"/>
          <w:szCs w:val="21"/>
          <w:highlight w:val="none"/>
        </w:rPr>
      </w:pPr>
      <w:bookmarkStart w:id="159" w:name="_Toc10368"/>
      <w:bookmarkStart w:id="160" w:name="_Toc29649"/>
      <w:bookmarkStart w:id="161" w:name="_Toc32479"/>
      <w:bookmarkStart w:id="162" w:name="_Toc10142"/>
      <w:r>
        <w:rPr>
          <w:rFonts w:hint="eastAsia" w:ascii="宋体" w:hAnsi="宋体" w:cs="宋体"/>
          <w:bCs/>
          <w:color w:val="auto"/>
          <w:szCs w:val="21"/>
          <w:highlight w:val="none"/>
        </w:rPr>
        <w:t>评审中出现下列情形之一的，评标委员会应当启动异常低价投标（响应）审查程序：</w:t>
      </w:r>
    </w:p>
    <w:p w14:paraId="3E4BBDD9">
      <w:pPr>
        <w:keepNext w:val="0"/>
        <w:keepLines w:val="0"/>
        <w:pageBreakBefore w:val="0"/>
        <w:widowControl w:val="0"/>
        <w:numPr>
          <w:ilvl w:val="255"/>
          <w:numId w:val="0"/>
        </w:numPr>
        <w:kinsoku/>
        <w:wordWrap/>
        <w:topLinePunct w:val="0"/>
        <w:bidi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（一）投标（响应）报价低于全部通过符合性审查供应商投标（响应）报价平均值50%的，即投标（响应）报价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全部通过符合性审查供应商投标（响应）报价平均值×50%；</w:t>
      </w:r>
    </w:p>
    <w:p w14:paraId="44983A26">
      <w:pPr>
        <w:keepNext w:val="0"/>
        <w:keepLines w:val="0"/>
        <w:pageBreakBefore w:val="0"/>
        <w:widowControl w:val="0"/>
        <w:numPr>
          <w:ilvl w:val="255"/>
          <w:numId w:val="0"/>
        </w:numPr>
        <w:kinsoku/>
        <w:wordWrap/>
        <w:topLinePunct w:val="0"/>
        <w:bidi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（二）投标（响应）报价低于通过符合性审查且报价次低供应商投标（响应）报价50%的，即投标（响应）报价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通过符合性审查且报价次低供应商投标（响应）报价×50%；</w:t>
      </w:r>
    </w:p>
    <w:p w14:paraId="3D6AB4E5">
      <w:pPr>
        <w:keepNext w:val="0"/>
        <w:keepLines w:val="0"/>
        <w:pageBreakBefore w:val="0"/>
        <w:widowControl w:val="0"/>
        <w:numPr>
          <w:ilvl w:val="255"/>
          <w:numId w:val="0"/>
        </w:numPr>
        <w:kinsoku/>
        <w:wordWrap/>
        <w:topLinePunct w:val="0"/>
        <w:bidi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（三）投标（响应）报价低于采购项目最高限价45%的，即投标（响应）报价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采购项目最高限价×45%；</w:t>
      </w:r>
    </w:p>
    <w:p w14:paraId="1A2E1DFC">
      <w:pPr>
        <w:keepNext w:val="0"/>
        <w:keepLines w:val="0"/>
        <w:pageBreakBefore w:val="0"/>
        <w:widowControl w:val="0"/>
        <w:numPr>
          <w:ilvl w:val="255"/>
          <w:numId w:val="0"/>
        </w:numPr>
        <w:kinsoku/>
        <w:wordWrap/>
        <w:topLinePunct w:val="0"/>
        <w:bidi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（四）其他评审委员会认为供应商报价过低，有可能影响产品质量或者不能诚信履约的情形。</w:t>
      </w:r>
    </w:p>
    <w:p w14:paraId="7C340260">
      <w:pPr>
        <w:keepNext w:val="0"/>
        <w:keepLines w:val="0"/>
        <w:pageBreakBefore w:val="0"/>
        <w:widowControl w:val="0"/>
        <w:numPr>
          <w:ilvl w:val="255"/>
          <w:numId w:val="0"/>
        </w:numPr>
        <w:kinsoku/>
        <w:wordWrap/>
        <w:topLinePunct w:val="0"/>
        <w:bidi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评审委员会启动异常低价投标（响应）审查后，要求</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在评审现场30分钟内提供书面说明及必要的证明材料，对投标（响应）价格作出解释。书面说明、证明材料主要是项目具体成本测算等与报价合理性相关的说明、材料。</w:t>
      </w:r>
    </w:p>
    <w:p w14:paraId="09AF9EB0">
      <w:pPr>
        <w:keepNext w:val="0"/>
        <w:keepLines w:val="0"/>
        <w:pageBreakBefore w:val="0"/>
        <w:widowControl w:val="0"/>
        <w:numPr>
          <w:ilvl w:val="255"/>
          <w:numId w:val="0"/>
        </w:numPr>
        <w:kinsoku/>
        <w:wordWrap/>
        <w:topLinePunct w:val="0"/>
        <w:bidi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如果投标（响应）供应商不提供书面说明、证明材料，或者提供的书面说明、证明材料不能证明其报价合理性的，应当将其作为无效投标（响应）处理。审查相关情况应当在评审报告中记录。</w:t>
      </w:r>
    </w:p>
    <w:p w14:paraId="6ABCA3E5">
      <w:pPr>
        <w:keepNext w:val="0"/>
        <w:keepLines w:val="0"/>
        <w:pageBreakBefore w:val="0"/>
        <w:widowControl w:val="0"/>
        <w:numPr>
          <w:ilvl w:val="255"/>
          <w:numId w:val="0"/>
        </w:numPr>
        <w:kinsoku/>
        <w:wordWrap/>
        <w:topLinePunct w:val="0"/>
        <w:bidi w:val="0"/>
        <w:spacing w:line="400" w:lineRule="exact"/>
        <w:ind w:firstLine="420" w:firstLineChars="200"/>
        <w:rPr>
          <w:rFonts w:ascii="宋体" w:hAnsi="宋体"/>
          <w:b/>
          <w:color w:val="auto"/>
          <w:szCs w:val="21"/>
          <w:highlight w:val="none"/>
        </w:rPr>
      </w:pPr>
      <w:r>
        <w:rPr>
          <w:rFonts w:hint="eastAsia" w:ascii="宋体" w:hAnsi="宋体" w:cs="宋体"/>
          <w:bCs/>
          <w:color w:val="auto"/>
          <w:szCs w:val="21"/>
          <w:highlight w:val="none"/>
        </w:rPr>
        <w:t>本项目为专门面向中小企业采购，供应商为非中小企业，资格审查不通过；符合上述条件的中小微型企业应按照竞争性磋商文件附件的格式要求在资格证明文件中提供《中小企业声明函》</w:t>
      </w:r>
      <w:r>
        <w:rPr>
          <w:rFonts w:hint="eastAsia" w:ascii="宋体" w:hAnsi="宋体"/>
          <w:color w:val="auto"/>
          <w:szCs w:val="21"/>
          <w:highlight w:val="none"/>
        </w:rPr>
        <w:t>。</w:t>
      </w:r>
    </w:p>
    <w:bookmarkEnd w:id="159"/>
    <w:bookmarkEnd w:id="160"/>
    <w:bookmarkEnd w:id="161"/>
    <w:bookmarkEnd w:id="162"/>
    <w:p w14:paraId="374BD348">
      <w:pPr>
        <w:keepNext w:val="0"/>
        <w:keepLines w:val="0"/>
        <w:pageBreakBefore w:val="0"/>
        <w:widowControl w:val="0"/>
        <w:numPr>
          <w:numId w:val="0"/>
        </w:numPr>
        <w:kinsoku/>
        <w:wordWrap/>
        <w:overflowPunct w:val="0"/>
        <w:topLinePunct w:val="0"/>
        <w:bidi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商务部分、技术部分：</w:t>
      </w:r>
      <w:r>
        <w:rPr>
          <w:rFonts w:hint="eastAsia" w:ascii="宋体" w:hAnsi="宋体" w:cs="宋体"/>
          <w:b/>
          <w:bCs/>
          <w:color w:val="auto"/>
          <w:szCs w:val="21"/>
          <w:highlight w:val="none"/>
          <w:lang w:val="en-US" w:eastAsia="zh-CN"/>
        </w:rPr>
        <w:t>70</w:t>
      </w:r>
      <w:r>
        <w:rPr>
          <w:rFonts w:hint="eastAsia" w:ascii="宋体" w:hAnsi="宋体" w:cs="宋体"/>
          <w:b/>
          <w:bCs/>
          <w:color w:val="auto"/>
          <w:szCs w:val="21"/>
          <w:highlight w:val="none"/>
        </w:rPr>
        <w:t>分</w:t>
      </w:r>
    </w:p>
    <w:tbl>
      <w:tblPr>
        <w:tblStyle w:val="31"/>
        <w:tblW w:w="8392"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29"/>
        <w:gridCol w:w="701"/>
        <w:gridCol w:w="5632"/>
      </w:tblGrid>
      <w:tr w14:paraId="0A16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5ACA122F">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
                <w:color w:val="auto"/>
                <w:szCs w:val="21"/>
                <w:highlight w:val="none"/>
              </w:rPr>
            </w:pPr>
            <w:r>
              <w:rPr>
                <w:rFonts w:hint="eastAsia" w:ascii="宋体" w:hAnsi="宋体" w:cs="仿宋"/>
                <w:b/>
                <w:snapToGrid w:val="0"/>
                <w:color w:val="auto"/>
                <w:szCs w:val="21"/>
                <w:highlight w:val="none"/>
              </w:rPr>
              <w:t>序号</w:t>
            </w:r>
          </w:p>
        </w:tc>
        <w:tc>
          <w:tcPr>
            <w:tcW w:w="1329" w:type="dxa"/>
            <w:vAlign w:val="center"/>
          </w:tcPr>
          <w:p w14:paraId="296B207C">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
                <w:color w:val="auto"/>
                <w:szCs w:val="21"/>
                <w:highlight w:val="none"/>
              </w:rPr>
            </w:pPr>
            <w:r>
              <w:rPr>
                <w:rFonts w:hint="eastAsia" w:ascii="宋体" w:hAnsi="宋体" w:cs="仿宋"/>
                <w:b/>
                <w:color w:val="auto"/>
                <w:szCs w:val="21"/>
                <w:highlight w:val="none"/>
              </w:rPr>
              <w:t>评分项目</w:t>
            </w:r>
          </w:p>
        </w:tc>
        <w:tc>
          <w:tcPr>
            <w:tcW w:w="701" w:type="dxa"/>
            <w:vAlign w:val="center"/>
          </w:tcPr>
          <w:p w14:paraId="17623AF6">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
                <w:color w:val="auto"/>
                <w:szCs w:val="21"/>
                <w:highlight w:val="none"/>
              </w:rPr>
            </w:pPr>
            <w:r>
              <w:rPr>
                <w:rFonts w:hint="eastAsia" w:ascii="宋体" w:hAnsi="宋体" w:cs="仿宋"/>
                <w:b/>
                <w:color w:val="auto"/>
                <w:szCs w:val="21"/>
                <w:highlight w:val="none"/>
              </w:rPr>
              <w:t>分值</w:t>
            </w:r>
          </w:p>
        </w:tc>
        <w:tc>
          <w:tcPr>
            <w:tcW w:w="5632" w:type="dxa"/>
            <w:vAlign w:val="center"/>
          </w:tcPr>
          <w:p w14:paraId="33483977">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
                <w:color w:val="auto"/>
                <w:szCs w:val="21"/>
                <w:highlight w:val="none"/>
              </w:rPr>
            </w:pPr>
            <w:r>
              <w:rPr>
                <w:rFonts w:hint="eastAsia" w:ascii="宋体" w:hAnsi="宋体" w:cs="仿宋"/>
                <w:b/>
                <w:color w:val="auto"/>
                <w:szCs w:val="21"/>
                <w:highlight w:val="none"/>
              </w:rPr>
              <w:t>评分标准</w:t>
            </w:r>
          </w:p>
        </w:tc>
      </w:tr>
      <w:tr w14:paraId="5CCD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796A94F5">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1</w:t>
            </w:r>
          </w:p>
        </w:tc>
        <w:tc>
          <w:tcPr>
            <w:tcW w:w="1329" w:type="dxa"/>
            <w:vAlign w:val="center"/>
          </w:tcPr>
          <w:p w14:paraId="542EDA1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宋体" w:hAnsi="宋体" w:cs="仿宋"/>
                <w:bCs/>
                <w:color w:val="auto"/>
                <w:szCs w:val="21"/>
                <w:highlight w:val="none"/>
              </w:rPr>
            </w:pPr>
            <w:r>
              <w:rPr>
                <w:rFonts w:hint="eastAsia" w:ascii="宋体" w:hAnsi="宋体" w:eastAsia="宋体" w:cs="宋体"/>
                <w:b w:val="0"/>
                <w:bCs w:val="0"/>
                <w:color w:val="auto"/>
                <w:sz w:val="21"/>
                <w:szCs w:val="21"/>
                <w:highlight w:val="none"/>
              </w:rPr>
              <w:t>总承包管理方案</w:t>
            </w:r>
          </w:p>
        </w:tc>
        <w:tc>
          <w:tcPr>
            <w:tcW w:w="701" w:type="dxa"/>
            <w:vAlign w:val="center"/>
          </w:tcPr>
          <w:p w14:paraId="1057F311">
            <w:pPr>
              <w:keepNext w:val="0"/>
              <w:keepLines w:val="0"/>
              <w:pageBreakBefore w:val="0"/>
              <w:kinsoku/>
              <w:wordWrap/>
              <w:overflowPunct/>
              <w:topLinePunct w:val="0"/>
              <w:bidi w:val="0"/>
              <w:adjustRightInd w:val="0"/>
              <w:snapToGrid w:val="0"/>
              <w:spacing w:beforeAutospacing="0" w:afterAutospacing="0" w:line="360" w:lineRule="exact"/>
              <w:jc w:val="center"/>
              <w:rPr>
                <w:rFonts w:hint="eastAsia" w:ascii="宋体" w:hAnsi="宋体" w:eastAsia="宋体" w:cs="仿宋"/>
                <w:bCs/>
                <w:color w:val="auto"/>
                <w:szCs w:val="21"/>
                <w:highlight w:val="none"/>
                <w:lang w:val="en-US" w:eastAsia="zh-CN"/>
              </w:rPr>
            </w:pPr>
            <w:r>
              <w:rPr>
                <w:rFonts w:hint="eastAsia" w:ascii="宋体" w:hAnsi="宋体" w:cs="仿宋"/>
                <w:bCs/>
                <w:color w:val="auto"/>
                <w:szCs w:val="21"/>
                <w:highlight w:val="none"/>
                <w:lang w:val="en-US" w:eastAsia="zh-CN"/>
              </w:rPr>
              <w:t>5</w:t>
            </w:r>
          </w:p>
        </w:tc>
        <w:tc>
          <w:tcPr>
            <w:tcW w:w="5632" w:type="dxa"/>
            <w:vAlign w:val="center"/>
          </w:tcPr>
          <w:p w14:paraId="65013A0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default" w:ascii="宋体" w:hAnsi="宋体" w:cs="仿宋"/>
                <w:bCs/>
                <w:color w:val="auto"/>
                <w:szCs w:val="21"/>
                <w:highlight w:val="none"/>
                <w:lang w:val="en-US"/>
              </w:rPr>
            </w:pPr>
            <w:r>
              <w:rPr>
                <w:rFonts w:hint="eastAsia" w:ascii="宋体" w:hAnsi="宋体" w:eastAsia="宋体" w:cs="宋体"/>
                <w:b w:val="0"/>
                <w:bCs w:val="0"/>
                <w:color w:val="auto"/>
                <w:sz w:val="21"/>
                <w:szCs w:val="21"/>
                <w:highlight w:val="none"/>
                <w:lang w:eastAsia="zh-CN"/>
              </w:rPr>
              <w:t>根据</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提供的</w:t>
            </w:r>
            <w:r>
              <w:rPr>
                <w:rFonts w:hint="eastAsia" w:ascii="宋体" w:hAnsi="宋体" w:eastAsia="宋体" w:cs="宋体"/>
                <w:color w:val="auto"/>
                <w:sz w:val="21"/>
                <w:szCs w:val="21"/>
                <w:highlight w:val="none"/>
              </w:rPr>
              <w:t>项目总承包大纲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目标管理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项目合同管理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风险管理、变更管理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分包管理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项目组织协调</w:t>
            </w:r>
            <w:r>
              <w:rPr>
                <w:rFonts w:hint="eastAsia" w:ascii="宋体" w:hAnsi="宋体" w:eastAsia="宋体" w:cs="宋体"/>
                <w:color w:val="auto"/>
                <w:sz w:val="21"/>
                <w:szCs w:val="21"/>
                <w:highlight w:val="none"/>
                <w:lang w:eastAsia="zh-CN"/>
              </w:rPr>
              <w:t>等进行综合评定</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5分，4分，3分，2分，1分，未提供的不得分。</w:t>
            </w:r>
          </w:p>
        </w:tc>
      </w:tr>
      <w:tr w14:paraId="2F93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370CE8E8">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2</w:t>
            </w:r>
          </w:p>
        </w:tc>
        <w:tc>
          <w:tcPr>
            <w:tcW w:w="1329" w:type="dxa"/>
            <w:vAlign w:val="center"/>
          </w:tcPr>
          <w:p w14:paraId="551486FD">
            <w:pPr>
              <w:keepNext w:val="0"/>
              <w:keepLines w:val="0"/>
              <w:pageBreakBefore w:val="0"/>
              <w:kinsoku/>
              <w:wordWrap/>
              <w:overflowPunct/>
              <w:topLinePunct w:val="0"/>
              <w:bidi w:val="0"/>
              <w:spacing w:beforeAutospacing="0" w:afterAutospacing="0" w:line="360" w:lineRule="exact"/>
              <w:jc w:val="center"/>
              <w:rPr>
                <w:rFonts w:ascii="宋体" w:hAnsi="宋体" w:cs="仿宋"/>
                <w:bCs/>
                <w:color w:val="auto"/>
                <w:szCs w:val="21"/>
                <w:highlight w:val="none"/>
              </w:rPr>
            </w:pPr>
            <w:r>
              <w:rPr>
                <w:rFonts w:hint="eastAsia" w:ascii="宋体" w:hAnsi="宋体" w:eastAsia="宋体" w:cs="宋体"/>
                <w:color w:val="auto"/>
                <w:sz w:val="21"/>
                <w:szCs w:val="21"/>
                <w:highlight w:val="none"/>
              </w:rPr>
              <w:t>施工技术方案及</w:t>
            </w:r>
            <w:r>
              <w:rPr>
                <w:rFonts w:hint="eastAsia" w:ascii="宋体" w:hAnsi="宋体" w:eastAsia="宋体" w:cs="宋体"/>
                <w:color w:val="auto"/>
                <w:sz w:val="21"/>
                <w:szCs w:val="21"/>
                <w:highlight w:val="none"/>
                <w:lang w:eastAsia="zh-CN"/>
              </w:rPr>
              <w:t>关键</w:t>
            </w:r>
            <w:r>
              <w:rPr>
                <w:rFonts w:hint="eastAsia" w:ascii="宋体" w:hAnsi="宋体" w:eastAsia="宋体" w:cs="宋体"/>
                <w:color w:val="auto"/>
                <w:sz w:val="21"/>
                <w:szCs w:val="21"/>
                <w:highlight w:val="none"/>
              </w:rPr>
              <w:t>部位技术措施</w:t>
            </w:r>
          </w:p>
        </w:tc>
        <w:tc>
          <w:tcPr>
            <w:tcW w:w="701" w:type="dxa"/>
            <w:vAlign w:val="center"/>
          </w:tcPr>
          <w:p w14:paraId="07BDDC18">
            <w:pPr>
              <w:keepNext w:val="0"/>
              <w:keepLines w:val="0"/>
              <w:pageBreakBefore w:val="0"/>
              <w:kinsoku/>
              <w:wordWrap/>
              <w:overflowPunct/>
              <w:topLinePunct w:val="0"/>
              <w:bidi w:val="0"/>
              <w:spacing w:beforeAutospacing="0" w:afterAutospacing="0" w:line="360" w:lineRule="exact"/>
              <w:jc w:val="center"/>
              <w:rPr>
                <w:rFonts w:hint="eastAsia" w:ascii="宋体" w:hAnsi="宋体" w:eastAsia="宋体" w:cs="仿宋"/>
                <w:bCs/>
                <w:color w:val="auto"/>
                <w:szCs w:val="21"/>
                <w:highlight w:val="none"/>
                <w:lang w:val="en-US" w:eastAsia="zh-CN"/>
              </w:rPr>
            </w:pPr>
            <w:r>
              <w:rPr>
                <w:rFonts w:hint="eastAsia" w:ascii="宋体" w:hAnsi="宋体" w:cs="仿宋"/>
                <w:bCs/>
                <w:color w:val="auto"/>
                <w:szCs w:val="21"/>
                <w:highlight w:val="none"/>
                <w:lang w:val="en-US" w:eastAsia="zh-CN"/>
              </w:rPr>
              <w:t>4</w:t>
            </w:r>
          </w:p>
        </w:tc>
        <w:tc>
          <w:tcPr>
            <w:tcW w:w="5632" w:type="dxa"/>
            <w:vAlign w:val="center"/>
          </w:tcPr>
          <w:p w14:paraId="6B87F9B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ascii="宋体" w:hAnsi="宋体" w:cs="仿宋"/>
                <w:bCs/>
                <w:color w:val="auto"/>
                <w:szCs w:val="21"/>
                <w:highlight w:val="none"/>
              </w:rPr>
            </w:pPr>
            <w:r>
              <w:rPr>
                <w:rFonts w:hint="eastAsia" w:ascii="宋体" w:hAnsi="宋体" w:eastAsia="宋体" w:cs="宋体"/>
                <w:b w:val="0"/>
                <w:bCs w:val="0"/>
                <w:color w:val="auto"/>
                <w:sz w:val="21"/>
                <w:szCs w:val="21"/>
                <w:highlight w:val="none"/>
                <w:lang w:eastAsia="zh-CN"/>
              </w:rPr>
              <w:t>根据</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提供的</w:t>
            </w:r>
            <w:r>
              <w:rPr>
                <w:rFonts w:hint="eastAsia" w:ascii="宋体" w:hAnsi="宋体" w:eastAsia="宋体" w:cs="宋体"/>
                <w:color w:val="auto"/>
                <w:sz w:val="21"/>
                <w:szCs w:val="21"/>
                <w:highlight w:val="none"/>
              </w:rPr>
              <w:t>施工技术方案及</w:t>
            </w:r>
            <w:r>
              <w:rPr>
                <w:rFonts w:hint="eastAsia" w:ascii="宋体" w:hAnsi="宋体" w:eastAsia="宋体" w:cs="宋体"/>
                <w:color w:val="auto"/>
                <w:sz w:val="21"/>
                <w:szCs w:val="21"/>
                <w:highlight w:val="none"/>
                <w:lang w:eastAsia="zh-CN"/>
              </w:rPr>
              <w:t>关键</w:t>
            </w:r>
            <w:r>
              <w:rPr>
                <w:rFonts w:hint="eastAsia" w:ascii="宋体" w:hAnsi="宋体" w:eastAsia="宋体" w:cs="宋体"/>
                <w:color w:val="auto"/>
                <w:sz w:val="21"/>
                <w:szCs w:val="21"/>
                <w:highlight w:val="none"/>
              </w:rPr>
              <w:t>部位技术措施，体现工艺先进，方案科学、合理、可行</w:t>
            </w:r>
            <w:r>
              <w:rPr>
                <w:rFonts w:hint="eastAsia" w:ascii="宋体" w:hAnsi="宋体" w:eastAsia="宋体" w:cs="宋体"/>
                <w:color w:val="auto"/>
                <w:sz w:val="21"/>
                <w:szCs w:val="21"/>
                <w:highlight w:val="none"/>
                <w:lang w:eastAsia="zh-CN"/>
              </w:rPr>
              <w:t>等进行综合评定</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4分，3分，2分，1分，未提供的不得分。</w:t>
            </w:r>
          </w:p>
        </w:tc>
      </w:tr>
      <w:tr w14:paraId="2037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480F860C">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3</w:t>
            </w:r>
          </w:p>
        </w:tc>
        <w:tc>
          <w:tcPr>
            <w:tcW w:w="1329" w:type="dxa"/>
            <w:shd w:val="clear" w:color="auto" w:fill="auto"/>
            <w:vAlign w:val="center"/>
          </w:tcPr>
          <w:p w14:paraId="6F347E7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质量和安全文明</w:t>
            </w:r>
          </w:p>
        </w:tc>
        <w:tc>
          <w:tcPr>
            <w:tcW w:w="701" w:type="dxa"/>
            <w:vAlign w:val="center"/>
          </w:tcPr>
          <w:p w14:paraId="47141076">
            <w:pPr>
              <w:pStyle w:val="92"/>
              <w:keepNext w:val="0"/>
              <w:keepLines w:val="0"/>
              <w:pageBreakBefore w:val="0"/>
              <w:kinsoku/>
              <w:wordWrap/>
              <w:overflowPunct/>
              <w:topLinePunct w:val="0"/>
              <w:bidi w:val="0"/>
              <w:spacing w:beforeAutospacing="0" w:afterAutospacing="0" w:line="36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p>
        </w:tc>
        <w:tc>
          <w:tcPr>
            <w:tcW w:w="5632" w:type="dxa"/>
            <w:shd w:val="clear" w:color="auto" w:fill="auto"/>
            <w:vAlign w:val="center"/>
          </w:tcPr>
          <w:p w14:paraId="5400852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根据</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提供的</w:t>
            </w:r>
            <w:r>
              <w:rPr>
                <w:rFonts w:hint="eastAsia" w:ascii="宋体" w:hAnsi="宋体" w:eastAsia="宋体" w:cs="宋体"/>
                <w:color w:val="auto"/>
                <w:sz w:val="21"/>
                <w:szCs w:val="21"/>
                <w:highlight w:val="none"/>
              </w:rPr>
              <w:t>工程质量和安全文明施工方案详细具体，是否满足工程建设需要</w:t>
            </w:r>
            <w:r>
              <w:rPr>
                <w:rFonts w:hint="eastAsia" w:ascii="宋体" w:hAnsi="宋体" w:eastAsia="宋体" w:cs="宋体"/>
                <w:color w:val="auto"/>
                <w:sz w:val="21"/>
                <w:szCs w:val="21"/>
                <w:highlight w:val="none"/>
                <w:lang w:eastAsia="zh-CN"/>
              </w:rPr>
              <w:t>等进行综合评定</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3分，2分，1分，未提供的不得分。</w:t>
            </w:r>
          </w:p>
        </w:tc>
      </w:tr>
      <w:tr w14:paraId="51CF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4ED23B1E">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4</w:t>
            </w:r>
          </w:p>
        </w:tc>
        <w:tc>
          <w:tcPr>
            <w:tcW w:w="1329" w:type="dxa"/>
            <w:shd w:val="clear" w:color="auto" w:fill="auto"/>
            <w:vAlign w:val="center"/>
          </w:tcPr>
          <w:p w14:paraId="2529AC0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color w:val="auto"/>
                <w:kern w:val="2"/>
                <w:sz w:val="21"/>
                <w:szCs w:val="21"/>
                <w:highlight w:val="none"/>
                <w:lang w:val="zh-TW" w:eastAsia="zh-CN" w:bidi="ar-SA"/>
              </w:rPr>
            </w:pPr>
            <w:r>
              <w:rPr>
                <w:rFonts w:hint="eastAsia" w:ascii="宋体" w:hAnsi="宋体" w:eastAsia="宋体" w:cs="宋体"/>
                <w:color w:val="auto"/>
                <w:sz w:val="21"/>
                <w:szCs w:val="21"/>
                <w:highlight w:val="none"/>
              </w:rPr>
              <w:t>工期保证</w:t>
            </w:r>
          </w:p>
        </w:tc>
        <w:tc>
          <w:tcPr>
            <w:tcW w:w="701" w:type="dxa"/>
            <w:vAlign w:val="center"/>
          </w:tcPr>
          <w:p w14:paraId="6D88406A">
            <w:pPr>
              <w:pStyle w:val="92"/>
              <w:keepNext w:val="0"/>
              <w:keepLines w:val="0"/>
              <w:pageBreakBefore w:val="0"/>
              <w:kinsoku/>
              <w:wordWrap/>
              <w:overflowPunct/>
              <w:topLinePunct w:val="0"/>
              <w:bidi w:val="0"/>
              <w:spacing w:beforeAutospacing="0" w:afterAutospacing="0" w:line="360" w:lineRule="exact"/>
              <w:jc w:val="center"/>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3</w:t>
            </w:r>
          </w:p>
        </w:tc>
        <w:tc>
          <w:tcPr>
            <w:tcW w:w="5632" w:type="dxa"/>
            <w:shd w:val="clear" w:color="auto" w:fill="auto"/>
            <w:vAlign w:val="center"/>
          </w:tcPr>
          <w:p w14:paraId="691E672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b w:val="0"/>
                <w:bCs w:val="0"/>
                <w:color w:val="auto"/>
                <w:sz w:val="21"/>
                <w:szCs w:val="21"/>
                <w:highlight w:val="none"/>
                <w:lang w:eastAsia="zh-CN"/>
              </w:rPr>
              <w:t>根据</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提供的</w:t>
            </w:r>
            <w:r>
              <w:rPr>
                <w:rFonts w:hint="eastAsia" w:ascii="宋体" w:hAnsi="宋体" w:eastAsia="宋体" w:cs="宋体"/>
                <w:color w:val="auto"/>
                <w:sz w:val="21"/>
                <w:szCs w:val="21"/>
                <w:highlight w:val="none"/>
              </w:rPr>
              <w:t>工期保证措施及工期进度计划图，工期安排合理得当，具有可操作性</w:t>
            </w:r>
            <w:r>
              <w:rPr>
                <w:rFonts w:hint="eastAsia" w:ascii="宋体" w:hAnsi="宋体" w:eastAsia="宋体" w:cs="宋体"/>
                <w:color w:val="auto"/>
                <w:sz w:val="21"/>
                <w:szCs w:val="21"/>
                <w:highlight w:val="none"/>
                <w:lang w:eastAsia="zh-CN"/>
              </w:rPr>
              <w:t>等进行综合评定</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3分，2分，1分，未提供的不得分。</w:t>
            </w:r>
          </w:p>
        </w:tc>
      </w:tr>
      <w:tr w14:paraId="309C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1391A9FB">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5</w:t>
            </w:r>
          </w:p>
        </w:tc>
        <w:tc>
          <w:tcPr>
            <w:tcW w:w="1329" w:type="dxa"/>
            <w:shd w:val="clear" w:color="auto" w:fill="auto"/>
            <w:vAlign w:val="center"/>
          </w:tcPr>
          <w:p w14:paraId="7D225B5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color w:val="auto"/>
                <w:kern w:val="2"/>
                <w:sz w:val="21"/>
                <w:szCs w:val="21"/>
                <w:highlight w:val="none"/>
                <w:lang w:val="zh-TW" w:eastAsia="zh-CN" w:bidi="ar-SA"/>
              </w:rPr>
            </w:pPr>
            <w:r>
              <w:rPr>
                <w:rFonts w:hint="eastAsia" w:ascii="宋体" w:hAnsi="宋体" w:eastAsia="宋体" w:cs="宋体"/>
                <w:color w:val="auto"/>
                <w:highlight w:val="none"/>
                <w:lang w:val="zh-TW" w:eastAsia="zh-TW"/>
              </w:rPr>
              <w:t>项目重点、难点问题</w:t>
            </w:r>
          </w:p>
        </w:tc>
        <w:tc>
          <w:tcPr>
            <w:tcW w:w="701" w:type="dxa"/>
            <w:vAlign w:val="center"/>
          </w:tcPr>
          <w:p w14:paraId="74D2927B">
            <w:pPr>
              <w:pStyle w:val="92"/>
              <w:keepNext w:val="0"/>
              <w:keepLines w:val="0"/>
              <w:pageBreakBefore w:val="0"/>
              <w:kinsoku/>
              <w:wordWrap/>
              <w:overflowPunct/>
              <w:topLinePunct w:val="0"/>
              <w:bidi w:val="0"/>
              <w:spacing w:beforeAutospacing="0" w:afterAutospacing="0" w:line="360" w:lineRule="exact"/>
              <w:jc w:val="center"/>
              <w:rPr>
                <w:rFonts w:hint="eastAsia" w:hAnsi="宋体" w:eastAsia="宋体" w:cs="仿宋"/>
                <w:bCs/>
                <w:color w:val="auto"/>
                <w:kern w:val="2"/>
                <w:sz w:val="21"/>
                <w:szCs w:val="21"/>
                <w:highlight w:val="none"/>
                <w:lang w:val="en-US" w:eastAsia="zh-CN"/>
              </w:rPr>
            </w:pPr>
            <w:r>
              <w:rPr>
                <w:rFonts w:hint="eastAsia" w:hAnsi="宋体" w:eastAsia="宋体" w:cs="仿宋"/>
                <w:bCs/>
                <w:color w:val="auto"/>
                <w:kern w:val="2"/>
                <w:sz w:val="21"/>
                <w:szCs w:val="21"/>
                <w:highlight w:val="none"/>
                <w:lang w:val="en-US" w:eastAsia="zh-CN"/>
              </w:rPr>
              <w:t>3</w:t>
            </w:r>
          </w:p>
        </w:tc>
        <w:tc>
          <w:tcPr>
            <w:tcW w:w="5632" w:type="dxa"/>
            <w:shd w:val="clear" w:color="auto" w:fill="auto"/>
            <w:vAlign w:val="center"/>
          </w:tcPr>
          <w:p w14:paraId="3157328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根据</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提供的</w:t>
            </w:r>
            <w:r>
              <w:rPr>
                <w:rFonts w:hint="eastAsia" w:ascii="宋体" w:hAnsi="宋体" w:eastAsia="宋体" w:cs="宋体"/>
                <w:color w:val="auto"/>
                <w:highlight w:val="none"/>
                <w:lang w:val="zh-TW" w:eastAsia="zh-TW"/>
              </w:rPr>
              <w:t>针对项目重点、难点问题，提出解决对策和措施，对策是否有效、可行、针对性强、处理是否措施得力、是否符合项目实际情况和特点进行综合评审</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3分，2分，1分，未提供的不得分。</w:t>
            </w:r>
          </w:p>
        </w:tc>
      </w:tr>
      <w:tr w14:paraId="6F9A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38138C4C">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6</w:t>
            </w:r>
          </w:p>
        </w:tc>
        <w:tc>
          <w:tcPr>
            <w:tcW w:w="1329" w:type="dxa"/>
            <w:vAlign w:val="center"/>
          </w:tcPr>
          <w:p w14:paraId="2C238D51">
            <w:pPr>
              <w:keepNext w:val="0"/>
              <w:keepLines w:val="0"/>
              <w:pageBreakBefore w:val="0"/>
              <w:kinsoku/>
              <w:wordWrap/>
              <w:overflowPunct/>
              <w:topLinePunct w:val="0"/>
              <w:bidi w:val="0"/>
              <w:spacing w:beforeAutospacing="0" w:afterAutospacing="0" w:line="360" w:lineRule="exact"/>
              <w:jc w:val="center"/>
              <w:rPr>
                <w:rFonts w:ascii="宋体" w:hAnsi="宋体" w:cs="仿宋"/>
                <w:bCs/>
                <w:color w:val="auto"/>
                <w:szCs w:val="21"/>
                <w:highlight w:val="none"/>
              </w:rPr>
            </w:pPr>
            <w:r>
              <w:rPr>
                <w:rFonts w:hint="eastAsia" w:ascii="宋体" w:hAnsi="宋体" w:eastAsia="宋体" w:cs="宋体"/>
                <w:b w:val="0"/>
                <w:bCs/>
                <w:color w:val="auto"/>
                <w:highlight w:val="none"/>
                <w:lang w:val="zh-TW" w:eastAsia="zh-TW"/>
              </w:rPr>
              <w:t>设计说明</w:t>
            </w:r>
          </w:p>
        </w:tc>
        <w:tc>
          <w:tcPr>
            <w:tcW w:w="701" w:type="dxa"/>
            <w:vAlign w:val="center"/>
          </w:tcPr>
          <w:p w14:paraId="4FF50AC1">
            <w:pPr>
              <w:keepNext w:val="0"/>
              <w:keepLines w:val="0"/>
              <w:pageBreakBefore w:val="0"/>
              <w:kinsoku/>
              <w:wordWrap/>
              <w:overflowPunct/>
              <w:topLinePunct w:val="0"/>
              <w:autoSpaceDE w:val="0"/>
              <w:autoSpaceDN w:val="0"/>
              <w:bidi w:val="0"/>
              <w:adjustRightInd w:val="0"/>
              <w:snapToGrid w:val="0"/>
              <w:spacing w:beforeAutospacing="0" w:afterAutospacing="0" w:line="360" w:lineRule="exact"/>
              <w:jc w:val="center"/>
              <w:rPr>
                <w:rFonts w:hint="default" w:ascii="宋体" w:hAnsi="宋体" w:eastAsia="宋体" w:cs="仿宋"/>
                <w:bCs/>
                <w:color w:val="auto"/>
                <w:szCs w:val="21"/>
                <w:highlight w:val="none"/>
                <w:lang w:val="en-US" w:eastAsia="zh-CN"/>
              </w:rPr>
            </w:pPr>
            <w:r>
              <w:rPr>
                <w:rFonts w:hint="eastAsia" w:ascii="宋体" w:hAnsi="宋体" w:cs="仿宋"/>
                <w:bCs/>
                <w:color w:val="auto"/>
                <w:szCs w:val="21"/>
                <w:highlight w:val="none"/>
                <w:lang w:val="en-US" w:eastAsia="zh-CN"/>
              </w:rPr>
              <w:t>3</w:t>
            </w:r>
          </w:p>
        </w:tc>
        <w:tc>
          <w:tcPr>
            <w:tcW w:w="5632" w:type="dxa"/>
            <w:vAlign w:val="center"/>
          </w:tcPr>
          <w:p w14:paraId="54C39BE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ascii="宋体" w:hAnsi="宋体" w:cs="仿宋"/>
                <w:bCs/>
                <w:color w:val="auto"/>
                <w:spacing w:val="5"/>
                <w:kern w:val="0"/>
                <w:szCs w:val="21"/>
                <w:highlight w:val="none"/>
              </w:rPr>
            </w:pPr>
            <w:r>
              <w:rPr>
                <w:rFonts w:hint="eastAsia" w:ascii="宋体" w:hAnsi="宋体" w:eastAsia="宋体" w:cs="宋体"/>
                <w:b w:val="0"/>
                <w:bCs w:val="0"/>
                <w:color w:val="auto"/>
                <w:sz w:val="21"/>
                <w:szCs w:val="21"/>
                <w:highlight w:val="none"/>
                <w:lang w:eastAsia="zh-CN"/>
              </w:rPr>
              <w:t>根据</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提供的</w:t>
            </w:r>
            <w:r>
              <w:rPr>
                <w:rFonts w:hint="eastAsia" w:ascii="宋体" w:hAnsi="宋体" w:eastAsia="宋体" w:cs="宋体"/>
                <w:b w:val="0"/>
                <w:bCs/>
                <w:color w:val="auto"/>
                <w:sz w:val="21"/>
                <w:szCs w:val="21"/>
                <w:highlight w:val="none"/>
              </w:rPr>
              <w:t>设计说明的科学性和准确性、是否符合项目实际情况和特点进行综合评审</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3分，2分，1分，未提供的不得分。</w:t>
            </w:r>
          </w:p>
        </w:tc>
      </w:tr>
      <w:tr w14:paraId="0683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Merge w:val="restart"/>
            <w:vAlign w:val="center"/>
          </w:tcPr>
          <w:p w14:paraId="7F3E6E0A">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7</w:t>
            </w:r>
          </w:p>
        </w:tc>
        <w:tc>
          <w:tcPr>
            <w:tcW w:w="1329" w:type="dxa"/>
            <w:vMerge w:val="restart"/>
            <w:vAlign w:val="center"/>
          </w:tcPr>
          <w:p w14:paraId="4A12D92F">
            <w:pPr>
              <w:keepNext w:val="0"/>
              <w:keepLines w:val="0"/>
              <w:pageBreakBefore w:val="0"/>
              <w:kinsoku/>
              <w:wordWrap/>
              <w:overflowPunct/>
              <w:topLinePunct w:val="0"/>
              <w:bidi w:val="0"/>
              <w:spacing w:beforeAutospacing="0" w:afterAutospacing="0" w:line="360" w:lineRule="exact"/>
              <w:jc w:val="center"/>
              <w:rPr>
                <w:rFonts w:hint="eastAsia" w:ascii="宋体" w:hAnsi="宋体" w:eastAsia="宋体" w:cs="仿宋"/>
                <w:bCs/>
                <w:color w:val="auto"/>
                <w:szCs w:val="21"/>
                <w:highlight w:val="none"/>
                <w:lang w:eastAsia="zh-CN"/>
              </w:rPr>
            </w:pPr>
            <w:r>
              <w:rPr>
                <w:rFonts w:hint="eastAsia" w:ascii="宋体" w:hAnsi="宋体" w:cs="仿宋"/>
                <w:bCs/>
                <w:color w:val="auto"/>
                <w:szCs w:val="21"/>
                <w:highlight w:val="none"/>
                <w:lang w:eastAsia="zh-CN"/>
              </w:rPr>
              <w:t>设计方案</w:t>
            </w:r>
          </w:p>
        </w:tc>
        <w:tc>
          <w:tcPr>
            <w:tcW w:w="701" w:type="dxa"/>
            <w:vAlign w:val="center"/>
          </w:tcPr>
          <w:p w14:paraId="6D77C289">
            <w:pPr>
              <w:keepNext w:val="0"/>
              <w:keepLines w:val="0"/>
              <w:pageBreakBefore w:val="0"/>
              <w:kinsoku/>
              <w:wordWrap/>
              <w:overflowPunct/>
              <w:topLinePunct w:val="0"/>
              <w:bidi w:val="0"/>
              <w:spacing w:beforeAutospacing="0" w:afterAutospacing="0" w:line="360" w:lineRule="exact"/>
              <w:jc w:val="center"/>
              <w:rPr>
                <w:rFonts w:hint="default" w:ascii="宋体" w:hAnsi="宋体" w:eastAsia="宋体" w:cs="仿宋"/>
                <w:bCs/>
                <w:color w:val="auto"/>
                <w:szCs w:val="21"/>
                <w:highlight w:val="none"/>
                <w:lang w:val="en-US" w:eastAsia="zh-CN"/>
              </w:rPr>
            </w:pPr>
            <w:r>
              <w:rPr>
                <w:rFonts w:hint="eastAsia" w:ascii="宋体" w:hAnsi="宋体" w:cs="仿宋"/>
                <w:bCs/>
                <w:color w:val="auto"/>
                <w:szCs w:val="21"/>
                <w:highlight w:val="none"/>
                <w:lang w:val="en-US" w:eastAsia="zh-CN"/>
              </w:rPr>
              <w:t>10</w:t>
            </w:r>
          </w:p>
        </w:tc>
        <w:tc>
          <w:tcPr>
            <w:tcW w:w="5632" w:type="dxa"/>
            <w:vAlign w:val="center"/>
          </w:tcPr>
          <w:p w14:paraId="22208E7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托育照护区</w:t>
            </w:r>
            <w:r>
              <w:rPr>
                <w:rFonts w:hint="eastAsia" w:ascii="宋体" w:hAnsi="宋体" w:eastAsia="宋体" w:cs="宋体"/>
                <w:b w:val="0"/>
                <w:bCs/>
                <w:color w:val="auto"/>
                <w:sz w:val="21"/>
                <w:szCs w:val="21"/>
                <w:highlight w:val="none"/>
                <w:lang w:val="en-US" w:eastAsia="zh-CN"/>
              </w:rPr>
              <w:t>设计（含效果图≥4张）：</w:t>
            </w:r>
            <w:r>
              <w:rPr>
                <w:rFonts w:hint="eastAsia" w:ascii="宋体" w:hAnsi="宋体" w:eastAsia="宋体" w:cs="宋体"/>
                <w:b w:val="0"/>
                <w:bCs/>
                <w:color w:val="auto"/>
                <w:sz w:val="21"/>
                <w:szCs w:val="21"/>
                <w:highlight w:val="none"/>
                <w:lang w:eastAsia="zh-CN"/>
              </w:rPr>
              <w:t>专业、针对采购需求及实际特点、艺术性强、可视化程度高。</w:t>
            </w:r>
          </w:p>
          <w:p w14:paraId="6C9B9EF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1、空间规划、呈现形式</w:t>
            </w:r>
            <w:r>
              <w:rPr>
                <w:rFonts w:hint="eastAsia" w:ascii="宋体" w:hAnsi="宋体" w:eastAsia="宋体" w:cs="宋体"/>
                <w:b w:val="0"/>
                <w:bCs/>
                <w:color w:val="auto"/>
                <w:sz w:val="21"/>
                <w:szCs w:val="21"/>
                <w:highlight w:val="none"/>
                <w:lang w:eastAsia="zh-CN"/>
              </w:rPr>
              <w:t>，</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5分，4分，3分，2分，1分，未提供的不得分。</w:t>
            </w:r>
          </w:p>
          <w:p w14:paraId="0430ECD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ascii="宋体" w:hAnsi="宋体" w:cs="宋体"/>
                <w:color w:val="auto"/>
                <w:szCs w:val="21"/>
                <w:highlight w:val="none"/>
              </w:rPr>
            </w:pPr>
            <w:r>
              <w:rPr>
                <w:rFonts w:hint="eastAsia" w:ascii="宋体" w:hAnsi="宋体" w:eastAsia="宋体" w:cs="宋体"/>
                <w:b w:val="0"/>
                <w:bCs/>
                <w:color w:val="auto"/>
                <w:sz w:val="21"/>
                <w:szCs w:val="21"/>
                <w:highlight w:val="none"/>
                <w:lang w:val="en-US" w:eastAsia="zh-CN"/>
              </w:rPr>
              <w:t>2、设计风格</w:t>
            </w:r>
            <w:r>
              <w:rPr>
                <w:rFonts w:hint="eastAsia" w:ascii="宋体" w:hAnsi="宋体" w:eastAsia="宋体" w:cs="宋体"/>
                <w:b w:val="0"/>
                <w:bCs/>
                <w:color w:val="auto"/>
                <w:sz w:val="21"/>
                <w:szCs w:val="21"/>
                <w:highlight w:val="none"/>
                <w:lang w:eastAsia="zh-CN"/>
              </w:rPr>
              <w:t>与功能分区定位匹配、</w:t>
            </w:r>
            <w:r>
              <w:rPr>
                <w:rFonts w:hint="eastAsia" w:ascii="宋体" w:hAnsi="宋体" w:eastAsia="宋体" w:cs="宋体"/>
                <w:b w:val="0"/>
                <w:bCs/>
                <w:color w:val="auto"/>
                <w:sz w:val="21"/>
                <w:szCs w:val="21"/>
                <w:highlight w:val="none"/>
                <w:lang w:val="en-US" w:eastAsia="zh-CN"/>
              </w:rPr>
              <w:t>视觉元素表达（色调、审美）</w:t>
            </w:r>
            <w:r>
              <w:rPr>
                <w:rFonts w:hint="eastAsia" w:ascii="宋体" w:hAnsi="宋体" w:eastAsia="宋体" w:cs="宋体"/>
                <w:b w:val="0"/>
                <w:bCs/>
                <w:color w:val="auto"/>
                <w:sz w:val="21"/>
                <w:szCs w:val="21"/>
                <w:highlight w:val="none"/>
                <w:lang w:eastAsia="zh-CN"/>
              </w:rPr>
              <w:t>，</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5分，4分，3分，2分，1分，未提供的不得分。</w:t>
            </w:r>
          </w:p>
        </w:tc>
      </w:tr>
      <w:tr w14:paraId="0F16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Merge w:val="continue"/>
            <w:vAlign w:val="center"/>
          </w:tcPr>
          <w:p w14:paraId="35A09574">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Cs/>
                <w:snapToGrid w:val="0"/>
                <w:color w:val="auto"/>
                <w:szCs w:val="21"/>
                <w:highlight w:val="none"/>
              </w:rPr>
            </w:pPr>
          </w:p>
        </w:tc>
        <w:tc>
          <w:tcPr>
            <w:tcW w:w="1329" w:type="dxa"/>
            <w:vMerge w:val="continue"/>
            <w:vAlign w:val="center"/>
          </w:tcPr>
          <w:p w14:paraId="207CCCC1">
            <w:pPr>
              <w:keepNext w:val="0"/>
              <w:keepLines w:val="0"/>
              <w:pageBreakBefore w:val="0"/>
              <w:kinsoku/>
              <w:wordWrap/>
              <w:overflowPunct/>
              <w:topLinePunct w:val="0"/>
              <w:bidi w:val="0"/>
              <w:spacing w:beforeAutospacing="0" w:afterAutospacing="0" w:line="360" w:lineRule="exact"/>
              <w:jc w:val="center"/>
              <w:rPr>
                <w:rFonts w:ascii="宋体" w:hAnsi="宋体" w:cs="仿宋"/>
                <w:bCs/>
                <w:color w:val="auto"/>
                <w:szCs w:val="21"/>
                <w:highlight w:val="none"/>
              </w:rPr>
            </w:pPr>
          </w:p>
        </w:tc>
        <w:tc>
          <w:tcPr>
            <w:tcW w:w="701" w:type="dxa"/>
            <w:vAlign w:val="center"/>
          </w:tcPr>
          <w:p w14:paraId="074F68BB">
            <w:pPr>
              <w:keepNext w:val="0"/>
              <w:keepLines w:val="0"/>
              <w:pageBreakBefore w:val="0"/>
              <w:kinsoku/>
              <w:wordWrap/>
              <w:overflowPunct/>
              <w:topLinePunct w:val="0"/>
              <w:bidi w:val="0"/>
              <w:spacing w:beforeAutospacing="0" w:afterAutospacing="0" w:line="360" w:lineRule="exact"/>
              <w:jc w:val="center"/>
              <w:rPr>
                <w:rFonts w:hint="default" w:ascii="宋体" w:hAnsi="宋体" w:eastAsia="宋体" w:cs="仿宋"/>
                <w:bCs/>
                <w:color w:val="auto"/>
                <w:szCs w:val="21"/>
                <w:highlight w:val="none"/>
                <w:lang w:val="en-US" w:eastAsia="zh-CN"/>
              </w:rPr>
            </w:pPr>
            <w:r>
              <w:rPr>
                <w:rFonts w:hint="eastAsia" w:ascii="宋体" w:hAnsi="宋体" w:cs="仿宋"/>
                <w:bCs/>
                <w:color w:val="auto"/>
                <w:szCs w:val="21"/>
                <w:highlight w:val="none"/>
                <w:lang w:val="en-US" w:eastAsia="zh-CN"/>
              </w:rPr>
              <w:t>10</w:t>
            </w:r>
          </w:p>
        </w:tc>
        <w:tc>
          <w:tcPr>
            <w:tcW w:w="5632" w:type="dxa"/>
            <w:vAlign w:val="center"/>
          </w:tcPr>
          <w:p w14:paraId="7BFC777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托育从业人员培训区</w:t>
            </w:r>
            <w:r>
              <w:rPr>
                <w:rFonts w:hint="eastAsia" w:ascii="宋体" w:hAnsi="宋体" w:eastAsia="宋体" w:cs="宋体"/>
                <w:b w:val="0"/>
                <w:bCs/>
                <w:color w:val="auto"/>
                <w:sz w:val="21"/>
                <w:szCs w:val="21"/>
                <w:highlight w:val="none"/>
                <w:lang w:val="en-US" w:eastAsia="zh-CN"/>
              </w:rPr>
              <w:t>设计（含效果图≥4张）：</w:t>
            </w:r>
            <w:r>
              <w:rPr>
                <w:rFonts w:hint="eastAsia" w:ascii="宋体" w:hAnsi="宋体" w:eastAsia="宋体" w:cs="宋体"/>
                <w:b w:val="0"/>
                <w:bCs/>
                <w:color w:val="auto"/>
                <w:sz w:val="21"/>
                <w:szCs w:val="21"/>
                <w:highlight w:val="none"/>
                <w:lang w:eastAsia="zh-CN"/>
              </w:rPr>
              <w:t>专业、针对采购需求及实际特点、艺术性强、可视化程度高。</w:t>
            </w:r>
          </w:p>
          <w:p w14:paraId="7500BB4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1、空间规划、呈现形式</w:t>
            </w:r>
            <w:r>
              <w:rPr>
                <w:rFonts w:hint="eastAsia" w:ascii="宋体" w:hAnsi="宋体" w:eastAsia="宋体" w:cs="宋体"/>
                <w:b w:val="0"/>
                <w:bCs/>
                <w:color w:val="auto"/>
                <w:sz w:val="21"/>
                <w:szCs w:val="21"/>
                <w:highlight w:val="none"/>
                <w:lang w:eastAsia="zh-CN"/>
              </w:rPr>
              <w:t>，</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5分，4分，3分，2分，1分，未提供的不得分。</w:t>
            </w:r>
          </w:p>
          <w:p w14:paraId="0981DF54">
            <w:pPr>
              <w:keepNext w:val="0"/>
              <w:keepLines w:val="0"/>
              <w:pageBreakBefore w:val="0"/>
              <w:kinsoku/>
              <w:wordWrap/>
              <w:overflowPunct/>
              <w:topLinePunct w:val="0"/>
              <w:bidi w:val="0"/>
              <w:spacing w:beforeAutospacing="0" w:afterAutospacing="0" w:line="360" w:lineRule="exact"/>
              <w:rPr>
                <w:rFonts w:ascii="宋体" w:hAnsi="宋体" w:cs="仿宋"/>
                <w:bCs/>
                <w:color w:val="auto"/>
                <w:kern w:val="28"/>
                <w:szCs w:val="21"/>
                <w:highlight w:val="none"/>
              </w:rPr>
            </w:pPr>
            <w:r>
              <w:rPr>
                <w:rFonts w:hint="eastAsia" w:ascii="宋体" w:hAnsi="宋体" w:eastAsia="宋体" w:cs="宋体"/>
                <w:b w:val="0"/>
                <w:bCs/>
                <w:color w:val="auto"/>
                <w:sz w:val="21"/>
                <w:szCs w:val="21"/>
                <w:highlight w:val="none"/>
                <w:lang w:val="en-US" w:eastAsia="zh-CN"/>
              </w:rPr>
              <w:t>2、设计风格</w:t>
            </w:r>
            <w:r>
              <w:rPr>
                <w:rFonts w:hint="eastAsia" w:ascii="宋体" w:hAnsi="宋体" w:eastAsia="宋体" w:cs="宋体"/>
                <w:b w:val="0"/>
                <w:bCs/>
                <w:color w:val="auto"/>
                <w:sz w:val="21"/>
                <w:szCs w:val="21"/>
                <w:highlight w:val="none"/>
                <w:lang w:eastAsia="zh-CN"/>
              </w:rPr>
              <w:t>与功能分区定位匹配、</w:t>
            </w:r>
            <w:r>
              <w:rPr>
                <w:rFonts w:hint="eastAsia" w:ascii="宋体" w:hAnsi="宋体" w:eastAsia="宋体" w:cs="宋体"/>
                <w:b w:val="0"/>
                <w:bCs/>
                <w:color w:val="auto"/>
                <w:sz w:val="21"/>
                <w:szCs w:val="21"/>
                <w:highlight w:val="none"/>
                <w:lang w:val="en-US" w:eastAsia="zh-CN"/>
              </w:rPr>
              <w:t>视觉元素表达（色调、审美）</w:t>
            </w:r>
            <w:r>
              <w:rPr>
                <w:rFonts w:hint="eastAsia" w:ascii="宋体" w:hAnsi="宋体" w:eastAsia="宋体" w:cs="宋体"/>
                <w:b w:val="0"/>
                <w:bCs/>
                <w:color w:val="auto"/>
                <w:sz w:val="21"/>
                <w:szCs w:val="21"/>
                <w:highlight w:val="none"/>
                <w:lang w:eastAsia="zh-CN"/>
              </w:rPr>
              <w:t>，</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5分，4分，3分，2分，1分，未提供的不得分。</w:t>
            </w:r>
          </w:p>
        </w:tc>
      </w:tr>
      <w:tr w14:paraId="2CA2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Merge w:val="continue"/>
            <w:vAlign w:val="center"/>
          </w:tcPr>
          <w:p w14:paraId="02E3B103">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Cs/>
                <w:snapToGrid w:val="0"/>
                <w:color w:val="auto"/>
                <w:szCs w:val="21"/>
                <w:highlight w:val="none"/>
              </w:rPr>
            </w:pPr>
          </w:p>
        </w:tc>
        <w:tc>
          <w:tcPr>
            <w:tcW w:w="1329" w:type="dxa"/>
            <w:vMerge w:val="continue"/>
            <w:vAlign w:val="center"/>
          </w:tcPr>
          <w:p w14:paraId="50E706C2">
            <w:pPr>
              <w:keepNext w:val="0"/>
              <w:keepLines w:val="0"/>
              <w:pageBreakBefore w:val="0"/>
              <w:kinsoku/>
              <w:wordWrap/>
              <w:overflowPunct/>
              <w:topLinePunct w:val="0"/>
              <w:bidi w:val="0"/>
              <w:spacing w:beforeAutospacing="0" w:afterAutospacing="0" w:line="360" w:lineRule="exact"/>
              <w:jc w:val="center"/>
              <w:rPr>
                <w:rFonts w:ascii="宋体" w:hAnsi="宋体" w:cs="仿宋"/>
                <w:bCs/>
                <w:color w:val="auto"/>
                <w:szCs w:val="21"/>
                <w:highlight w:val="none"/>
              </w:rPr>
            </w:pPr>
          </w:p>
        </w:tc>
        <w:tc>
          <w:tcPr>
            <w:tcW w:w="701" w:type="dxa"/>
            <w:vAlign w:val="center"/>
          </w:tcPr>
          <w:p w14:paraId="4EB0F971">
            <w:pPr>
              <w:keepNext w:val="0"/>
              <w:keepLines w:val="0"/>
              <w:pageBreakBefore w:val="0"/>
              <w:kinsoku/>
              <w:wordWrap/>
              <w:overflowPunct/>
              <w:topLinePunct w:val="0"/>
              <w:bidi w:val="0"/>
              <w:spacing w:beforeAutospacing="0" w:afterAutospacing="0" w:line="360" w:lineRule="exact"/>
              <w:jc w:val="center"/>
              <w:rPr>
                <w:rFonts w:hint="default" w:ascii="宋体" w:hAnsi="宋体" w:eastAsia="宋体" w:cs="仿宋"/>
                <w:bCs/>
                <w:snapToGrid w:val="0"/>
                <w:color w:val="auto"/>
                <w:szCs w:val="21"/>
                <w:highlight w:val="none"/>
                <w:lang w:val="en-US" w:eastAsia="zh-CN"/>
              </w:rPr>
            </w:pPr>
            <w:r>
              <w:rPr>
                <w:rFonts w:hint="eastAsia" w:ascii="宋体" w:hAnsi="宋体" w:cs="仿宋"/>
                <w:bCs/>
                <w:snapToGrid w:val="0"/>
                <w:color w:val="auto"/>
                <w:szCs w:val="21"/>
                <w:highlight w:val="none"/>
                <w:lang w:val="en-US" w:eastAsia="zh-CN"/>
              </w:rPr>
              <w:t>10</w:t>
            </w:r>
          </w:p>
        </w:tc>
        <w:tc>
          <w:tcPr>
            <w:tcW w:w="5632" w:type="dxa"/>
            <w:vAlign w:val="center"/>
          </w:tcPr>
          <w:p w14:paraId="45FDC0E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后勤与办公区</w:t>
            </w:r>
            <w:r>
              <w:rPr>
                <w:rFonts w:hint="eastAsia" w:ascii="宋体" w:hAnsi="宋体" w:eastAsia="宋体" w:cs="宋体"/>
                <w:b w:val="0"/>
                <w:bCs/>
                <w:color w:val="auto"/>
                <w:sz w:val="21"/>
                <w:szCs w:val="21"/>
                <w:highlight w:val="none"/>
                <w:lang w:val="en-US" w:eastAsia="zh-CN"/>
              </w:rPr>
              <w:t>设计（含效果图≥4张）：</w:t>
            </w:r>
            <w:r>
              <w:rPr>
                <w:rFonts w:hint="eastAsia" w:ascii="宋体" w:hAnsi="宋体" w:eastAsia="宋体" w:cs="宋体"/>
                <w:b w:val="0"/>
                <w:bCs/>
                <w:color w:val="auto"/>
                <w:sz w:val="21"/>
                <w:szCs w:val="21"/>
                <w:highlight w:val="none"/>
                <w:lang w:eastAsia="zh-CN"/>
              </w:rPr>
              <w:t>专业、针对采购需求及实际特点、艺术性强、可视化程度高。</w:t>
            </w:r>
          </w:p>
          <w:p w14:paraId="5CB41FB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1、空间规划、呈现形式</w:t>
            </w:r>
            <w:r>
              <w:rPr>
                <w:rFonts w:hint="eastAsia" w:ascii="宋体" w:hAnsi="宋体" w:eastAsia="宋体" w:cs="宋体"/>
                <w:b w:val="0"/>
                <w:bCs/>
                <w:color w:val="auto"/>
                <w:sz w:val="21"/>
                <w:szCs w:val="21"/>
                <w:highlight w:val="none"/>
                <w:lang w:eastAsia="zh-CN"/>
              </w:rPr>
              <w:t>，</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5分，4分，3分，2分，1分，未提供的不得分。</w:t>
            </w:r>
          </w:p>
          <w:p w14:paraId="229780BB">
            <w:pPr>
              <w:keepNext w:val="0"/>
              <w:keepLines w:val="0"/>
              <w:pageBreakBefore w:val="0"/>
              <w:kinsoku/>
              <w:wordWrap/>
              <w:overflowPunct/>
              <w:topLinePunct w:val="0"/>
              <w:bidi w:val="0"/>
              <w:spacing w:beforeAutospacing="0" w:afterAutospacing="0" w:line="360" w:lineRule="exact"/>
              <w:rPr>
                <w:rFonts w:ascii="宋体" w:hAnsi="宋体" w:cs="仿宋"/>
                <w:bCs/>
                <w:color w:val="auto"/>
                <w:szCs w:val="21"/>
                <w:highlight w:val="none"/>
              </w:rPr>
            </w:pPr>
            <w:r>
              <w:rPr>
                <w:rFonts w:hint="eastAsia" w:ascii="宋体" w:hAnsi="宋体" w:eastAsia="宋体" w:cs="宋体"/>
                <w:b w:val="0"/>
                <w:bCs/>
                <w:color w:val="auto"/>
                <w:sz w:val="21"/>
                <w:szCs w:val="21"/>
                <w:highlight w:val="none"/>
                <w:lang w:val="en-US" w:eastAsia="zh-CN"/>
              </w:rPr>
              <w:t>2、设计风格</w:t>
            </w:r>
            <w:r>
              <w:rPr>
                <w:rFonts w:hint="eastAsia" w:ascii="宋体" w:hAnsi="宋体" w:eastAsia="宋体" w:cs="宋体"/>
                <w:b w:val="0"/>
                <w:bCs/>
                <w:color w:val="auto"/>
                <w:sz w:val="21"/>
                <w:szCs w:val="21"/>
                <w:highlight w:val="none"/>
                <w:lang w:eastAsia="zh-CN"/>
              </w:rPr>
              <w:t>与功能分区定位匹配、</w:t>
            </w:r>
            <w:r>
              <w:rPr>
                <w:rFonts w:hint="eastAsia" w:ascii="宋体" w:hAnsi="宋体" w:eastAsia="宋体" w:cs="宋体"/>
                <w:b w:val="0"/>
                <w:bCs/>
                <w:color w:val="auto"/>
                <w:sz w:val="21"/>
                <w:szCs w:val="21"/>
                <w:highlight w:val="none"/>
                <w:lang w:val="en-US" w:eastAsia="zh-CN"/>
              </w:rPr>
              <w:t>视觉元素表达（色调、审美）</w:t>
            </w:r>
            <w:r>
              <w:rPr>
                <w:rFonts w:hint="eastAsia" w:ascii="宋体" w:hAnsi="宋体" w:eastAsia="宋体" w:cs="宋体"/>
                <w:b w:val="0"/>
                <w:bCs/>
                <w:color w:val="auto"/>
                <w:sz w:val="21"/>
                <w:szCs w:val="21"/>
                <w:highlight w:val="none"/>
                <w:lang w:eastAsia="zh-CN"/>
              </w:rPr>
              <w:t>，</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5分，4分，3分，2分，1分，未提供的不得分。</w:t>
            </w:r>
          </w:p>
        </w:tc>
      </w:tr>
      <w:tr w14:paraId="17A5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Merge w:val="continue"/>
            <w:vAlign w:val="center"/>
          </w:tcPr>
          <w:p w14:paraId="3D35F7DC">
            <w:pPr>
              <w:keepNext w:val="0"/>
              <w:keepLines w:val="0"/>
              <w:pageBreakBefore w:val="0"/>
              <w:kinsoku/>
              <w:wordWrap/>
              <w:overflowPunct/>
              <w:topLinePunct w:val="0"/>
              <w:bidi w:val="0"/>
              <w:adjustRightInd w:val="0"/>
              <w:snapToGrid w:val="0"/>
              <w:spacing w:beforeAutospacing="0" w:afterAutospacing="0" w:line="360" w:lineRule="exact"/>
              <w:jc w:val="center"/>
              <w:rPr>
                <w:rFonts w:hint="eastAsia" w:ascii="宋体" w:hAnsi="宋体" w:cs="仿宋"/>
                <w:bCs/>
                <w:snapToGrid w:val="0"/>
                <w:color w:val="auto"/>
                <w:szCs w:val="21"/>
                <w:highlight w:val="none"/>
              </w:rPr>
            </w:pPr>
          </w:p>
        </w:tc>
        <w:tc>
          <w:tcPr>
            <w:tcW w:w="1329" w:type="dxa"/>
            <w:vMerge w:val="continue"/>
            <w:vAlign w:val="center"/>
          </w:tcPr>
          <w:p w14:paraId="2EB9D624">
            <w:pPr>
              <w:keepNext w:val="0"/>
              <w:keepLines w:val="0"/>
              <w:pageBreakBefore w:val="0"/>
              <w:kinsoku/>
              <w:wordWrap/>
              <w:overflowPunct/>
              <w:topLinePunct w:val="0"/>
              <w:bidi w:val="0"/>
              <w:spacing w:beforeAutospacing="0" w:afterAutospacing="0" w:line="360" w:lineRule="exact"/>
              <w:jc w:val="center"/>
              <w:rPr>
                <w:rFonts w:ascii="宋体" w:hAnsi="宋体" w:cs="仿宋"/>
                <w:bCs/>
                <w:color w:val="auto"/>
                <w:szCs w:val="21"/>
                <w:highlight w:val="none"/>
              </w:rPr>
            </w:pPr>
          </w:p>
        </w:tc>
        <w:tc>
          <w:tcPr>
            <w:tcW w:w="701" w:type="dxa"/>
            <w:vAlign w:val="center"/>
          </w:tcPr>
          <w:p w14:paraId="13A84281">
            <w:pPr>
              <w:keepNext w:val="0"/>
              <w:keepLines w:val="0"/>
              <w:pageBreakBefore w:val="0"/>
              <w:kinsoku/>
              <w:wordWrap/>
              <w:overflowPunct/>
              <w:topLinePunct w:val="0"/>
              <w:bidi w:val="0"/>
              <w:spacing w:beforeAutospacing="0" w:afterAutospacing="0" w:line="360" w:lineRule="exact"/>
              <w:jc w:val="center"/>
              <w:rPr>
                <w:rFonts w:hint="default" w:ascii="宋体" w:hAnsi="宋体" w:eastAsia="宋体" w:cs="仿宋"/>
                <w:bCs/>
                <w:snapToGrid w:val="0"/>
                <w:color w:val="auto"/>
                <w:szCs w:val="21"/>
                <w:highlight w:val="none"/>
                <w:lang w:val="en-US" w:eastAsia="zh-CN"/>
              </w:rPr>
            </w:pPr>
            <w:r>
              <w:rPr>
                <w:rFonts w:hint="eastAsia" w:ascii="宋体" w:hAnsi="宋体" w:cs="仿宋"/>
                <w:bCs/>
                <w:snapToGrid w:val="0"/>
                <w:color w:val="auto"/>
                <w:szCs w:val="21"/>
                <w:highlight w:val="none"/>
                <w:lang w:val="en-US" w:eastAsia="zh-CN"/>
              </w:rPr>
              <w:t>10</w:t>
            </w:r>
          </w:p>
        </w:tc>
        <w:tc>
          <w:tcPr>
            <w:tcW w:w="5632" w:type="dxa"/>
            <w:vAlign w:val="center"/>
          </w:tcPr>
          <w:p w14:paraId="403A855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活动区</w:t>
            </w:r>
            <w:r>
              <w:rPr>
                <w:rFonts w:hint="eastAsia" w:ascii="宋体" w:hAnsi="宋体" w:eastAsia="宋体" w:cs="宋体"/>
                <w:b w:val="0"/>
                <w:bCs/>
                <w:color w:val="auto"/>
                <w:sz w:val="21"/>
                <w:szCs w:val="21"/>
                <w:highlight w:val="none"/>
                <w:lang w:val="en-US" w:eastAsia="zh-CN"/>
              </w:rPr>
              <w:t>设计（含效果图≥4张）：</w:t>
            </w:r>
            <w:r>
              <w:rPr>
                <w:rFonts w:hint="eastAsia" w:ascii="宋体" w:hAnsi="宋体" w:eastAsia="宋体" w:cs="宋体"/>
                <w:b w:val="0"/>
                <w:bCs/>
                <w:color w:val="auto"/>
                <w:sz w:val="21"/>
                <w:szCs w:val="21"/>
                <w:highlight w:val="none"/>
                <w:lang w:eastAsia="zh-CN"/>
              </w:rPr>
              <w:t>专业、针对采购需求及实际特点、艺术性强、可视化程度高。</w:t>
            </w:r>
          </w:p>
          <w:p w14:paraId="1FBCA3B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1、空间规划、呈现形式</w:t>
            </w:r>
            <w:r>
              <w:rPr>
                <w:rFonts w:hint="eastAsia" w:ascii="宋体" w:hAnsi="宋体" w:eastAsia="宋体" w:cs="宋体"/>
                <w:b w:val="0"/>
                <w:bCs/>
                <w:color w:val="auto"/>
                <w:sz w:val="21"/>
                <w:szCs w:val="21"/>
                <w:highlight w:val="none"/>
                <w:lang w:eastAsia="zh-CN"/>
              </w:rPr>
              <w:t>，</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5分，4分，3分，2分，1分，未提供的不得分。</w:t>
            </w:r>
          </w:p>
          <w:p w14:paraId="511854ED">
            <w:pPr>
              <w:keepNext w:val="0"/>
              <w:keepLines w:val="0"/>
              <w:pageBreakBefore w:val="0"/>
              <w:kinsoku/>
              <w:wordWrap/>
              <w:overflowPunct/>
              <w:topLinePunct w:val="0"/>
              <w:bidi w:val="0"/>
              <w:spacing w:beforeAutospacing="0" w:afterAutospacing="0" w:line="360" w:lineRule="exac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2、设计风格</w:t>
            </w:r>
            <w:r>
              <w:rPr>
                <w:rFonts w:hint="eastAsia" w:ascii="宋体" w:hAnsi="宋体" w:eastAsia="宋体" w:cs="宋体"/>
                <w:b w:val="0"/>
                <w:bCs/>
                <w:color w:val="auto"/>
                <w:sz w:val="21"/>
                <w:szCs w:val="21"/>
                <w:highlight w:val="none"/>
                <w:lang w:eastAsia="zh-CN"/>
              </w:rPr>
              <w:t>与功能分区定位匹配、</w:t>
            </w:r>
            <w:r>
              <w:rPr>
                <w:rFonts w:hint="eastAsia" w:ascii="宋体" w:hAnsi="宋体" w:eastAsia="宋体" w:cs="宋体"/>
                <w:b w:val="0"/>
                <w:bCs/>
                <w:color w:val="auto"/>
                <w:sz w:val="21"/>
                <w:szCs w:val="21"/>
                <w:highlight w:val="none"/>
                <w:lang w:val="en-US" w:eastAsia="zh-CN"/>
              </w:rPr>
              <w:t>视觉元素表达（色调、审美）</w:t>
            </w:r>
            <w:r>
              <w:rPr>
                <w:rFonts w:hint="eastAsia" w:ascii="宋体" w:hAnsi="宋体" w:eastAsia="宋体" w:cs="宋体"/>
                <w:b w:val="0"/>
                <w:bCs/>
                <w:color w:val="auto"/>
                <w:sz w:val="21"/>
                <w:szCs w:val="21"/>
                <w:highlight w:val="none"/>
                <w:lang w:eastAsia="zh-CN"/>
              </w:rPr>
              <w:t>，</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5分，4分，3分，2分，1分，未提供的不得分。</w:t>
            </w:r>
          </w:p>
        </w:tc>
      </w:tr>
      <w:tr w14:paraId="1519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44FE877C">
            <w:pPr>
              <w:keepNext w:val="0"/>
              <w:keepLines w:val="0"/>
              <w:pageBreakBefore w:val="0"/>
              <w:kinsoku/>
              <w:wordWrap/>
              <w:overflowPunct/>
              <w:topLinePunct w:val="0"/>
              <w:bidi w:val="0"/>
              <w:adjustRightInd w:val="0"/>
              <w:snapToGrid w:val="0"/>
              <w:spacing w:beforeAutospacing="0" w:afterAutospacing="0" w:line="360" w:lineRule="exact"/>
              <w:jc w:val="center"/>
              <w:rPr>
                <w:rFonts w:hint="eastAsia" w:ascii="宋体" w:hAnsi="宋体" w:eastAsia="宋体" w:cs="仿宋"/>
                <w:bCs/>
                <w:snapToGrid w:val="0"/>
                <w:color w:val="auto"/>
                <w:szCs w:val="21"/>
                <w:highlight w:val="none"/>
                <w:lang w:val="en-US" w:eastAsia="zh-CN"/>
              </w:rPr>
            </w:pPr>
            <w:r>
              <w:rPr>
                <w:rFonts w:hint="eastAsia" w:ascii="宋体" w:hAnsi="宋体" w:cs="仿宋"/>
                <w:bCs/>
                <w:snapToGrid w:val="0"/>
                <w:color w:val="auto"/>
                <w:szCs w:val="21"/>
                <w:highlight w:val="none"/>
                <w:lang w:val="en-US" w:eastAsia="zh-CN"/>
              </w:rPr>
              <w:t>8</w:t>
            </w:r>
          </w:p>
        </w:tc>
        <w:tc>
          <w:tcPr>
            <w:tcW w:w="1329" w:type="dxa"/>
            <w:vAlign w:val="center"/>
          </w:tcPr>
          <w:p w14:paraId="58A3648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outlineLvl w:val="9"/>
              <w:rPr>
                <w:rFonts w:ascii="宋体" w:hAnsi="宋体" w:cs="仿宋"/>
                <w:bCs/>
                <w:color w:val="auto"/>
                <w:szCs w:val="21"/>
                <w:highlight w:val="none"/>
              </w:rPr>
            </w:pP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初步预算</w:t>
            </w:r>
            <w:r>
              <w:rPr>
                <w:rFonts w:hint="eastAsia" w:ascii="宋体" w:hAnsi="宋体" w:eastAsia="宋体" w:cs="宋体"/>
                <w:color w:val="auto"/>
                <w:sz w:val="21"/>
                <w:szCs w:val="21"/>
                <w:highlight w:val="none"/>
              </w:rPr>
              <w:t>及说明</w:t>
            </w:r>
          </w:p>
        </w:tc>
        <w:tc>
          <w:tcPr>
            <w:tcW w:w="701" w:type="dxa"/>
            <w:vAlign w:val="center"/>
          </w:tcPr>
          <w:p w14:paraId="6EFFC6F1">
            <w:pPr>
              <w:keepNext w:val="0"/>
              <w:keepLines w:val="0"/>
              <w:pageBreakBefore w:val="0"/>
              <w:kinsoku/>
              <w:wordWrap/>
              <w:overflowPunct/>
              <w:topLinePunct w:val="0"/>
              <w:bidi w:val="0"/>
              <w:spacing w:beforeAutospacing="0" w:afterAutospacing="0" w:line="360" w:lineRule="exact"/>
              <w:jc w:val="center"/>
              <w:rPr>
                <w:rFonts w:hint="default" w:ascii="宋体" w:hAnsi="宋体" w:cs="仿宋"/>
                <w:bCs/>
                <w:snapToGrid w:val="0"/>
                <w:color w:val="auto"/>
                <w:szCs w:val="21"/>
                <w:highlight w:val="none"/>
                <w:lang w:val="en-US" w:eastAsia="zh-CN"/>
              </w:rPr>
            </w:pPr>
            <w:r>
              <w:rPr>
                <w:rFonts w:hint="eastAsia" w:ascii="宋体" w:hAnsi="宋体" w:cs="仿宋"/>
                <w:bCs/>
                <w:snapToGrid w:val="0"/>
                <w:color w:val="auto"/>
                <w:szCs w:val="21"/>
                <w:highlight w:val="none"/>
                <w:lang w:val="en-US" w:eastAsia="zh-CN"/>
              </w:rPr>
              <w:t>3</w:t>
            </w:r>
          </w:p>
        </w:tc>
        <w:tc>
          <w:tcPr>
            <w:tcW w:w="5632" w:type="dxa"/>
            <w:vAlign w:val="center"/>
          </w:tcPr>
          <w:p w14:paraId="6EBACCCC">
            <w:pPr>
              <w:keepNext w:val="0"/>
              <w:keepLines w:val="0"/>
              <w:pageBreakBefore w:val="0"/>
              <w:kinsoku/>
              <w:wordWrap/>
              <w:overflowPunct/>
              <w:topLinePunct w:val="0"/>
              <w:bidi w:val="0"/>
              <w:spacing w:beforeAutospacing="0" w:afterAutospacing="0" w:line="360" w:lineRule="exac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费用控制、各类经济技术指标估算：专业、经济、针对采购需求及实际特点、有利于项目实施</w:t>
            </w:r>
            <w:r>
              <w:rPr>
                <w:rFonts w:hint="eastAsia" w:ascii="宋体" w:hAnsi="宋体" w:eastAsia="宋体" w:cs="宋体"/>
                <w:b w:val="0"/>
                <w:bCs/>
                <w:color w:val="auto"/>
                <w:sz w:val="21"/>
                <w:szCs w:val="21"/>
                <w:highlight w:val="none"/>
                <w:lang w:eastAsia="zh-CN"/>
              </w:rPr>
              <w:t>，</w:t>
            </w:r>
            <w:r>
              <w:rPr>
                <w:rFonts w:hint="eastAsia" w:ascii="宋体" w:hAnsi="宋体" w:cs="宋体"/>
                <w:color w:val="auto"/>
                <w:sz w:val="21"/>
                <w:szCs w:val="21"/>
                <w:highlight w:val="none"/>
                <w:lang w:eastAsia="zh-CN"/>
              </w:rPr>
              <w:t>分别给予</w:t>
            </w:r>
            <w:r>
              <w:rPr>
                <w:rFonts w:hint="eastAsia" w:ascii="宋体" w:hAnsi="宋体" w:cs="宋体"/>
                <w:color w:val="auto"/>
                <w:sz w:val="21"/>
                <w:szCs w:val="21"/>
                <w:highlight w:val="none"/>
                <w:lang w:val="en-US" w:eastAsia="zh-CN"/>
              </w:rPr>
              <w:t>3分，2分，1分，未提供的不得分。</w:t>
            </w:r>
          </w:p>
        </w:tc>
      </w:tr>
      <w:tr w14:paraId="4307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30CFAA4D">
            <w:pPr>
              <w:keepNext w:val="0"/>
              <w:keepLines w:val="0"/>
              <w:pageBreakBefore w:val="0"/>
              <w:kinsoku/>
              <w:wordWrap/>
              <w:overflowPunct/>
              <w:topLinePunct w:val="0"/>
              <w:bidi w:val="0"/>
              <w:adjustRightInd w:val="0"/>
              <w:snapToGrid w:val="0"/>
              <w:spacing w:beforeAutospacing="0" w:afterAutospacing="0" w:line="360" w:lineRule="exact"/>
              <w:jc w:val="center"/>
              <w:rPr>
                <w:rFonts w:hint="eastAsia" w:ascii="宋体" w:hAnsi="宋体" w:eastAsia="宋体" w:cs="仿宋"/>
                <w:bCs/>
                <w:snapToGrid w:val="0"/>
                <w:color w:val="auto"/>
                <w:szCs w:val="21"/>
                <w:highlight w:val="none"/>
                <w:lang w:val="en-US" w:eastAsia="zh-CN"/>
              </w:rPr>
            </w:pPr>
            <w:r>
              <w:rPr>
                <w:rFonts w:hint="eastAsia" w:ascii="宋体" w:hAnsi="宋体" w:cs="仿宋"/>
                <w:bCs/>
                <w:snapToGrid w:val="0"/>
                <w:color w:val="auto"/>
                <w:szCs w:val="21"/>
                <w:highlight w:val="none"/>
                <w:lang w:val="en-US" w:eastAsia="zh-CN"/>
              </w:rPr>
              <w:t>9</w:t>
            </w:r>
          </w:p>
        </w:tc>
        <w:tc>
          <w:tcPr>
            <w:tcW w:w="1329" w:type="dxa"/>
            <w:vAlign w:val="center"/>
          </w:tcPr>
          <w:p w14:paraId="289B3E19">
            <w:pPr>
              <w:pStyle w:val="14"/>
              <w:keepNext w:val="0"/>
              <w:keepLines w:val="0"/>
              <w:pageBreakBefore w:val="0"/>
              <w:tabs>
                <w:tab w:val="left" w:pos="1500"/>
              </w:tabs>
              <w:kinsoku/>
              <w:wordWrap/>
              <w:overflowPunct/>
              <w:topLinePunct w:val="0"/>
              <w:bidi w:val="0"/>
              <w:adjustRightInd w:val="0"/>
              <w:snapToGrid w:val="0"/>
              <w:spacing w:before="0" w:beforeAutospacing="0" w:after="0" w:afterAutospacing="0" w:line="360" w:lineRule="exact"/>
              <w:jc w:val="center"/>
              <w:rPr>
                <w:rFonts w:hint="eastAsia" w:ascii="宋体" w:hAnsi="宋体" w:eastAsia="宋体" w:cs="仿宋"/>
                <w:bCs/>
                <w:color w:val="auto"/>
                <w:kern w:val="2"/>
                <w:sz w:val="21"/>
                <w:szCs w:val="21"/>
                <w:highlight w:val="none"/>
                <w:lang w:val="en-US" w:eastAsia="zh-CN" w:bidi="ar-SA"/>
              </w:rPr>
            </w:pPr>
            <w:r>
              <w:rPr>
                <w:rFonts w:hint="eastAsia" w:ascii="宋体" w:hAnsi="宋体" w:eastAsia="宋体" w:cs="仿宋"/>
                <w:bCs/>
                <w:color w:val="auto"/>
                <w:kern w:val="2"/>
                <w:sz w:val="21"/>
                <w:szCs w:val="21"/>
                <w:highlight w:val="none"/>
                <w:lang w:val="en-US" w:eastAsia="zh-CN" w:bidi="ar-SA"/>
              </w:rPr>
              <w:t>认证体系</w:t>
            </w:r>
          </w:p>
        </w:tc>
        <w:tc>
          <w:tcPr>
            <w:tcW w:w="701" w:type="dxa"/>
            <w:vAlign w:val="center"/>
          </w:tcPr>
          <w:p w14:paraId="7865A24D">
            <w:pPr>
              <w:keepNext w:val="0"/>
              <w:keepLines w:val="0"/>
              <w:pageBreakBefore w:val="0"/>
              <w:kinsoku/>
              <w:wordWrap/>
              <w:overflowPunct/>
              <w:topLinePunct w:val="0"/>
              <w:bidi w:val="0"/>
              <w:spacing w:beforeAutospacing="0" w:afterAutospacing="0" w:line="360" w:lineRule="exact"/>
              <w:jc w:val="center"/>
              <w:rPr>
                <w:rFonts w:hint="default" w:ascii="宋体" w:hAnsi="宋体" w:eastAsia="宋体" w:cs="仿宋"/>
                <w:bCs/>
                <w:color w:val="auto"/>
                <w:kern w:val="2"/>
                <w:sz w:val="21"/>
                <w:szCs w:val="21"/>
                <w:highlight w:val="none"/>
                <w:lang w:val="en-US" w:eastAsia="zh-CN" w:bidi="ar-SA"/>
              </w:rPr>
            </w:pPr>
            <w:r>
              <w:rPr>
                <w:rFonts w:hint="eastAsia" w:ascii="宋体" w:hAnsi="宋体" w:eastAsia="宋体" w:cs="仿宋"/>
                <w:bCs/>
                <w:color w:val="auto"/>
                <w:kern w:val="2"/>
                <w:sz w:val="21"/>
                <w:szCs w:val="21"/>
                <w:highlight w:val="none"/>
                <w:lang w:val="en-US" w:eastAsia="zh-CN" w:bidi="ar-SA"/>
              </w:rPr>
              <w:t>3</w:t>
            </w:r>
          </w:p>
        </w:tc>
        <w:tc>
          <w:tcPr>
            <w:tcW w:w="5632" w:type="dxa"/>
            <w:vAlign w:val="center"/>
          </w:tcPr>
          <w:p w14:paraId="04BB1759">
            <w:pPr>
              <w:keepNext w:val="0"/>
              <w:keepLines w:val="0"/>
              <w:pageBreakBefore w:val="0"/>
              <w:kinsoku/>
              <w:wordWrap/>
              <w:overflowPunct/>
              <w:topLinePunct w:val="0"/>
              <w:bidi w:val="0"/>
              <w:spacing w:beforeAutospacing="0" w:afterAutospacing="0" w:line="36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供应商具有有效期内的质量管理体系认证、环境管理体系认证、职业健康安全管理体系认证的，每个得1分，最高得3分。</w:t>
            </w:r>
          </w:p>
          <w:p w14:paraId="57C4C5F2">
            <w:pPr>
              <w:keepNext w:val="0"/>
              <w:keepLines w:val="0"/>
              <w:pageBreakBefore w:val="0"/>
              <w:kinsoku/>
              <w:wordWrap/>
              <w:overflowPunct/>
              <w:topLinePunct w:val="0"/>
              <w:bidi w:val="0"/>
              <w:spacing w:beforeAutospacing="0" w:afterAutospacing="0" w:line="360" w:lineRule="exact"/>
              <w:rPr>
                <w:rFonts w:hint="eastAsia" w:ascii="宋体" w:hAnsi="宋体" w:eastAsia="宋体" w:cs="宋体"/>
                <w:b w:val="0"/>
                <w:bCs/>
                <w:color w:val="auto"/>
                <w:sz w:val="21"/>
                <w:szCs w:val="21"/>
                <w:highlight w:val="none"/>
                <w:lang w:val="en-US" w:eastAsia="zh-CN"/>
              </w:rPr>
            </w:pPr>
            <w:r>
              <w:rPr>
                <w:rFonts w:hint="eastAsia" w:ascii="宋体" w:hAnsi="宋体"/>
                <w:b/>
                <w:bCs/>
                <w:color w:val="auto"/>
                <w:szCs w:val="21"/>
                <w:highlight w:val="none"/>
                <w:lang w:val="en-US" w:eastAsia="zh-CN"/>
              </w:rPr>
              <w:t>提供证书及全国认证认可信息公共服务平台“认证结果”查询截图，缺一不可，否则不得分。</w:t>
            </w:r>
          </w:p>
        </w:tc>
      </w:tr>
      <w:tr w14:paraId="3A16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1044839F">
            <w:pPr>
              <w:keepNext w:val="0"/>
              <w:keepLines w:val="0"/>
              <w:pageBreakBefore w:val="0"/>
              <w:kinsoku/>
              <w:wordWrap/>
              <w:overflowPunct/>
              <w:topLinePunct w:val="0"/>
              <w:bidi w:val="0"/>
              <w:adjustRightInd w:val="0"/>
              <w:snapToGrid w:val="0"/>
              <w:spacing w:beforeAutospacing="0" w:afterAutospacing="0" w:line="360" w:lineRule="exact"/>
              <w:jc w:val="center"/>
              <w:rPr>
                <w:rFonts w:ascii="宋体" w:hAnsi="宋体" w:cs="仿宋"/>
                <w:bCs/>
                <w:snapToGrid w:val="0"/>
                <w:color w:val="auto"/>
                <w:szCs w:val="21"/>
                <w:highlight w:val="none"/>
              </w:rPr>
            </w:pPr>
            <w:r>
              <w:rPr>
                <w:rFonts w:ascii="宋体" w:hAnsi="宋体" w:cs="仿宋"/>
                <w:bCs/>
                <w:snapToGrid w:val="0"/>
                <w:color w:val="auto"/>
                <w:szCs w:val="21"/>
                <w:highlight w:val="none"/>
              </w:rPr>
              <w:t>10</w:t>
            </w:r>
          </w:p>
        </w:tc>
        <w:tc>
          <w:tcPr>
            <w:tcW w:w="1329" w:type="dxa"/>
            <w:vAlign w:val="center"/>
          </w:tcPr>
          <w:p w14:paraId="6D6D64E4">
            <w:pPr>
              <w:keepNext w:val="0"/>
              <w:keepLines w:val="0"/>
              <w:pageBreakBefore w:val="0"/>
              <w:kinsoku/>
              <w:wordWrap/>
              <w:overflowPunct/>
              <w:topLinePunct w:val="0"/>
              <w:bidi w:val="0"/>
              <w:spacing w:beforeAutospacing="0" w:afterAutospacing="0" w:line="360" w:lineRule="exact"/>
              <w:jc w:val="center"/>
              <w:rPr>
                <w:rFonts w:ascii="宋体" w:hAnsi="宋体" w:cs="仿宋"/>
                <w:bCs/>
                <w:color w:val="auto"/>
                <w:szCs w:val="21"/>
                <w:highlight w:val="none"/>
              </w:rPr>
            </w:pPr>
            <w:r>
              <w:rPr>
                <w:rFonts w:hint="eastAsia" w:ascii="宋体" w:hAnsi="宋体" w:cs="仿宋"/>
                <w:bCs/>
                <w:color w:val="auto"/>
                <w:szCs w:val="21"/>
                <w:highlight w:val="none"/>
              </w:rPr>
              <w:t>项目业绩</w:t>
            </w:r>
          </w:p>
        </w:tc>
        <w:tc>
          <w:tcPr>
            <w:tcW w:w="701" w:type="dxa"/>
            <w:vAlign w:val="center"/>
          </w:tcPr>
          <w:p w14:paraId="79BF9EB5">
            <w:pPr>
              <w:keepNext w:val="0"/>
              <w:keepLines w:val="0"/>
              <w:pageBreakBefore w:val="0"/>
              <w:kinsoku/>
              <w:wordWrap/>
              <w:overflowPunct/>
              <w:topLinePunct w:val="0"/>
              <w:bidi w:val="0"/>
              <w:spacing w:beforeAutospacing="0" w:afterAutospacing="0" w:line="360" w:lineRule="exact"/>
              <w:jc w:val="center"/>
              <w:rPr>
                <w:rFonts w:hint="eastAsia" w:ascii="宋体" w:hAnsi="宋体" w:eastAsia="宋体" w:cs="仿宋"/>
                <w:bCs/>
                <w:color w:val="auto"/>
                <w:szCs w:val="21"/>
                <w:highlight w:val="none"/>
                <w:lang w:eastAsia="zh-CN"/>
              </w:rPr>
            </w:pPr>
            <w:r>
              <w:rPr>
                <w:rFonts w:hint="eastAsia" w:ascii="宋体" w:hAnsi="宋体" w:cs="仿宋"/>
                <w:bCs/>
                <w:color w:val="auto"/>
                <w:szCs w:val="21"/>
                <w:highlight w:val="none"/>
                <w:lang w:val="en-US" w:eastAsia="zh-CN"/>
              </w:rPr>
              <w:t>3</w:t>
            </w:r>
          </w:p>
        </w:tc>
        <w:tc>
          <w:tcPr>
            <w:tcW w:w="5632" w:type="dxa"/>
            <w:vAlign w:val="center"/>
          </w:tcPr>
          <w:p w14:paraId="51C8DE24">
            <w:pPr>
              <w:keepNext w:val="0"/>
              <w:keepLines w:val="0"/>
              <w:pageBreakBefore w:val="0"/>
              <w:kinsoku/>
              <w:wordWrap/>
              <w:overflowPunct/>
              <w:topLinePunct w:val="0"/>
              <w:bidi w:val="0"/>
              <w:spacing w:beforeAutospacing="0" w:afterAutospacing="0" w:line="360" w:lineRule="exact"/>
              <w:rPr>
                <w:rFonts w:ascii="宋体" w:hAnsi="宋体" w:cs="仿宋"/>
                <w:bCs/>
                <w:color w:val="auto"/>
                <w:szCs w:val="21"/>
                <w:highlight w:val="none"/>
              </w:rPr>
            </w:pPr>
            <w:bookmarkStart w:id="202" w:name="_GoBack"/>
            <w:r>
              <w:rPr>
                <w:rFonts w:hint="eastAsia" w:ascii="宋体" w:hAnsi="宋体"/>
                <w:color w:val="auto"/>
                <w:szCs w:val="21"/>
                <w:highlight w:val="none"/>
                <w:lang w:val="en-US" w:eastAsia="zh-CN"/>
              </w:rPr>
              <w:t>供应商</w:t>
            </w:r>
            <w:r>
              <w:rPr>
                <w:rFonts w:hint="eastAsia" w:ascii="宋体" w:hAnsi="宋体" w:cs="仿宋"/>
                <w:bCs/>
                <w:color w:val="auto"/>
                <w:szCs w:val="21"/>
                <w:highlight w:val="none"/>
              </w:rPr>
              <w:t>自202</w:t>
            </w:r>
            <w:r>
              <w:rPr>
                <w:rFonts w:hint="eastAsia" w:ascii="宋体" w:hAnsi="宋体" w:cs="仿宋"/>
                <w:bCs/>
                <w:color w:val="auto"/>
                <w:szCs w:val="21"/>
                <w:highlight w:val="none"/>
                <w:lang w:val="en-US" w:eastAsia="zh-CN"/>
              </w:rPr>
              <w:t>2</w:t>
            </w:r>
            <w:r>
              <w:rPr>
                <w:rFonts w:hint="eastAsia" w:ascii="宋体" w:hAnsi="宋体" w:cs="仿宋"/>
                <w:bCs/>
                <w:color w:val="auto"/>
                <w:szCs w:val="21"/>
                <w:highlight w:val="none"/>
              </w:rPr>
              <w:t>年1月1日以来（以合同签订时间为准），供应商承担过类似项目业绩的，每个得1分，最高得</w:t>
            </w:r>
            <w:r>
              <w:rPr>
                <w:rFonts w:hint="eastAsia" w:ascii="宋体" w:hAnsi="宋体" w:cs="仿宋"/>
                <w:bCs/>
                <w:color w:val="auto"/>
                <w:szCs w:val="21"/>
                <w:highlight w:val="none"/>
                <w:lang w:val="en-US" w:eastAsia="zh-CN"/>
              </w:rPr>
              <w:t>3</w:t>
            </w:r>
            <w:r>
              <w:rPr>
                <w:rFonts w:hint="eastAsia" w:ascii="宋体" w:hAnsi="宋体" w:cs="仿宋"/>
                <w:bCs/>
                <w:color w:val="auto"/>
                <w:szCs w:val="21"/>
                <w:highlight w:val="none"/>
              </w:rPr>
              <w:t>分。</w:t>
            </w:r>
          </w:p>
          <w:p w14:paraId="097132A2">
            <w:pPr>
              <w:keepNext w:val="0"/>
              <w:keepLines w:val="0"/>
              <w:pageBreakBefore w:val="0"/>
              <w:kinsoku/>
              <w:wordWrap/>
              <w:overflowPunct/>
              <w:topLinePunct w:val="0"/>
              <w:bidi w:val="0"/>
              <w:spacing w:beforeAutospacing="0" w:afterAutospacing="0" w:line="360" w:lineRule="exact"/>
              <w:rPr>
                <w:rFonts w:ascii="宋体" w:hAnsi="宋体" w:cs="仿宋"/>
                <w:bCs/>
                <w:color w:val="auto"/>
                <w:szCs w:val="21"/>
                <w:highlight w:val="none"/>
              </w:rPr>
            </w:pPr>
            <w:r>
              <w:rPr>
                <w:rFonts w:hint="eastAsia" w:ascii="宋体" w:hAnsi="宋体" w:cs="仿宋"/>
                <w:b/>
                <w:bCs w:val="0"/>
                <w:color w:val="auto"/>
                <w:szCs w:val="21"/>
                <w:highlight w:val="none"/>
              </w:rPr>
              <w:t>提供项目合同</w:t>
            </w:r>
            <w:r>
              <w:rPr>
                <w:rFonts w:hint="eastAsia" w:ascii="宋体" w:hAnsi="宋体"/>
                <w:b/>
                <w:bCs w:val="0"/>
                <w:color w:val="auto"/>
                <w:szCs w:val="21"/>
                <w:highlight w:val="none"/>
              </w:rPr>
              <w:t>及竣工验收报告</w:t>
            </w:r>
            <w:r>
              <w:rPr>
                <w:rFonts w:hint="eastAsia" w:ascii="宋体" w:hAnsi="宋体" w:cs="仿宋"/>
                <w:b/>
                <w:bCs w:val="0"/>
                <w:color w:val="auto"/>
                <w:szCs w:val="21"/>
                <w:highlight w:val="none"/>
              </w:rPr>
              <w:t>复印件（或扫描件），</w:t>
            </w:r>
            <w:r>
              <w:rPr>
                <w:rFonts w:hint="eastAsia" w:ascii="宋体" w:hAnsi="宋体"/>
                <w:b/>
                <w:bCs w:val="0"/>
                <w:color w:val="auto"/>
                <w:szCs w:val="21"/>
                <w:highlight w:val="none"/>
                <w:lang w:val="en-US" w:eastAsia="zh-CN"/>
              </w:rPr>
              <w:t>缺一不可，否则不得分。</w:t>
            </w:r>
            <w:bookmarkEnd w:id="202"/>
          </w:p>
        </w:tc>
      </w:tr>
    </w:tbl>
    <w:p w14:paraId="2B641D02">
      <w:pPr>
        <w:overflowPunct w:val="0"/>
        <w:spacing w:line="400" w:lineRule="exact"/>
        <w:rPr>
          <w:rFonts w:ascii="宋体" w:cs="宋体"/>
          <w:b/>
          <w:bCs/>
          <w:color w:val="auto"/>
          <w:szCs w:val="21"/>
          <w:highlight w:val="none"/>
        </w:rPr>
      </w:pPr>
      <w:r>
        <w:rPr>
          <w:rFonts w:hint="eastAsia" w:ascii="宋体" w:hAnsi="宋体" w:cs="宋体"/>
          <w:b/>
          <w:bCs/>
          <w:color w:val="auto"/>
          <w:szCs w:val="21"/>
          <w:highlight w:val="none"/>
        </w:rPr>
        <w:t>注：以上证明文件复印件或扫描件均需加盖公章，附在响应文件中；提供材料不真实、不完整或伪造证明材料的，后果自负。</w:t>
      </w:r>
    </w:p>
    <w:p w14:paraId="423524A7">
      <w:pPr>
        <w:overflowPunct w:val="0"/>
        <w:spacing w:line="400" w:lineRule="exact"/>
        <w:ind w:firstLine="422" w:firstLineChars="200"/>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、技术、商务分的计算</w:t>
      </w:r>
    </w:p>
    <w:p w14:paraId="01E9EED5">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技术、商务分按照磋商小组成员的独立评分结果汇总数算术平均分计算，计算公式为：</w:t>
      </w:r>
    </w:p>
    <w:p w14:paraId="354EE6CD">
      <w:pPr>
        <w:overflowPunct w:val="0"/>
        <w:spacing w:line="400" w:lineRule="exact"/>
        <w:rPr>
          <w:rFonts w:ascii="宋体" w:cs="宋体"/>
          <w:bCs/>
          <w:color w:val="auto"/>
          <w:szCs w:val="21"/>
          <w:highlight w:val="none"/>
        </w:rPr>
      </w:pPr>
      <w:r>
        <w:rPr>
          <w:rFonts w:hint="eastAsia" w:ascii="宋体" w:hAnsi="宋体" w:cs="宋体"/>
          <w:bCs/>
          <w:color w:val="auto"/>
          <w:szCs w:val="21"/>
          <w:highlight w:val="none"/>
        </w:rPr>
        <w:t>技术、商务分</w:t>
      </w:r>
      <w:r>
        <w:rPr>
          <w:rFonts w:ascii="宋体" w:hAnsi="宋体" w:cs="宋体"/>
          <w:bCs/>
          <w:color w:val="auto"/>
          <w:szCs w:val="21"/>
          <w:highlight w:val="none"/>
        </w:rPr>
        <w:t>=</w:t>
      </w:r>
      <w:r>
        <w:rPr>
          <w:rFonts w:hint="eastAsia" w:ascii="宋体" w:hAnsi="宋体" w:cs="宋体"/>
          <w:bCs/>
          <w:color w:val="auto"/>
          <w:szCs w:val="21"/>
          <w:highlight w:val="none"/>
        </w:rPr>
        <w:t>（磋商小组成员评分合计数）</w:t>
      </w:r>
      <w:r>
        <w:rPr>
          <w:rFonts w:ascii="宋体" w:hAnsi="宋体" w:cs="宋体"/>
          <w:bCs/>
          <w:color w:val="auto"/>
          <w:szCs w:val="21"/>
          <w:highlight w:val="none"/>
        </w:rPr>
        <w:t>/</w:t>
      </w:r>
      <w:r>
        <w:rPr>
          <w:rFonts w:hint="eastAsia" w:ascii="宋体" w:hAnsi="宋体" w:cs="宋体"/>
          <w:bCs/>
          <w:color w:val="auto"/>
          <w:szCs w:val="21"/>
          <w:highlight w:val="none"/>
        </w:rPr>
        <w:t>（磋商小组组成人员数）</w:t>
      </w:r>
    </w:p>
    <w:p w14:paraId="0AC1C882">
      <w:pPr>
        <w:overflowPunct w:val="0"/>
        <w:autoSpaceDE w:val="0"/>
        <w:autoSpaceDN w:val="0"/>
        <w:snapToGrid w:val="0"/>
        <w:spacing w:line="400" w:lineRule="exact"/>
        <w:ind w:firstLine="422" w:firstLineChars="200"/>
        <w:jc w:val="left"/>
        <w:textAlignment w:val="bottom"/>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、评审方法</w:t>
      </w:r>
    </w:p>
    <w:p w14:paraId="27D25ADB">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hint="eastAsia" w:ascii="宋体" w:hAnsi="宋体" w:cs="宋体"/>
          <w:bCs/>
          <w:color w:val="auto"/>
          <w:szCs w:val="21"/>
          <w:highlight w:val="none"/>
        </w:rPr>
        <w:t>磋商小组根据磋商情况及各供应商完工时间、服务条款响应情况、技术方案、提供服务的质量、付款方式、供应商综合实力、资信情况、承诺的售后服务等多方面进行评审。</w:t>
      </w:r>
    </w:p>
    <w:p w14:paraId="270BD576">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hint="eastAsia" w:ascii="宋体" w:hAnsi="宋体" w:cs="宋体"/>
          <w:bCs/>
          <w:color w:val="auto"/>
          <w:szCs w:val="21"/>
          <w:highlight w:val="none"/>
        </w:rPr>
        <w:t>确定进入最终报价的供应商名单。</w:t>
      </w:r>
    </w:p>
    <w:p w14:paraId="3AC1A50F">
      <w:pPr>
        <w:overflowPunct w:val="0"/>
        <w:autoSpaceDE w:val="0"/>
        <w:autoSpaceDN w:val="0"/>
        <w:snapToGrid w:val="0"/>
        <w:spacing w:line="400" w:lineRule="exact"/>
        <w:ind w:firstLine="422" w:firstLineChars="200"/>
        <w:jc w:val="left"/>
        <w:textAlignment w:val="bottom"/>
        <w:rPr>
          <w:rFonts w:asci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、确定成交供应商</w:t>
      </w:r>
    </w:p>
    <w:p w14:paraId="27F05DEE">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hint="eastAsia" w:ascii="宋体" w:hAnsi="宋体" w:cs="宋体"/>
          <w:bCs/>
          <w:color w:val="auto"/>
          <w:szCs w:val="21"/>
          <w:highlight w:val="none"/>
        </w:rPr>
        <w:t>磋商小组推荐综合得分第一名的为第一成交候选供应商，综合得分第二名的为第二成交候选供应商，综合得分第三名的为第三成交候选供应商。评审总分相同的，按照最后报价由低到高的顺序推荐，评审总分且最后报价相同的，按照技术指标优劣顺序推荐。并编写评审报告。磋商小组应当根据综合评分情况，按照评审得分由高到低顺序推荐3名成交候选供应商（有效供应商不足3家的情形除外），并编写评审报告，采购人根据评审报告推荐的顺序确定第一名为成交供应商。</w:t>
      </w:r>
    </w:p>
    <w:p w14:paraId="6569F18F">
      <w:pPr>
        <w:pStyle w:val="4"/>
        <w:keepNext w:val="0"/>
        <w:keepLines w:val="0"/>
        <w:overflowPunct w:val="0"/>
        <w:spacing w:before="0" w:after="0" w:line="400" w:lineRule="exact"/>
        <w:rPr>
          <w:rFonts w:ascii="宋体" w:hAnsi="宋体" w:eastAsia="宋体" w:cs="宋体"/>
          <w:color w:val="auto"/>
          <w:sz w:val="21"/>
          <w:szCs w:val="21"/>
          <w:highlight w:val="none"/>
        </w:rPr>
      </w:pPr>
      <w:bookmarkStart w:id="163" w:name="_Toc282640736"/>
      <w:bookmarkStart w:id="164" w:name="_Toc14678"/>
      <w:bookmarkStart w:id="165" w:name="_Toc2043"/>
      <w:bookmarkStart w:id="166" w:name="_Toc24386"/>
      <w:bookmarkStart w:id="167" w:name="_Toc12636"/>
      <w:bookmarkStart w:id="168" w:name="_Toc13232"/>
      <w:bookmarkStart w:id="169" w:name="_Toc402872211"/>
      <w:bookmarkStart w:id="170" w:name="_Toc29138"/>
      <w:bookmarkStart w:id="171" w:name="_Toc22566"/>
      <w:r>
        <w:rPr>
          <w:rFonts w:hint="eastAsia" w:ascii="宋体" w:hAnsi="宋体" w:eastAsia="宋体" w:cs="宋体"/>
          <w:color w:val="auto"/>
          <w:sz w:val="21"/>
          <w:szCs w:val="21"/>
          <w:highlight w:val="none"/>
        </w:rPr>
        <w:t>八、资格</w:t>
      </w:r>
      <w:bookmarkEnd w:id="163"/>
      <w:r>
        <w:rPr>
          <w:rFonts w:hint="eastAsia" w:ascii="宋体" w:hAnsi="宋体" w:eastAsia="宋体" w:cs="宋体"/>
          <w:color w:val="auto"/>
          <w:sz w:val="21"/>
          <w:szCs w:val="21"/>
          <w:highlight w:val="none"/>
        </w:rPr>
        <w:t>审查</w:t>
      </w:r>
      <w:bookmarkEnd w:id="164"/>
      <w:bookmarkEnd w:id="165"/>
      <w:bookmarkEnd w:id="166"/>
      <w:bookmarkEnd w:id="167"/>
      <w:bookmarkEnd w:id="168"/>
      <w:bookmarkEnd w:id="169"/>
      <w:bookmarkEnd w:id="170"/>
      <w:bookmarkEnd w:id="171"/>
    </w:p>
    <w:p w14:paraId="5E2CB1A3">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、磋商小组将对所选择的成交人是否有资格或能力圆满地履行合同做出进一步确认。</w:t>
      </w:r>
    </w:p>
    <w:p w14:paraId="14D1F017">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、如果供应商被确定为不具备履行合同的能力，磋商小组有权拒绝签发成交通知书。在该情况下，磋商小组将考虑按同样的程序审查下一位成交候选人。</w:t>
      </w:r>
    </w:p>
    <w:p w14:paraId="6DE78173">
      <w:pPr>
        <w:pStyle w:val="4"/>
        <w:keepNext w:val="0"/>
        <w:keepLines w:val="0"/>
        <w:overflowPunct w:val="0"/>
        <w:spacing w:before="0" w:after="0" w:line="400" w:lineRule="exact"/>
        <w:rPr>
          <w:rFonts w:ascii="宋体" w:hAnsi="宋体" w:eastAsia="宋体" w:cs="宋体"/>
          <w:color w:val="auto"/>
          <w:sz w:val="21"/>
          <w:szCs w:val="21"/>
          <w:highlight w:val="none"/>
        </w:rPr>
      </w:pPr>
      <w:bookmarkStart w:id="172" w:name="_Toc1899"/>
      <w:bookmarkStart w:id="173" w:name="_Toc15280"/>
      <w:bookmarkStart w:id="174" w:name="_Toc15111"/>
      <w:bookmarkStart w:id="175" w:name="_Toc28605"/>
      <w:bookmarkStart w:id="176" w:name="_Toc31870"/>
      <w:bookmarkStart w:id="177" w:name="_Toc5918"/>
      <w:bookmarkStart w:id="178" w:name="_Toc402872212"/>
      <w:bookmarkStart w:id="179" w:name="_Toc20293"/>
      <w:r>
        <w:rPr>
          <w:rFonts w:hint="eastAsia" w:ascii="宋体" w:hAnsi="宋体" w:eastAsia="宋体" w:cs="宋体"/>
          <w:color w:val="auto"/>
          <w:sz w:val="21"/>
          <w:szCs w:val="21"/>
          <w:highlight w:val="none"/>
        </w:rPr>
        <w:t>九、成交通知、授予合同</w:t>
      </w:r>
      <w:bookmarkEnd w:id="172"/>
      <w:bookmarkEnd w:id="173"/>
      <w:bookmarkEnd w:id="174"/>
      <w:bookmarkEnd w:id="175"/>
      <w:bookmarkEnd w:id="176"/>
      <w:bookmarkEnd w:id="177"/>
      <w:bookmarkEnd w:id="178"/>
      <w:bookmarkEnd w:id="179"/>
    </w:p>
    <w:p w14:paraId="35A6351D">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1、本项目由采购人确定成交供应商。 </w:t>
      </w:r>
    </w:p>
    <w:p w14:paraId="08B49BEF">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2、本次评审采用综合评分法，即在质量和服务均能满足竞争性磋商文件实质性要求且综合得分由高到低的原则确定成交候选供应商。 </w:t>
      </w:r>
    </w:p>
    <w:p w14:paraId="637E570D">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3、磋商结束后，磋商小组拟制评审报告。 </w:t>
      </w:r>
    </w:p>
    <w:p w14:paraId="19811A10">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4、采购代理机构在评审结束后2个工作日内将评审报告交采购人确认。 </w:t>
      </w:r>
    </w:p>
    <w:p w14:paraId="60519B5F">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5、采购人在收到评审报告后5个工作日内对评审结果进行确认。 </w:t>
      </w:r>
    </w:p>
    <w:p w14:paraId="392FE431">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6、采购人确定成交供应商后2个工作日内，采购代理机构在相关网站上发布成交公告，同时发出成交通知书。 </w:t>
      </w:r>
    </w:p>
    <w:p w14:paraId="616F155E">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7、成交供应商凭成交通知书在30天内签订合同，逾期取消成交资格。</w:t>
      </w:r>
    </w:p>
    <w:p w14:paraId="1781339C">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hint="eastAsia" w:ascii="宋体" w:hAnsi="宋体" w:cs="宋体"/>
          <w:bCs/>
          <w:color w:val="auto"/>
          <w:szCs w:val="21"/>
          <w:highlight w:val="none"/>
        </w:rPr>
        <w:t>8、成交供应商在规定的时间内不履行合同，按违约处理，并按有关规定承担违约责任。</w:t>
      </w:r>
    </w:p>
    <w:p w14:paraId="07BC80E6">
      <w:pPr>
        <w:pStyle w:val="3"/>
        <w:keepNext w:val="0"/>
        <w:keepLines w:val="0"/>
        <w:overflowPunct w:val="0"/>
        <w:spacing w:before="0" w:after="0" w:line="600" w:lineRule="exact"/>
        <w:jc w:val="center"/>
        <w:rPr>
          <w:rFonts w:ascii="宋体" w:hAnsi="宋体" w:cs="宋体"/>
          <w:color w:val="auto"/>
          <w:sz w:val="32"/>
          <w:szCs w:val="32"/>
          <w:highlight w:val="none"/>
        </w:rPr>
      </w:pPr>
      <w:bookmarkStart w:id="180" w:name="_Toc16427"/>
    </w:p>
    <w:p w14:paraId="09A372FA">
      <w:pPr>
        <w:pStyle w:val="3"/>
        <w:keepNext w:val="0"/>
        <w:keepLines w:val="0"/>
        <w:overflowPunct w:val="0"/>
        <w:spacing w:before="0" w:after="0" w:line="600" w:lineRule="exact"/>
        <w:jc w:val="center"/>
        <w:rPr>
          <w:rFonts w:ascii="宋体" w:hAnsi="宋体" w:cs="宋体"/>
          <w:color w:val="auto"/>
          <w:sz w:val="32"/>
          <w:szCs w:val="32"/>
          <w:highlight w:val="none"/>
        </w:rPr>
      </w:pPr>
      <w:bookmarkStart w:id="181" w:name="_Toc29660"/>
      <w:r>
        <w:rPr>
          <w:rFonts w:ascii="宋体" w:hAnsi="宋体" w:cs="宋体"/>
          <w:color w:val="auto"/>
          <w:sz w:val="32"/>
          <w:szCs w:val="32"/>
          <w:highlight w:val="none"/>
        </w:rPr>
        <w:br w:type="page"/>
      </w:r>
    </w:p>
    <w:p w14:paraId="12DA224A">
      <w:pPr>
        <w:pStyle w:val="3"/>
        <w:keepNext w:val="0"/>
        <w:keepLines w:val="0"/>
        <w:overflowPunct w:val="0"/>
        <w:spacing w:before="0" w:after="0" w:line="600" w:lineRule="exact"/>
        <w:jc w:val="center"/>
        <w:rPr>
          <w:rFonts w:ascii="宋体" w:cs="宋体"/>
          <w:color w:val="auto"/>
          <w:sz w:val="32"/>
          <w:szCs w:val="32"/>
          <w:highlight w:val="none"/>
        </w:rPr>
      </w:pPr>
      <w:bookmarkStart w:id="182" w:name="_Toc10006"/>
      <w:bookmarkStart w:id="183" w:name="_Toc14574"/>
      <w:r>
        <w:rPr>
          <w:rFonts w:hint="eastAsia" w:ascii="宋体" w:hAnsi="宋体" w:cs="宋体"/>
          <w:color w:val="auto"/>
          <w:sz w:val="32"/>
          <w:szCs w:val="32"/>
          <w:highlight w:val="none"/>
        </w:rPr>
        <w:t>第五章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合同主要条款</w:t>
      </w:r>
      <w:bookmarkEnd w:id="180"/>
      <w:bookmarkEnd w:id="181"/>
      <w:bookmarkEnd w:id="182"/>
      <w:bookmarkEnd w:id="183"/>
    </w:p>
    <w:p w14:paraId="1E3432E1">
      <w:pPr>
        <w:overflowPunct w:val="0"/>
        <w:spacing w:line="400" w:lineRule="exact"/>
        <w:jc w:val="center"/>
        <w:rPr>
          <w:rFonts w:ascii="宋体" w:cs="宋体"/>
          <w:b/>
          <w:color w:val="auto"/>
          <w:sz w:val="28"/>
          <w:szCs w:val="28"/>
          <w:highlight w:val="none"/>
        </w:rPr>
      </w:pPr>
      <w:r>
        <w:rPr>
          <w:rFonts w:hint="eastAsia" w:ascii="宋体" w:hAnsi="宋体" w:cs="宋体"/>
          <w:b/>
          <w:color w:val="auto"/>
          <w:sz w:val="28"/>
          <w:szCs w:val="28"/>
          <w:highlight w:val="none"/>
        </w:rPr>
        <w:t>采购合同书（供参考）</w:t>
      </w:r>
    </w:p>
    <w:p w14:paraId="1D588CB1">
      <w:pPr>
        <w:pStyle w:val="14"/>
        <w:widowControl w:val="0"/>
        <w:adjustRightInd w:val="0"/>
        <w:snapToGrid w:val="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项目名称：</w:t>
      </w:r>
      <w:r>
        <w:rPr>
          <w:color w:val="auto"/>
          <w:sz w:val="21"/>
          <w:szCs w:val="21"/>
          <w:highlight w:val="none"/>
          <w:u w:val="single"/>
        </w:rPr>
        <w:t xml:space="preserve">                                                       </w:t>
      </w:r>
    </w:p>
    <w:p w14:paraId="2D70AB4D">
      <w:pPr>
        <w:pStyle w:val="14"/>
        <w:widowControl w:val="0"/>
        <w:adjustRightInd w:val="0"/>
        <w:snapToGrid w:val="0"/>
        <w:spacing w:before="0" w:beforeAutospacing="0" w:after="0" w:afterAutospacing="0" w:line="400" w:lineRule="exact"/>
        <w:ind w:firstLine="420" w:firstLineChars="200"/>
        <w:rPr>
          <w:rFonts w:cs="Arial"/>
          <w:bCs/>
          <w:color w:val="auto"/>
          <w:sz w:val="21"/>
          <w:szCs w:val="21"/>
          <w:highlight w:val="none"/>
          <w:u w:val="single"/>
        </w:rPr>
      </w:pPr>
      <w:bookmarkStart w:id="184" w:name="_Toc293916912"/>
      <w:r>
        <w:rPr>
          <w:rFonts w:hint="eastAsia"/>
          <w:color w:val="auto"/>
          <w:sz w:val="21"/>
          <w:szCs w:val="21"/>
          <w:highlight w:val="none"/>
        </w:rPr>
        <w:t>项目编号：</w:t>
      </w:r>
      <w:bookmarkEnd w:id="184"/>
      <w:r>
        <w:rPr>
          <w:color w:val="auto"/>
          <w:sz w:val="21"/>
          <w:szCs w:val="21"/>
          <w:highlight w:val="none"/>
          <w:u w:val="single"/>
        </w:rPr>
        <w:t xml:space="preserve">                                                       </w:t>
      </w:r>
    </w:p>
    <w:p w14:paraId="5964B3CB">
      <w:pPr>
        <w:pStyle w:val="14"/>
        <w:widowControl w:val="0"/>
        <w:adjustRightInd w:val="0"/>
        <w:snapToGrid w:val="0"/>
        <w:spacing w:before="0" w:beforeAutospacing="0" w:after="0" w:afterAutospacing="0" w:line="400" w:lineRule="exact"/>
        <w:ind w:firstLine="420" w:firstLineChars="200"/>
        <w:rPr>
          <w:color w:val="auto"/>
          <w:sz w:val="21"/>
          <w:szCs w:val="21"/>
          <w:highlight w:val="none"/>
          <w:u w:val="single"/>
        </w:rPr>
      </w:pPr>
      <w:bookmarkStart w:id="185" w:name="_Toc293916913"/>
      <w:r>
        <w:rPr>
          <w:rFonts w:hint="eastAsia"/>
          <w:color w:val="auto"/>
          <w:sz w:val="21"/>
          <w:szCs w:val="21"/>
          <w:highlight w:val="none"/>
        </w:rPr>
        <w:t>甲</w:t>
      </w:r>
      <w:r>
        <w:rPr>
          <w:color w:val="auto"/>
          <w:sz w:val="21"/>
          <w:szCs w:val="21"/>
          <w:highlight w:val="none"/>
        </w:rPr>
        <w:t xml:space="preserve">    </w:t>
      </w:r>
      <w:r>
        <w:rPr>
          <w:rFonts w:hint="eastAsia"/>
          <w:color w:val="auto"/>
          <w:sz w:val="21"/>
          <w:szCs w:val="21"/>
          <w:highlight w:val="none"/>
        </w:rPr>
        <w:t>方：</w:t>
      </w:r>
      <w:bookmarkEnd w:id="185"/>
      <w:r>
        <w:rPr>
          <w:color w:val="auto"/>
          <w:sz w:val="21"/>
          <w:szCs w:val="21"/>
          <w:highlight w:val="none"/>
          <w:u w:val="single"/>
        </w:rPr>
        <w:t xml:space="preserve">                                                       </w:t>
      </w:r>
    </w:p>
    <w:p w14:paraId="2EC72718">
      <w:pPr>
        <w:pStyle w:val="14"/>
        <w:widowControl w:val="0"/>
        <w:adjustRightInd w:val="0"/>
        <w:snapToGrid w:val="0"/>
        <w:spacing w:before="0" w:beforeAutospacing="0" w:after="0" w:afterAutospacing="0" w:line="400" w:lineRule="exact"/>
        <w:ind w:firstLine="420" w:firstLineChars="200"/>
        <w:rPr>
          <w:color w:val="auto"/>
          <w:sz w:val="21"/>
          <w:szCs w:val="21"/>
          <w:highlight w:val="none"/>
        </w:rPr>
      </w:pPr>
      <w:bookmarkStart w:id="186" w:name="_Toc293916914"/>
      <w:r>
        <w:rPr>
          <w:rFonts w:hint="eastAsia"/>
          <w:color w:val="auto"/>
          <w:sz w:val="21"/>
          <w:szCs w:val="21"/>
          <w:highlight w:val="none"/>
        </w:rPr>
        <w:t>乙</w:t>
      </w:r>
      <w:r>
        <w:rPr>
          <w:color w:val="auto"/>
          <w:sz w:val="21"/>
          <w:szCs w:val="21"/>
          <w:highlight w:val="none"/>
        </w:rPr>
        <w:t xml:space="preserve">    </w:t>
      </w:r>
      <w:r>
        <w:rPr>
          <w:rFonts w:hint="eastAsia"/>
          <w:color w:val="auto"/>
          <w:sz w:val="21"/>
          <w:szCs w:val="21"/>
          <w:highlight w:val="none"/>
        </w:rPr>
        <w:t>方：</w:t>
      </w:r>
      <w:bookmarkEnd w:id="186"/>
      <w:r>
        <w:rPr>
          <w:color w:val="auto"/>
          <w:sz w:val="21"/>
          <w:szCs w:val="21"/>
          <w:highlight w:val="none"/>
          <w:u w:val="single"/>
        </w:rPr>
        <w:t xml:space="preserve">                                                       </w:t>
      </w:r>
    </w:p>
    <w:p w14:paraId="6986FE4B">
      <w:pPr>
        <w:pStyle w:val="14"/>
        <w:widowControl w:val="0"/>
        <w:adjustRightInd w:val="0"/>
        <w:snapToGrid w:val="0"/>
        <w:spacing w:before="0" w:beforeAutospacing="0" w:after="0" w:afterAutospacing="0" w:line="400" w:lineRule="exact"/>
        <w:ind w:firstLine="420" w:firstLineChars="200"/>
        <w:rPr>
          <w:b/>
          <w:color w:val="auto"/>
          <w:sz w:val="21"/>
          <w:szCs w:val="21"/>
          <w:highlight w:val="none"/>
        </w:rPr>
      </w:pPr>
      <w:bookmarkStart w:id="187" w:name="_Toc293916915"/>
      <w:r>
        <w:rPr>
          <w:rFonts w:hint="eastAsia"/>
          <w:color w:val="auto"/>
          <w:sz w:val="21"/>
          <w:szCs w:val="21"/>
          <w:highlight w:val="none"/>
        </w:rPr>
        <w:t>甲、乙双方根据</w:t>
      </w:r>
      <w:r>
        <w:rPr>
          <w:color w:val="auto"/>
          <w:sz w:val="21"/>
          <w:szCs w:val="21"/>
          <w:highlight w:val="none"/>
          <w:u w:val="single"/>
        </w:rPr>
        <w:t xml:space="preserve">                  </w:t>
      </w:r>
      <w:r>
        <w:rPr>
          <w:rFonts w:hint="eastAsia"/>
          <w:bCs/>
          <w:color w:val="auto"/>
          <w:sz w:val="21"/>
          <w:szCs w:val="21"/>
          <w:highlight w:val="none"/>
        </w:rPr>
        <w:t>项目竞争性磋商</w:t>
      </w:r>
      <w:r>
        <w:rPr>
          <w:rFonts w:hint="eastAsia"/>
          <w:color w:val="auto"/>
          <w:sz w:val="21"/>
          <w:szCs w:val="21"/>
          <w:highlight w:val="none"/>
        </w:rPr>
        <w:t>的结果，签署本合同。</w:t>
      </w:r>
      <w:bookmarkEnd w:id="187"/>
    </w:p>
    <w:p w14:paraId="12D49F46">
      <w:pPr>
        <w:pStyle w:val="14"/>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一、服务内容</w:t>
      </w:r>
    </w:p>
    <w:p w14:paraId="1DC10A2D">
      <w:pPr>
        <w:pStyle w:val="14"/>
        <w:snapToGrid w:val="0"/>
        <w:spacing w:before="0" w:beforeAutospacing="0" w:after="0" w:afterAutospacing="0" w:line="400" w:lineRule="exact"/>
        <w:rPr>
          <w:rFonts w:cs="宋体"/>
          <w:b/>
          <w:color w:val="auto"/>
          <w:sz w:val="21"/>
          <w:szCs w:val="21"/>
          <w:highlight w:val="none"/>
        </w:rPr>
      </w:pPr>
    </w:p>
    <w:p w14:paraId="7BDB5EF3">
      <w:pPr>
        <w:pStyle w:val="14"/>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二、合同金额</w:t>
      </w:r>
    </w:p>
    <w:p w14:paraId="2D6C08F4">
      <w:pPr>
        <w:pStyle w:val="14"/>
        <w:snapToGrid w:val="0"/>
        <w:spacing w:before="0" w:beforeAutospacing="0" w:after="0" w:afterAutospacing="0" w:line="400" w:lineRule="exact"/>
        <w:ind w:left="359" w:hanging="359" w:hangingChars="171"/>
        <w:rPr>
          <w:rFonts w:cs="宋体"/>
          <w:color w:val="auto"/>
          <w:sz w:val="21"/>
          <w:szCs w:val="21"/>
          <w:highlight w:val="none"/>
        </w:rPr>
      </w:pPr>
      <w:r>
        <w:rPr>
          <w:rFonts w:cs="宋体"/>
          <w:color w:val="auto"/>
          <w:sz w:val="21"/>
          <w:szCs w:val="21"/>
          <w:highlight w:val="none"/>
        </w:rPr>
        <w:t xml:space="preserve">    </w:t>
      </w:r>
      <w:r>
        <w:rPr>
          <w:rFonts w:hint="eastAsia" w:cs="宋体"/>
          <w:color w:val="auto"/>
          <w:sz w:val="21"/>
          <w:szCs w:val="21"/>
          <w:highlight w:val="none"/>
        </w:rPr>
        <w:t>本合同金额为（大写）：</w:t>
      </w:r>
      <w:r>
        <w:rPr>
          <w:rFonts w:cs="宋体"/>
          <w:b/>
          <w:bCs/>
          <w:color w:val="auto"/>
          <w:sz w:val="21"/>
          <w:szCs w:val="21"/>
          <w:highlight w:val="none"/>
          <w:u w:val="single"/>
        </w:rPr>
        <w:t xml:space="preserve">                     </w:t>
      </w:r>
      <w:r>
        <w:rPr>
          <w:rFonts w:hint="eastAsia" w:cs="宋体"/>
          <w:color w:val="auto"/>
          <w:sz w:val="21"/>
          <w:szCs w:val="21"/>
          <w:highlight w:val="none"/>
        </w:rPr>
        <w:t>元（¥</w:t>
      </w:r>
      <w:r>
        <w:rPr>
          <w:rFonts w:cs="宋体"/>
          <w:b/>
          <w:bCs/>
          <w:color w:val="auto"/>
          <w:sz w:val="21"/>
          <w:szCs w:val="21"/>
          <w:highlight w:val="none"/>
          <w:u w:val="single"/>
        </w:rPr>
        <w:t xml:space="preserve">              </w:t>
      </w:r>
      <w:r>
        <w:rPr>
          <w:rFonts w:hint="eastAsia" w:cs="宋体"/>
          <w:color w:val="auto"/>
          <w:sz w:val="21"/>
          <w:szCs w:val="21"/>
          <w:highlight w:val="none"/>
        </w:rPr>
        <w:t>元）人民币。</w:t>
      </w:r>
    </w:p>
    <w:p w14:paraId="2DEA1E1C">
      <w:pPr>
        <w:pStyle w:val="14"/>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三、技术资料</w:t>
      </w:r>
    </w:p>
    <w:p w14:paraId="2FD3B55B">
      <w:pPr>
        <w:pStyle w:val="14"/>
        <w:snapToGrid w:val="0"/>
        <w:spacing w:before="0" w:beforeAutospacing="0" w:after="0" w:afterAutospacing="0" w:line="400" w:lineRule="exact"/>
        <w:ind w:left="359" w:hanging="359" w:hangingChars="171"/>
        <w:rPr>
          <w:rFonts w:cs="宋体"/>
          <w:color w:val="auto"/>
          <w:sz w:val="21"/>
          <w:szCs w:val="21"/>
          <w:highlight w:val="none"/>
        </w:rPr>
      </w:pPr>
      <w:r>
        <w:rPr>
          <w:rFonts w:cs="宋体"/>
          <w:color w:val="auto"/>
          <w:sz w:val="21"/>
          <w:szCs w:val="21"/>
          <w:highlight w:val="none"/>
        </w:rPr>
        <w:t xml:space="preserve">    1</w:t>
      </w:r>
      <w:r>
        <w:rPr>
          <w:rFonts w:hint="eastAsia" w:cs="宋体"/>
          <w:color w:val="auto"/>
          <w:sz w:val="21"/>
          <w:szCs w:val="21"/>
          <w:highlight w:val="none"/>
        </w:rPr>
        <w:t>、乙方应按竞争性磋商文件规定的时间向甲方提供有关技术资料。</w:t>
      </w:r>
    </w:p>
    <w:p w14:paraId="7FB040B8">
      <w:pPr>
        <w:pStyle w:val="14"/>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2</w:t>
      </w:r>
      <w:r>
        <w:rPr>
          <w:rFonts w:hint="eastAsia" w:cs="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B89004">
      <w:pPr>
        <w:pStyle w:val="14"/>
        <w:snapToGrid w:val="0"/>
        <w:spacing w:before="0" w:beforeAutospacing="0" w:after="0" w:afterAutospacing="0" w:line="400" w:lineRule="exact"/>
        <w:ind w:left="360" w:hanging="361" w:hangingChars="171"/>
        <w:rPr>
          <w:rFonts w:cs="宋体"/>
          <w:b/>
          <w:color w:val="auto"/>
          <w:sz w:val="21"/>
          <w:szCs w:val="21"/>
          <w:highlight w:val="none"/>
        </w:rPr>
      </w:pPr>
      <w:r>
        <w:rPr>
          <w:rFonts w:hint="eastAsia" w:cs="宋体"/>
          <w:b/>
          <w:color w:val="auto"/>
          <w:sz w:val="21"/>
          <w:szCs w:val="21"/>
          <w:highlight w:val="none"/>
        </w:rPr>
        <w:t>四、知识产权</w:t>
      </w:r>
    </w:p>
    <w:p w14:paraId="571CAF2A">
      <w:pPr>
        <w:pStyle w:val="14"/>
        <w:snapToGrid w:val="0"/>
        <w:spacing w:before="0" w:beforeAutospacing="0" w:after="0" w:afterAutospacing="0" w:line="400" w:lineRule="exact"/>
        <w:ind w:left="359" w:hanging="359" w:hangingChars="171"/>
        <w:rPr>
          <w:rFonts w:cs="宋体"/>
          <w:b/>
          <w:bCs/>
          <w:color w:val="auto"/>
          <w:sz w:val="21"/>
          <w:szCs w:val="21"/>
          <w:highlight w:val="none"/>
        </w:rPr>
      </w:pPr>
      <w:r>
        <w:rPr>
          <w:rFonts w:cs="宋体"/>
          <w:color w:val="auto"/>
          <w:sz w:val="21"/>
          <w:szCs w:val="21"/>
          <w:highlight w:val="none"/>
        </w:rPr>
        <w:t xml:space="preserve">    </w:t>
      </w:r>
      <w:r>
        <w:rPr>
          <w:rFonts w:hint="eastAsia" w:cs="宋体"/>
          <w:color w:val="auto"/>
          <w:sz w:val="21"/>
          <w:szCs w:val="21"/>
          <w:highlight w:val="none"/>
        </w:rPr>
        <w:t>乙方应保证提供服务过程中不会侵犯任何第三方的</w:t>
      </w:r>
      <w:r>
        <w:rPr>
          <w:rFonts w:hint="eastAsia" w:cs="宋体"/>
          <w:bCs/>
          <w:color w:val="auto"/>
          <w:sz w:val="21"/>
          <w:szCs w:val="21"/>
          <w:highlight w:val="none"/>
        </w:rPr>
        <w:t>知识产权</w:t>
      </w:r>
      <w:r>
        <w:rPr>
          <w:rFonts w:hint="eastAsia" w:cs="宋体"/>
          <w:color w:val="auto"/>
          <w:sz w:val="21"/>
          <w:szCs w:val="21"/>
          <w:highlight w:val="none"/>
        </w:rPr>
        <w:t>。</w:t>
      </w:r>
    </w:p>
    <w:p w14:paraId="37B82901">
      <w:pPr>
        <w:pStyle w:val="14"/>
        <w:snapToGrid w:val="0"/>
        <w:spacing w:before="0" w:beforeAutospacing="0" w:after="0" w:afterAutospacing="0" w:line="400" w:lineRule="exact"/>
        <w:ind w:left="358" w:hanging="358" w:hangingChars="170"/>
        <w:rPr>
          <w:rFonts w:cs="宋体"/>
          <w:b/>
          <w:color w:val="auto"/>
          <w:sz w:val="21"/>
          <w:szCs w:val="21"/>
          <w:highlight w:val="none"/>
        </w:rPr>
      </w:pPr>
      <w:r>
        <w:rPr>
          <w:rFonts w:hint="eastAsia" w:cs="宋体"/>
          <w:b/>
          <w:color w:val="auto"/>
          <w:sz w:val="21"/>
          <w:szCs w:val="21"/>
          <w:highlight w:val="none"/>
        </w:rPr>
        <w:t>五、履约保证金</w:t>
      </w:r>
    </w:p>
    <w:p w14:paraId="74A38262">
      <w:pPr>
        <w:pStyle w:val="14"/>
        <w:snapToGrid w:val="0"/>
        <w:spacing w:before="0" w:beforeAutospacing="0" w:after="0" w:afterAutospacing="0" w:line="400" w:lineRule="exact"/>
        <w:ind w:left="357" w:hanging="357" w:hangingChars="170"/>
        <w:rPr>
          <w:rFonts w:cs="宋体"/>
          <w:color w:val="auto"/>
          <w:sz w:val="21"/>
          <w:szCs w:val="21"/>
          <w:highlight w:val="none"/>
        </w:rPr>
      </w:pPr>
      <w:r>
        <w:rPr>
          <w:rFonts w:cs="宋体"/>
          <w:color w:val="auto"/>
          <w:sz w:val="21"/>
          <w:szCs w:val="21"/>
          <w:highlight w:val="none"/>
        </w:rPr>
        <w:t xml:space="preserve">    </w:t>
      </w:r>
      <w:r>
        <w:rPr>
          <w:rFonts w:hint="eastAsia" w:cs="宋体"/>
          <w:color w:val="auto"/>
          <w:sz w:val="21"/>
          <w:szCs w:val="21"/>
          <w:highlight w:val="none"/>
        </w:rPr>
        <w:t>无。</w:t>
      </w:r>
    </w:p>
    <w:p w14:paraId="6EB24223">
      <w:pPr>
        <w:snapToGrid w:val="0"/>
        <w:spacing w:line="400" w:lineRule="exact"/>
        <w:rPr>
          <w:rFonts w:ascii="宋体" w:cs="宋体"/>
          <w:b/>
          <w:color w:val="auto"/>
          <w:szCs w:val="21"/>
          <w:highlight w:val="none"/>
        </w:rPr>
      </w:pPr>
      <w:r>
        <w:rPr>
          <w:rFonts w:hint="eastAsia" w:ascii="宋体" w:hAnsi="宋体" w:cs="宋体"/>
          <w:b/>
          <w:color w:val="auto"/>
          <w:szCs w:val="21"/>
          <w:highlight w:val="none"/>
        </w:rPr>
        <w:t>六、转包或分包</w:t>
      </w:r>
    </w:p>
    <w:p w14:paraId="397E8282">
      <w:pPr>
        <w:snapToGrid w:val="0"/>
        <w:spacing w:line="400" w:lineRule="exact"/>
        <w:rPr>
          <w:rFonts w:ascii="宋体" w:cs="宋体"/>
          <w:color w:val="auto"/>
          <w:szCs w:val="21"/>
          <w:highlight w:val="none"/>
        </w:rPr>
      </w:pPr>
      <w:r>
        <w:rPr>
          <w:rFonts w:ascii="宋体" w:hAnsi="宋体" w:cs="宋体"/>
          <w:color w:val="auto"/>
          <w:szCs w:val="21"/>
          <w:highlight w:val="none"/>
        </w:rPr>
        <w:t xml:space="preserve">    1</w:t>
      </w:r>
      <w:r>
        <w:rPr>
          <w:rFonts w:hint="eastAsia" w:ascii="宋体" w:hAnsi="宋体" w:cs="宋体"/>
          <w:color w:val="auto"/>
          <w:szCs w:val="21"/>
          <w:highlight w:val="none"/>
        </w:rPr>
        <w:t>、本合同范围的服务，应由乙方直接供应，不得转让他人供应；</w:t>
      </w:r>
    </w:p>
    <w:p w14:paraId="01940BF2">
      <w:pPr>
        <w:snapToGrid w:val="0"/>
        <w:spacing w:line="400" w:lineRule="exact"/>
        <w:rPr>
          <w:rFonts w:ascii="宋体" w:cs="宋体"/>
          <w:color w:val="auto"/>
          <w:szCs w:val="21"/>
          <w:highlight w:val="none"/>
        </w:rPr>
      </w:pPr>
      <w:r>
        <w:rPr>
          <w:rFonts w:ascii="宋体" w:hAnsi="宋体" w:cs="宋体"/>
          <w:color w:val="auto"/>
          <w:szCs w:val="21"/>
          <w:highlight w:val="none"/>
        </w:rPr>
        <w:t xml:space="preserve">    2</w:t>
      </w:r>
      <w:r>
        <w:rPr>
          <w:rFonts w:hint="eastAsia" w:ascii="宋体" w:hAnsi="宋体" w:cs="宋体"/>
          <w:color w:val="auto"/>
          <w:szCs w:val="21"/>
          <w:highlight w:val="none"/>
        </w:rPr>
        <w:t>、除非得到甲方的书面同意，乙方不得将本合同范围的服务全部或部分分包给他人供应；</w:t>
      </w:r>
    </w:p>
    <w:p w14:paraId="3C61F7B1">
      <w:pPr>
        <w:snapToGrid w:val="0"/>
        <w:spacing w:line="400" w:lineRule="exact"/>
        <w:rPr>
          <w:rFonts w:ascii="宋体" w:cs="宋体"/>
          <w:color w:val="auto"/>
          <w:szCs w:val="21"/>
          <w:highlight w:val="none"/>
        </w:rPr>
      </w:pPr>
      <w:r>
        <w:rPr>
          <w:rFonts w:ascii="宋体" w:hAnsi="宋体" w:cs="宋体"/>
          <w:color w:val="auto"/>
          <w:szCs w:val="21"/>
          <w:highlight w:val="none"/>
        </w:rPr>
        <w:t xml:space="preserve">    3</w:t>
      </w:r>
      <w:r>
        <w:rPr>
          <w:rFonts w:hint="eastAsia" w:ascii="宋体" w:hAnsi="宋体" w:cs="宋体"/>
          <w:color w:val="auto"/>
          <w:szCs w:val="21"/>
          <w:highlight w:val="none"/>
        </w:rPr>
        <w:t>、如有转让和未经甲方同意的分包行为，甲方有权解除合同，没收履约保证金并追究乙方的违约责任。</w:t>
      </w:r>
    </w:p>
    <w:p w14:paraId="070B2078">
      <w:pPr>
        <w:pStyle w:val="14"/>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七、合同履行时间、履行方式及履行地点</w:t>
      </w:r>
    </w:p>
    <w:p w14:paraId="1B5B713B">
      <w:pPr>
        <w:pStyle w:val="14"/>
        <w:snapToGrid w:val="0"/>
        <w:spacing w:before="0" w:beforeAutospacing="0" w:after="0" w:afterAutospacing="0" w:line="400" w:lineRule="exact"/>
        <w:rPr>
          <w:rFonts w:cs="宋体"/>
          <w:bCs/>
          <w:color w:val="auto"/>
          <w:sz w:val="21"/>
          <w:szCs w:val="21"/>
          <w:highlight w:val="none"/>
        </w:rPr>
      </w:pPr>
      <w:r>
        <w:rPr>
          <w:rFonts w:cs="宋体"/>
          <w:bCs/>
          <w:color w:val="auto"/>
          <w:sz w:val="21"/>
          <w:szCs w:val="21"/>
          <w:highlight w:val="none"/>
        </w:rPr>
        <w:t xml:space="preserve">    1</w:t>
      </w:r>
      <w:r>
        <w:rPr>
          <w:rFonts w:hint="eastAsia" w:cs="宋体"/>
          <w:bCs/>
          <w:color w:val="auto"/>
          <w:sz w:val="21"/>
          <w:szCs w:val="21"/>
          <w:highlight w:val="none"/>
        </w:rPr>
        <w:t>、</w:t>
      </w:r>
      <w:r>
        <w:rPr>
          <w:rFonts w:hint="eastAsia" w:cs="宋体"/>
          <w:color w:val="auto"/>
          <w:sz w:val="21"/>
          <w:szCs w:val="21"/>
          <w:highlight w:val="none"/>
        </w:rPr>
        <w:t>履行时间</w:t>
      </w:r>
      <w:r>
        <w:rPr>
          <w:rFonts w:hint="eastAsia" w:cs="宋体"/>
          <w:bCs/>
          <w:color w:val="auto"/>
          <w:sz w:val="21"/>
          <w:szCs w:val="21"/>
          <w:highlight w:val="none"/>
        </w:rPr>
        <w:t>：</w:t>
      </w:r>
    </w:p>
    <w:p w14:paraId="62110EB5">
      <w:pPr>
        <w:pStyle w:val="14"/>
        <w:snapToGrid w:val="0"/>
        <w:spacing w:before="0" w:beforeAutospacing="0" w:after="0" w:afterAutospacing="0" w:line="400" w:lineRule="exact"/>
        <w:rPr>
          <w:rFonts w:cs="宋体"/>
          <w:bCs/>
          <w:color w:val="auto"/>
          <w:sz w:val="21"/>
          <w:szCs w:val="21"/>
          <w:highlight w:val="none"/>
        </w:rPr>
      </w:pPr>
      <w:r>
        <w:rPr>
          <w:rFonts w:cs="宋体"/>
          <w:bCs/>
          <w:color w:val="auto"/>
          <w:sz w:val="21"/>
          <w:szCs w:val="21"/>
          <w:highlight w:val="none"/>
        </w:rPr>
        <w:t xml:space="preserve">    2</w:t>
      </w:r>
      <w:r>
        <w:rPr>
          <w:rFonts w:hint="eastAsia" w:cs="宋体"/>
          <w:bCs/>
          <w:color w:val="auto"/>
          <w:sz w:val="21"/>
          <w:szCs w:val="21"/>
          <w:highlight w:val="none"/>
        </w:rPr>
        <w:t>、</w:t>
      </w:r>
      <w:r>
        <w:rPr>
          <w:rFonts w:hint="eastAsia" w:cs="宋体"/>
          <w:color w:val="auto"/>
          <w:sz w:val="21"/>
          <w:szCs w:val="21"/>
          <w:highlight w:val="none"/>
        </w:rPr>
        <w:t>履行方式</w:t>
      </w:r>
      <w:r>
        <w:rPr>
          <w:rFonts w:hint="eastAsia" w:cs="宋体"/>
          <w:bCs/>
          <w:color w:val="auto"/>
          <w:sz w:val="21"/>
          <w:szCs w:val="21"/>
          <w:highlight w:val="none"/>
        </w:rPr>
        <w:t>：</w:t>
      </w:r>
    </w:p>
    <w:p w14:paraId="64124B82">
      <w:pPr>
        <w:pStyle w:val="14"/>
        <w:snapToGrid w:val="0"/>
        <w:spacing w:before="0" w:beforeAutospacing="0" w:after="0" w:afterAutospacing="0" w:line="400" w:lineRule="exact"/>
        <w:rPr>
          <w:rFonts w:cs="宋体"/>
          <w:color w:val="auto"/>
          <w:sz w:val="21"/>
          <w:szCs w:val="21"/>
          <w:highlight w:val="none"/>
        </w:rPr>
      </w:pPr>
      <w:r>
        <w:rPr>
          <w:rFonts w:cs="宋体"/>
          <w:bCs/>
          <w:color w:val="auto"/>
          <w:sz w:val="21"/>
          <w:szCs w:val="21"/>
          <w:highlight w:val="none"/>
        </w:rPr>
        <w:t xml:space="preserve">    3</w:t>
      </w:r>
      <w:r>
        <w:rPr>
          <w:rFonts w:hint="eastAsia" w:cs="宋体"/>
          <w:bCs/>
          <w:color w:val="auto"/>
          <w:sz w:val="21"/>
          <w:szCs w:val="21"/>
          <w:highlight w:val="none"/>
        </w:rPr>
        <w:t>、</w:t>
      </w:r>
      <w:r>
        <w:rPr>
          <w:rFonts w:hint="eastAsia" w:cs="宋体"/>
          <w:color w:val="auto"/>
          <w:sz w:val="21"/>
          <w:szCs w:val="21"/>
          <w:highlight w:val="none"/>
        </w:rPr>
        <w:t>履行地点</w:t>
      </w:r>
      <w:r>
        <w:rPr>
          <w:rFonts w:hint="eastAsia" w:cs="宋体"/>
          <w:bCs/>
          <w:color w:val="auto"/>
          <w:sz w:val="21"/>
          <w:szCs w:val="21"/>
          <w:highlight w:val="none"/>
        </w:rPr>
        <w:t>：</w:t>
      </w:r>
    </w:p>
    <w:p w14:paraId="7ECFBF14">
      <w:pPr>
        <w:pStyle w:val="14"/>
        <w:snapToGrid w:val="0"/>
        <w:spacing w:before="0" w:beforeAutospacing="0" w:after="0" w:afterAutospacing="0" w:line="400" w:lineRule="exact"/>
        <w:rPr>
          <w:rFonts w:cs="宋体"/>
          <w:b/>
          <w:bCs/>
          <w:color w:val="auto"/>
          <w:sz w:val="21"/>
          <w:szCs w:val="21"/>
          <w:highlight w:val="none"/>
        </w:rPr>
      </w:pPr>
      <w:r>
        <w:rPr>
          <w:rFonts w:hint="eastAsia" w:cs="宋体"/>
          <w:b/>
          <w:color w:val="auto"/>
          <w:sz w:val="21"/>
          <w:szCs w:val="21"/>
          <w:highlight w:val="none"/>
        </w:rPr>
        <w:t>八、</w:t>
      </w:r>
      <w:r>
        <w:rPr>
          <w:rFonts w:hint="eastAsia" w:cs="宋体"/>
          <w:b/>
          <w:bCs/>
          <w:color w:val="auto"/>
          <w:sz w:val="21"/>
          <w:szCs w:val="21"/>
          <w:highlight w:val="none"/>
        </w:rPr>
        <w:t>付款方式：</w:t>
      </w:r>
    </w:p>
    <w:p w14:paraId="5FEB5D92">
      <w:pPr>
        <w:snapToGrid w:val="0"/>
        <w:spacing w:line="400" w:lineRule="exact"/>
        <w:rPr>
          <w:rFonts w:ascii="宋体" w:cs="宋体"/>
          <w:b/>
          <w:color w:val="auto"/>
          <w:szCs w:val="21"/>
          <w:highlight w:val="none"/>
        </w:rPr>
      </w:pPr>
      <w:r>
        <w:rPr>
          <w:rFonts w:hint="eastAsia" w:ascii="宋体" w:hAnsi="宋体" w:cs="宋体"/>
          <w:b/>
          <w:color w:val="auto"/>
          <w:szCs w:val="21"/>
          <w:highlight w:val="none"/>
        </w:rPr>
        <w:t>九、税费</w:t>
      </w:r>
    </w:p>
    <w:p w14:paraId="6424E39E">
      <w:pPr>
        <w:snapToGrid w:val="0"/>
        <w:spacing w:line="40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本合同执行中相关的一切税费均由乙方负担。</w:t>
      </w:r>
    </w:p>
    <w:p w14:paraId="2CF5FAC9">
      <w:pPr>
        <w:pStyle w:val="14"/>
        <w:snapToGrid w:val="0"/>
        <w:spacing w:before="0" w:beforeAutospacing="0" w:after="0" w:afterAutospacing="0" w:line="400" w:lineRule="exact"/>
        <w:ind w:left="360" w:hanging="361" w:hangingChars="171"/>
        <w:rPr>
          <w:rFonts w:cs="宋体"/>
          <w:color w:val="auto"/>
          <w:sz w:val="21"/>
          <w:szCs w:val="21"/>
          <w:highlight w:val="none"/>
        </w:rPr>
      </w:pPr>
      <w:r>
        <w:rPr>
          <w:rFonts w:hint="eastAsia" w:cs="宋体"/>
          <w:b/>
          <w:color w:val="auto"/>
          <w:sz w:val="21"/>
          <w:szCs w:val="21"/>
          <w:highlight w:val="none"/>
        </w:rPr>
        <w:t>十、质量保证及后续服务</w:t>
      </w:r>
    </w:p>
    <w:p w14:paraId="5C2551C3">
      <w:pPr>
        <w:pStyle w:val="14"/>
        <w:snapToGrid w:val="0"/>
        <w:spacing w:before="0" w:beforeAutospacing="0" w:after="0" w:afterAutospacing="0" w:line="400" w:lineRule="exact"/>
        <w:ind w:left="359" w:hanging="359" w:hangingChars="171"/>
        <w:rPr>
          <w:rFonts w:cs="宋体"/>
          <w:color w:val="auto"/>
          <w:sz w:val="21"/>
          <w:szCs w:val="21"/>
          <w:highlight w:val="none"/>
        </w:rPr>
      </w:pPr>
      <w:r>
        <w:rPr>
          <w:rFonts w:cs="宋体"/>
          <w:color w:val="auto"/>
          <w:sz w:val="21"/>
          <w:szCs w:val="21"/>
          <w:highlight w:val="none"/>
        </w:rPr>
        <w:t xml:space="preserve">    1</w:t>
      </w:r>
      <w:r>
        <w:rPr>
          <w:rFonts w:hint="eastAsia" w:cs="宋体"/>
          <w:color w:val="auto"/>
          <w:sz w:val="21"/>
          <w:szCs w:val="21"/>
          <w:highlight w:val="none"/>
        </w:rPr>
        <w:t>、乙方应按竞争性磋商文件规定向甲方提供服务。</w:t>
      </w:r>
    </w:p>
    <w:p w14:paraId="56044EA7">
      <w:pPr>
        <w:pStyle w:val="14"/>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2</w:t>
      </w:r>
      <w:r>
        <w:rPr>
          <w:rFonts w:hint="eastAsia" w:cs="宋体"/>
          <w:color w:val="auto"/>
          <w:sz w:val="21"/>
          <w:szCs w:val="21"/>
          <w:highlight w:val="none"/>
        </w:rPr>
        <w:t>、乙方提供的服务成果在服务质量保证期内发生故障，乙方应负责免费提供后续服务。对达不到要求者，根据实际情况，经双方协商，可按以下办法处理：</w:t>
      </w:r>
    </w:p>
    <w:p w14:paraId="704443E2">
      <w:pPr>
        <w:pStyle w:val="14"/>
        <w:snapToGrid w:val="0"/>
        <w:spacing w:before="0" w:beforeAutospacing="0" w:after="0" w:afterAutospacing="0" w:line="400" w:lineRule="exact"/>
        <w:ind w:firstLine="420"/>
        <w:rPr>
          <w:rFonts w:cs="宋体"/>
          <w:color w:val="auto"/>
          <w:sz w:val="21"/>
          <w:szCs w:val="21"/>
          <w:highlight w:val="none"/>
        </w:rPr>
      </w:pPr>
      <w:r>
        <w:rPr>
          <w:rFonts w:hint="eastAsia" w:cs="宋体"/>
          <w:color w:val="auto"/>
          <w:sz w:val="21"/>
          <w:szCs w:val="21"/>
          <w:highlight w:val="none"/>
        </w:rPr>
        <w:t>⑴重做：由乙方承担所发生的全部费用。</w:t>
      </w:r>
    </w:p>
    <w:p w14:paraId="0FE928FE">
      <w:pPr>
        <w:pStyle w:val="14"/>
        <w:snapToGrid w:val="0"/>
        <w:spacing w:before="0" w:beforeAutospacing="0" w:after="0" w:afterAutospacing="0" w:line="400" w:lineRule="exact"/>
        <w:ind w:firstLine="420"/>
        <w:rPr>
          <w:rFonts w:cs="宋体"/>
          <w:color w:val="auto"/>
          <w:sz w:val="21"/>
          <w:szCs w:val="21"/>
          <w:highlight w:val="none"/>
        </w:rPr>
      </w:pPr>
      <w:r>
        <w:rPr>
          <w:rFonts w:hint="eastAsia" w:cs="宋体"/>
          <w:color w:val="auto"/>
          <w:sz w:val="21"/>
          <w:szCs w:val="21"/>
          <w:highlight w:val="none"/>
        </w:rPr>
        <w:t>⑵贬值处理：由甲乙双方合议定价。</w:t>
      </w:r>
    </w:p>
    <w:p w14:paraId="6022F400">
      <w:pPr>
        <w:pStyle w:val="14"/>
        <w:snapToGrid w:val="0"/>
        <w:spacing w:before="0" w:beforeAutospacing="0" w:after="0" w:afterAutospacing="0" w:line="400" w:lineRule="exact"/>
        <w:ind w:left="420" w:leftChars="200"/>
        <w:rPr>
          <w:rFonts w:cs="宋体"/>
          <w:color w:val="auto"/>
          <w:sz w:val="21"/>
          <w:szCs w:val="21"/>
          <w:highlight w:val="none"/>
        </w:rPr>
      </w:pPr>
      <w:r>
        <w:rPr>
          <w:rFonts w:hint="eastAsia" w:cs="宋体"/>
          <w:color w:val="auto"/>
          <w:sz w:val="21"/>
          <w:szCs w:val="21"/>
          <w:highlight w:val="none"/>
        </w:rPr>
        <w:t>⑶解除合同。</w:t>
      </w:r>
    </w:p>
    <w:p w14:paraId="447D0E8F">
      <w:pPr>
        <w:pStyle w:val="14"/>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3</w:t>
      </w:r>
      <w:r>
        <w:rPr>
          <w:rFonts w:hint="eastAsia" w:cs="宋体"/>
          <w:color w:val="auto"/>
          <w:sz w:val="21"/>
          <w:szCs w:val="21"/>
          <w:highlight w:val="none"/>
        </w:rPr>
        <w:t>、如在使用过程中发生问题，乙方在接到甲方通知后在</w:t>
      </w:r>
      <w:r>
        <w:rPr>
          <w:rFonts w:cs="宋体"/>
          <w:color w:val="auto"/>
          <w:sz w:val="21"/>
          <w:szCs w:val="21"/>
          <w:highlight w:val="none"/>
          <w:u w:val="single"/>
        </w:rPr>
        <w:t xml:space="preserve">   </w:t>
      </w:r>
      <w:r>
        <w:rPr>
          <w:rFonts w:hint="eastAsia" w:cs="宋体"/>
          <w:color w:val="auto"/>
          <w:sz w:val="21"/>
          <w:szCs w:val="21"/>
          <w:highlight w:val="none"/>
        </w:rPr>
        <w:t>小时内到达甲方现场。</w:t>
      </w:r>
    </w:p>
    <w:p w14:paraId="55CAE5CB">
      <w:pPr>
        <w:pStyle w:val="14"/>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十一、违约责任</w:t>
      </w:r>
    </w:p>
    <w:p w14:paraId="396AB844">
      <w:pPr>
        <w:spacing w:line="400" w:lineRule="exact"/>
        <w:rPr>
          <w:rFonts w:ascii="宋体" w:cs="宋体"/>
          <w:color w:val="auto"/>
          <w:szCs w:val="21"/>
          <w:highlight w:val="none"/>
        </w:rPr>
      </w:pPr>
      <w:r>
        <w:rPr>
          <w:rFonts w:ascii="宋体" w:hAnsi="宋体" w:cs="宋体"/>
          <w:color w:val="auto"/>
          <w:szCs w:val="21"/>
          <w:highlight w:val="none"/>
        </w:rPr>
        <w:t xml:space="preserve">    1</w:t>
      </w:r>
      <w:r>
        <w:rPr>
          <w:rFonts w:hint="eastAsia" w:ascii="宋体" w:hAnsi="宋体" w:cs="宋体"/>
          <w:color w:val="auto"/>
          <w:szCs w:val="21"/>
          <w:highlight w:val="none"/>
        </w:rPr>
        <w:t>、甲方无正当理由拒收接受服务的，甲方向乙方偿付合同款项百分之二十作为违约金。</w:t>
      </w:r>
    </w:p>
    <w:p w14:paraId="065A401F">
      <w:pPr>
        <w:spacing w:line="400" w:lineRule="exact"/>
        <w:rPr>
          <w:rFonts w:ascii="宋体" w:cs="宋体"/>
          <w:color w:val="auto"/>
          <w:szCs w:val="21"/>
          <w:highlight w:val="none"/>
        </w:rPr>
      </w:pPr>
      <w:r>
        <w:rPr>
          <w:rFonts w:ascii="宋体" w:hAnsi="宋体" w:cs="宋体"/>
          <w:color w:val="auto"/>
          <w:szCs w:val="21"/>
          <w:highlight w:val="none"/>
        </w:rPr>
        <w:t xml:space="preserve">    2</w:t>
      </w:r>
      <w:r>
        <w:rPr>
          <w:rFonts w:hint="eastAsia" w:ascii="宋体" w:hAnsi="宋体" w:cs="宋体"/>
          <w:color w:val="auto"/>
          <w:szCs w:val="21"/>
          <w:highlight w:val="none"/>
        </w:rPr>
        <w:t>、甲方无故逾期验收和办理款项支付手续的</w:t>
      </w:r>
      <w:r>
        <w:rPr>
          <w:rFonts w:hint="eastAsia" w:ascii="宋体" w:cs="宋体"/>
          <w:color w:val="auto"/>
          <w:szCs w:val="21"/>
          <w:highlight w:val="none"/>
        </w:rPr>
        <w:t>，</w:t>
      </w:r>
      <w:r>
        <w:rPr>
          <w:rFonts w:hint="eastAsia" w:ascii="宋体" w:hAnsi="宋体" w:cs="宋体"/>
          <w:color w:val="auto"/>
          <w:szCs w:val="21"/>
          <w:highlight w:val="none"/>
        </w:rPr>
        <w:t>甲方应按逾期付款总额每日万分之五向乙方支付违约金。</w:t>
      </w:r>
    </w:p>
    <w:p w14:paraId="4233DDC6">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乙方未能如期提供服务的，每日向甲方支付合同款项的千分之十作为违约金。乙方超过约定日期</w:t>
      </w:r>
      <w:r>
        <w:rPr>
          <w:rFonts w:ascii="宋体" w:hAnsi="宋体" w:cs="宋体"/>
          <w:color w:val="auto"/>
          <w:szCs w:val="21"/>
          <w:highlight w:val="none"/>
        </w:rPr>
        <w:t>10</w:t>
      </w:r>
      <w:r>
        <w:rPr>
          <w:rFonts w:hint="eastAsia" w:ascii="宋体" w:hAnsi="宋体" w:cs="宋体"/>
          <w:color w:val="auto"/>
          <w:szCs w:val="21"/>
          <w:highlight w:val="none"/>
        </w:rPr>
        <w:t>个工作日仍不能提供服务的，甲方可解除本合同。乙方因未能如期提供服务或因其他违约行为导致甲方解除合同的，乙方应向甲方支付合同总值</w:t>
      </w:r>
      <w:r>
        <w:rPr>
          <w:rFonts w:ascii="宋体" w:hAnsi="宋体" w:cs="宋体"/>
          <w:color w:val="auto"/>
          <w:szCs w:val="21"/>
          <w:highlight w:val="none"/>
        </w:rPr>
        <w:t>20%</w:t>
      </w:r>
      <w:r>
        <w:rPr>
          <w:rFonts w:hint="eastAsia" w:ascii="宋体" w:hAnsi="宋体" w:cs="宋体"/>
          <w:color w:val="auto"/>
          <w:szCs w:val="21"/>
          <w:highlight w:val="none"/>
        </w:rPr>
        <w:t>的违约金，</w:t>
      </w:r>
    </w:p>
    <w:p w14:paraId="254635E8">
      <w:pPr>
        <w:spacing w:line="40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如造成甲方损失超过违约金的，超出部分由乙方继续承担赔偿责任。</w:t>
      </w:r>
      <w:r>
        <w:rPr>
          <w:rFonts w:ascii="宋体" w:hAnsi="宋体" w:cs="宋体"/>
          <w:color w:val="auto"/>
          <w:szCs w:val="21"/>
          <w:highlight w:val="none"/>
        </w:rPr>
        <w:t xml:space="preserve"> </w:t>
      </w:r>
    </w:p>
    <w:p w14:paraId="4B16A28B">
      <w:pPr>
        <w:pStyle w:val="14"/>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十二、不可抗力事件处理</w:t>
      </w:r>
    </w:p>
    <w:p w14:paraId="0F93AEE8">
      <w:pPr>
        <w:pStyle w:val="14"/>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1</w:t>
      </w:r>
      <w:r>
        <w:rPr>
          <w:rFonts w:hint="eastAsia" w:cs="宋体"/>
          <w:color w:val="auto"/>
          <w:sz w:val="21"/>
          <w:szCs w:val="21"/>
          <w:highlight w:val="none"/>
        </w:rPr>
        <w:t>、在合同有效期内，任何一方因不可抗力事件导致不能履行合同，则合同履行期可延长，其延长期与不可抗力影响期相同。</w:t>
      </w:r>
    </w:p>
    <w:p w14:paraId="38144EFD">
      <w:pPr>
        <w:pStyle w:val="14"/>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2</w:t>
      </w:r>
      <w:r>
        <w:rPr>
          <w:rFonts w:hint="eastAsia" w:cs="宋体"/>
          <w:color w:val="auto"/>
          <w:sz w:val="21"/>
          <w:szCs w:val="21"/>
          <w:highlight w:val="none"/>
        </w:rPr>
        <w:t>、不可抗力事件发生后，应立即通知对方，并寄送有关权威机构出具的证明。</w:t>
      </w:r>
    </w:p>
    <w:p w14:paraId="6521C848">
      <w:pPr>
        <w:pStyle w:val="14"/>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3</w:t>
      </w:r>
      <w:r>
        <w:rPr>
          <w:rFonts w:hint="eastAsia" w:cs="宋体"/>
          <w:color w:val="auto"/>
          <w:sz w:val="21"/>
          <w:szCs w:val="21"/>
          <w:highlight w:val="none"/>
        </w:rPr>
        <w:t>、不可抗力事件延续</w:t>
      </w:r>
      <w:r>
        <w:rPr>
          <w:rFonts w:cs="宋体"/>
          <w:color w:val="auto"/>
          <w:sz w:val="21"/>
          <w:szCs w:val="21"/>
          <w:highlight w:val="none"/>
        </w:rPr>
        <w:t>120</w:t>
      </w:r>
      <w:r>
        <w:rPr>
          <w:rFonts w:hint="eastAsia" w:cs="宋体"/>
          <w:color w:val="auto"/>
          <w:sz w:val="21"/>
          <w:szCs w:val="21"/>
          <w:highlight w:val="none"/>
        </w:rPr>
        <w:t>天以上，双方应通过友好协商，确定是否继续履行合同。</w:t>
      </w:r>
    </w:p>
    <w:p w14:paraId="532C78E5">
      <w:pPr>
        <w:pStyle w:val="14"/>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十三、诉讼</w:t>
      </w:r>
    </w:p>
    <w:p w14:paraId="695F4294">
      <w:pPr>
        <w:pStyle w:val="14"/>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w:t>
      </w:r>
      <w:r>
        <w:rPr>
          <w:rFonts w:hint="eastAsia" w:cs="宋体"/>
          <w:color w:val="auto"/>
          <w:sz w:val="21"/>
          <w:szCs w:val="21"/>
          <w:highlight w:val="none"/>
        </w:rPr>
        <w:t>双方在执行合同中所发生的一切争议，应通过协商解决。如协商不成，可向合同履行地法院起诉。</w:t>
      </w:r>
    </w:p>
    <w:p w14:paraId="502F1CB1">
      <w:pPr>
        <w:pStyle w:val="14"/>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十四、合同生效及其它</w:t>
      </w:r>
    </w:p>
    <w:p w14:paraId="72F383FF">
      <w:pPr>
        <w:pStyle w:val="14"/>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1</w:t>
      </w:r>
      <w:r>
        <w:rPr>
          <w:rFonts w:hint="eastAsia" w:cs="宋体"/>
          <w:color w:val="auto"/>
          <w:sz w:val="21"/>
          <w:szCs w:val="21"/>
          <w:highlight w:val="none"/>
        </w:rPr>
        <w:t>、合同经双方法定代表人或授权代表签字并加盖单位公章后生效。</w:t>
      </w:r>
    </w:p>
    <w:p w14:paraId="42E9C26E">
      <w:pPr>
        <w:pStyle w:val="14"/>
        <w:snapToGrid w:val="0"/>
        <w:spacing w:before="0" w:beforeAutospacing="0" w:after="0" w:afterAutospacing="0" w:line="400" w:lineRule="exact"/>
        <w:ind w:left="420" w:hanging="420" w:hangingChars="200"/>
        <w:rPr>
          <w:rFonts w:cs="宋体"/>
          <w:color w:val="auto"/>
          <w:sz w:val="21"/>
          <w:szCs w:val="21"/>
          <w:highlight w:val="none"/>
        </w:rPr>
      </w:pPr>
      <w:r>
        <w:rPr>
          <w:rFonts w:cs="宋体"/>
          <w:color w:val="auto"/>
          <w:sz w:val="21"/>
          <w:szCs w:val="21"/>
          <w:highlight w:val="none"/>
        </w:rPr>
        <w:t xml:space="preserve">    2</w:t>
      </w:r>
      <w:r>
        <w:rPr>
          <w:rFonts w:hint="eastAsia" w:cs="宋体"/>
          <w:color w:val="auto"/>
          <w:sz w:val="21"/>
          <w:szCs w:val="21"/>
          <w:highlight w:val="none"/>
        </w:rPr>
        <w:t>、本合同未尽事宜，遵照《民法典》有关条文执行。</w:t>
      </w:r>
    </w:p>
    <w:p w14:paraId="0E677301">
      <w:pPr>
        <w:spacing w:line="400" w:lineRule="exact"/>
        <w:rPr>
          <w:rFonts w:cs="宋体"/>
          <w:color w:val="auto"/>
          <w:szCs w:val="21"/>
          <w:highlight w:val="none"/>
        </w:rPr>
      </w:pPr>
      <w:r>
        <w:rPr>
          <w:rFonts w:ascii="宋体" w:hAnsi="宋体" w:cs="宋体"/>
          <w:color w:val="auto"/>
          <w:kern w:val="0"/>
          <w:szCs w:val="21"/>
          <w:highlight w:val="none"/>
        </w:rPr>
        <w:t xml:space="preserve">    3</w:t>
      </w:r>
      <w:r>
        <w:rPr>
          <w:rFonts w:hint="eastAsia" w:ascii="宋体" w:hAnsi="宋体" w:cs="宋体"/>
          <w:color w:val="auto"/>
          <w:kern w:val="0"/>
          <w:szCs w:val="21"/>
          <w:highlight w:val="none"/>
        </w:rPr>
        <w:t>、本合同正本一式四份，具有同等法律效力，甲乙双方各执两份。</w:t>
      </w:r>
    </w:p>
    <w:p w14:paraId="1905ECEE">
      <w:pPr>
        <w:pStyle w:val="14"/>
        <w:widowControl w:val="0"/>
        <w:adjustRightInd w:val="0"/>
        <w:snapToGrid w:val="0"/>
        <w:spacing w:before="0" w:beforeAutospacing="0" w:after="0" w:afterAutospacing="0" w:line="400" w:lineRule="exact"/>
        <w:rPr>
          <w:color w:val="auto"/>
          <w:sz w:val="21"/>
          <w:szCs w:val="21"/>
          <w:highlight w:val="none"/>
        </w:rPr>
      </w:pPr>
    </w:p>
    <w:p w14:paraId="0E9FF8BB">
      <w:pPr>
        <w:pStyle w:val="14"/>
        <w:widowControl w:val="0"/>
        <w:adjustRightInd w:val="0"/>
        <w:snapToGrid w:val="0"/>
        <w:spacing w:before="0" w:beforeAutospacing="0" w:after="0" w:afterAutospacing="0" w:line="400" w:lineRule="exact"/>
        <w:rPr>
          <w:color w:val="auto"/>
          <w:sz w:val="21"/>
          <w:szCs w:val="21"/>
          <w:highlight w:val="none"/>
        </w:rPr>
      </w:pPr>
    </w:p>
    <w:p w14:paraId="3A1977A6">
      <w:pPr>
        <w:pStyle w:val="14"/>
        <w:widowControl w:val="0"/>
        <w:adjustRightInd w:val="0"/>
        <w:snapToGrid w:val="0"/>
        <w:spacing w:before="0" w:beforeAutospacing="0" w:after="0" w:afterAutospacing="0" w:line="400" w:lineRule="exact"/>
        <w:rPr>
          <w:color w:val="auto"/>
          <w:sz w:val="21"/>
          <w:szCs w:val="21"/>
          <w:highlight w:val="none"/>
        </w:rPr>
      </w:pPr>
    </w:p>
    <w:p w14:paraId="067A0C26">
      <w:pPr>
        <w:pStyle w:val="14"/>
        <w:widowControl w:val="0"/>
        <w:adjustRightInd w:val="0"/>
        <w:snapToGrid w:val="0"/>
        <w:spacing w:before="0" w:beforeAutospacing="0" w:after="0" w:afterAutospacing="0" w:line="400" w:lineRule="exact"/>
        <w:rPr>
          <w:color w:val="auto"/>
          <w:sz w:val="21"/>
          <w:szCs w:val="21"/>
          <w:highlight w:val="none"/>
        </w:rPr>
      </w:pPr>
      <w:bookmarkStart w:id="188" w:name="_Toc293916974"/>
      <w:r>
        <w:rPr>
          <w:rFonts w:hint="eastAsia"/>
          <w:color w:val="auto"/>
          <w:sz w:val="21"/>
          <w:szCs w:val="21"/>
          <w:highlight w:val="none"/>
        </w:rPr>
        <w:t>甲方：</w:t>
      </w:r>
      <w:r>
        <w:rPr>
          <w:color w:val="auto"/>
          <w:sz w:val="21"/>
          <w:szCs w:val="21"/>
          <w:highlight w:val="none"/>
        </w:rPr>
        <w:t xml:space="preserve">                                   </w:t>
      </w:r>
      <w:r>
        <w:rPr>
          <w:rFonts w:hint="eastAsia"/>
          <w:color w:val="auto"/>
          <w:sz w:val="21"/>
          <w:szCs w:val="21"/>
          <w:highlight w:val="none"/>
        </w:rPr>
        <w:t>乙方：</w:t>
      </w:r>
      <w:bookmarkEnd w:id="188"/>
      <w:r>
        <w:rPr>
          <w:color w:val="auto"/>
          <w:sz w:val="21"/>
          <w:szCs w:val="21"/>
          <w:highlight w:val="none"/>
        </w:rPr>
        <w:t xml:space="preserve"> </w:t>
      </w:r>
    </w:p>
    <w:p w14:paraId="30AAB160">
      <w:pPr>
        <w:pStyle w:val="14"/>
        <w:widowControl w:val="0"/>
        <w:adjustRightInd w:val="0"/>
        <w:snapToGrid w:val="0"/>
        <w:spacing w:before="0" w:beforeAutospacing="0" w:after="0" w:afterAutospacing="0" w:line="400" w:lineRule="exact"/>
        <w:rPr>
          <w:color w:val="auto"/>
          <w:sz w:val="21"/>
          <w:szCs w:val="21"/>
          <w:highlight w:val="none"/>
        </w:rPr>
      </w:pPr>
      <w:bookmarkStart w:id="189" w:name="_Toc293916975"/>
      <w:r>
        <w:rPr>
          <w:rFonts w:hint="eastAsia"/>
          <w:color w:val="auto"/>
          <w:sz w:val="21"/>
          <w:szCs w:val="21"/>
          <w:highlight w:val="none"/>
        </w:rPr>
        <w:t>地址：</w:t>
      </w:r>
      <w:r>
        <w:rPr>
          <w:color w:val="auto"/>
          <w:sz w:val="21"/>
          <w:szCs w:val="21"/>
          <w:highlight w:val="none"/>
        </w:rPr>
        <w:t xml:space="preserve">                                   </w:t>
      </w:r>
      <w:r>
        <w:rPr>
          <w:rFonts w:hint="eastAsia"/>
          <w:color w:val="auto"/>
          <w:sz w:val="21"/>
          <w:szCs w:val="21"/>
          <w:highlight w:val="none"/>
        </w:rPr>
        <w:t>地址：</w:t>
      </w:r>
      <w:bookmarkEnd w:id="189"/>
      <w:r>
        <w:rPr>
          <w:color w:val="auto"/>
          <w:sz w:val="21"/>
          <w:szCs w:val="21"/>
          <w:highlight w:val="none"/>
        </w:rPr>
        <w:t xml:space="preserve"> </w:t>
      </w:r>
    </w:p>
    <w:p w14:paraId="5228AAF6">
      <w:pPr>
        <w:pStyle w:val="14"/>
        <w:widowControl w:val="0"/>
        <w:adjustRightInd w:val="0"/>
        <w:snapToGrid w:val="0"/>
        <w:spacing w:before="0" w:beforeAutospacing="0" w:after="0" w:afterAutospacing="0" w:line="400" w:lineRule="exact"/>
        <w:rPr>
          <w:color w:val="auto"/>
          <w:sz w:val="21"/>
          <w:szCs w:val="21"/>
          <w:highlight w:val="none"/>
        </w:rPr>
      </w:pPr>
      <w:bookmarkStart w:id="190" w:name="_Toc293916976"/>
      <w:r>
        <w:rPr>
          <w:rFonts w:hint="eastAsia"/>
          <w:color w:val="auto"/>
          <w:sz w:val="21"/>
          <w:szCs w:val="21"/>
          <w:highlight w:val="none"/>
        </w:rPr>
        <w:t>法定代表人：</w:t>
      </w:r>
      <w:r>
        <w:rPr>
          <w:color w:val="auto"/>
          <w:sz w:val="21"/>
          <w:szCs w:val="21"/>
          <w:highlight w:val="none"/>
        </w:rPr>
        <w:t xml:space="preserve">                             </w:t>
      </w:r>
      <w:r>
        <w:rPr>
          <w:rFonts w:hint="eastAsia"/>
          <w:color w:val="auto"/>
          <w:sz w:val="21"/>
          <w:szCs w:val="21"/>
          <w:highlight w:val="none"/>
        </w:rPr>
        <w:t>法定代表人：</w:t>
      </w:r>
    </w:p>
    <w:p w14:paraId="648C6A75">
      <w:pPr>
        <w:pStyle w:val="14"/>
        <w:widowControl w:val="0"/>
        <w:adjustRightInd w:val="0"/>
        <w:snapToGrid w:val="0"/>
        <w:spacing w:before="0" w:beforeAutospacing="0" w:after="0" w:afterAutospacing="0" w:line="400" w:lineRule="exact"/>
        <w:rPr>
          <w:color w:val="auto"/>
          <w:sz w:val="21"/>
          <w:szCs w:val="21"/>
          <w:highlight w:val="none"/>
        </w:rPr>
      </w:pPr>
      <w:r>
        <w:rPr>
          <w:rFonts w:hint="eastAsia"/>
          <w:color w:val="auto"/>
          <w:sz w:val="21"/>
          <w:szCs w:val="21"/>
          <w:highlight w:val="none"/>
        </w:rPr>
        <w:t>或授权人：</w:t>
      </w:r>
      <w:r>
        <w:rPr>
          <w:color w:val="auto"/>
          <w:sz w:val="21"/>
          <w:szCs w:val="21"/>
          <w:highlight w:val="none"/>
        </w:rPr>
        <w:t xml:space="preserve">                           </w:t>
      </w:r>
      <w:bookmarkEnd w:id="190"/>
      <w:bookmarkStart w:id="191" w:name="_Toc293916977"/>
      <w:r>
        <w:rPr>
          <w:color w:val="auto"/>
          <w:sz w:val="21"/>
          <w:szCs w:val="21"/>
          <w:highlight w:val="none"/>
        </w:rPr>
        <w:t xml:space="preserve">    </w:t>
      </w:r>
      <w:r>
        <w:rPr>
          <w:rFonts w:hint="eastAsia"/>
          <w:color w:val="auto"/>
          <w:sz w:val="21"/>
          <w:szCs w:val="21"/>
          <w:highlight w:val="none"/>
        </w:rPr>
        <w:t>或授权人：</w:t>
      </w:r>
      <w:r>
        <w:rPr>
          <w:color w:val="auto"/>
          <w:sz w:val="21"/>
          <w:szCs w:val="21"/>
          <w:highlight w:val="none"/>
        </w:rPr>
        <w:t xml:space="preserve">    </w:t>
      </w:r>
    </w:p>
    <w:p w14:paraId="2C8B04FA">
      <w:pPr>
        <w:pStyle w:val="14"/>
        <w:widowControl w:val="0"/>
        <w:adjustRightInd w:val="0"/>
        <w:snapToGrid w:val="0"/>
        <w:spacing w:before="0" w:beforeAutospacing="0" w:after="0" w:afterAutospacing="0" w:line="400" w:lineRule="exact"/>
        <w:rPr>
          <w:color w:val="auto"/>
          <w:sz w:val="21"/>
          <w:szCs w:val="21"/>
          <w:highlight w:val="none"/>
        </w:rPr>
      </w:pPr>
      <w:r>
        <w:rPr>
          <w:rFonts w:hint="eastAsia"/>
          <w:color w:val="auto"/>
          <w:sz w:val="21"/>
          <w:szCs w:val="21"/>
          <w:highlight w:val="none"/>
        </w:rPr>
        <w:t>签订地点：</w:t>
      </w:r>
      <w:r>
        <w:rPr>
          <w:color w:val="auto"/>
          <w:sz w:val="21"/>
          <w:szCs w:val="21"/>
          <w:highlight w:val="none"/>
        </w:rPr>
        <w:t xml:space="preserve">                               </w:t>
      </w:r>
      <w:r>
        <w:rPr>
          <w:rFonts w:hint="eastAsia"/>
          <w:color w:val="auto"/>
          <w:sz w:val="21"/>
          <w:szCs w:val="21"/>
          <w:highlight w:val="none"/>
        </w:rPr>
        <w:t>签订日期：</w:t>
      </w:r>
      <w:r>
        <w:rPr>
          <w:color w:val="auto"/>
          <w:sz w:val="21"/>
          <w:szCs w:val="21"/>
          <w:highlight w:val="none"/>
        </w:rPr>
        <w:t xml:space="preserve">      </w:t>
      </w:r>
      <w:r>
        <w:rPr>
          <w:rFonts w:hint="eastAsia"/>
          <w:color w:val="auto"/>
          <w:sz w:val="21"/>
          <w:szCs w:val="21"/>
          <w:highlight w:val="none"/>
        </w:rPr>
        <w:t>年</w:t>
      </w:r>
      <w:r>
        <w:rPr>
          <w:color w:val="auto"/>
          <w:sz w:val="21"/>
          <w:szCs w:val="21"/>
          <w:highlight w:val="none"/>
        </w:rPr>
        <w:t xml:space="preserve">  </w:t>
      </w:r>
      <w:r>
        <w:rPr>
          <w:rFonts w:hint="eastAsia"/>
          <w:color w:val="auto"/>
          <w:sz w:val="21"/>
          <w:szCs w:val="21"/>
          <w:highlight w:val="none"/>
        </w:rPr>
        <w:t>月</w:t>
      </w:r>
      <w:r>
        <w:rPr>
          <w:color w:val="auto"/>
          <w:sz w:val="21"/>
          <w:szCs w:val="21"/>
          <w:highlight w:val="none"/>
        </w:rPr>
        <w:t xml:space="preserve">  </w:t>
      </w:r>
      <w:r>
        <w:rPr>
          <w:rFonts w:hint="eastAsia"/>
          <w:color w:val="auto"/>
          <w:sz w:val="21"/>
          <w:szCs w:val="21"/>
          <w:highlight w:val="none"/>
        </w:rPr>
        <w:t>日</w:t>
      </w:r>
      <w:bookmarkEnd w:id="191"/>
    </w:p>
    <w:p w14:paraId="370E7E9D">
      <w:pPr>
        <w:pStyle w:val="3"/>
        <w:keepNext w:val="0"/>
        <w:keepLines w:val="0"/>
        <w:overflowPunct w:val="0"/>
        <w:spacing w:before="0" w:after="0" w:line="400" w:lineRule="exact"/>
        <w:jc w:val="center"/>
        <w:rPr>
          <w:rFonts w:ascii="宋体" w:cs="宋体"/>
          <w:color w:val="auto"/>
          <w:sz w:val="32"/>
          <w:szCs w:val="32"/>
          <w:highlight w:val="none"/>
        </w:rPr>
      </w:pPr>
    </w:p>
    <w:p w14:paraId="03B2CDEB">
      <w:pPr>
        <w:pStyle w:val="3"/>
        <w:keepNext w:val="0"/>
        <w:keepLines w:val="0"/>
        <w:overflowPunct w:val="0"/>
        <w:spacing w:before="0" w:after="0" w:line="600" w:lineRule="exact"/>
        <w:jc w:val="center"/>
        <w:rPr>
          <w:rFonts w:ascii="宋体" w:cs="宋体"/>
          <w:color w:val="auto"/>
          <w:sz w:val="32"/>
          <w:szCs w:val="32"/>
          <w:highlight w:val="none"/>
        </w:rPr>
      </w:pPr>
      <w:bookmarkStart w:id="192" w:name="_Toc26396"/>
      <w:bookmarkStart w:id="193" w:name="_Toc19932"/>
      <w:bookmarkStart w:id="194" w:name="_Toc28419"/>
      <w:bookmarkStart w:id="195" w:name="_Toc11561"/>
      <w:r>
        <w:rPr>
          <w:rFonts w:hint="eastAsia" w:ascii="宋体" w:hAnsi="宋体" w:cs="宋体"/>
          <w:color w:val="auto"/>
          <w:sz w:val="32"/>
          <w:szCs w:val="32"/>
          <w:highlight w:val="none"/>
        </w:rPr>
        <w:t>第六章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响应文件格式</w:t>
      </w:r>
      <w:bookmarkEnd w:id="192"/>
      <w:bookmarkEnd w:id="193"/>
      <w:bookmarkEnd w:id="194"/>
      <w:bookmarkEnd w:id="195"/>
    </w:p>
    <w:p w14:paraId="6D306B8F">
      <w:pPr>
        <w:overflowPunct w:val="0"/>
        <w:autoSpaceDE w:val="0"/>
        <w:autoSpaceDN w:val="0"/>
        <w:snapToGrid w:val="0"/>
        <w:spacing w:line="440" w:lineRule="exact"/>
        <w:ind w:firstLine="480" w:firstLineChars="200"/>
        <w:jc w:val="left"/>
        <w:textAlignment w:val="bottom"/>
        <w:rPr>
          <w:rFonts w:ascii="宋体" w:cs="宋体"/>
          <w:bCs/>
          <w:color w:val="auto"/>
          <w:sz w:val="24"/>
          <w:highlight w:val="none"/>
        </w:rPr>
      </w:pPr>
    </w:p>
    <w:p w14:paraId="6954D867">
      <w:pPr>
        <w:overflowPunct w:val="0"/>
        <w:autoSpaceDE w:val="0"/>
        <w:autoSpaceDN w:val="0"/>
        <w:snapToGrid w:val="0"/>
        <w:spacing w:line="440" w:lineRule="exact"/>
        <w:ind w:firstLine="480" w:firstLineChars="200"/>
        <w:jc w:val="left"/>
        <w:textAlignment w:val="bottom"/>
        <w:rPr>
          <w:rFonts w:ascii="宋体" w:cs="宋体"/>
          <w:bCs/>
          <w:color w:val="auto"/>
          <w:sz w:val="24"/>
          <w:highlight w:val="none"/>
        </w:rPr>
      </w:pPr>
      <w:r>
        <w:rPr>
          <w:rFonts w:hint="eastAsia" w:ascii="宋体" w:hAnsi="宋体" w:cs="宋体"/>
          <w:bCs/>
          <w:color w:val="auto"/>
          <w:sz w:val="24"/>
          <w:highlight w:val="none"/>
        </w:rPr>
        <w:t>本章节内容提供部分响应文件格式，磋商文件中要求，但未提供格式的，须由供应商自行制作。</w:t>
      </w:r>
    </w:p>
    <w:p w14:paraId="1DD81F5A">
      <w:pPr>
        <w:overflowPunct w:val="0"/>
        <w:ind w:firstLine="602" w:firstLineChars="200"/>
        <w:jc w:val="center"/>
        <w:rPr>
          <w:rFonts w:ascii="宋体" w:cs="宋体"/>
          <w:b/>
          <w:color w:val="auto"/>
          <w:sz w:val="30"/>
          <w:szCs w:val="30"/>
          <w:highlight w:val="none"/>
        </w:rPr>
      </w:pPr>
      <w:r>
        <w:rPr>
          <w:rFonts w:hint="eastAsia" w:ascii="宋体" w:hAnsi="宋体" w:cs="宋体"/>
          <w:b/>
          <w:color w:val="auto"/>
          <w:sz w:val="30"/>
          <w:szCs w:val="30"/>
          <w:highlight w:val="none"/>
        </w:rPr>
        <w:t>一、响应文件外层包装封面格式</w:t>
      </w:r>
    </w:p>
    <w:p w14:paraId="72FFBED3">
      <w:pPr>
        <w:overflowPunct w:val="0"/>
        <w:ind w:firstLine="560" w:firstLineChars="200"/>
        <w:rPr>
          <w:rFonts w:asci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、所有响应文件的外包装封面格式：（可选用）</w:t>
      </w:r>
    </w:p>
    <w:p w14:paraId="4DB21370">
      <w:pPr>
        <w:overflowPunct w:val="0"/>
        <w:ind w:firstLine="560" w:firstLineChars="200"/>
        <w:rPr>
          <w:rFonts w:ascii="宋体" w:cs="宋体"/>
          <w:color w:val="auto"/>
          <w:sz w:val="28"/>
          <w:szCs w:val="28"/>
          <w:highlight w:val="none"/>
        </w:rPr>
      </w:pPr>
    </w:p>
    <w:p w14:paraId="30FA5778">
      <w:pPr>
        <w:overflowPunct w:val="0"/>
        <w:ind w:firstLine="560" w:firstLineChars="200"/>
        <w:rPr>
          <w:rFonts w:ascii="宋体" w:cs="宋体"/>
          <w:color w:val="auto"/>
          <w:sz w:val="28"/>
          <w:szCs w:val="28"/>
          <w:highlight w:val="none"/>
        </w:rPr>
      </w:pPr>
    </w:p>
    <w:p w14:paraId="2A950143">
      <w:pPr>
        <w:overflowPunct w:val="0"/>
        <w:ind w:firstLine="560" w:firstLineChars="200"/>
        <w:rPr>
          <w:rFonts w:ascii="宋体" w:cs="宋体"/>
          <w:color w:val="auto"/>
          <w:sz w:val="28"/>
          <w:szCs w:val="28"/>
          <w:highlight w:val="none"/>
        </w:rPr>
      </w:pPr>
    </w:p>
    <w:p w14:paraId="1D727C4B">
      <w:pPr>
        <w:overflowPunct w:val="0"/>
        <w:jc w:val="center"/>
        <w:rPr>
          <w:rFonts w:ascii="宋体" w:cs="宋体"/>
          <w:color w:val="auto"/>
          <w:sz w:val="48"/>
          <w:szCs w:val="48"/>
          <w:highlight w:val="none"/>
        </w:rPr>
      </w:pPr>
      <w:r>
        <w:rPr>
          <w:rFonts w:hint="eastAsia" w:ascii="宋体" w:hAnsi="宋体" w:cs="宋体"/>
          <w:color w:val="auto"/>
          <w:sz w:val="48"/>
          <w:szCs w:val="48"/>
          <w:highlight w:val="none"/>
        </w:rPr>
        <w:t>响应文件（资格证明文件或商务技术文件或报价文件）</w:t>
      </w:r>
    </w:p>
    <w:p w14:paraId="63DBD1B0">
      <w:pPr>
        <w:overflowPunct w:val="0"/>
        <w:ind w:firstLine="960" w:firstLineChars="200"/>
        <w:jc w:val="center"/>
        <w:rPr>
          <w:rFonts w:ascii="宋体" w:cs="宋体"/>
          <w:color w:val="auto"/>
          <w:sz w:val="48"/>
          <w:szCs w:val="48"/>
          <w:highlight w:val="none"/>
        </w:rPr>
      </w:pPr>
    </w:p>
    <w:p w14:paraId="53ADD3F5">
      <w:pPr>
        <w:overflowPunct w:val="0"/>
        <w:ind w:firstLine="960" w:firstLineChars="200"/>
        <w:jc w:val="center"/>
        <w:rPr>
          <w:rFonts w:ascii="宋体" w:cs="宋体"/>
          <w:color w:val="auto"/>
          <w:sz w:val="48"/>
          <w:szCs w:val="48"/>
          <w:highlight w:val="none"/>
        </w:rPr>
      </w:pPr>
    </w:p>
    <w:p w14:paraId="43146E94">
      <w:pPr>
        <w:overflowPunct w:val="0"/>
        <w:ind w:firstLine="960" w:firstLineChars="200"/>
        <w:jc w:val="center"/>
        <w:rPr>
          <w:rFonts w:ascii="宋体" w:cs="宋体"/>
          <w:color w:val="auto"/>
          <w:sz w:val="48"/>
          <w:szCs w:val="48"/>
          <w:highlight w:val="none"/>
        </w:rPr>
      </w:pPr>
    </w:p>
    <w:p w14:paraId="3ABAA421">
      <w:pPr>
        <w:overflowPunct w:val="0"/>
        <w:spacing w:line="800" w:lineRule="exact"/>
        <w:ind w:firstLine="480" w:firstLineChars="200"/>
        <w:rPr>
          <w:rFonts w:ascii="宋体" w:cs="宋体"/>
          <w:color w:val="auto"/>
          <w:sz w:val="24"/>
          <w:highlight w:val="none"/>
        </w:rPr>
      </w:pPr>
      <w:r>
        <w:rPr>
          <w:rFonts w:hint="eastAsia" w:ascii="宋体" w:hAnsi="宋体" w:cs="宋体"/>
          <w:color w:val="auto"/>
          <w:sz w:val="24"/>
          <w:highlight w:val="none"/>
        </w:rPr>
        <w:t>项目名称：</w:t>
      </w:r>
    </w:p>
    <w:p w14:paraId="5EBFA04C">
      <w:pPr>
        <w:overflowPunct w:val="0"/>
        <w:spacing w:line="800" w:lineRule="exact"/>
        <w:ind w:firstLine="480" w:firstLineChars="200"/>
        <w:rPr>
          <w:rFonts w:ascii="宋体" w:cs="宋体"/>
          <w:color w:val="auto"/>
          <w:sz w:val="24"/>
          <w:highlight w:val="none"/>
        </w:rPr>
      </w:pPr>
      <w:r>
        <w:rPr>
          <w:rFonts w:hint="eastAsia" w:ascii="宋体" w:hAnsi="宋体" w:cs="宋体"/>
          <w:color w:val="auto"/>
          <w:sz w:val="24"/>
          <w:highlight w:val="none"/>
        </w:rPr>
        <w:t>项目编号：</w:t>
      </w:r>
    </w:p>
    <w:p w14:paraId="22AEF393">
      <w:pPr>
        <w:overflowPunct w:val="0"/>
        <w:spacing w:line="800" w:lineRule="exact"/>
        <w:ind w:firstLine="480" w:firstLineChars="200"/>
        <w:rPr>
          <w:rFonts w:ascii="宋体" w:cs="宋体"/>
          <w:color w:val="auto"/>
          <w:sz w:val="24"/>
          <w:highlight w:val="none"/>
        </w:rPr>
      </w:pPr>
      <w:r>
        <w:rPr>
          <w:rFonts w:hint="eastAsia" w:ascii="宋体" w:hAnsi="宋体" w:cs="宋体"/>
          <w:color w:val="auto"/>
          <w:sz w:val="24"/>
          <w:highlight w:val="none"/>
        </w:rPr>
        <w:t>供应商名称（盖章）：</w:t>
      </w:r>
    </w:p>
    <w:p w14:paraId="5A9EF9F0">
      <w:pPr>
        <w:overflowPunct w:val="0"/>
        <w:spacing w:line="800" w:lineRule="exact"/>
        <w:ind w:firstLine="480" w:firstLineChars="200"/>
        <w:rPr>
          <w:rFonts w:ascii="宋体" w:cs="宋体"/>
          <w:color w:val="auto"/>
          <w:sz w:val="24"/>
          <w:highlight w:val="none"/>
        </w:rPr>
      </w:pPr>
      <w:r>
        <w:rPr>
          <w:rFonts w:hint="eastAsia" w:ascii="宋体" w:hAnsi="宋体" w:cs="宋体"/>
          <w:color w:val="auto"/>
          <w:sz w:val="24"/>
          <w:highlight w:val="none"/>
        </w:rPr>
        <w:t>供应商地址：</w:t>
      </w:r>
    </w:p>
    <w:p w14:paraId="0F3E634F">
      <w:pPr>
        <w:overflowPunct w:val="0"/>
        <w:spacing w:line="800" w:lineRule="exact"/>
        <w:ind w:firstLine="480" w:firstLineChars="200"/>
        <w:rPr>
          <w:rFonts w:hint="eastAsia" w:ascii="宋体" w:eastAsia="宋体" w:cs="宋体"/>
          <w:color w:val="auto"/>
          <w:sz w:val="24"/>
          <w:highlight w:val="none"/>
          <w:lang w:eastAsia="zh-CN"/>
        </w:rPr>
      </w:pPr>
      <w:r>
        <w:rPr>
          <w:rFonts w:hint="eastAsia" w:ascii="宋体" w:hAnsi="宋体" w:cs="宋体"/>
          <w:color w:val="auto"/>
          <w:sz w:val="24"/>
          <w:highlight w:val="none"/>
        </w:rPr>
        <w:t>授权代表签名</w:t>
      </w:r>
      <w:r>
        <w:rPr>
          <w:rFonts w:hint="eastAsia" w:ascii="宋体" w:hAnsi="宋体" w:cs="宋体"/>
          <w:color w:val="auto"/>
          <w:sz w:val="24"/>
          <w:highlight w:val="none"/>
          <w:lang w:eastAsia="zh-CN"/>
        </w:rPr>
        <w:t>：</w:t>
      </w:r>
    </w:p>
    <w:p w14:paraId="1D1A4AA6">
      <w:pPr>
        <w:overflowPunct w:val="0"/>
        <w:spacing w:line="800" w:lineRule="exact"/>
        <w:ind w:firstLine="480" w:firstLineChars="200"/>
        <w:rPr>
          <w:rFonts w:asci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时</w:t>
      </w:r>
      <w:r>
        <w:rPr>
          <w:rFonts w:ascii="宋体" w:hAnsi="宋体" w:cs="宋体"/>
          <w:color w:val="auto"/>
          <w:sz w:val="24"/>
          <w:highlight w:val="none"/>
        </w:rPr>
        <w:t xml:space="preserve">  </w:t>
      </w:r>
      <w:r>
        <w:rPr>
          <w:rFonts w:hint="eastAsia" w:ascii="宋体" w:hAnsi="宋体" w:cs="宋体"/>
          <w:color w:val="auto"/>
          <w:sz w:val="24"/>
          <w:highlight w:val="none"/>
        </w:rPr>
        <w:t>分之前不得启封</w:t>
      </w:r>
      <w:r>
        <w:rPr>
          <w:rFonts w:ascii="宋体" w:hAnsi="宋体" w:cs="宋体"/>
          <w:color w:val="auto"/>
          <w:sz w:val="24"/>
          <w:highlight w:val="none"/>
        </w:rPr>
        <w:t>(</w:t>
      </w:r>
      <w:r>
        <w:rPr>
          <w:rFonts w:hint="eastAsia" w:ascii="宋体" w:hAnsi="宋体" w:cs="宋体"/>
          <w:color w:val="auto"/>
          <w:sz w:val="24"/>
          <w:highlight w:val="none"/>
        </w:rPr>
        <w:t>磋商时间</w:t>
      </w:r>
      <w:r>
        <w:rPr>
          <w:rFonts w:ascii="宋体" w:hAnsi="宋体" w:cs="宋体"/>
          <w:color w:val="auto"/>
          <w:sz w:val="24"/>
          <w:highlight w:val="none"/>
        </w:rPr>
        <w:t>)</w:t>
      </w:r>
    </w:p>
    <w:p w14:paraId="6D4DBC4D">
      <w:pPr>
        <w:overflowPunct w:val="0"/>
        <w:spacing w:line="800" w:lineRule="exact"/>
        <w:ind w:firstLine="570"/>
        <w:jc w:val="right"/>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p>
    <w:p w14:paraId="531F140A">
      <w:pPr>
        <w:overflowPunct w:val="0"/>
        <w:ind w:firstLine="570"/>
        <w:jc w:val="center"/>
        <w:rPr>
          <w:rFonts w:ascii="宋体" w:cs="宋体"/>
          <w:color w:val="auto"/>
          <w:sz w:val="32"/>
          <w:szCs w:val="32"/>
          <w:highlight w:val="none"/>
        </w:rPr>
      </w:pPr>
      <w:r>
        <w:rPr>
          <w:rFonts w:hint="eastAsia" w:ascii="宋体" w:hAnsi="宋体" w:cs="宋体"/>
          <w:b/>
          <w:color w:val="auto"/>
          <w:sz w:val="32"/>
          <w:szCs w:val="32"/>
          <w:highlight w:val="none"/>
        </w:rPr>
        <w:t>二、响应文件格式</w:t>
      </w:r>
    </w:p>
    <w:p w14:paraId="4DC1D338">
      <w:pPr>
        <w:overflowPunct w:val="0"/>
        <w:ind w:firstLine="570"/>
        <w:rPr>
          <w:rFonts w:ascii="宋体" w:cs="宋体"/>
          <w:color w:val="auto"/>
          <w:sz w:val="28"/>
          <w:szCs w:val="28"/>
          <w:highlight w:val="none"/>
        </w:rPr>
      </w:pPr>
    </w:p>
    <w:p w14:paraId="62991744">
      <w:pPr>
        <w:overflowPunct w:val="0"/>
        <w:ind w:firstLine="570"/>
        <w:rPr>
          <w:rFonts w:asci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、响应文件的封面格式：</w:t>
      </w:r>
    </w:p>
    <w:p w14:paraId="0214139C">
      <w:pPr>
        <w:overflowPunct w:val="0"/>
        <w:ind w:firstLine="570"/>
        <w:jc w:val="right"/>
        <w:rPr>
          <w:rFonts w:ascii="宋体" w:cs="宋体"/>
          <w:color w:val="auto"/>
          <w:sz w:val="44"/>
          <w:szCs w:val="44"/>
          <w:highlight w:val="none"/>
        </w:rPr>
      </w:pPr>
      <w:r>
        <w:rPr>
          <w:rFonts w:hint="eastAsia" w:ascii="宋体" w:hAnsi="宋体" w:cs="宋体"/>
          <w:color w:val="auto"/>
          <w:sz w:val="44"/>
          <w:szCs w:val="44"/>
          <w:highlight w:val="none"/>
        </w:rPr>
        <w:t>正本（或副本）</w:t>
      </w:r>
    </w:p>
    <w:p w14:paraId="69A882EB">
      <w:pPr>
        <w:overflowPunct w:val="0"/>
        <w:ind w:firstLine="570"/>
        <w:jc w:val="center"/>
        <w:rPr>
          <w:rFonts w:ascii="宋体" w:cs="宋体"/>
          <w:b/>
          <w:color w:val="auto"/>
          <w:sz w:val="84"/>
          <w:szCs w:val="84"/>
          <w:highlight w:val="none"/>
        </w:rPr>
      </w:pPr>
    </w:p>
    <w:p w14:paraId="08B22189">
      <w:pPr>
        <w:pStyle w:val="75"/>
        <w:widowControl w:val="0"/>
        <w:overflowPunct w:val="0"/>
        <w:ind w:firstLine="1687"/>
        <w:rPr>
          <w:rFonts w:cs="宋体"/>
          <w:b/>
          <w:color w:val="auto"/>
          <w:sz w:val="84"/>
          <w:szCs w:val="84"/>
          <w:highlight w:val="none"/>
        </w:rPr>
      </w:pPr>
    </w:p>
    <w:p w14:paraId="624824F3">
      <w:pPr>
        <w:overflowPunct w:val="0"/>
        <w:rPr>
          <w:rFonts w:ascii="宋体" w:cs="宋体"/>
          <w:color w:val="auto"/>
          <w:highlight w:val="none"/>
        </w:rPr>
      </w:pPr>
    </w:p>
    <w:p w14:paraId="09563DC2">
      <w:pPr>
        <w:overflowPunct w:val="0"/>
        <w:jc w:val="center"/>
        <w:rPr>
          <w:rFonts w:ascii="宋体" w:cs="宋体"/>
          <w:b/>
          <w:color w:val="auto"/>
          <w:sz w:val="48"/>
          <w:szCs w:val="48"/>
          <w:highlight w:val="none"/>
        </w:rPr>
      </w:pPr>
      <w:r>
        <w:rPr>
          <w:rFonts w:hint="eastAsia" w:ascii="宋体" w:hAnsi="宋体" w:cs="宋体"/>
          <w:b/>
          <w:color w:val="auto"/>
          <w:sz w:val="48"/>
          <w:szCs w:val="48"/>
          <w:highlight w:val="none"/>
        </w:rPr>
        <w:t>响应文件（资格证明文件或商务技术文件或报价文件）</w:t>
      </w:r>
    </w:p>
    <w:p w14:paraId="1DED1B08">
      <w:pPr>
        <w:overflowPunct w:val="0"/>
        <w:ind w:firstLine="570"/>
        <w:jc w:val="center"/>
        <w:rPr>
          <w:rFonts w:ascii="宋体" w:cs="宋体"/>
          <w:b/>
          <w:color w:val="auto"/>
          <w:sz w:val="84"/>
          <w:szCs w:val="84"/>
          <w:highlight w:val="none"/>
        </w:rPr>
      </w:pPr>
    </w:p>
    <w:p w14:paraId="456934B3">
      <w:pPr>
        <w:overflowPunct w:val="0"/>
        <w:ind w:firstLine="570"/>
        <w:jc w:val="center"/>
        <w:rPr>
          <w:rFonts w:ascii="宋体" w:cs="宋体"/>
          <w:b/>
          <w:color w:val="auto"/>
          <w:sz w:val="84"/>
          <w:szCs w:val="84"/>
          <w:highlight w:val="none"/>
        </w:rPr>
      </w:pPr>
    </w:p>
    <w:p w14:paraId="2D73D5E5">
      <w:pPr>
        <w:overflowPunct w:val="0"/>
        <w:spacing w:line="800" w:lineRule="exact"/>
        <w:ind w:firstLine="570"/>
        <w:rPr>
          <w:rFonts w:ascii="宋体" w:cs="宋体"/>
          <w:color w:val="auto"/>
          <w:sz w:val="28"/>
          <w:szCs w:val="28"/>
          <w:highlight w:val="none"/>
        </w:rPr>
      </w:pPr>
      <w:r>
        <w:rPr>
          <w:rFonts w:hint="eastAsia" w:ascii="宋体" w:hAnsi="宋体" w:cs="宋体"/>
          <w:color w:val="auto"/>
          <w:sz w:val="28"/>
          <w:szCs w:val="28"/>
          <w:highlight w:val="none"/>
        </w:rPr>
        <w:t>项目名称：</w:t>
      </w:r>
    </w:p>
    <w:p w14:paraId="4E78359C">
      <w:pPr>
        <w:overflowPunct w:val="0"/>
        <w:spacing w:line="800" w:lineRule="exact"/>
        <w:ind w:firstLine="570"/>
        <w:rPr>
          <w:rFonts w:ascii="宋体" w:cs="宋体"/>
          <w:color w:val="auto"/>
          <w:sz w:val="28"/>
          <w:szCs w:val="28"/>
          <w:highlight w:val="none"/>
        </w:rPr>
      </w:pPr>
      <w:r>
        <w:rPr>
          <w:rFonts w:hint="eastAsia" w:ascii="宋体" w:hAnsi="宋体" w:cs="宋体"/>
          <w:color w:val="auto"/>
          <w:sz w:val="28"/>
          <w:szCs w:val="28"/>
          <w:highlight w:val="none"/>
        </w:rPr>
        <w:t>项目编号：</w:t>
      </w:r>
    </w:p>
    <w:p w14:paraId="5BDC96E5">
      <w:pPr>
        <w:overflowPunct w:val="0"/>
        <w:spacing w:line="800" w:lineRule="exact"/>
        <w:ind w:firstLine="570"/>
        <w:rPr>
          <w:rFonts w:ascii="宋体" w:cs="宋体"/>
          <w:color w:val="auto"/>
          <w:sz w:val="28"/>
          <w:szCs w:val="28"/>
          <w:highlight w:val="none"/>
        </w:rPr>
      </w:pPr>
      <w:r>
        <w:rPr>
          <w:rFonts w:hint="eastAsia" w:ascii="宋体" w:hAnsi="宋体" w:cs="宋体"/>
          <w:color w:val="auto"/>
          <w:sz w:val="28"/>
          <w:szCs w:val="28"/>
          <w:highlight w:val="none"/>
        </w:rPr>
        <w:t>供应商名称（盖章）：</w:t>
      </w:r>
    </w:p>
    <w:p w14:paraId="1CE109DA">
      <w:pPr>
        <w:overflowPunct w:val="0"/>
        <w:spacing w:line="800" w:lineRule="exact"/>
        <w:ind w:firstLine="570"/>
        <w:rPr>
          <w:rFonts w:ascii="宋体" w:cs="宋体"/>
          <w:color w:val="auto"/>
          <w:sz w:val="28"/>
          <w:szCs w:val="28"/>
          <w:highlight w:val="none"/>
        </w:rPr>
      </w:pPr>
      <w:r>
        <w:rPr>
          <w:rFonts w:hint="eastAsia" w:ascii="宋体" w:hAnsi="宋体" w:cs="宋体"/>
          <w:color w:val="auto"/>
          <w:sz w:val="28"/>
          <w:szCs w:val="28"/>
          <w:highlight w:val="none"/>
        </w:rPr>
        <w:t>供应商地址：</w:t>
      </w:r>
    </w:p>
    <w:p w14:paraId="0E7FBE6A">
      <w:pPr>
        <w:overflowPunct w:val="0"/>
        <w:spacing w:line="800" w:lineRule="exact"/>
        <w:ind w:firstLine="570"/>
        <w:jc w:val="right"/>
        <w:rPr>
          <w:rFonts w:ascii="宋体" w:cs="宋体"/>
          <w:b/>
          <w:color w:val="auto"/>
          <w:sz w:val="24"/>
          <w:highlight w:val="none"/>
        </w:rPr>
      </w:pPr>
      <w:r>
        <w:rPr>
          <w:rFonts w:ascii="宋体" w:hAnsi="宋体" w:cs="宋体"/>
          <w:b/>
          <w:color w:val="auto"/>
          <w:sz w:val="24"/>
          <w:highlight w:val="none"/>
        </w:rPr>
        <w:t xml:space="preserve">  </w:t>
      </w:r>
      <w:r>
        <w:rPr>
          <w:rFonts w:hint="eastAsia" w:ascii="宋体" w:hAnsi="宋体" w:cs="宋体"/>
          <w:b/>
          <w:color w:val="auto"/>
          <w:sz w:val="24"/>
          <w:highlight w:val="none"/>
        </w:rPr>
        <w:t>年</w:t>
      </w:r>
      <w:r>
        <w:rPr>
          <w:rFonts w:ascii="宋体" w:hAnsi="宋体" w:cs="宋体"/>
          <w:b/>
          <w:color w:val="auto"/>
          <w:sz w:val="24"/>
          <w:highlight w:val="none"/>
        </w:rPr>
        <w:t xml:space="preserve">   </w:t>
      </w:r>
      <w:r>
        <w:rPr>
          <w:rFonts w:hint="eastAsia" w:ascii="宋体" w:hAnsi="宋体" w:cs="宋体"/>
          <w:b/>
          <w:color w:val="auto"/>
          <w:sz w:val="24"/>
          <w:highlight w:val="none"/>
        </w:rPr>
        <w:t>月</w:t>
      </w:r>
      <w:r>
        <w:rPr>
          <w:rFonts w:ascii="宋体" w:hAnsi="宋体" w:cs="宋体"/>
          <w:b/>
          <w:color w:val="auto"/>
          <w:sz w:val="24"/>
          <w:highlight w:val="none"/>
        </w:rPr>
        <w:t xml:space="preserve">   </w:t>
      </w:r>
      <w:r>
        <w:rPr>
          <w:rFonts w:hint="eastAsia" w:ascii="宋体" w:hAnsi="宋体" w:cs="宋体"/>
          <w:b/>
          <w:color w:val="auto"/>
          <w:sz w:val="24"/>
          <w:highlight w:val="none"/>
        </w:rPr>
        <w:t>日</w:t>
      </w:r>
    </w:p>
    <w:p w14:paraId="0C2B06EE">
      <w:pPr>
        <w:overflowPunct w:val="0"/>
        <w:spacing w:line="400" w:lineRule="exact"/>
        <w:ind w:firstLine="420" w:firstLineChars="200"/>
        <w:jc w:val="left"/>
        <w:rPr>
          <w:rFonts w:ascii="宋体" w:cs="宋体"/>
          <w:color w:val="auto"/>
          <w:highlight w:val="none"/>
        </w:rPr>
      </w:pPr>
    </w:p>
    <w:p w14:paraId="67533C6C">
      <w:pPr>
        <w:overflowPunct w:val="0"/>
        <w:ind w:firstLine="420" w:firstLineChars="200"/>
        <w:rPr>
          <w:rFonts w:ascii="宋体" w:cs="宋体"/>
          <w:color w:val="auto"/>
          <w:szCs w:val="21"/>
          <w:highlight w:val="none"/>
          <w:u w:val="single"/>
        </w:rPr>
      </w:pPr>
    </w:p>
    <w:p w14:paraId="0A58559A">
      <w:pPr>
        <w:pStyle w:val="75"/>
        <w:widowControl w:val="0"/>
        <w:overflowPunct w:val="0"/>
        <w:rPr>
          <w:rFonts w:cs="宋体"/>
          <w:color w:val="auto"/>
          <w:highlight w:val="none"/>
        </w:rPr>
      </w:pPr>
    </w:p>
    <w:p w14:paraId="32492AB6">
      <w:pPr>
        <w:overflowPunct w:val="0"/>
        <w:ind w:firstLine="420" w:firstLineChars="200"/>
        <w:rPr>
          <w:rFonts w:ascii="宋体" w:cs="宋体"/>
          <w:color w:val="auto"/>
          <w:szCs w:val="21"/>
          <w:highlight w:val="none"/>
          <w:u w:val="single"/>
        </w:rPr>
      </w:pPr>
    </w:p>
    <w:p w14:paraId="43AD3523">
      <w:pPr>
        <w:overflowPunct w:val="0"/>
        <w:ind w:firstLine="570"/>
        <w:jc w:val="center"/>
        <w:rPr>
          <w:rFonts w:ascii="宋体" w:cs="宋体"/>
          <w:b/>
          <w:color w:val="auto"/>
          <w:sz w:val="32"/>
          <w:szCs w:val="32"/>
          <w:highlight w:val="none"/>
        </w:rPr>
      </w:pPr>
      <w:r>
        <w:rPr>
          <w:rFonts w:hint="eastAsia" w:ascii="宋体" w:hAnsi="宋体" w:cs="宋体"/>
          <w:b/>
          <w:color w:val="auto"/>
          <w:sz w:val="32"/>
          <w:szCs w:val="32"/>
          <w:highlight w:val="none"/>
        </w:rPr>
        <w:t>三、目录及内容</w:t>
      </w:r>
    </w:p>
    <w:p w14:paraId="5C19BBEA">
      <w:pPr>
        <w:overflowPunct w:val="0"/>
        <w:autoSpaceDE w:val="0"/>
        <w:autoSpaceDN w:val="0"/>
        <w:adjustRightInd w:val="0"/>
        <w:snapToGrid w:val="0"/>
        <w:spacing w:line="400" w:lineRule="exact"/>
        <w:ind w:firstLine="426" w:firstLineChars="202"/>
        <w:textAlignment w:val="bottom"/>
        <w:rPr>
          <w:rFonts w:ascii="宋体" w:cs="宋体"/>
          <w:b/>
          <w:color w:val="auto"/>
          <w:szCs w:val="21"/>
          <w:highlight w:val="none"/>
        </w:rPr>
      </w:pPr>
      <w:r>
        <w:rPr>
          <w:rFonts w:hint="eastAsia" w:ascii="宋体" w:hAnsi="宋体" w:cs="宋体"/>
          <w:b/>
          <w:color w:val="auto"/>
          <w:szCs w:val="21"/>
          <w:highlight w:val="none"/>
        </w:rPr>
        <w:t>资格证明文件</w:t>
      </w:r>
    </w:p>
    <w:p w14:paraId="60F3DE38">
      <w:pPr>
        <w:numPr>
          <w:ilvl w:val="0"/>
          <w:numId w:val="6"/>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color w:val="auto"/>
          <w:szCs w:val="21"/>
          <w:highlight w:val="none"/>
        </w:rPr>
        <w:t>符合参加政府采购活动应当具备的一般条件的承诺函</w:t>
      </w:r>
      <w:r>
        <w:rPr>
          <w:rFonts w:hint="eastAsia" w:ascii="宋体" w:hAnsi="宋体" w:cs="宋体"/>
          <w:bCs/>
          <w:color w:val="auto"/>
          <w:szCs w:val="21"/>
          <w:highlight w:val="none"/>
        </w:rPr>
        <w:t>（格式见附件）；</w:t>
      </w:r>
    </w:p>
    <w:p w14:paraId="6B600B2D">
      <w:pPr>
        <w:numPr>
          <w:ilvl w:val="0"/>
          <w:numId w:val="6"/>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营业执照复印件（如联合体投标的，联合体成员均需提供）；</w:t>
      </w:r>
    </w:p>
    <w:p w14:paraId="7043C6F8">
      <w:pPr>
        <w:numPr>
          <w:ilvl w:val="0"/>
          <w:numId w:val="6"/>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eastAsia="宋体" w:cs="宋体"/>
          <w:color w:val="auto"/>
          <w:szCs w:val="21"/>
          <w:highlight w:val="none"/>
          <w:lang w:eastAsia="zh-CN"/>
        </w:rPr>
        <w:t>联合体协议书（如有，格式自拟）</w:t>
      </w:r>
    </w:p>
    <w:p w14:paraId="64C6602E">
      <w:pPr>
        <w:numPr>
          <w:ilvl w:val="0"/>
          <w:numId w:val="6"/>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eastAsia="宋体" w:cs="宋体"/>
          <w:color w:val="auto"/>
          <w:szCs w:val="21"/>
          <w:highlight w:val="none"/>
        </w:rPr>
        <w:t>符合本项目资格要求的资质证书</w:t>
      </w:r>
      <w:r>
        <w:rPr>
          <w:rFonts w:hint="eastAsia" w:ascii="宋体" w:hAnsi="宋体" w:cs="宋体"/>
          <w:color w:val="auto"/>
          <w:szCs w:val="21"/>
          <w:highlight w:val="none"/>
          <w:lang w:eastAsia="zh-CN"/>
        </w:rPr>
        <w:t>；</w:t>
      </w:r>
    </w:p>
    <w:p w14:paraId="595DA3DA">
      <w:pPr>
        <w:numPr>
          <w:ilvl w:val="0"/>
          <w:numId w:val="6"/>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中小企业声明函（格式见附件）；</w:t>
      </w:r>
    </w:p>
    <w:p w14:paraId="557C0A16">
      <w:pPr>
        <w:numPr>
          <w:ilvl w:val="0"/>
          <w:numId w:val="6"/>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法定代表人身份证明书（格式见附件）；</w:t>
      </w:r>
    </w:p>
    <w:p w14:paraId="02D4D5CD">
      <w:pPr>
        <w:numPr>
          <w:ilvl w:val="0"/>
          <w:numId w:val="6"/>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法定代表人授权委托书及授权代理人有效身份证明（格式见附件）；</w:t>
      </w:r>
    </w:p>
    <w:p w14:paraId="141EA128">
      <w:pPr>
        <w:overflowPunct w:val="0"/>
        <w:spacing w:line="280" w:lineRule="exact"/>
        <w:ind w:firstLine="470" w:firstLineChars="196"/>
        <w:rPr>
          <w:rFonts w:ascii="宋体" w:cs="宋体"/>
          <w:color w:val="auto"/>
          <w:sz w:val="24"/>
          <w:highlight w:val="none"/>
        </w:rPr>
      </w:pPr>
    </w:p>
    <w:p w14:paraId="6C564518">
      <w:pPr>
        <w:overflowPunct w:val="0"/>
        <w:spacing w:line="280" w:lineRule="exact"/>
        <w:ind w:firstLine="470" w:firstLineChars="196"/>
        <w:rPr>
          <w:rFonts w:ascii="宋体" w:cs="宋体"/>
          <w:color w:val="auto"/>
          <w:sz w:val="24"/>
          <w:highlight w:val="none"/>
        </w:rPr>
      </w:pPr>
    </w:p>
    <w:p w14:paraId="0C4469EE">
      <w:pPr>
        <w:overflowPunct w:val="0"/>
        <w:spacing w:line="280" w:lineRule="exact"/>
        <w:ind w:firstLine="470" w:firstLineChars="196"/>
        <w:rPr>
          <w:rFonts w:ascii="宋体" w:cs="宋体"/>
          <w:color w:val="auto"/>
          <w:sz w:val="24"/>
          <w:highlight w:val="none"/>
        </w:rPr>
      </w:pPr>
    </w:p>
    <w:p w14:paraId="0FE608E1">
      <w:pPr>
        <w:overflowPunct w:val="0"/>
        <w:spacing w:line="280" w:lineRule="exact"/>
        <w:ind w:firstLine="470" w:firstLineChars="196"/>
        <w:rPr>
          <w:rFonts w:ascii="宋体" w:cs="宋体"/>
          <w:color w:val="auto"/>
          <w:sz w:val="24"/>
          <w:highlight w:val="none"/>
        </w:rPr>
      </w:pPr>
    </w:p>
    <w:p w14:paraId="6B68B0B8">
      <w:pPr>
        <w:overflowPunct w:val="0"/>
        <w:spacing w:line="280" w:lineRule="exact"/>
        <w:ind w:firstLine="470" w:firstLineChars="196"/>
        <w:rPr>
          <w:rFonts w:ascii="宋体" w:cs="宋体"/>
          <w:color w:val="auto"/>
          <w:sz w:val="24"/>
          <w:highlight w:val="none"/>
        </w:rPr>
      </w:pPr>
    </w:p>
    <w:p w14:paraId="0F8716B9">
      <w:pPr>
        <w:overflowPunct w:val="0"/>
        <w:spacing w:line="280" w:lineRule="exact"/>
        <w:ind w:firstLine="470" w:firstLineChars="196"/>
        <w:rPr>
          <w:rFonts w:ascii="宋体" w:cs="宋体"/>
          <w:color w:val="auto"/>
          <w:sz w:val="24"/>
          <w:highlight w:val="none"/>
        </w:rPr>
      </w:pPr>
    </w:p>
    <w:p w14:paraId="579B74B2">
      <w:pPr>
        <w:overflowPunct w:val="0"/>
        <w:spacing w:line="280" w:lineRule="exact"/>
        <w:ind w:firstLine="470" w:firstLineChars="196"/>
        <w:rPr>
          <w:rFonts w:ascii="宋体" w:cs="宋体"/>
          <w:color w:val="auto"/>
          <w:sz w:val="24"/>
          <w:highlight w:val="none"/>
        </w:rPr>
      </w:pPr>
    </w:p>
    <w:p w14:paraId="1B69CA7D">
      <w:pPr>
        <w:overflowPunct w:val="0"/>
        <w:spacing w:line="280" w:lineRule="exact"/>
        <w:ind w:firstLine="470" w:firstLineChars="196"/>
        <w:rPr>
          <w:rFonts w:ascii="宋体" w:cs="宋体"/>
          <w:color w:val="auto"/>
          <w:sz w:val="24"/>
          <w:highlight w:val="none"/>
        </w:rPr>
      </w:pPr>
    </w:p>
    <w:p w14:paraId="3C466E3E">
      <w:pPr>
        <w:overflowPunct w:val="0"/>
        <w:spacing w:line="280" w:lineRule="exact"/>
        <w:ind w:firstLine="470" w:firstLineChars="196"/>
        <w:rPr>
          <w:rFonts w:ascii="宋体" w:cs="宋体"/>
          <w:color w:val="auto"/>
          <w:sz w:val="24"/>
          <w:highlight w:val="none"/>
        </w:rPr>
      </w:pPr>
    </w:p>
    <w:p w14:paraId="65F401D5">
      <w:pPr>
        <w:overflowPunct w:val="0"/>
        <w:spacing w:line="280" w:lineRule="exact"/>
        <w:ind w:firstLine="470" w:firstLineChars="196"/>
        <w:rPr>
          <w:rFonts w:ascii="宋体" w:cs="宋体"/>
          <w:color w:val="auto"/>
          <w:sz w:val="24"/>
          <w:highlight w:val="none"/>
        </w:rPr>
      </w:pPr>
    </w:p>
    <w:p w14:paraId="60C6D8A6">
      <w:pPr>
        <w:overflowPunct w:val="0"/>
        <w:spacing w:line="280" w:lineRule="exact"/>
        <w:ind w:firstLine="470" w:firstLineChars="196"/>
        <w:rPr>
          <w:rFonts w:ascii="宋体" w:cs="宋体"/>
          <w:color w:val="auto"/>
          <w:sz w:val="24"/>
          <w:highlight w:val="none"/>
        </w:rPr>
      </w:pPr>
    </w:p>
    <w:p w14:paraId="4A9CA1ED">
      <w:pPr>
        <w:overflowPunct w:val="0"/>
        <w:spacing w:line="280" w:lineRule="exact"/>
        <w:ind w:firstLine="470" w:firstLineChars="196"/>
        <w:rPr>
          <w:rFonts w:ascii="宋体" w:cs="宋体"/>
          <w:color w:val="auto"/>
          <w:sz w:val="24"/>
          <w:highlight w:val="none"/>
        </w:rPr>
      </w:pPr>
    </w:p>
    <w:p w14:paraId="71D25D91">
      <w:pPr>
        <w:overflowPunct w:val="0"/>
        <w:spacing w:line="280" w:lineRule="exact"/>
        <w:ind w:firstLine="470" w:firstLineChars="196"/>
        <w:rPr>
          <w:rFonts w:ascii="宋体" w:cs="宋体"/>
          <w:color w:val="auto"/>
          <w:sz w:val="24"/>
          <w:highlight w:val="none"/>
        </w:rPr>
      </w:pPr>
    </w:p>
    <w:p w14:paraId="2CAE7797">
      <w:pPr>
        <w:overflowPunct w:val="0"/>
        <w:spacing w:line="280" w:lineRule="exact"/>
        <w:ind w:firstLine="470" w:firstLineChars="196"/>
        <w:rPr>
          <w:rFonts w:ascii="宋体" w:cs="宋体"/>
          <w:color w:val="auto"/>
          <w:sz w:val="24"/>
          <w:highlight w:val="none"/>
        </w:rPr>
      </w:pPr>
    </w:p>
    <w:p w14:paraId="5248459B">
      <w:pPr>
        <w:overflowPunct w:val="0"/>
        <w:spacing w:line="280" w:lineRule="exact"/>
        <w:ind w:firstLine="470" w:firstLineChars="196"/>
        <w:rPr>
          <w:rFonts w:ascii="宋体" w:cs="宋体"/>
          <w:color w:val="auto"/>
          <w:sz w:val="24"/>
          <w:highlight w:val="none"/>
        </w:rPr>
      </w:pPr>
    </w:p>
    <w:p w14:paraId="4BEB01B8">
      <w:pPr>
        <w:overflowPunct w:val="0"/>
        <w:spacing w:line="280" w:lineRule="exact"/>
        <w:ind w:firstLine="470" w:firstLineChars="196"/>
        <w:rPr>
          <w:rFonts w:ascii="宋体" w:cs="宋体"/>
          <w:color w:val="auto"/>
          <w:sz w:val="24"/>
          <w:highlight w:val="none"/>
        </w:rPr>
      </w:pPr>
    </w:p>
    <w:p w14:paraId="1303B2BE">
      <w:pPr>
        <w:overflowPunct w:val="0"/>
        <w:spacing w:line="280" w:lineRule="exact"/>
        <w:ind w:firstLine="470" w:firstLineChars="196"/>
        <w:rPr>
          <w:rFonts w:ascii="宋体" w:cs="宋体"/>
          <w:color w:val="auto"/>
          <w:sz w:val="24"/>
          <w:highlight w:val="none"/>
        </w:rPr>
      </w:pPr>
    </w:p>
    <w:p w14:paraId="535D833D">
      <w:pPr>
        <w:overflowPunct w:val="0"/>
        <w:spacing w:line="280" w:lineRule="exact"/>
        <w:ind w:firstLine="470" w:firstLineChars="196"/>
        <w:rPr>
          <w:rFonts w:ascii="宋体" w:cs="宋体"/>
          <w:color w:val="auto"/>
          <w:sz w:val="24"/>
          <w:highlight w:val="none"/>
        </w:rPr>
      </w:pPr>
    </w:p>
    <w:p w14:paraId="5D95528E">
      <w:pPr>
        <w:overflowPunct w:val="0"/>
        <w:spacing w:line="280" w:lineRule="exact"/>
        <w:ind w:firstLine="470" w:firstLineChars="196"/>
        <w:rPr>
          <w:rFonts w:ascii="宋体" w:cs="宋体"/>
          <w:color w:val="auto"/>
          <w:sz w:val="24"/>
          <w:highlight w:val="none"/>
        </w:rPr>
      </w:pPr>
    </w:p>
    <w:p w14:paraId="3969A4E5">
      <w:pPr>
        <w:overflowPunct w:val="0"/>
        <w:spacing w:line="280" w:lineRule="exact"/>
        <w:ind w:firstLine="470" w:firstLineChars="196"/>
        <w:rPr>
          <w:rFonts w:ascii="宋体" w:cs="宋体"/>
          <w:color w:val="auto"/>
          <w:sz w:val="24"/>
          <w:highlight w:val="none"/>
        </w:rPr>
      </w:pPr>
    </w:p>
    <w:p w14:paraId="239DBEB4">
      <w:pPr>
        <w:overflowPunct w:val="0"/>
        <w:spacing w:line="280" w:lineRule="exact"/>
        <w:ind w:firstLine="470" w:firstLineChars="196"/>
        <w:rPr>
          <w:rFonts w:ascii="宋体" w:cs="宋体"/>
          <w:color w:val="auto"/>
          <w:sz w:val="24"/>
          <w:highlight w:val="none"/>
        </w:rPr>
      </w:pPr>
    </w:p>
    <w:p w14:paraId="366CCFB3">
      <w:pPr>
        <w:overflowPunct w:val="0"/>
        <w:spacing w:line="280" w:lineRule="exact"/>
        <w:ind w:firstLine="470" w:firstLineChars="196"/>
        <w:rPr>
          <w:rFonts w:ascii="宋体" w:cs="宋体"/>
          <w:color w:val="auto"/>
          <w:sz w:val="24"/>
          <w:highlight w:val="none"/>
        </w:rPr>
      </w:pPr>
    </w:p>
    <w:p w14:paraId="2757F54B">
      <w:pPr>
        <w:overflowPunct w:val="0"/>
        <w:spacing w:line="280" w:lineRule="exact"/>
        <w:ind w:firstLine="470" w:firstLineChars="196"/>
        <w:rPr>
          <w:rFonts w:ascii="宋体" w:cs="宋体"/>
          <w:color w:val="auto"/>
          <w:sz w:val="24"/>
          <w:highlight w:val="none"/>
        </w:rPr>
      </w:pPr>
    </w:p>
    <w:p w14:paraId="6FEFDF44">
      <w:pPr>
        <w:overflowPunct w:val="0"/>
        <w:spacing w:line="280" w:lineRule="exact"/>
        <w:ind w:firstLine="470" w:firstLineChars="196"/>
        <w:rPr>
          <w:rFonts w:ascii="宋体" w:cs="宋体"/>
          <w:color w:val="auto"/>
          <w:sz w:val="24"/>
          <w:highlight w:val="none"/>
        </w:rPr>
      </w:pPr>
    </w:p>
    <w:p w14:paraId="61C9E268">
      <w:pPr>
        <w:overflowPunct w:val="0"/>
        <w:spacing w:line="280" w:lineRule="exact"/>
        <w:ind w:firstLine="470" w:firstLineChars="196"/>
        <w:rPr>
          <w:rFonts w:ascii="宋体" w:cs="宋体"/>
          <w:color w:val="auto"/>
          <w:sz w:val="24"/>
          <w:highlight w:val="none"/>
        </w:rPr>
      </w:pPr>
    </w:p>
    <w:p w14:paraId="44CBF027">
      <w:pPr>
        <w:overflowPunct w:val="0"/>
        <w:spacing w:line="280" w:lineRule="exact"/>
        <w:ind w:firstLine="470" w:firstLineChars="196"/>
        <w:rPr>
          <w:rFonts w:ascii="宋体" w:cs="宋体"/>
          <w:color w:val="auto"/>
          <w:sz w:val="24"/>
          <w:highlight w:val="none"/>
        </w:rPr>
      </w:pPr>
    </w:p>
    <w:p w14:paraId="6BA929B9">
      <w:pPr>
        <w:overflowPunct w:val="0"/>
        <w:spacing w:line="280" w:lineRule="exact"/>
        <w:ind w:firstLine="470" w:firstLineChars="196"/>
        <w:rPr>
          <w:rFonts w:ascii="宋体" w:cs="宋体"/>
          <w:color w:val="auto"/>
          <w:sz w:val="24"/>
          <w:highlight w:val="none"/>
        </w:rPr>
      </w:pPr>
    </w:p>
    <w:p w14:paraId="25BA4617">
      <w:pPr>
        <w:overflowPunct w:val="0"/>
        <w:spacing w:line="280" w:lineRule="exact"/>
        <w:ind w:firstLine="470" w:firstLineChars="196"/>
        <w:rPr>
          <w:rFonts w:ascii="宋体" w:cs="宋体"/>
          <w:color w:val="auto"/>
          <w:sz w:val="24"/>
          <w:highlight w:val="none"/>
        </w:rPr>
      </w:pPr>
    </w:p>
    <w:p w14:paraId="4065F000">
      <w:pPr>
        <w:overflowPunct w:val="0"/>
        <w:spacing w:line="280" w:lineRule="exact"/>
        <w:ind w:firstLine="470" w:firstLineChars="196"/>
        <w:rPr>
          <w:rFonts w:ascii="宋体" w:cs="宋体"/>
          <w:color w:val="auto"/>
          <w:sz w:val="24"/>
          <w:highlight w:val="none"/>
        </w:rPr>
      </w:pPr>
    </w:p>
    <w:p w14:paraId="383DDAB3">
      <w:pPr>
        <w:pStyle w:val="11"/>
        <w:widowControl w:val="0"/>
        <w:rPr>
          <w:color w:val="auto"/>
          <w:highlight w:val="none"/>
        </w:rPr>
      </w:pPr>
    </w:p>
    <w:p w14:paraId="4194C42C">
      <w:pPr>
        <w:overflowPunct w:val="0"/>
        <w:spacing w:line="280" w:lineRule="exact"/>
        <w:ind w:firstLine="470" w:firstLineChars="196"/>
        <w:rPr>
          <w:rFonts w:ascii="宋体" w:cs="宋体"/>
          <w:color w:val="auto"/>
          <w:sz w:val="24"/>
          <w:highlight w:val="none"/>
        </w:rPr>
      </w:pPr>
    </w:p>
    <w:p w14:paraId="57BC9CA6">
      <w:pPr>
        <w:pStyle w:val="50"/>
        <w:rPr>
          <w:rFonts w:ascii="宋体" w:cs="宋体"/>
          <w:color w:val="auto"/>
          <w:sz w:val="24"/>
          <w:highlight w:val="none"/>
        </w:rPr>
      </w:pPr>
    </w:p>
    <w:p w14:paraId="3BD64F26">
      <w:pPr>
        <w:overflowPunct w:val="0"/>
        <w:spacing w:line="400" w:lineRule="exact"/>
        <w:jc w:val="left"/>
        <w:rPr>
          <w:rFonts w:ascii="宋体" w:cs="宋体"/>
          <w:color w:val="auto"/>
          <w:sz w:val="28"/>
          <w:szCs w:val="28"/>
          <w:highlight w:val="none"/>
        </w:rPr>
      </w:pPr>
      <w:r>
        <w:rPr>
          <w:rFonts w:ascii="宋体" w:hAnsi="宋体" w:cs="宋体"/>
          <w:color w:val="auto"/>
          <w:sz w:val="28"/>
          <w:szCs w:val="28"/>
          <w:highlight w:val="none"/>
        </w:rPr>
        <w:t>3</w:t>
      </w:r>
      <w:r>
        <w:rPr>
          <w:rFonts w:hint="eastAsia" w:ascii="宋体" w:hAnsi="宋体" w:cs="宋体"/>
          <w:color w:val="auto"/>
          <w:sz w:val="28"/>
          <w:szCs w:val="28"/>
          <w:highlight w:val="none"/>
        </w:rPr>
        <w:t>、符合参加政府采购活动应当具备的一般条件的承诺函</w:t>
      </w:r>
    </w:p>
    <w:p w14:paraId="7A56C49F">
      <w:pPr>
        <w:overflowPunct w:val="0"/>
        <w:spacing w:line="360" w:lineRule="auto"/>
        <w:jc w:val="center"/>
        <w:rPr>
          <w:rFonts w:ascii="宋体" w:hAnsi="宋体" w:cs="宋体"/>
          <w:b/>
          <w:bCs/>
          <w:color w:val="auto"/>
          <w:sz w:val="28"/>
          <w:szCs w:val="28"/>
          <w:highlight w:val="none"/>
        </w:rPr>
      </w:pPr>
    </w:p>
    <w:p w14:paraId="325F25FF">
      <w:pPr>
        <w:overflowPunct w:val="0"/>
        <w:spacing w:line="360" w:lineRule="auto"/>
        <w:jc w:val="center"/>
        <w:rPr>
          <w:rFonts w:ascii="宋体" w:cs="宋体"/>
          <w:b/>
          <w:bCs/>
          <w:color w:val="auto"/>
          <w:sz w:val="28"/>
          <w:szCs w:val="28"/>
          <w:highlight w:val="none"/>
        </w:rPr>
      </w:pPr>
      <w:r>
        <w:rPr>
          <w:rFonts w:hint="eastAsia" w:ascii="宋体" w:hAnsi="宋体" w:cs="宋体"/>
          <w:b/>
          <w:bCs/>
          <w:color w:val="auto"/>
          <w:sz w:val="28"/>
          <w:szCs w:val="28"/>
          <w:highlight w:val="none"/>
        </w:rPr>
        <w:t>符合参加政府采购活动应当具备的一般条件的承诺函</w:t>
      </w:r>
      <w:r>
        <w:rPr>
          <w:rFonts w:ascii="宋体" w:hAnsi="宋体" w:cs="宋体"/>
          <w:b/>
          <w:bCs/>
          <w:color w:val="auto"/>
          <w:sz w:val="28"/>
          <w:szCs w:val="28"/>
          <w:highlight w:val="none"/>
        </w:rPr>
        <w:t xml:space="preserve"> </w:t>
      </w:r>
    </w:p>
    <w:p w14:paraId="19EE84C5">
      <w:pPr>
        <w:overflowPunct w:val="0"/>
        <w:adjustRightInd w:val="0"/>
        <w:snapToGrid w:val="0"/>
        <w:spacing w:line="360" w:lineRule="auto"/>
        <w:rPr>
          <w:rFonts w:ascii="宋体" w:cs="宋体"/>
          <w:color w:val="auto"/>
          <w:szCs w:val="21"/>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D42EE43">
      <w:pPr>
        <w:tabs>
          <w:tab w:val="left" w:pos="1418"/>
        </w:tabs>
        <w:overflowPunct w:val="0"/>
        <w:snapToGrid w:val="0"/>
        <w:spacing w:before="50" w:after="50" w:line="360" w:lineRule="auto"/>
        <w:ind w:firstLine="420" w:firstLineChars="200"/>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（供应商名称）系中华人民共和国合法企业，经营地址</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DC86705">
      <w:pPr>
        <w:tabs>
          <w:tab w:val="left" w:pos="1418"/>
        </w:tabs>
        <w:overflowPunct w:val="0"/>
        <w:snapToGrid w:val="0"/>
        <w:spacing w:before="50" w:after="50"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我</w:t>
      </w:r>
      <w:r>
        <w:rPr>
          <w:rFonts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（供应商名称）的法定代表人，我方愿意参加贵方组织的</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项目的磋商，为便于贵方公正、择优地确定成交供应商及其磋商项目的服务，我方就本次磋商有关事项郑重声明如下：</w:t>
      </w:r>
    </w:p>
    <w:p w14:paraId="76A54B30">
      <w:pPr>
        <w:overflowPunct w:val="0"/>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、我方向贵方提交的所有响应文件、资料都是准确的和真实的；</w:t>
      </w:r>
    </w:p>
    <w:p w14:paraId="66D3639C">
      <w:pPr>
        <w:overflowPunct w:val="0"/>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、我方不是采购人的附属机构；在获知本项目采购信息后，与采购人聘请的为此项目提供咨询服务的公司及其附属机构没有任何联系。</w:t>
      </w:r>
    </w:p>
    <w:p w14:paraId="1BD867E8">
      <w:pPr>
        <w:overflowPunct w:val="0"/>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、我方承诺已经具备采购文件规定的参加本项目政府采购活动的供应商应当具备的条件：</w:t>
      </w:r>
    </w:p>
    <w:p w14:paraId="4930D9A3">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）具有独立承担民事责任的能力；</w:t>
      </w:r>
    </w:p>
    <w:p w14:paraId="46A145E9">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）具有良好的商业信誉和健全的财务会计制度；</w:t>
      </w:r>
    </w:p>
    <w:p w14:paraId="5407A1B7">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）具有履行合同所必需的设备和专业技术能力；</w:t>
      </w:r>
    </w:p>
    <w:p w14:paraId="3A1B490A">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）有依法缴纳税收和社会保障资金的良好记录；</w:t>
      </w:r>
    </w:p>
    <w:p w14:paraId="01242F1E">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）参加本次政府采购活动前三年内，在经营活动中没有重大违法记录；</w:t>
      </w:r>
    </w:p>
    <w:p w14:paraId="75C04487">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）至本项目投标截止时间前，我方未列入失信被执行人、重大税收违法案件当事人名单、政府采购严重违法失信行为记录名单；</w:t>
      </w:r>
    </w:p>
    <w:p w14:paraId="0096540F">
      <w:pPr>
        <w:overflowPunct w:val="0"/>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、我方承诺：最近三年我方无行贿犯罪行为，若我方成交，愿意接受社会监督和检察院调查，若与我方承诺不符，可免除我方成交人资格。</w:t>
      </w:r>
      <w:r>
        <w:rPr>
          <w:rFonts w:ascii="宋体" w:hAnsi="宋体" w:cs="宋体"/>
          <w:color w:val="auto"/>
          <w:szCs w:val="21"/>
          <w:highlight w:val="none"/>
        </w:rPr>
        <w:t xml:space="preserve">                                                  </w:t>
      </w:r>
    </w:p>
    <w:p w14:paraId="15F02CFC">
      <w:pPr>
        <w:overflowPunct w:val="0"/>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、以上事项如有虚假或隐瞒，我方愿意承担一切后果和责任。</w:t>
      </w:r>
    </w:p>
    <w:p w14:paraId="1F91251F">
      <w:pPr>
        <w:overflowPunct w:val="0"/>
        <w:adjustRightInd w:val="0"/>
        <w:snapToGrid w:val="0"/>
        <w:spacing w:line="360" w:lineRule="auto"/>
        <w:ind w:firstLine="420" w:firstLineChars="200"/>
        <w:rPr>
          <w:rFonts w:ascii="宋体" w:cs="宋体"/>
          <w:color w:val="auto"/>
          <w:szCs w:val="21"/>
          <w:highlight w:val="none"/>
          <w:u w:val="single"/>
        </w:rPr>
      </w:pPr>
    </w:p>
    <w:p w14:paraId="0BE32AEC">
      <w:pPr>
        <w:overflowPunct w:val="0"/>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法定代表人签字：</w:t>
      </w:r>
      <w:r>
        <w:rPr>
          <w:rFonts w:ascii="宋体" w:hAnsi="宋体" w:cs="宋体"/>
          <w:color w:val="auto"/>
          <w:szCs w:val="21"/>
          <w:highlight w:val="none"/>
          <w:u w:val="single"/>
        </w:rPr>
        <w:t xml:space="preserve">             </w:t>
      </w:r>
    </w:p>
    <w:p w14:paraId="5F1E60DA">
      <w:pPr>
        <w:overflowPunct w:val="0"/>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供应商盖章：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5A5ACCAD">
      <w:pPr>
        <w:overflowPunct w:val="0"/>
        <w:adjustRightInd w:val="0"/>
        <w:snapToGrid w:val="0"/>
        <w:spacing w:line="360" w:lineRule="auto"/>
        <w:ind w:firstLine="210" w:firstLineChars="10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59DBB031">
      <w:pPr>
        <w:overflowPunct w:val="0"/>
        <w:spacing w:before="156" w:beforeLines="50" w:after="156" w:afterLines="50" w:line="400" w:lineRule="exact"/>
        <w:ind w:right="840"/>
        <w:rPr>
          <w:rFonts w:ascii="宋体" w:cs="宋体"/>
          <w:color w:val="auto"/>
          <w:szCs w:val="21"/>
          <w:highlight w:val="none"/>
        </w:rPr>
      </w:pPr>
    </w:p>
    <w:p w14:paraId="65658465">
      <w:pPr>
        <w:overflowPunct w:val="0"/>
        <w:spacing w:before="156" w:beforeLines="50" w:after="156" w:afterLines="50" w:line="400" w:lineRule="exact"/>
        <w:ind w:right="840"/>
        <w:rPr>
          <w:rFonts w:ascii="宋体" w:cs="宋体"/>
          <w:color w:val="auto"/>
          <w:szCs w:val="21"/>
          <w:highlight w:val="none"/>
        </w:rPr>
      </w:pPr>
    </w:p>
    <w:p w14:paraId="51F9ACE4">
      <w:pPr>
        <w:pStyle w:val="14"/>
        <w:widowControl w:val="0"/>
        <w:overflowPunct w:val="0"/>
        <w:ind w:right="840"/>
        <w:rPr>
          <w:rFonts w:cs="宋体"/>
          <w:color w:val="auto"/>
          <w:highlight w:val="none"/>
        </w:rPr>
      </w:pPr>
      <w:r>
        <w:rPr>
          <w:rFonts w:hint="eastAsia" w:cs="宋体"/>
          <w:color w:val="auto"/>
          <w:highlight w:val="none"/>
        </w:rPr>
        <w:t xml:space="preserve">                                                                                                                                                       </w:t>
      </w:r>
      <w:r>
        <w:rPr>
          <w:rFonts w:cs="宋体"/>
          <w:color w:val="auto"/>
          <w:highlight w:val="none"/>
        </w:rPr>
        <w:t xml:space="preserve">   </w:t>
      </w:r>
    </w:p>
    <w:p w14:paraId="4D471C8B">
      <w:pPr>
        <w:overflowPunct w:val="0"/>
        <w:spacing w:line="400" w:lineRule="exact"/>
        <w:jc w:val="left"/>
        <w:rPr>
          <w:rFonts w:ascii="宋体" w:cs="宋体"/>
          <w:color w:val="auto"/>
          <w:sz w:val="28"/>
          <w:szCs w:val="28"/>
          <w:highlight w:val="none"/>
        </w:rPr>
      </w:pPr>
      <w:r>
        <w:rPr>
          <w:rFonts w:ascii="宋体" w:cs="宋体"/>
          <w:color w:val="auto"/>
          <w:szCs w:val="21"/>
          <w:highlight w:val="none"/>
        </w:rPr>
        <w:br w:type="page"/>
      </w:r>
      <w:r>
        <w:rPr>
          <w:rFonts w:hint="eastAsia" w:ascii="宋体" w:hAnsi="宋体" w:cs="宋体"/>
          <w:color w:val="auto"/>
          <w:sz w:val="28"/>
          <w:szCs w:val="28"/>
          <w:highlight w:val="none"/>
        </w:rPr>
        <w:t>4、中小企业声明函、监狱企业、残疾人福利性单位及其他相关的充分的证明材料</w:t>
      </w:r>
    </w:p>
    <w:p w14:paraId="4536C17D">
      <w:pPr>
        <w:snapToGrid w:val="0"/>
        <w:spacing w:line="360" w:lineRule="auto"/>
        <w:jc w:val="center"/>
        <w:rPr>
          <w:rFonts w:ascii="宋体" w:cs="宋体"/>
          <w:b/>
          <w:color w:val="auto"/>
          <w:kern w:val="0"/>
          <w:sz w:val="28"/>
          <w:szCs w:val="28"/>
          <w:highlight w:val="none"/>
        </w:rPr>
      </w:pPr>
    </w:p>
    <w:p w14:paraId="053CC294">
      <w:pPr>
        <w:snapToGrid w:val="0"/>
        <w:spacing w:line="360" w:lineRule="auto"/>
        <w:jc w:val="center"/>
        <w:rPr>
          <w:rFonts w:ascii="宋体" w:cs="宋体"/>
          <w:b/>
          <w:color w:val="auto"/>
          <w:kern w:val="0"/>
          <w:sz w:val="28"/>
          <w:szCs w:val="28"/>
          <w:highlight w:val="none"/>
        </w:rPr>
      </w:pPr>
      <w:r>
        <w:rPr>
          <w:rFonts w:hint="eastAsia" w:ascii="宋体" w:hAnsi="宋体" w:cs="宋体"/>
          <w:b/>
          <w:color w:val="auto"/>
          <w:kern w:val="0"/>
          <w:sz w:val="28"/>
          <w:szCs w:val="28"/>
          <w:highlight w:val="none"/>
        </w:rPr>
        <w:t>中小企业声明函</w:t>
      </w:r>
    </w:p>
    <w:p w14:paraId="6D021759">
      <w:pPr>
        <w:wordWrap w:val="0"/>
        <w:snapToGrid w:val="0"/>
        <w:spacing w:line="360" w:lineRule="auto"/>
        <w:ind w:firstLine="420" w:firstLineChars="200"/>
        <w:jc w:val="left"/>
        <w:rPr>
          <w:rFonts w:ascii="宋体" w:cs="宋体"/>
          <w:bCs/>
          <w:color w:val="auto"/>
          <w:kern w:val="0"/>
          <w:szCs w:val="21"/>
          <w:highlight w:val="none"/>
        </w:rPr>
      </w:pPr>
      <w:r>
        <w:rPr>
          <w:rFonts w:hint="eastAsia" w:ascii="宋体" w:hAnsi="宋体" w:cs="宋体"/>
          <w:bCs/>
          <w:color w:val="auto"/>
          <w:kern w:val="0"/>
          <w:szCs w:val="21"/>
          <w:highlight w:val="none"/>
        </w:rPr>
        <w:t>本公司（联合体）郑重声明，根据《政府采购促进中小企业发展管理办法》（财库﹝</w:t>
      </w:r>
      <w:r>
        <w:rPr>
          <w:rFonts w:ascii="宋体" w:hAnsi="宋体" w:cs="宋体"/>
          <w:bCs/>
          <w:color w:val="auto"/>
          <w:kern w:val="0"/>
          <w:szCs w:val="21"/>
          <w:highlight w:val="none"/>
        </w:rPr>
        <w:t>2020</w:t>
      </w:r>
      <w:r>
        <w:rPr>
          <w:rFonts w:hint="eastAsia" w:ascii="宋体" w:hAnsi="宋体" w:cs="宋体"/>
          <w:bCs/>
          <w:color w:val="auto"/>
          <w:kern w:val="0"/>
          <w:szCs w:val="21"/>
          <w:highlight w:val="none"/>
        </w:rPr>
        <w:t>﹞</w:t>
      </w:r>
      <w:r>
        <w:rPr>
          <w:rFonts w:ascii="宋体" w:hAnsi="宋体" w:cs="宋体"/>
          <w:bCs/>
          <w:color w:val="auto"/>
          <w:kern w:val="0"/>
          <w:szCs w:val="21"/>
          <w:highlight w:val="none"/>
        </w:rPr>
        <w:t xml:space="preserve">46 </w:t>
      </w:r>
      <w:r>
        <w:rPr>
          <w:rFonts w:hint="eastAsia" w:ascii="宋体" w:hAnsi="宋体" w:cs="宋体"/>
          <w:bCs/>
          <w:color w:val="auto"/>
          <w:kern w:val="0"/>
          <w:szCs w:val="21"/>
          <w:highlight w:val="none"/>
        </w:rPr>
        <w:t>号）的规定，本公司（联合体）参加</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（单位名称）</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的</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（项目名称）</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采购活动，工程的施工单位全部为符合政策要求的中小企业（或者：服务</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全部由符合政策要求的中小企业承接）。相关企业（含联合</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体中的中小企业、签订分包意向协议的中小企业）的具体情</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况如下：</w:t>
      </w:r>
    </w:p>
    <w:p w14:paraId="083CEC09">
      <w:pPr>
        <w:numPr>
          <w:ilvl w:val="0"/>
          <w:numId w:val="7"/>
        </w:numPr>
        <w:wordWrap w:val="0"/>
        <w:snapToGrid w:val="0"/>
        <w:spacing w:line="360" w:lineRule="auto"/>
        <w:ind w:firstLine="420" w:firstLineChars="200"/>
        <w:jc w:val="left"/>
        <w:rPr>
          <w:rFonts w:ascii="宋体" w:cs="宋体"/>
          <w:bCs/>
          <w:color w:val="auto"/>
          <w:kern w:val="0"/>
          <w:szCs w:val="21"/>
          <w:highlight w:val="none"/>
        </w:rPr>
      </w:pP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安吉县托育综合服务中心设计和装修</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，属于</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eastAsia="zh-CN"/>
        </w:rPr>
        <w:t>建筑业</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；承建（承接）企业为</w:t>
      </w:r>
      <w:r>
        <w:rPr>
          <w:rFonts w:hint="eastAsia" w:ascii="宋体" w:hAnsi="宋体" w:cs="宋体"/>
          <w:bCs/>
          <w:color w:val="auto"/>
          <w:kern w:val="0"/>
          <w:szCs w:val="21"/>
          <w:highlight w:val="none"/>
          <w:u w:val="single"/>
        </w:rPr>
        <w:t>（企业名称）</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，从业人员</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人，营业收入为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万元，资产总额为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w:t>
      </w:r>
      <w:r>
        <w:rPr>
          <w:rFonts w:ascii="宋体" w:hAnsi="宋体" w:cs="宋体"/>
          <w:bCs/>
          <w:color w:val="auto"/>
          <w:kern w:val="0"/>
          <w:szCs w:val="21"/>
          <w:highlight w:val="none"/>
        </w:rPr>
        <w:t>1</w:t>
      </w:r>
      <w:r>
        <w:rPr>
          <w:rFonts w:hint="eastAsia" w:ascii="宋体" w:hAnsi="宋体" w:cs="宋体"/>
          <w:bCs/>
          <w:color w:val="auto"/>
          <w:kern w:val="0"/>
          <w:szCs w:val="21"/>
          <w:highlight w:val="none"/>
        </w:rPr>
        <w:t>，属于</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（中型企业、</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小型企业、微型企业）</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r>
        <w:rPr>
          <w:rFonts w:ascii="宋体" w:hAnsi="宋体" w:cs="宋体"/>
          <w:bCs/>
          <w:color w:val="auto"/>
          <w:kern w:val="0"/>
          <w:szCs w:val="21"/>
          <w:highlight w:val="none"/>
        </w:rPr>
        <w:t xml:space="preserve"> </w:t>
      </w:r>
    </w:p>
    <w:p w14:paraId="727DDC7B">
      <w:pPr>
        <w:numPr>
          <w:ilvl w:val="0"/>
          <w:numId w:val="7"/>
        </w:numPr>
        <w:wordWrap w:val="0"/>
        <w:snapToGrid w:val="0"/>
        <w:spacing w:line="360" w:lineRule="auto"/>
        <w:ind w:firstLine="420" w:firstLineChars="200"/>
        <w:jc w:val="left"/>
        <w:rPr>
          <w:rFonts w:ascii="宋体" w:cs="宋体"/>
          <w:bCs/>
          <w:color w:val="auto"/>
          <w:kern w:val="0"/>
          <w:szCs w:val="21"/>
          <w:highlight w:val="none"/>
        </w:rPr>
      </w:pP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安吉县托育综合服务中心设计和装修</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，属于</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eastAsia="zh-CN"/>
        </w:rPr>
        <w:t>建筑业</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；承建（承接）企业为</w:t>
      </w:r>
      <w:r>
        <w:rPr>
          <w:rFonts w:hint="eastAsia" w:ascii="宋体" w:hAnsi="宋体" w:cs="宋体"/>
          <w:bCs/>
          <w:color w:val="auto"/>
          <w:kern w:val="0"/>
          <w:szCs w:val="21"/>
          <w:highlight w:val="none"/>
          <w:u w:val="single"/>
        </w:rPr>
        <w:t>（企业名称）</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，从业人员</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人，营业收入为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万元，资产总额为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万元，属于</w:t>
      </w:r>
      <w:r>
        <w:rPr>
          <w:rFonts w:hint="eastAsia" w:ascii="宋体" w:hAnsi="宋体" w:cs="宋体"/>
          <w:bCs/>
          <w:color w:val="auto"/>
          <w:kern w:val="0"/>
          <w:szCs w:val="21"/>
          <w:highlight w:val="none"/>
          <w:u w:val="single"/>
        </w:rPr>
        <w:t>（中型企业、</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小型企业、微型企业）</w:t>
      </w:r>
      <w:r>
        <w:rPr>
          <w:rFonts w:hint="eastAsia" w:ascii="宋体" w:hAnsi="宋体" w:cs="宋体"/>
          <w:bCs/>
          <w:color w:val="auto"/>
          <w:kern w:val="0"/>
          <w:szCs w:val="21"/>
          <w:highlight w:val="none"/>
        </w:rPr>
        <w:t>；</w:t>
      </w:r>
      <w:r>
        <w:rPr>
          <w:rFonts w:ascii="宋体" w:hAnsi="宋体" w:cs="宋体"/>
          <w:bCs/>
          <w:color w:val="auto"/>
          <w:kern w:val="0"/>
          <w:szCs w:val="21"/>
          <w:highlight w:val="none"/>
        </w:rPr>
        <w:t xml:space="preserve"> </w:t>
      </w:r>
    </w:p>
    <w:p w14:paraId="4366A052">
      <w:pPr>
        <w:wordWrap w:val="0"/>
        <w:snapToGrid w:val="0"/>
        <w:spacing w:line="360" w:lineRule="auto"/>
        <w:ind w:firstLine="420" w:firstLineChars="200"/>
        <w:jc w:val="left"/>
        <w:rPr>
          <w:rFonts w:ascii="宋体" w:cs="宋体"/>
          <w:bCs/>
          <w:color w:val="auto"/>
          <w:kern w:val="0"/>
          <w:szCs w:val="21"/>
          <w:highlight w:val="none"/>
        </w:rPr>
      </w:pPr>
      <w:r>
        <w:rPr>
          <w:rFonts w:hint="eastAsia" w:ascii="宋体" w:hAnsi="宋体" w:cs="宋体"/>
          <w:bCs/>
          <w:color w:val="auto"/>
          <w:kern w:val="0"/>
          <w:szCs w:val="21"/>
          <w:highlight w:val="none"/>
        </w:rPr>
        <w:t>……</w:t>
      </w:r>
    </w:p>
    <w:p w14:paraId="02A8A7EC">
      <w:pPr>
        <w:wordWrap w:val="0"/>
        <w:snapToGrid w:val="0"/>
        <w:spacing w:line="360" w:lineRule="auto"/>
        <w:ind w:firstLine="420" w:firstLineChars="200"/>
        <w:jc w:val="left"/>
        <w:rPr>
          <w:rFonts w:ascii="宋体" w:cs="宋体"/>
          <w:bCs/>
          <w:color w:val="auto"/>
          <w:kern w:val="0"/>
          <w:szCs w:val="21"/>
          <w:highlight w:val="none"/>
        </w:rPr>
      </w:pPr>
      <w:r>
        <w:rPr>
          <w:rFonts w:hint="eastAsia" w:ascii="宋体" w:hAnsi="宋体" w:cs="宋体"/>
          <w:bCs/>
          <w:color w:val="auto"/>
          <w:kern w:val="0"/>
          <w:szCs w:val="21"/>
          <w:highlight w:val="none"/>
        </w:rPr>
        <w:t>以上企业，不属于大企业的分支机构，不存在控股股东为大企业的情形，也不存在与大企业的负责人为同一人的情形。</w:t>
      </w:r>
    </w:p>
    <w:p w14:paraId="369CFE50">
      <w:pPr>
        <w:wordWrap w:val="0"/>
        <w:snapToGrid w:val="0"/>
        <w:spacing w:line="360" w:lineRule="auto"/>
        <w:ind w:firstLine="420" w:firstLineChars="200"/>
        <w:jc w:val="left"/>
        <w:rPr>
          <w:rFonts w:ascii="宋体" w:cs="宋体"/>
          <w:bCs/>
          <w:color w:val="auto"/>
          <w:kern w:val="0"/>
          <w:szCs w:val="21"/>
          <w:highlight w:val="none"/>
        </w:rPr>
      </w:pPr>
      <w:r>
        <w:rPr>
          <w:rFonts w:hint="eastAsia" w:ascii="宋体" w:hAnsi="宋体" w:cs="宋体"/>
          <w:bCs/>
          <w:color w:val="auto"/>
          <w:kern w:val="0"/>
          <w:szCs w:val="21"/>
          <w:highlight w:val="none"/>
        </w:rPr>
        <w:t>本企业对上述声明内容的真实性负责。如有虚假，将依法承担相应责任。</w:t>
      </w:r>
    </w:p>
    <w:p w14:paraId="39B276F5">
      <w:pPr>
        <w:wordWrap w:val="0"/>
        <w:snapToGrid w:val="0"/>
        <w:spacing w:line="360" w:lineRule="auto"/>
        <w:ind w:firstLine="420" w:firstLineChars="200"/>
        <w:jc w:val="left"/>
        <w:rPr>
          <w:rFonts w:ascii="宋体" w:cs="宋体"/>
          <w:color w:val="auto"/>
          <w:kern w:val="0"/>
          <w:szCs w:val="21"/>
          <w:highlight w:val="none"/>
        </w:rPr>
      </w:pPr>
    </w:p>
    <w:p w14:paraId="78A359D9">
      <w:pPr>
        <w:wordWrap w:val="0"/>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供应商盖章：</w:t>
      </w:r>
    </w:p>
    <w:p w14:paraId="04CCDF56">
      <w:pPr>
        <w:wordWrap w:val="0"/>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日期：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日</w:t>
      </w:r>
    </w:p>
    <w:p w14:paraId="7B7B2283">
      <w:pPr>
        <w:pBdr>
          <w:bottom w:val="single" w:color="auto" w:sz="6" w:space="1"/>
        </w:pBdr>
        <w:wordWrap w:val="0"/>
        <w:snapToGrid w:val="0"/>
        <w:spacing w:line="360" w:lineRule="auto"/>
        <w:ind w:firstLine="420" w:firstLineChars="200"/>
        <w:jc w:val="left"/>
        <w:rPr>
          <w:rFonts w:ascii="宋体" w:cs="宋体"/>
          <w:color w:val="auto"/>
          <w:kern w:val="0"/>
          <w:szCs w:val="21"/>
          <w:highlight w:val="none"/>
        </w:rPr>
      </w:pPr>
    </w:p>
    <w:p w14:paraId="746F82F5">
      <w:pPr>
        <w:wordWrap w:val="0"/>
        <w:snapToGrid w:val="0"/>
        <w:spacing w:line="360" w:lineRule="auto"/>
        <w:ind w:firstLine="420" w:firstLineChars="200"/>
        <w:jc w:val="left"/>
        <w:rPr>
          <w:rFonts w:ascii="宋体" w:cs="宋体"/>
          <w:color w:val="auto"/>
          <w:kern w:val="0"/>
          <w:szCs w:val="21"/>
          <w:highlight w:val="none"/>
        </w:rPr>
      </w:pPr>
    </w:p>
    <w:p w14:paraId="50DEEA06">
      <w:pPr>
        <w:wordWrap w:val="0"/>
        <w:snapToGrid w:val="0"/>
        <w:spacing w:line="360" w:lineRule="auto"/>
        <w:ind w:firstLine="420" w:firstLineChars="200"/>
        <w:jc w:val="left"/>
        <w:rPr>
          <w:rFonts w:ascii="宋体" w:cs="宋体"/>
          <w:color w:val="auto"/>
          <w:szCs w:val="21"/>
          <w:highlight w:val="none"/>
        </w:rPr>
      </w:pPr>
    </w:p>
    <w:p w14:paraId="7EAAE141">
      <w:pPr>
        <w:wordWrap w:val="0"/>
        <w:snapToGrid w:val="0"/>
        <w:spacing w:line="360" w:lineRule="auto"/>
        <w:ind w:firstLine="420" w:firstLineChars="200"/>
        <w:jc w:val="left"/>
        <w:rPr>
          <w:rFonts w:ascii="宋体" w:cs="宋体"/>
          <w:b/>
          <w:color w:val="auto"/>
          <w:kern w:val="0"/>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r>
        <w:rPr>
          <w:rFonts w:hint="eastAsia" w:ascii="宋体" w:hAnsi="宋体" w:cs="宋体"/>
          <w:color w:val="auto"/>
          <w:kern w:val="0"/>
          <w:szCs w:val="21"/>
          <w:highlight w:val="none"/>
        </w:rPr>
        <w:t>。</w:t>
      </w:r>
    </w:p>
    <w:p w14:paraId="1BAFF38B">
      <w:pPr>
        <w:wordWrap w:val="0"/>
        <w:snapToGrid w:val="0"/>
        <w:spacing w:line="360" w:lineRule="auto"/>
        <w:ind w:firstLine="422" w:firstLineChars="200"/>
        <w:jc w:val="left"/>
        <w:rPr>
          <w:rFonts w:ascii="宋体" w:cs="宋体"/>
          <w:b/>
          <w:bCs/>
          <w:color w:val="auto"/>
          <w:kern w:val="0"/>
          <w:szCs w:val="21"/>
          <w:highlight w:val="none"/>
        </w:rPr>
      </w:pPr>
    </w:p>
    <w:p w14:paraId="6C4DEEF0">
      <w:pPr>
        <w:wordWrap w:val="0"/>
        <w:snapToGrid w:val="0"/>
        <w:spacing w:line="360" w:lineRule="auto"/>
        <w:jc w:val="left"/>
        <w:rPr>
          <w:rFonts w:ascii="宋体" w:cs="宋体"/>
          <w:b/>
          <w:bCs/>
          <w:color w:val="auto"/>
          <w:kern w:val="0"/>
          <w:szCs w:val="21"/>
          <w:highlight w:val="none"/>
        </w:rPr>
      </w:pPr>
      <w:r>
        <w:rPr>
          <w:rFonts w:hint="eastAsia" w:ascii="宋体" w:hAnsi="宋体" w:cs="宋体"/>
          <w:b/>
          <w:bCs/>
          <w:color w:val="auto"/>
          <w:kern w:val="0"/>
          <w:szCs w:val="21"/>
          <w:highlight w:val="none"/>
        </w:rPr>
        <w:t>注：</w:t>
      </w:r>
      <w:r>
        <w:rPr>
          <w:rFonts w:ascii="宋体" w:hAnsi="宋体" w:cs="宋体"/>
          <w:b/>
          <w:bCs/>
          <w:color w:val="auto"/>
          <w:kern w:val="0"/>
          <w:szCs w:val="21"/>
          <w:highlight w:val="none"/>
        </w:rPr>
        <w:t>1</w:t>
      </w:r>
      <w:r>
        <w:rPr>
          <w:rFonts w:hint="eastAsia" w:ascii="宋体" w:hAnsi="宋体" w:cs="宋体"/>
          <w:b/>
          <w:bCs/>
          <w:color w:val="auto"/>
          <w:kern w:val="0"/>
          <w:szCs w:val="21"/>
          <w:highlight w:val="none"/>
        </w:rPr>
        <w:t>、本项目采购标的对应的中小企业划分标准所属行业为</w:t>
      </w:r>
      <w:r>
        <w:rPr>
          <w:rFonts w:hint="eastAsia" w:ascii="宋体" w:hAnsi="宋体" w:cs="宋体"/>
          <w:b/>
          <w:bCs/>
          <w:color w:val="auto"/>
          <w:kern w:val="0"/>
          <w:sz w:val="21"/>
          <w:szCs w:val="21"/>
          <w:highlight w:val="none"/>
        </w:rPr>
        <w:t>建筑业</w:t>
      </w:r>
      <w:r>
        <w:rPr>
          <w:rFonts w:hint="eastAsia" w:ascii="宋体" w:hAnsi="宋体" w:cs="宋体"/>
          <w:b/>
          <w:bCs/>
          <w:color w:val="auto"/>
          <w:kern w:val="0"/>
          <w:szCs w:val="21"/>
          <w:highlight w:val="none"/>
        </w:rPr>
        <w:t>。</w:t>
      </w:r>
    </w:p>
    <w:p w14:paraId="0CA70D7A">
      <w:pPr>
        <w:numPr>
          <w:ilvl w:val="0"/>
          <w:numId w:val="0"/>
        </w:numPr>
        <w:wordWrap w:val="0"/>
        <w:snapToGrid w:val="0"/>
        <w:spacing w:line="360" w:lineRule="auto"/>
        <w:ind w:firstLine="422" w:firstLineChars="200"/>
        <w:jc w:val="left"/>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以联合体形式参加政府采购活动，联合体各方均为中小企业的，联合体视同中小企业。其中，联合体各方均为小微企业的，联合体视同小微企业</w:t>
      </w:r>
      <w:r>
        <w:rPr>
          <w:rFonts w:hint="eastAsia" w:ascii="宋体" w:hAnsi="宋体" w:cs="宋体"/>
          <w:b/>
          <w:bCs/>
          <w:color w:val="auto"/>
          <w:kern w:val="0"/>
          <w:szCs w:val="21"/>
          <w:highlight w:val="none"/>
          <w:lang w:eastAsia="zh-CN"/>
        </w:rPr>
        <w:t>。以联合体形式参加采购活动的，联合体双方均须作出声明。</w:t>
      </w:r>
    </w:p>
    <w:p w14:paraId="52D9C772">
      <w:pPr>
        <w:numPr>
          <w:ilvl w:val="0"/>
          <w:numId w:val="0"/>
        </w:numPr>
        <w:wordWrap w:val="0"/>
        <w:snapToGrid w:val="0"/>
        <w:spacing w:line="360" w:lineRule="auto"/>
        <w:ind w:firstLine="422" w:firstLineChars="200"/>
        <w:jc w:val="left"/>
        <w:rPr>
          <w:rFonts w:ascii="宋体" w:cs="宋体"/>
          <w:b/>
          <w:bCs/>
          <w:color w:val="auto"/>
          <w:kern w:val="0"/>
          <w:szCs w:val="21"/>
          <w:highlight w:val="none"/>
        </w:rPr>
      </w:pP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、▲供应商提供的中小企业声明函与实际情况不符的，视为供应商提供虚假材料投标的，投标无效。</w:t>
      </w:r>
    </w:p>
    <w:p w14:paraId="79CF5D99">
      <w:pPr>
        <w:pStyle w:val="50"/>
        <w:wordWrap w:val="0"/>
        <w:rPr>
          <w:rFonts w:ascii="宋体" w:cs="宋体"/>
          <w:b/>
          <w:color w:val="auto"/>
          <w:szCs w:val="21"/>
          <w:highlight w:val="none"/>
        </w:rPr>
      </w:pPr>
    </w:p>
    <w:p w14:paraId="485C0C29">
      <w:pPr>
        <w:pStyle w:val="8"/>
        <w:wordWrap w:val="0"/>
        <w:spacing w:after="0" w:line="400" w:lineRule="exact"/>
        <w:rPr>
          <w:rFonts w:ascii="宋体" w:cs="宋体"/>
          <w:color w:val="auto"/>
          <w:kern w:val="0"/>
          <w:sz w:val="21"/>
          <w:szCs w:val="21"/>
          <w:highlight w:val="none"/>
        </w:rPr>
      </w:pPr>
      <w:r>
        <w:rPr>
          <w:rFonts w:hint="eastAsia" w:ascii="宋体" w:hAnsi="宋体" w:cs="宋体"/>
          <w:color w:val="auto"/>
          <w:kern w:val="0"/>
          <w:sz w:val="21"/>
          <w:szCs w:val="21"/>
          <w:highlight w:val="none"/>
        </w:rPr>
        <w:t>说明：</w:t>
      </w: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、《关于印发中小企业划型标准规定的通知》（工信部联企业〔</w:t>
      </w:r>
      <w:r>
        <w:rPr>
          <w:rFonts w:ascii="宋体" w:hAnsi="宋体" w:cs="宋体"/>
          <w:color w:val="auto"/>
          <w:kern w:val="0"/>
          <w:sz w:val="21"/>
          <w:szCs w:val="21"/>
          <w:highlight w:val="none"/>
        </w:rPr>
        <w:t>2011</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号），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A6DC36B">
      <w:pPr>
        <w:pStyle w:val="8"/>
        <w:wordWrap w:val="0"/>
        <w:spacing w:after="0" w:line="400" w:lineRule="exact"/>
        <w:ind w:firstLine="420" w:firstLineChars="200"/>
        <w:rPr>
          <w:rFonts w:ascii="宋体" w:cs="宋体"/>
          <w:color w:val="auto"/>
          <w:kern w:val="0"/>
          <w:sz w:val="21"/>
          <w:szCs w:val="21"/>
          <w:highlight w:val="none"/>
        </w:rPr>
      </w:pP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、中小企业划分为中型、小型、微型三种类型，具体标准根据企业从业人员、营业收入、资产总额等指标，结合行业特点制定。各行业划型标准为：</w:t>
      </w:r>
    </w:p>
    <w:p w14:paraId="15FB52DF">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（一）农、林、牧、渔业</w:t>
      </w:r>
    </w:p>
    <w:p w14:paraId="09BD1303">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营业收入</w:t>
      </w:r>
      <w:r>
        <w:rPr>
          <w:rFonts w:ascii="宋体" w:hAnsi="宋体" w:cs="宋体"/>
          <w:color w:val="auto"/>
          <w:kern w:val="0"/>
          <w:sz w:val="21"/>
          <w:szCs w:val="21"/>
          <w:highlight w:val="none"/>
        </w:rPr>
        <w:t>20000</w:t>
      </w:r>
      <w:r>
        <w:rPr>
          <w:rFonts w:hint="eastAsia" w:ascii="宋体" w:hAnsi="宋体" w:cs="宋体"/>
          <w:color w:val="auto"/>
          <w:kern w:val="0"/>
          <w:sz w:val="21"/>
          <w:szCs w:val="21"/>
          <w:highlight w:val="none"/>
        </w:rPr>
        <w:t>万元以下的为中小微型企业。其中，营业收入</w:t>
      </w:r>
      <w:r>
        <w:rPr>
          <w:rFonts w:ascii="宋体" w:hAnsi="宋体" w:cs="宋体"/>
          <w:color w:val="auto"/>
          <w:kern w:val="0"/>
          <w:sz w:val="21"/>
          <w:szCs w:val="21"/>
          <w:highlight w:val="none"/>
        </w:rPr>
        <w:t>500</w:t>
      </w:r>
      <w:r>
        <w:rPr>
          <w:rFonts w:hint="eastAsia" w:ascii="宋体" w:hAnsi="宋体" w:cs="宋体"/>
          <w:color w:val="auto"/>
          <w:kern w:val="0"/>
          <w:sz w:val="21"/>
          <w:szCs w:val="21"/>
          <w:highlight w:val="none"/>
        </w:rPr>
        <w:t>万元及以上的为中型企业，营业收入</w:t>
      </w:r>
      <w:r>
        <w:rPr>
          <w:rFonts w:ascii="宋体" w:hAnsi="宋体" w:cs="宋体"/>
          <w:color w:val="auto"/>
          <w:kern w:val="0"/>
          <w:sz w:val="21"/>
          <w:szCs w:val="21"/>
          <w:highlight w:val="none"/>
        </w:rPr>
        <w:t>50</w:t>
      </w:r>
      <w:r>
        <w:rPr>
          <w:rFonts w:hint="eastAsia" w:ascii="宋体" w:hAnsi="宋体" w:cs="宋体"/>
          <w:color w:val="auto"/>
          <w:kern w:val="0"/>
          <w:sz w:val="21"/>
          <w:szCs w:val="21"/>
          <w:highlight w:val="none"/>
        </w:rPr>
        <w:t>万元及以上的为小型企业，营业收入</w:t>
      </w:r>
      <w:r>
        <w:rPr>
          <w:rFonts w:ascii="宋体" w:hAnsi="宋体" w:cs="宋体"/>
          <w:color w:val="auto"/>
          <w:kern w:val="0"/>
          <w:sz w:val="21"/>
          <w:szCs w:val="21"/>
          <w:highlight w:val="none"/>
        </w:rPr>
        <w:t>50</w:t>
      </w:r>
      <w:r>
        <w:rPr>
          <w:rFonts w:hint="eastAsia" w:ascii="宋体" w:hAnsi="宋体" w:cs="宋体"/>
          <w:color w:val="auto"/>
          <w:kern w:val="0"/>
          <w:sz w:val="21"/>
          <w:szCs w:val="21"/>
          <w:highlight w:val="none"/>
        </w:rPr>
        <w:t>万元以下的为微型企业。</w:t>
      </w:r>
    </w:p>
    <w:p w14:paraId="4D5C7315">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（二）工业</w:t>
      </w:r>
    </w:p>
    <w:p w14:paraId="7D568DCC">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40000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万元以下的为微型企业。</w:t>
      </w:r>
    </w:p>
    <w:p w14:paraId="72CE8482">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（三）建筑业</w:t>
      </w:r>
    </w:p>
    <w:p w14:paraId="585A710E">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营业收入</w:t>
      </w:r>
      <w:r>
        <w:rPr>
          <w:rFonts w:ascii="宋体" w:hAnsi="宋体" w:cs="宋体"/>
          <w:color w:val="auto"/>
          <w:kern w:val="0"/>
          <w:sz w:val="21"/>
          <w:szCs w:val="21"/>
          <w:highlight w:val="none"/>
        </w:rPr>
        <w:t>80000</w:t>
      </w:r>
      <w:r>
        <w:rPr>
          <w:rFonts w:hint="eastAsia" w:ascii="宋体" w:hAnsi="宋体" w:cs="宋体"/>
          <w:color w:val="auto"/>
          <w:kern w:val="0"/>
          <w:sz w:val="21"/>
          <w:szCs w:val="21"/>
          <w:highlight w:val="none"/>
        </w:rPr>
        <w:t>万元以下或资产总额</w:t>
      </w:r>
      <w:r>
        <w:rPr>
          <w:rFonts w:ascii="宋体" w:hAnsi="宋体" w:cs="宋体"/>
          <w:color w:val="auto"/>
          <w:kern w:val="0"/>
          <w:sz w:val="21"/>
          <w:szCs w:val="21"/>
          <w:highlight w:val="none"/>
        </w:rPr>
        <w:t>80000</w:t>
      </w:r>
      <w:r>
        <w:rPr>
          <w:rFonts w:hint="eastAsia" w:ascii="宋体" w:hAnsi="宋体" w:cs="宋体"/>
          <w:color w:val="auto"/>
          <w:kern w:val="0"/>
          <w:sz w:val="21"/>
          <w:szCs w:val="21"/>
          <w:highlight w:val="none"/>
        </w:rPr>
        <w:t>万元以下的为中小微型企业。其中，营业收入</w:t>
      </w:r>
      <w:r>
        <w:rPr>
          <w:rFonts w:ascii="宋体" w:hAnsi="宋体" w:cs="宋体"/>
          <w:color w:val="auto"/>
          <w:kern w:val="0"/>
          <w:sz w:val="21"/>
          <w:szCs w:val="21"/>
          <w:highlight w:val="none"/>
        </w:rPr>
        <w:t>6000</w:t>
      </w:r>
      <w:r>
        <w:rPr>
          <w:rFonts w:hint="eastAsia" w:ascii="宋体" w:hAnsi="宋体" w:cs="宋体"/>
          <w:color w:val="auto"/>
          <w:kern w:val="0"/>
          <w:sz w:val="21"/>
          <w:szCs w:val="21"/>
          <w:highlight w:val="none"/>
        </w:rPr>
        <w:t>万元及以上，且资产总额</w:t>
      </w:r>
      <w:r>
        <w:rPr>
          <w:rFonts w:ascii="宋体" w:hAnsi="宋体" w:cs="宋体"/>
          <w:color w:val="auto"/>
          <w:kern w:val="0"/>
          <w:sz w:val="21"/>
          <w:szCs w:val="21"/>
          <w:highlight w:val="none"/>
        </w:rPr>
        <w:t>5000</w:t>
      </w:r>
      <w:r>
        <w:rPr>
          <w:rFonts w:hint="eastAsia" w:ascii="宋体" w:hAnsi="宋体" w:cs="宋体"/>
          <w:color w:val="auto"/>
          <w:kern w:val="0"/>
          <w:sz w:val="21"/>
          <w:szCs w:val="21"/>
          <w:highlight w:val="none"/>
        </w:rPr>
        <w:t>万元及以上的为中型企业；营业收入</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万元及以上，且资产总额</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万元及以上的为小型企业；营业收入</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万元以下或资产总额</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万元以下的为微型企业。</w:t>
      </w:r>
    </w:p>
    <w:p w14:paraId="66D3E063">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（四）批发业</w:t>
      </w:r>
    </w:p>
    <w:p w14:paraId="4B8EB921">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200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40000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5000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5</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5</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万元以下的为微型企业。</w:t>
      </w:r>
    </w:p>
    <w:p w14:paraId="4825ACB1">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（五）零售业</w:t>
      </w:r>
    </w:p>
    <w:p w14:paraId="271D4905">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20000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50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500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3F085623">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（六）交通运输业</w:t>
      </w:r>
    </w:p>
    <w:p w14:paraId="4DBE3786">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30000</w:t>
      </w:r>
      <w:r>
        <w:rPr>
          <w:rFonts w:hint="eastAsia" w:ascii="宋体" w:hAnsi="宋体" w:cs="宋体"/>
          <w:color w:val="auto"/>
          <w:kern w:val="0"/>
          <w:sz w:val="21"/>
          <w:szCs w:val="21"/>
          <w:highlight w:val="none"/>
        </w:rPr>
        <w:t>万元以下的为中小微型企业。</w:t>
      </w:r>
    </w:p>
    <w:p w14:paraId="030FC84D">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（七）仓储业</w:t>
      </w:r>
    </w:p>
    <w:p w14:paraId="4BC7A2D6">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200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30000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079EA311">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（八）邮政业</w:t>
      </w:r>
    </w:p>
    <w:p w14:paraId="5BCAC80A">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30000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7588F26F">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（九）住宿业</w:t>
      </w:r>
    </w:p>
    <w:p w14:paraId="0B99C786">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3B3E4847">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（十）餐饮业</w:t>
      </w:r>
    </w:p>
    <w:p w14:paraId="34A78B10">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5A365F4F">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（十一）信息传输业</w:t>
      </w:r>
    </w:p>
    <w:p w14:paraId="47293BF3">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0730DA0E">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（十二）软件和信息技术服务业</w:t>
      </w:r>
    </w:p>
    <w:p w14:paraId="3EE690E2">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50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50</w:t>
      </w:r>
      <w:r>
        <w:rPr>
          <w:rFonts w:hint="eastAsia" w:ascii="宋体" w:hAnsi="宋体" w:cs="宋体"/>
          <w:color w:val="auto"/>
          <w:kern w:val="0"/>
          <w:sz w:val="21"/>
          <w:szCs w:val="21"/>
          <w:highlight w:val="none"/>
        </w:rPr>
        <w:t>万元以下的为微型企业。</w:t>
      </w:r>
    </w:p>
    <w:p w14:paraId="67C73364">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（十三）房地产开发经营</w:t>
      </w:r>
    </w:p>
    <w:p w14:paraId="1B5F2B54">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营业收入</w:t>
      </w:r>
      <w:r>
        <w:rPr>
          <w:rFonts w:ascii="宋体" w:hAnsi="宋体" w:cs="宋体"/>
          <w:color w:val="auto"/>
          <w:kern w:val="0"/>
          <w:sz w:val="21"/>
          <w:szCs w:val="21"/>
          <w:highlight w:val="none"/>
        </w:rPr>
        <w:t>200000</w:t>
      </w:r>
      <w:r>
        <w:rPr>
          <w:rFonts w:hint="eastAsia" w:ascii="宋体" w:hAnsi="宋体" w:cs="宋体"/>
          <w:color w:val="auto"/>
          <w:kern w:val="0"/>
          <w:sz w:val="21"/>
          <w:szCs w:val="21"/>
          <w:highlight w:val="none"/>
        </w:rPr>
        <w:t>万元以下或资产总额</w:t>
      </w:r>
      <w:r>
        <w:rPr>
          <w:rFonts w:ascii="宋体" w:hAnsi="宋体" w:cs="宋体"/>
          <w:color w:val="auto"/>
          <w:kern w:val="0"/>
          <w:sz w:val="21"/>
          <w:szCs w:val="21"/>
          <w:highlight w:val="none"/>
        </w:rPr>
        <w:t>10000</w:t>
      </w:r>
      <w:r>
        <w:rPr>
          <w:rFonts w:hint="eastAsia" w:ascii="宋体" w:hAnsi="宋体" w:cs="宋体"/>
          <w:color w:val="auto"/>
          <w:kern w:val="0"/>
          <w:sz w:val="21"/>
          <w:szCs w:val="21"/>
          <w:highlight w:val="none"/>
        </w:rPr>
        <w:t>万元以下的为中小微型企业。其中，营业收入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万元及以上，且资产总额</w:t>
      </w:r>
      <w:r>
        <w:rPr>
          <w:rFonts w:ascii="宋体" w:hAnsi="宋体" w:cs="宋体"/>
          <w:color w:val="auto"/>
          <w:kern w:val="0"/>
          <w:sz w:val="21"/>
          <w:szCs w:val="21"/>
          <w:highlight w:val="none"/>
        </w:rPr>
        <w:t>5000</w:t>
      </w:r>
      <w:r>
        <w:rPr>
          <w:rFonts w:hint="eastAsia" w:ascii="宋体" w:hAnsi="宋体" w:cs="宋体"/>
          <w:color w:val="auto"/>
          <w:kern w:val="0"/>
          <w:sz w:val="21"/>
          <w:szCs w:val="21"/>
          <w:highlight w:val="none"/>
        </w:rPr>
        <w:t>万元及以上的为中型企业；营业收入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万元及以上，且资产总额</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万元及以上的为小型企业；营业收入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万元以下或资产总额</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万元以下的为微型企业。</w:t>
      </w:r>
    </w:p>
    <w:p w14:paraId="498D8917">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（十四）物业管理</w:t>
      </w:r>
    </w:p>
    <w:p w14:paraId="03945A07">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5000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500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500</w:t>
      </w:r>
      <w:r>
        <w:rPr>
          <w:rFonts w:hint="eastAsia" w:ascii="宋体" w:hAnsi="宋体" w:cs="宋体"/>
          <w:color w:val="auto"/>
          <w:kern w:val="0"/>
          <w:sz w:val="21"/>
          <w:szCs w:val="21"/>
          <w:highlight w:val="none"/>
        </w:rPr>
        <w:t>万元以下的为微型企业。</w:t>
      </w:r>
    </w:p>
    <w:p w14:paraId="0F8A769C">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（十五）租赁和商务服务业</w:t>
      </w:r>
    </w:p>
    <w:p w14:paraId="07640E5E">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人以下或资产总额</w:t>
      </w:r>
      <w:r>
        <w:rPr>
          <w:rFonts w:ascii="宋体" w:hAnsi="宋体" w:cs="宋体"/>
          <w:color w:val="auto"/>
          <w:kern w:val="0"/>
          <w:sz w:val="21"/>
          <w:szCs w:val="21"/>
          <w:highlight w:val="none"/>
        </w:rPr>
        <w:t>120000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人及以上，且资产总额</w:t>
      </w:r>
      <w:r>
        <w:rPr>
          <w:rFonts w:ascii="宋体" w:hAnsi="宋体" w:cs="宋体"/>
          <w:color w:val="auto"/>
          <w:kern w:val="0"/>
          <w:sz w:val="21"/>
          <w:szCs w:val="21"/>
          <w:highlight w:val="none"/>
        </w:rPr>
        <w:t>8000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人及以上，且资产总额</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人以下或资产总额</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4CD334B6">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（十六）其他未列明行业</w:t>
      </w:r>
    </w:p>
    <w:p w14:paraId="3EB59D09">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人以下的为微型企业。</w:t>
      </w:r>
    </w:p>
    <w:p w14:paraId="010936FC">
      <w:pPr>
        <w:snapToGrid w:val="0"/>
        <w:spacing w:line="360" w:lineRule="auto"/>
        <w:rPr>
          <w:rFonts w:ascii="宋体" w:cs="宋体"/>
          <w:b/>
          <w:color w:val="auto"/>
          <w:sz w:val="24"/>
          <w:highlight w:val="none"/>
        </w:rPr>
      </w:pPr>
      <w:r>
        <w:rPr>
          <w:rFonts w:hint="eastAsia" w:ascii="宋体" w:hAnsi="宋体" w:cs="宋体"/>
          <w:b/>
          <w:color w:val="auto"/>
          <w:sz w:val="24"/>
          <w:highlight w:val="none"/>
        </w:rPr>
        <w:t>监狱企业、残疾人福利性单位视同为小微企业。</w:t>
      </w:r>
    </w:p>
    <w:p w14:paraId="556FCFC8">
      <w:pPr>
        <w:snapToGrid w:val="0"/>
        <w:spacing w:line="360" w:lineRule="auto"/>
        <w:jc w:val="center"/>
        <w:rPr>
          <w:rFonts w:ascii="宋体" w:cs="宋体"/>
          <w:b/>
          <w:color w:val="auto"/>
          <w:sz w:val="28"/>
          <w:szCs w:val="28"/>
          <w:highlight w:val="none"/>
        </w:rPr>
      </w:pPr>
      <w:r>
        <w:rPr>
          <w:rFonts w:hint="eastAsia" w:ascii="宋体" w:hAnsi="宋体" w:cs="宋体"/>
          <w:b/>
          <w:color w:val="auto"/>
          <w:sz w:val="28"/>
          <w:szCs w:val="28"/>
          <w:highlight w:val="none"/>
        </w:rPr>
        <w:t>残疾人福利性单位声明函</w:t>
      </w:r>
    </w:p>
    <w:p w14:paraId="1E782BAB">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本单位郑重声明，根据《财政部</w:t>
      </w:r>
      <w:r>
        <w:rPr>
          <w:rFonts w:ascii="宋体" w:hAnsi="宋体" w:cs="宋体"/>
          <w:color w:val="auto"/>
          <w:szCs w:val="21"/>
          <w:highlight w:val="none"/>
        </w:rPr>
        <w:t xml:space="preserve"> </w:t>
      </w:r>
      <w:r>
        <w:rPr>
          <w:rFonts w:hint="eastAsia" w:ascii="宋体" w:hAnsi="宋体" w:cs="宋体"/>
          <w:color w:val="auto"/>
          <w:szCs w:val="21"/>
          <w:highlight w:val="none"/>
        </w:rPr>
        <w:t>民政部</w:t>
      </w:r>
      <w:r>
        <w:rPr>
          <w:rFonts w:ascii="宋体" w:hAnsi="宋体" w:cs="宋体"/>
          <w:color w:val="auto"/>
          <w:szCs w:val="21"/>
          <w:highlight w:val="none"/>
        </w:rPr>
        <w:t xml:space="preserve"> </w:t>
      </w:r>
      <w:r>
        <w:rPr>
          <w:rFonts w:hint="eastAsia" w:ascii="宋体" w:hAnsi="宋体" w:cs="宋体"/>
          <w:color w:val="auto"/>
          <w:szCs w:val="21"/>
          <w:highlight w:val="none"/>
        </w:rPr>
        <w:t>中国残疾人联合会关于促进残疾人就业政府采购政策的通知》（财库〔</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 xml:space="preserve"> 141</w:t>
      </w:r>
      <w:r>
        <w:rPr>
          <w:rFonts w:hint="eastAsia" w:ascii="宋体" w:hAnsi="宋体" w:cs="宋体"/>
          <w:color w:val="auto"/>
          <w:szCs w:val="21"/>
          <w:highlight w:val="none"/>
        </w:rPr>
        <w:t>号）的规定，本单位为符合条件的残疾人福利性单位，且本单位参加</w:t>
      </w:r>
      <w:r>
        <w:rPr>
          <w:rFonts w:ascii="宋体" w:hAnsi="宋体" w:cs="宋体"/>
          <w:color w:val="auto"/>
          <w:szCs w:val="21"/>
          <w:highlight w:val="none"/>
        </w:rPr>
        <w:t>______</w:t>
      </w:r>
      <w:r>
        <w:rPr>
          <w:rFonts w:hint="eastAsia" w:ascii="宋体" w:hAnsi="宋体" w:cs="宋体"/>
          <w:color w:val="auto"/>
          <w:szCs w:val="21"/>
          <w:highlight w:val="none"/>
        </w:rPr>
        <w:t>单位的</w:t>
      </w:r>
      <w:r>
        <w:rPr>
          <w:rFonts w:ascii="宋体" w:hAnsi="宋体" w:cs="宋体"/>
          <w:color w:val="auto"/>
          <w:szCs w:val="21"/>
          <w:highlight w:val="none"/>
        </w:rPr>
        <w:t>______</w:t>
      </w:r>
      <w:r>
        <w:rPr>
          <w:rFonts w:hint="eastAsia" w:ascii="宋体" w:hAnsi="宋体" w:cs="宋体"/>
          <w:color w:val="auto"/>
          <w:szCs w:val="21"/>
          <w:highlight w:val="none"/>
        </w:rPr>
        <w:t>项目采购活动提供本单位制造的货物（由本单位承担工程</w:t>
      </w:r>
      <w:r>
        <w:rPr>
          <w:rFonts w:ascii="宋体" w:hAnsi="宋体" w:cs="宋体"/>
          <w:color w:val="auto"/>
          <w:szCs w:val="21"/>
          <w:highlight w:val="none"/>
        </w:rPr>
        <w:t>/</w:t>
      </w:r>
      <w:r>
        <w:rPr>
          <w:rFonts w:hint="eastAsia" w:ascii="宋体" w:hAnsi="宋体" w:cs="宋体"/>
          <w:color w:val="auto"/>
          <w:szCs w:val="21"/>
          <w:highlight w:val="none"/>
        </w:rPr>
        <w:t>提供服务），或者提供其他残疾人福利性单位制造的货物（不包括使用非残疾人福利性单位注册商标的货物）。</w:t>
      </w:r>
    </w:p>
    <w:p w14:paraId="7BC75B3A">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6751FF70">
      <w:pPr>
        <w:snapToGrid w:val="0"/>
        <w:spacing w:line="360" w:lineRule="auto"/>
        <w:ind w:firstLine="420" w:firstLineChars="200"/>
        <w:rPr>
          <w:rFonts w:ascii="宋体" w:cs="宋体"/>
          <w:color w:val="auto"/>
          <w:szCs w:val="21"/>
          <w:highlight w:val="none"/>
        </w:rPr>
      </w:pPr>
    </w:p>
    <w:p w14:paraId="0528F14A">
      <w:pPr>
        <w:snapToGrid w:val="0"/>
        <w:spacing w:line="360" w:lineRule="auto"/>
        <w:ind w:firstLine="420" w:firstLineChars="200"/>
        <w:rPr>
          <w:rFonts w:ascii="宋体" w:cs="宋体"/>
          <w:color w:val="auto"/>
          <w:szCs w:val="21"/>
          <w:highlight w:val="none"/>
        </w:rPr>
      </w:pPr>
    </w:p>
    <w:p w14:paraId="0A32240E">
      <w:pPr>
        <w:tabs>
          <w:tab w:val="left" w:pos="4860"/>
        </w:tabs>
        <w:snapToGrid w:val="0"/>
        <w:spacing w:line="360" w:lineRule="auto"/>
        <w:ind w:right="1560" w:firstLine="420" w:firstLineChars="200"/>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供应商盖章：</w:t>
      </w:r>
    </w:p>
    <w:p w14:paraId="3086015C">
      <w:pPr>
        <w:tabs>
          <w:tab w:val="left" w:pos="4860"/>
        </w:tabs>
        <w:snapToGrid w:val="0"/>
        <w:spacing w:line="360" w:lineRule="auto"/>
        <w:ind w:right="1560" w:firstLine="420" w:firstLineChars="200"/>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p>
    <w:p w14:paraId="59BC5B09">
      <w:pPr>
        <w:pStyle w:val="51"/>
        <w:snapToGrid w:val="0"/>
        <w:spacing w:line="360" w:lineRule="auto"/>
        <w:ind w:firstLine="210" w:firstLineChars="100"/>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提供社保缴纳人员名单、录用的残疾人的《中华人民共和国残疾人证》或者《中华人民共和国残疾军人证</w:t>
      </w:r>
      <w:r>
        <w:rPr>
          <w:rFonts w:ascii="宋体" w:hAnsi="宋体" w:cs="宋体"/>
          <w:color w:val="auto"/>
          <w:szCs w:val="21"/>
          <w:highlight w:val="none"/>
        </w:rPr>
        <w:t>(1</w:t>
      </w:r>
      <w:r>
        <w:rPr>
          <w:rFonts w:hint="eastAsia" w:ascii="宋体" w:hAnsi="宋体" w:cs="宋体"/>
          <w:color w:val="auto"/>
          <w:szCs w:val="21"/>
          <w:highlight w:val="none"/>
        </w:rPr>
        <w:t>至</w:t>
      </w:r>
      <w:r>
        <w:rPr>
          <w:rFonts w:ascii="宋体" w:hAnsi="宋体" w:cs="宋体"/>
          <w:color w:val="auto"/>
          <w:szCs w:val="21"/>
          <w:highlight w:val="none"/>
        </w:rPr>
        <w:t>8</w:t>
      </w:r>
      <w:r>
        <w:rPr>
          <w:rFonts w:hint="eastAsia" w:ascii="宋体" w:hAnsi="宋体" w:cs="宋体"/>
          <w:color w:val="auto"/>
          <w:szCs w:val="21"/>
          <w:highlight w:val="none"/>
        </w:rPr>
        <w:t>级</w:t>
      </w:r>
      <w:r>
        <w:rPr>
          <w:rFonts w:ascii="宋体" w:hAnsi="宋体" w:cs="宋体"/>
          <w:color w:val="auto"/>
          <w:szCs w:val="21"/>
          <w:highlight w:val="none"/>
        </w:rPr>
        <w:t>)</w:t>
      </w:r>
      <w:r>
        <w:rPr>
          <w:rFonts w:hint="eastAsia" w:ascii="宋体" w:hAnsi="宋体" w:cs="宋体"/>
          <w:color w:val="auto"/>
          <w:szCs w:val="21"/>
          <w:highlight w:val="none"/>
        </w:rPr>
        <w:t>》复印件</w:t>
      </w:r>
    </w:p>
    <w:p w14:paraId="497B3879">
      <w:pPr>
        <w:snapToGrid w:val="0"/>
        <w:spacing w:line="360" w:lineRule="auto"/>
        <w:jc w:val="center"/>
        <w:rPr>
          <w:rFonts w:ascii="宋体" w:cs="宋体"/>
          <w:b/>
          <w:color w:val="auto"/>
          <w:kern w:val="0"/>
          <w:sz w:val="28"/>
          <w:szCs w:val="28"/>
          <w:highlight w:val="none"/>
        </w:rPr>
      </w:pPr>
    </w:p>
    <w:p w14:paraId="5DFDCDC5">
      <w:pPr>
        <w:snapToGrid w:val="0"/>
        <w:spacing w:line="360" w:lineRule="auto"/>
        <w:jc w:val="center"/>
        <w:rPr>
          <w:rFonts w:ascii="宋体" w:cs="宋体"/>
          <w:b/>
          <w:color w:val="auto"/>
          <w:kern w:val="0"/>
          <w:sz w:val="28"/>
          <w:szCs w:val="28"/>
          <w:highlight w:val="none"/>
        </w:rPr>
      </w:pPr>
    </w:p>
    <w:p w14:paraId="00666C00">
      <w:pPr>
        <w:snapToGrid w:val="0"/>
        <w:spacing w:line="360" w:lineRule="auto"/>
        <w:jc w:val="center"/>
        <w:rPr>
          <w:rFonts w:ascii="宋体" w:cs="宋体"/>
          <w:b/>
          <w:color w:val="auto"/>
          <w:kern w:val="0"/>
          <w:sz w:val="28"/>
          <w:szCs w:val="28"/>
          <w:highlight w:val="none"/>
        </w:rPr>
      </w:pPr>
    </w:p>
    <w:p w14:paraId="756ECFCD">
      <w:pPr>
        <w:snapToGrid w:val="0"/>
        <w:spacing w:line="360" w:lineRule="auto"/>
        <w:jc w:val="center"/>
        <w:rPr>
          <w:rFonts w:ascii="宋体" w:cs="宋体"/>
          <w:b/>
          <w:color w:val="auto"/>
          <w:kern w:val="0"/>
          <w:sz w:val="28"/>
          <w:szCs w:val="28"/>
          <w:highlight w:val="none"/>
        </w:rPr>
      </w:pPr>
    </w:p>
    <w:p w14:paraId="2485EFF1">
      <w:pPr>
        <w:snapToGrid w:val="0"/>
        <w:spacing w:line="360" w:lineRule="auto"/>
        <w:jc w:val="center"/>
        <w:rPr>
          <w:rFonts w:ascii="宋体" w:cs="宋体"/>
          <w:b/>
          <w:color w:val="auto"/>
          <w:kern w:val="0"/>
          <w:sz w:val="28"/>
          <w:szCs w:val="28"/>
          <w:highlight w:val="none"/>
        </w:rPr>
      </w:pPr>
    </w:p>
    <w:p w14:paraId="7377AD1B">
      <w:pPr>
        <w:snapToGrid w:val="0"/>
        <w:spacing w:line="360" w:lineRule="auto"/>
        <w:jc w:val="center"/>
        <w:rPr>
          <w:rFonts w:ascii="宋体" w:cs="宋体"/>
          <w:b/>
          <w:color w:val="auto"/>
          <w:kern w:val="0"/>
          <w:sz w:val="28"/>
          <w:szCs w:val="28"/>
          <w:highlight w:val="none"/>
        </w:rPr>
      </w:pPr>
    </w:p>
    <w:p w14:paraId="74D995A1">
      <w:pPr>
        <w:snapToGrid w:val="0"/>
        <w:spacing w:line="360" w:lineRule="auto"/>
        <w:jc w:val="center"/>
        <w:rPr>
          <w:rFonts w:ascii="宋体" w:cs="宋体"/>
          <w:b/>
          <w:color w:val="auto"/>
          <w:kern w:val="0"/>
          <w:sz w:val="28"/>
          <w:szCs w:val="28"/>
          <w:highlight w:val="none"/>
        </w:rPr>
      </w:pPr>
    </w:p>
    <w:p w14:paraId="1B1CBAD6">
      <w:pPr>
        <w:snapToGrid w:val="0"/>
        <w:spacing w:line="360" w:lineRule="auto"/>
        <w:jc w:val="center"/>
        <w:rPr>
          <w:rFonts w:ascii="宋体" w:cs="宋体"/>
          <w:b/>
          <w:color w:val="auto"/>
          <w:kern w:val="0"/>
          <w:sz w:val="28"/>
          <w:szCs w:val="28"/>
          <w:highlight w:val="none"/>
        </w:rPr>
      </w:pPr>
    </w:p>
    <w:p w14:paraId="20BB2301">
      <w:pPr>
        <w:snapToGrid w:val="0"/>
        <w:spacing w:line="360" w:lineRule="auto"/>
        <w:jc w:val="center"/>
        <w:rPr>
          <w:rFonts w:ascii="宋体" w:cs="宋体"/>
          <w:b/>
          <w:color w:val="auto"/>
          <w:kern w:val="0"/>
          <w:sz w:val="28"/>
          <w:szCs w:val="28"/>
          <w:highlight w:val="none"/>
        </w:rPr>
      </w:pPr>
    </w:p>
    <w:p w14:paraId="08C29518">
      <w:pPr>
        <w:snapToGrid w:val="0"/>
        <w:spacing w:line="360" w:lineRule="auto"/>
        <w:jc w:val="center"/>
        <w:rPr>
          <w:rFonts w:ascii="宋体" w:cs="宋体"/>
          <w:b/>
          <w:color w:val="auto"/>
          <w:kern w:val="0"/>
          <w:sz w:val="28"/>
          <w:szCs w:val="28"/>
          <w:highlight w:val="none"/>
        </w:rPr>
      </w:pPr>
    </w:p>
    <w:p w14:paraId="48F09405">
      <w:pPr>
        <w:snapToGrid w:val="0"/>
        <w:spacing w:line="360" w:lineRule="auto"/>
        <w:jc w:val="center"/>
        <w:rPr>
          <w:rFonts w:ascii="宋体" w:cs="宋体"/>
          <w:b/>
          <w:color w:val="auto"/>
          <w:kern w:val="0"/>
          <w:sz w:val="28"/>
          <w:szCs w:val="28"/>
          <w:highlight w:val="none"/>
        </w:rPr>
      </w:pPr>
    </w:p>
    <w:p w14:paraId="0A0455AA">
      <w:pPr>
        <w:snapToGrid w:val="0"/>
        <w:spacing w:line="360" w:lineRule="auto"/>
        <w:jc w:val="center"/>
        <w:rPr>
          <w:rFonts w:ascii="宋体" w:cs="宋体"/>
          <w:b/>
          <w:color w:val="auto"/>
          <w:kern w:val="0"/>
          <w:sz w:val="28"/>
          <w:szCs w:val="28"/>
          <w:highlight w:val="none"/>
        </w:rPr>
      </w:pPr>
    </w:p>
    <w:p w14:paraId="75E5D82F">
      <w:pPr>
        <w:snapToGrid w:val="0"/>
        <w:spacing w:line="360" w:lineRule="auto"/>
        <w:jc w:val="center"/>
        <w:rPr>
          <w:rFonts w:ascii="宋体" w:cs="宋体"/>
          <w:b/>
          <w:color w:val="auto"/>
          <w:kern w:val="0"/>
          <w:sz w:val="28"/>
          <w:szCs w:val="28"/>
          <w:highlight w:val="none"/>
        </w:rPr>
      </w:pPr>
    </w:p>
    <w:p w14:paraId="32831B4B">
      <w:pPr>
        <w:snapToGrid w:val="0"/>
        <w:spacing w:line="360" w:lineRule="auto"/>
        <w:jc w:val="center"/>
        <w:rPr>
          <w:rFonts w:ascii="宋体" w:cs="宋体"/>
          <w:b/>
          <w:color w:val="auto"/>
          <w:kern w:val="0"/>
          <w:sz w:val="28"/>
          <w:szCs w:val="28"/>
          <w:highlight w:val="none"/>
        </w:rPr>
      </w:pPr>
    </w:p>
    <w:p w14:paraId="12F69B7B">
      <w:pPr>
        <w:pStyle w:val="11"/>
        <w:widowControl w:val="0"/>
        <w:rPr>
          <w:color w:val="auto"/>
          <w:highlight w:val="none"/>
        </w:rPr>
      </w:pPr>
    </w:p>
    <w:p w14:paraId="1DC3F0C4">
      <w:pPr>
        <w:snapToGrid w:val="0"/>
        <w:spacing w:line="360" w:lineRule="auto"/>
        <w:jc w:val="center"/>
        <w:rPr>
          <w:rFonts w:ascii="宋体" w:cs="宋体"/>
          <w:b/>
          <w:color w:val="auto"/>
          <w:kern w:val="0"/>
          <w:sz w:val="28"/>
          <w:szCs w:val="28"/>
          <w:highlight w:val="none"/>
        </w:rPr>
      </w:pPr>
      <w:r>
        <w:rPr>
          <w:rFonts w:hint="eastAsia" w:ascii="宋体" w:hAnsi="宋体" w:cs="宋体"/>
          <w:b/>
          <w:color w:val="auto"/>
          <w:kern w:val="0"/>
          <w:sz w:val="28"/>
          <w:szCs w:val="28"/>
          <w:highlight w:val="none"/>
        </w:rPr>
        <w:t>监狱企业声明函</w:t>
      </w:r>
    </w:p>
    <w:p w14:paraId="6E69ABCF">
      <w:pPr>
        <w:snapToGrid w:val="0"/>
        <w:spacing w:line="360" w:lineRule="auto"/>
        <w:ind w:firstLine="480" w:firstLineChars="200"/>
        <w:jc w:val="left"/>
        <w:rPr>
          <w:rFonts w:ascii="宋体" w:cs="宋体"/>
          <w:color w:val="auto"/>
          <w:kern w:val="0"/>
          <w:sz w:val="24"/>
          <w:highlight w:val="none"/>
        </w:rPr>
      </w:pPr>
    </w:p>
    <w:p w14:paraId="5A30612A">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本公司郑重声明，根据《关于政府采购支持监狱企业发展有关问题的通知》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（财库</w:t>
      </w:r>
      <w:r>
        <w:rPr>
          <w:rFonts w:ascii="宋体" w:hAnsi="宋体" w:cs="宋体"/>
          <w:color w:val="auto"/>
          <w:kern w:val="0"/>
          <w:szCs w:val="21"/>
          <w:highlight w:val="none"/>
        </w:rPr>
        <w:t xml:space="preserve">[2014]68 </w:t>
      </w:r>
      <w:r>
        <w:rPr>
          <w:rFonts w:hint="eastAsia" w:ascii="宋体" w:hAnsi="宋体" w:cs="宋体"/>
          <w:color w:val="auto"/>
          <w:kern w:val="0"/>
          <w:szCs w:val="21"/>
          <w:highlight w:val="none"/>
        </w:rPr>
        <w:t>号）的规定，本公司为</w:t>
      </w:r>
      <w:r>
        <w:rPr>
          <w:rFonts w:hint="eastAsia" w:ascii="宋体" w:hAnsi="宋体" w:cs="宋体"/>
          <w:color w:val="auto"/>
          <w:kern w:val="0"/>
          <w:szCs w:val="21"/>
          <w:highlight w:val="none"/>
          <w:u w:val="single"/>
        </w:rPr>
        <w:t>监狱企业</w:t>
      </w:r>
      <w:r>
        <w:rPr>
          <w:rFonts w:hint="eastAsia" w:ascii="宋体" w:hAnsi="宋体" w:cs="宋体"/>
          <w:color w:val="auto"/>
          <w:kern w:val="0"/>
          <w:szCs w:val="21"/>
          <w:highlight w:val="none"/>
        </w:rPr>
        <w:t>。</w:t>
      </w:r>
    </w:p>
    <w:p w14:paraId="35DD1FE1">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根据上述标准，我公司属于监狱企业的理由为：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5BB8690">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本公司为参加（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项目名称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（项目编号：</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）采购活动提供本企业提供服务。</w:t>
      </w:r>
    </w:p>
    <w:p w14:paraId="22ADF110">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本公司对上述声明的真实性负责。如有虚假，将依法承担相应责任。</w:t>
      </w:r>
    </w:p>
    <w:p w14:paraId="2042EB68">
      <w:pPr>
        <w:snapToGrid w:val="0"/>
        <w:spacing w:line="360" w:lineRule="auto"/>
        <w:ind w:firstLine="420" w:firstLineChars="200"/>
        <w:jc w:val="left"/>
        <w:rPr>
          <w:rFonts w:ascii="宋体" w:cs="宋体"/>
          <w:color w:val="auto"/>
          <w:kern w:val="0"/>
          <w:szCs w:val="21"/>
          <w:highlight w:val="none"/>
        </w:rPr>
      </w:pPr>
    </w:p>
    <w:p w14:paraId="37F8766E">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供应商盖章：</w:t>
      </w:r>
    </w:p>
    <w:p w14:paraId="53195461">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日期：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日</w:t>
      </w:r>
    </w:p>
    <w:p w14:paraId="779A1EF4">
      <w:pPr>
        <w:overflowPunct w:val="0"/>
        <w:spacing w:line="400" w:lineRule="exact"/>
        <w:jc w:val="left"/>
        <w:rPr>
          <w:rFonts w:ascii="宋体" w:hAnsi="宋体" w:cs="宋体"/>
          <w:color w:val="auto"/>
          <w:sz w:val="28"/>
          <w:szCs w:val="28"/>
          <w:highlight w:val="none"/>
        </w:rPr>
      </w:pPr>
    </w:p>
    <w:p w14:paraId="33587F69">
      <w:pPr>
        <w:overflowPunct w:val="0"/>
        <w:spacing w:line="400" w:lineRule="exact"/>
        <w:jc w:val="left"/>
        <w:rPr>
          <w:rFonts w:ascii="宋体" w:hAnsi="宋体" w:cs="宋体"/>
          <w:color w:val="auto"/>
          <w:sz w:val="28"/>
          <w:szCs w:val="28"/>
          <w:highlight w:val="none"/>
        </w:rPr>
      </w:pPr>
    </w:p>
    <w:p w14:paraId="4475F9F9">
      <w:pPr>
        <w:overflowPunct w:val="0"/>
        <w:spacing w:line="400" w:lineRule="exact"/>
        <w:jc w:val="left"/>
        <w:rPr>
          <w:rFonts w:ascii="宋体" w:hAnsi="宋体" w:cs="宋体"/>
          <w:color w:val="auto"/>
          <w:sz w:val="28"/>
          <w:szCs w:val="28"/>
          <w:highlight w:val="none"/>
        </w:rPr>
      </w:pPr>
    </w:p>
    <w:p w14:paraId="57EE5E93">
      <w:pPr>
        <w:overflowPunct w:val="0"/>
        <w:spacing w:line="400" w:lineRule="exact"/>
        <w:jc w:val="left"/>
        <w:rPr>
          <w:rFonts w:ascii="宋体" w:hAnsi="宋体" w:cs="宋体"/>
          <w:color w:val="auto"/>
          <w:sz w:val="28"/>
          <w:szCs w:val="28"/>
          <w:highlight w:val="none"/>
        </w:rPr>
      </w:pPr>
    </w:p>
    <w:p w14:paraId="527209CB">
      <w:pPr>
        <w:overflowPunct w:val="0"/>
        <w:spacing w:line="400" w:lineRule="exact"/>
        <w:jc w:val="left"/>
        <w:rPr>
          <w:rFonts w:ascii="宋体" w:hAnsi="宋体" w:cs="宋体"/>
          <w:color w:val="auto"/>
          <w:sz w:val="28"/>
          <w:szCs w:val="28"/>
          <w:highlight w:val="none"/>
        </w:rPr>
      </w:pPr>
    </w:p>
    <w:p w14:paraId="297E598B">
      <w:pPr>
        <w:overflowPunct w:val="0"/>
        <w:spacing w:line="400" w:lineRule="exact"/>
        <w:jc w:val="left"/>
        <w:rPr>
          <w:rFonts w:ascii="宋体" w:hAnsi="宋体" w:cs="宋体"/>
          <w:color w:val="auto"/>
          <w:sz w:val="28"/>
          <w:szCs w:val="28"/>
          <w:highlight w:val="none"/>
        </w:rPr>
      </w:pPr>
    </w:p>
    <w:p w14:paraId="7AEC3B5A">
      <w:pPr>
        <w:overflowPunct w:val="0"/>
        <w:spacing w:line="400" w:lineRule="exact"/>
        <w:jc w:val="left"/>
        <w:rPr>
          <w:rFonts w:ascii="宋体" w:hAnsi="宋体" w:cs="宋体"/>
          <w:color w:val="auto"/>
          <w:sz w:val="28"/>
          <w:szCs w:val="28"/>
          <w:highlight w:val="none"/>
        </w:rPr>
      </w:pPr>
    </w:p>
    <w:p w14:paraId="36869B95">
      <w:pPr>
        <w:overflowPunct w:val="0"/>
        <w:spacing w:line="400" w:lineRule="exact"/>
        <w:jc w:val="left"/>
        <w:rPr>
          <w:rFonts w:ascii="宋体" w:hAnsi="宋体" w:cs="宋体"/>
          <w:color w:val="auto"/>
          <w:sz w:val="28"/>
          <w:szCs w:val="28"/>
          <w:highlight w:val="none"/>
        </w:rPr>
      </w:pPr>
    </w:p>
    <w:p w14:paraId="585D687C">
      <w:pPr>
        <w:overflowPunct w:val="0"/>
        <w:spacing w:line="400" w:lineRule="exact"/>
        <w:jc w:val="left"/>
        <w:rPr>
          <w:rFonts w:ascii="宋体" w:hAnsi="宋体" w:cs="宋体"/>
          <w:color w:val="auto"/>
          <w:sz w:val="28"/>
          <w:szCs w:val="28"/>
          <w:highlight w:val="none"/>
        </w:rPr>
      </w:pPr>
    </w:p>
    <w:p w14:paraId="07605A37">
      <w:pPr>
        <w:overflowPunct w:val="0"/>
        <w:spacing w:line="400" w:lineRule="exact"/>
        <w:jc w:val="left"/>
        <w:rPr>
          <w:rFonts w:ascii="宋体" w:hAnsi="宋体" w:cs="宋体"/>
          <w:color w:val="auto"/>
          <w:sz w:val="28"/>
          <w:szCs w:val="28"/>
          <w:highlight w:val="none"/>
        </w:rPr>
      </w:pPr>
    </w:p>
    <w:p w14:paraId="63E08ABF">
      <w:pPr>
        <w:overflowPunct w:val="0"/>
        <w:spacing w:line="400" w:lineRule="exact"/>
        <w:jc w:val="left"/>
        <w:rPr>
          <w:rFonts w:ascii="宋体" w:hAnsi="宋体" w:cs="宋体"/>
          <w:color w:val="auto"/>
          <w:sz w:val="28"/>
          <w:szCs w:val="28"/>
          <w:highlight w:val="none"/>
        </w:rPr>
      </w:pPr>
    </w:p>
    <w:p w14:paraId="4F99BD04">
      <w:pPr>
        <w:overflowPunct w:val="0"/>
        <w:spacing w:line="400" w:lineRule="exact"/>
        <w:jc w:val="left"/>
        <w:rPr>
          <w:rFonts w:ascii="宋体" w:hAnsi="宋体" w:cs="宋体"/>
          <w:color w:val="auto"/>
          <w:sz w:val="28"/>
          <w:szCs w:val="28"/>
          <w:highlight w:val="none"/>
        </w:rPr>
      </w:pPr>
    </w:p>
    <w:p w14:paraId="329E9AD7">
      <w:pPr>
        <w:overflowPunct w:val="0"/>
        <w:spacing w:line="400" w:lineRule="exact"/>
        <w:jc w:val="left"/>
        <w:rPr>
          <w:rFonts w:ascii="宋体" w:hAnsi="宋体" w:cs="宋体"/>
          <w:color w:val="auto"/>
          <w:sz w:val="28"/>
          <w:szCs w:val="28"/>
          <w:highlight w:val="none"/>
        </w:rPr>
      </w:pPr>
    </w:p>
    <w:p w14:paraId="21A65FC9">
      <w:pPr>
        <w:overflowPunct w:val="0"/>
        <w:spacing w:line="400" w:lineRule="exact"/>
        <w:jc w:val="left"/>
        <w:rPr>
          <w:rFonts w:ascii="宋体" w:hAnsi="宋体" w:cs="宋体"/>
          <w:color w:val="auto"/>
          <w:sz w:val="28"/>
          <w:szCs w:val="28"/>
          <w:highlight w:val="none"/>
        </w:rPr>
      </w:pPr>
    </w:p>
    <w:p w14:paraId="704D85F8">
      <w:pPr>
        <w:overflowPunct w:val="0"/>
        <w:spacing w:line="400" w:lineRule="exact"/>
        <w:jc w:val="left"/>
        <w:rPr>
          <w:rFonts w:ascii="宋体" w:hAnsi="宋体" w:cs="宋体"/>
          <w:color w:val="auto"/>
          <w:sz w:val="28"/>
          <w:szCs w:val="28"/>
          <w:highlight w:val="none"/>
        </w:rPr>
      </w:pPr>
    </w:p>
    <w:p w14:paraId="5CE9FDD4">
      <w:pPr>
        <w:overflowPunct w:val="0"/>
        <w:spacing w:line="400" w:lineRule="exact"/>
        <w:jc w:val="left"/>
        <w:rPr>
          <w:rFonts w:ascii="宋体" w:hAnsi="宋体" w:cs="宋体"/>
          <w:color w:val="auto"/>
          <w:sz w:val="28"/>
          <w:szCs w:val="28"/>
          <w:highlight w:val="none"/>
        </w:rPr>
      </w:pPr>
    </w:p>
    <w:p w14:paraId="47567FF7">
      <w:pPr>
        <w:overflowPunct w:val="0"/>
        <w:spacing w:line="400" w:lineRule="exact"/>
        <w:jc w:val="left"/>
        <w:rPr>
          <w:rFonts w:ascii="宋体" w:hAnsi="宋体" w:cs="宋体"/>
          <w:color w:val="auto"/>
          <w:sz w:val="28"/>
          <w:szCs w:val="28"/>
          <w:highlight w:val="none"/>
        </w:rPr>
      </w:pPr>
    </w:p>
    <w:p w14:paraId="2A8AC526">
      <w:pPr>
        <w:overflowPunct w:val="0"/>
        <w:spacing w:line="400" w:lineRule="exact"/>
        <w:jc w:val="left"/>
        <w:rPr>
          <w:rFonts w:ascii="宋体" w:hAnsi="宋体" w:cs="宋体"/>
          <w:color w:val="auto"/>
          <w:sz w:val="28"/>
          <w:szCs w:val="28"/>
          <w:highlight w:val="none"/>
        </w:rPr>
      </w:pPr>
    </w:p>
    <w:p w14:paraId="39CA78C1">
      <w:pPr>
        <w:overflowPunct w:val="0"/>
        <w:spacing w:line="400" w:lineRule="exact"/>
        <w:jc w:val="left"/>
        <w:rPr>
          <w:rFonts w:ascii="宋体" w:hAnsi="宋体" w:cs="宋体"/>
          <w:color w:val="auto"/>
          <w:sz w:val="28"/>
          <w:szCs w:val="28"/>
          <w:highlight w:val="none"/>
        </w:rPr>
      </w:pPr>
    </w:p>
    <w:p w14:paraId="620E8055">
      <w:pPr>
        <w:overflowPunct w:val="0"/>
        <w:spacing w:line="400" w:lineRule="exact"/>
        <w:jc w:val="left"/>
        <w:rPr>
          <w:rFonts w:ascii="宋体" w:hAnsi="宋体" w:cs="宋体"/>
          <w:color w:val="auto"/>
          <w:sz w:val="28"/>
          <w:szCs w:val="28"/>
          <w:highlight w:val="none"/>
        </w:rPr>
      </w:pPr>
    </w:p>
    <w:p w14:paraId="7AAD121C">
      <w:pPr>
        <w:overflowPunct w:val="0"/>
        <w:spacing w:line="400" w:lineRule="exact"/>
        <w:jc w:val="left"/>
        <w:rPr>
          <w:rFonts w:ascii="宋体" w:hAnsi="宋体" w:cs="宋体"/>
          <w:color w:val="auto"/>
          <w:sz w:val="28"/>
          <w:szCs w:val="28"/>
          <w:highlight w:val="none"/>
        </w:rPr>
      </w:pPr>
    </w:p>
    <w:p w14:paraId="008483CC">
      <w:pPr>
        <w:overflowPunct w:val="0"/>
        <w:spacing w:line="400" w:lineRule="exact"/>
        <w:jc w:val="left"/>
        <w:rPr>
          <w:rFonts w:ascii="宋体" w:hAnsi="宋体" w:cs="宋体"/>
          <w:color w:val="auto"/>
          <w:sz w:val="28"/>
          <w:szCs w:val="28"/>
          <w:highlight w:val="none"/>
        </w:rPr>
      </w:pPr>
    </w:p>
    <w:p w14:paraId="0EE032C0">
      <w:pPr>
        <w:overflowPunct w:val="0"/>
        <w:spacing w:line="400" w:lineRule="exact"/>
        <w:jc w:val="left"/>
        <w:rPr>
          <w:rFonts w:ascii="宋体" w:hAnsi="宋体" w:cs="宋体"/>
          <w:color w:val="auto"/>
          <w:sz w:val="28"/>
          <w:szCs w:val="28"/>
          <w:highlight w:val="none"/>
        </w:rPr>
      </w:pPr>
    </w:p>
    <w:p w14:paraId="64FC1093">
      <w:pPr>
        <w:overflowPunct w:val="0"/>
        <w:spacing w:line="400" w:lineRule="exact"/>
        <w:jc w:val="left"/>
        <w:rPr>
          <w:rFonts w:ascii="宋体" w:hAnsi="宋体" w:cs="宋体"/>
          <w:color w:val="auto"/>
          <w:sz w:val="28"/>
          <w:szCs w:val="28"/>
          <w:highlight w:val="none"/>
        </w:rPr>
      </w:pPr>
    </w:p>
    <w:p w14:paraId="5DBFB443">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rPr>
        <w:t>5、法定代表人身份证明书</w:t>
      </w:r>
    </w:p>
    <w:p w14:paraId="2983772B">
      <w:pPr>
        <w:overflowPunct w:val="0"/>
        <w:spacing w:before="156" w:beforeLines="50" w:after="156" w:afterLines="50" w:line="400" w:lineRule="exact"/>
        <w:jc w:val="center"/>
        <w:rPr>
          <w:rFonts w:ascii="宋体" w:cs="宋体"/>
          <w:bCs/>
          <w:color w:val="auto"/>
          <w:sz w:val="28"/>
          <w:szCs w:val="28"/>
          <w:highlight w:val="none"/>
        </w:rPr>
      </w:pPr>
    </w:p>
    <w:p w14:paraId="4E495C6D">
      <w:pPr>
        <w:overflowPunct w:val="0"/>
        <w:spacing w:before="156" w:beforeLines="50" w:after="156" w:afterLines="50" w:line="400" w:lineRule="exact"/>
        <w:jc w:val="center"/>
        <w:rPr>
          <w:rFonts w:ascii="宋体" w:cs="宋体"/>
          <w:b/>
          <w:color w:val="auto"/>
          <w:sz w:val="28"/>
          <w:szCs w:val="28"/>
          <w:highlight w:val="none"/>
        </w:rPr>
      </w:pPr>
      <w:r>
        <w:rPr>
          <w:rFonts w:hint="eastAsia" w:ascii="宋体" w:hAnsi="宋体" w:cs="宋体"/>
          <w:b/>
          <w:color w:val="auto"/>
          <w:sz w:val="28"/>
          <w:szCs w:val="28"/>
          <w:highlight w:val="none"/>
        </w:rPr>
        <w:t>法定代表人身份证明书</w:t>
      </w:r>
    </w:p>
    <w:p w14:paraId="025AE456">
      <w:pPr>
        <w:overflowPunct w:val="0"/>
        <w:spacing w:line="360" w:lineRule="auto"/>
        <w:rPr>
          <w:rFonts w:ascii="宋体" w:cs="宋体"/>
          <w:color w:val="auto"/>
          <w:szCs w:val="21"/>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14:paraId="169E064D">
      <w:pPr>
        <w:overflowPunct w:val="0"/>
        <w:spacing w:before="156" w:beforeLines="50" w:after="156" w:afterLines="50" w:line="400" w:lineRule="exact"/>
        <w:rPr>
          <w:rFonts w:ascii="宋体" w:cs="宋体"/>
          <w:color w:val="auto"/>
          <w:szCs w:val="21"/>
          <w:highlight w:val="none"/>
          <w:u w:val="single"/>
        </w:rPr>
      </w:pPr>
      <w:r>
        <w:rPr>
          <w:rFonts w:ascii="宋体" w:hAnsi="宋体" w:cs="宋体"/>
          <w:bCs/>
          <w:color w:val="auto"/>
          <w:sz w:val="30"/>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（法定代表人姓名）</w:t>
      </w:r>
      <w:r>
        <w:rPr>
          <w:rFonts w:ascii="宋体" w:hAnsi="宋体" w:cs="宋体"/>
          <w:color w:val="auto"/>
          <w:szCs w:val="21"/>
          <w:highlight w:val="none"/>
          <w:u w:val="single"/>
        </w:rPr>
        <w:t xml:space="preserve">   </w:t>
      </w:r>
      <w:r>
        <w:rPr>
          <w:rFonts w:hint="eastAsia" w:ascii="宋体" w:hAnsi="宋体" w:cs="宋体"/>
          <w:color w:val="auto"/>
          <w:szCs w:val="21"/>
          <w:highlight w:val="none"/>
        </w:rPr>
        <w:t>系</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（供应商名称）</w:t>
      </w:r>
      <w:r>
        <w:rPr>
          <w:rFonts w:ascii="宋体" w:hAnsi="宋体" w:cs="宋体"/>
          <w:color w:val="auto"/>
          <w:szCs w:val="21"/>
          <w:highlight w:val="none"/>
          <w:u w:val="single"/>
        </w:rPr>
        <w:t xml:space="preserve">  </w:t>
      </w:r>
      <w:r>
        <w:rPr>
          <w:rFonts w:hint="eastAsia" w:ascii="宋体" w:hAnsi="宋体" w:cs="宋体"/>
          <w:color w:val="auto"/>
          <w:szCs w:val="21"/>
          <w:highlight w:val="none"/>
        </w:rPr>
        <w:t>的法定代表人，性别</w:t>
      </w:r>
      <w:r>
        <w:rPr>
          <w:rFonts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ascii="宋体" w:hAnsi="宋体" w:cs="宋体"/>
          <w:color w:val="auto"/>
          <w:szCs w:val="21"/>
          <w:highlight w:val="none"/>
          <w:u w:val="single"/>
        </w:rPr>
        <w:t xml:space="preserve">   </w:t>
      </w:r>
    </w:p>
    <w:p w14:paraId="5CBE0A4E">
      <w:pPr>
        <w:overflowPunct w:val="0"/>
        <w:spacing w:before="156" w:beforeLines="50" w:after="156" w:afterLines="50" w:line="400" w:lineRule="exact"/>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r>
        <w:rPr>
          <w:rFonts w:hint="eastAsia" w:ascii="宋体" w:hAnsi="宋体" w:cs="宋体"/>
          <w:color w:val="auto"/>
          <w:szCs w:val="21"/>
          <w:highlight w:val="none"/>
        </w:rPr>
        <w:t>，联系地址</w:t>
      </w:r>
      <w:r>
        <w:rPr>
          <w:rFonts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282576ED">
      <w:pPr>
        <w:overflowPunct w:val="0"/>
        <w:spacing w:before="156" w:beforeLines="50" w:after="156" w:afterLines="50" w:line="400" w:lineRule="exact"/>
        <w:rPr>
          <w:rFonts w:ascii="宋体" w:cs="宋体"/>
          <w:color w:val="auto"/>
          <w:szCs w:val="21"/>
          <w:highlight w:val="none"/>
        </w:rPr>
      </w:pPr>
    </w:p>
    <w:p w14:paraId="2EACB2FF">
      <w:pPr>
        <w:overflowPunct w:val="0"/>
        <w:spacing w:before="156" w:beforeLines="50" w:after="156" w:afterLines="50" w:line="400" w:lineRule="exact"/>
        <w:jc w:val="center"/>
        <w:rPr>
          <w:rFonts w:ascii="宋体" w:cs="宋体"/>
          <w:color w:val="auto"/>
          <w:szCs w:val="21"/>
          <w:highlight w:val="none"/>
        </w:rPr>
      </w:pPr>
      <w:r>
        <w:rPr>
          <w:rFonts w:hint="eastAsia" w:ascii="宋体" w:hAnsi="宋体" w:cs="宋体"/>
          <w:color w:val="auto"/>
          <w:szCs w:val="21"/>
          <w:highlight w:val="none"/>
        </w:rPr>
        <w:t>特此证明</w:t>
      </w:r>
    </w:p>
    <w:p w14:paraId="5F27F9B4">
      <w:pPr>
        <w:overflowPunct w:val="0"/>
        <w:spacing w:before="156" w:beforeLines="50" w:after="156" w:afterLines="50" w:line="400" w:lineRule="exact"/>
        <w:jc w:val="right"/>
        <w:rPr>
          <w:rFonts w:ascii="宋体" w:cs="宋体"/>
          <w:color w:val="auto"/>
          <w:szCs w:val="21"/>
          <w:highlight w:val="none"/>
        </w:rPr>
      </w:pPr>
    </w:p>
    <w:p w14:paraId="4C8CCD9E">
      <w:pPr>
        <w:overflowPunct w:val="0"/>
        <w:spacing w:before="156" w:beforeLines="50" w:after="156" w:afterLines="50" w:line="400" w:lineRule="exact"/>
        <w:jc w:val="right"/>
        <w:rPr>
          <w:rFonts w:ascii="宋体" w:cs="宋体"/>
          <w:color w:val="auto"/>
          <w:szCs w:val="21"/>
          <w:highlight w:val="none"/>
        </w:rPr>
      </w:pPr>
      <w:r>
        <w:rPr>
          <w:rFonts w:hint="eastAsia" w:ascii="宋体" w:hAnsi="宋体" w:cs="宋体"/>
          <w:color w:val="auto"/>
          <w:szCs w:val="21"/>
          <w:highlight w:val="none"/>
        </w:rPr>
        <w:t>供应商名称（公章）</w:t>
      </w:r>
    </w:p>
    <w:p w14:paraId="5F2FE90E">
      <w:pPr>
        <w:pBdr>
          <w:bottom w:val="single" w:color="auto" w:sz="4" w:space="0"/>
        </w:pBdr>
        <w:overflowPunct w:val="0"/>
        <w:spacing w:before="156" w:beforeLines="50" w:after="156" w:afterLines="50" w:line="400" w:lineRule="exact"/>
        <w:jc w:val="right"/>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57960880">
      <w:pPr>
        <w:pStyle w:val="29"/>
        <w:widowControl w:val="0"/>
        <w:overflowPunct w:val="0"/>
        <w:rPr>
          <w:color w:val="auto"/>
          <w:highlight w:val="none"/>
        </w:rPr>
      </w:pPr>
    </w:p>
    <w:p w14:paraId="1919D646">
      <w:pPr>
        <w:overflowPunct w:val="0"/>
        <w:spacing w:before="156" w:beforeLines="50" w:after="156" w:afterLines="50" w:line="400" w:lineRule="exact"/>
        <w:jc w:val="center"/>
        <w:rPr>
          <w:rFonts w:ascii="宋体" w:cs="宋体"/>
          <w:color w:val="auto"/>
          <w:szCs w:val="21"/>
          <w:highlight w:val="none"/>
        </w:rPr>
      </w:pPr>
      <w:r>
        <w:rPr>
          <w:rFonts w:hint="eastAsia" w:ascii="宋体" w:hAnsi="宋体" w:cs="宋体"/>
          <w:color w:val="auto"/>
          <w:szCs w:val="21"/>
          <w:highlight w:val="none"/>
        </w:rPr>
        <w:t>附法定代表人身份证复印件</w:t>
      </w:r>
    </w:p>
    <w:p w14:paraId="2DCEB777">
      <w:pPr>
        <w:overflowPunct w:val="0"/>
        <w:spacing w:before="156" w:beforeLines="50" w:after="156" w:afterLines="50" w:line="400" w:lineRule="exact"/>
        <w:rPr>
          <w:rFonts w:ascii="宋体" w:cs="宋体"/>
          <w:color w:val="auto"/>
          <w:szCs w:val="21"/>
          <w:highlight w:val="none"/>
        </w:rPr>
      </w:pPr>
      <w:r>
        <w:rPr>
          <w:rFonts w:ascii="宋体" w:hAnsi="宋体" w:cs="宋体"/>
          <w:color w:val="auto"/>
          <w:szCs w:val="21"/>
          <w:highlight w:val="none"/>
        </w:rPr>
        <w:t xml:space="preserve">   </w:t>
      </w:r>
    </w:p>
    <w:p w14:paraId="6265FA36">
      <w:pPr>
        <w:overflowPunct w:val="0"/>
        <w:spacing w:before="156" w:beforeLines="50" w:after="156" w:afterLines="50" w:line="400" w:lineRule="exact"/>
        <w:rPr>
          <w:rFonts w:ascii="宋体" w:cs="宋体"/>
          <w:color w:val="auto"/>
          <w:szCs w:val="21"/>
          <w:highlight w:val="none"/>
        </w:rPr>
      </w:pPr>
    </w:p>
    <w:p w14:paraId="75378A54">
      <w:pPr>
        <w:overflowPunct w:val="0"/>
        <w:spacing w:before="156" w:beforeLines="50" w:after="156" w:afterLines="50" w:line="400" w:lineRule="exact"/>
        <w:rPr>
          <w:rFonts w:ascii="宋体" w:cs="宋体"/>
          <w:color w:val="auto"/>
          <w:szCs w:val="21"/>
          <w:highlight w:val="none"/>
        </w:rPr>
      </w:pPr>
    </w:p>
    <w:p w14:paraId="380B9BED">
      <w:pPr>
        <w:overflowPunct w:val="0"/>
        <w:spacing w:line="400" w:lineRule="exact"/>
        <w:rPr>
          <w:rFonts w:ascii="宋体" w:cs="宋体"/>
          <w:color w:val="auto"/>
          <w:highlight w:val="none"/>
        </w:rPr>
      </w:pPr>
    </w:p>
    <w:p w14:paraId="0AA1B256">
      <w:pPr>
        <w:overflowPunct w:val="0"/>
        <w:spacing w:line="400" w:lineRule="exact"/>
        <w:rPr>
          <w:rFonts w:ascii="宋体" w:cs="宋体"/>
          <w:color w:val="auto"/>
          <w:highlight w:val="none"/>
        </w:rPr>
      </w:pPr>
    </w:p>
    <w:p w14:paraId="487BAA86">
      <w:pPr>
        <w:overflowPunct w:val="0"/>
        <w:spacing w:line="400" w:lineRule="exact"/>
        <w:rPr>
          <w:rFonts w:ascii="宋体" w:cs="宋体"/>
          <w:color w:val="auto"/>
          <w:highlight w:val="none"/>
        </w:rPr>
      </w:pPr>
    </w:p>
    <w:p w14:paraId="37B91618">
      <w:pPr>
        <w:overflowPunct w:val="0"/>
        <w:spacing w:line="400" w:lineRule="exact"/>
        <w:rPr>
          <w:rFonts w:ascii="宋体" w:cs="宋体"/>
          <w:color w:val="auto"/>
          <w:highlight w:val="none"/>
        </w:rPr>
      </w:pPr>
    </w:p>
    <w:p w14:paraId="46910C94">
      <w:pPr>
        <w:overflowPunct w:val="0"/>
        <w:spacing w:line="400" w:lineRule="exact"/>
        <w:rPr>
          <w:rFonts w:ascii="宋体" w:cs="宋体"/>
          <w:color w:val="auto"/>
          <w:highlight w:val="none"/>
        </w:rPr>
      </w:pPr>
    </w:p>
    <w:p w14:paraId="157B65B0">
      <w:pPr>
        <w:overflowPunct w:val="0"/>
        <w:spacing w:line="400" w:lineRule="exact"/>
        <w:rPr>
          <w:rFonts w:ascii="宋体" w:cs="宋体"/>
          <w:color w:val="auto"/>
          <w:highlight w:val="none"/>
        </w:rPr>
      </w:pPr>
    </w:p>
    <w:p w14:paraId="7194AA08">
      <w:pPr>
        <w:overflowPunct w:val="0"/>
        <w:spacing w:line="400" w:lineRule="exact"/>
        <w:rPr>
          <w:rFonts w:ascii="宋体" w:cs="宋体"/>
          <w:color w:val="auto"/>
          <w:highlight w:val="none"/>
        </w:rPr>
      </w:pPr>
    </w:p>
    <w:p w14:paraId="5E6875DC">
      <w:pPr>
        <w:overflowPunct w:val="0"/>
        <w:spacing w:line="400" w:lineRule="exact"/>
        <w:rPr>
          <w:rFonts w:ascii="宋体" w:cs="宋体"/>
          <w:color w:val="auto"/>
          <w:highlight w:val="none"/>
        </w:rPr>
      </w:pPr>
    </w:p>
    <w:p w14:paraId="66A3D9DD">
      <w:pPr>
        <w:overflowPunct w:val="0"/>
        <w:spacing w:line="400" w:lineRule="exact"/>
        <w:rPr>
          <w:rFonts w:ascii="宋体" w:cs="宋体"/>
          <w:color w:val="auto"/>
          <w:highlight w:val="none"/>
        </w:rPr>
      </w:pPr>
    </w:p>
    <w:p w14:paraId="7B584D87">
      <w:pPr>
        <w:overflowPunct w:val="0"/>
        <w:spacing w:line="400" w:lineRule="exact"/>
        <w:rPr>
          <w:rFonts w:ascii="宋体" w:cs="宋体"/>
          <w:color w:val="auto"/>
          <w:highlight w:val="none"/>
        </w:rPr>
      </w:pPr>
    </w:p>
    <w:p w14:paraId="2F785727">
      <w:pPr>
        <w:overflowPunct w:val="0"/>
        <w:spacing w:line="400" w:lineRule="exact"/>
        <w:jc w:val="left"/>
        <w:rPr>
          <w:rFonts w:ascii="宋体" w:cs="宋体"/>
          <w:color w:val="auto"/>
          <w:sz w:val="28"/>
          <w:szCs w:val="28"/>
          <w:highlight w:val="none"/>
        </w:rPr>
      </w:pPr>
    </w:p>
    <w:p w14:paraId="69A7C823">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rPr>
        <w:t>6、法定代表人授权委托书格式</w:t>
      </w:r>
    </w:p>
    <w:p w14:paraId="1CD2BD9A">
      <w:pPr>
        <w:overflowPunct w:val="0"/>
        <w:spacing w:before="156" w:beforeLines="50" w:after="156" w:afterLines="50" w:line="400" w:lineRule="exact"/>
        <w:jc w:val="center"/>
        <w:rPr>
          <w:rFonts w:ascii="宋体" w:cs="宋体"/>
          <w:bCs/>
          <w:color w:val="auto"/>
          <w:sz w:val="28"/>
          <w:szCs w:val="28"/>
          <w:highlight w:val="none"/>
        </w:rPr>
      </w:pPr>
    </w:p>
    <w:p w14:paraId="2222FE24">
      <w:pPr>
        <w:overflowPunct w:val="0"/>
        <w:spacing w:before="156" w:beforeLines="50" w:after="156" w:afterLines="50" w:line="400" w:lineRule="exact"/>
        <w:jc w:val="center"/>
        <w:rPr>
          <w:rFonts w:ascii="宋体" w:cs="宋体"/>
          <w:b/>
          <w:color w:val="auto"/>
          <w:sz w:val="28"/>
          <w:szCs w:val="28"/>
          <w:highlight w:val="none"/>
        </w:rPr>
      </w:pPr>
      <w:r>
        <w:rPr>
          <w:rFonts w:hint="eastAsia" w:ascii="宋体" w:hAnsi="宋体" w:cs="宋体"/>
          <w:b/>
          <w:color w:val="auto"/>
          <w:sz w:val="28"/>
          <w:szCs w:val="28"/>
          <w:highlight w:val="none"/>
        </w:rPr>
        <w:t>法定代表人授权委托书</w:t>
      </w:r>
    </w:p>
    <w:p w14:paraId="01E64BC7">
      <w:pPr>
        <w:overflowPunct w:val="0"/>
        <w:spacing w:line="360" w:lineRule="auto"/>
        <w:rPr>
          <w:rFonts w:ascii="宋体" w:cs="宋体"/>
          <w:color w:val="auto"/>
          <w:szCs w:val="21"/>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14:paraId="024B246A">
      <w:pPr>
        <w:overflowPunct w:val="0"/>
        <w:spacing w:line="360" w:lineRule="auto"/>
        <w:ind w:firstLine="612"/>
        <w:rPr>
          <w:rFonts w:ascii="宋体" w:cs="宋体"/>
          <w:color w:val="auto"/>
          <w:szCs w:val="21"/>
          <w:highlight w:val="none"/>
        </w:rPr>
      </w:pPr>
      <w:r>
        <w:rPr>
          <w:rFonts w:hint="eastAsia" w:ascii="宋体" w:hAnsi="宋体" w:cs="宋体"/>
          <w:color w:val="auto"/>
          <w:szCs w:val="21"/>
          <w:highlight w:val="none"/>
        </w:rPr>
        <w:t>本授权委托书声明：我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（法定代表人姓名）</w:t>
      </w:r>
      <w:r>
        <w:rPr>
          <w:rFonts w:ascii="宋体" w:hAnsi="宋体" w:cs="宋体"/>
          <w:color w:val="auto"/>
          <w:szCs w:val="21"/>
          <w:highlight w:val="none"/>
          <w:u w:val="single"/>
        </w:rPr>
        <w:t xml:space="preserve">   </w:t>
      </w:r>
      <w:r>
        <w:rPr>
          <w:rFonts w:hint="eastAsia" w:ascii="宋体" w:hAnsi="宋体" w:cs="宋体"/>
          <w:color w:val="auto"/>
          <w:szCs w:val="21"/>
          <w:highlight w:val="none"/>
        </w:rPr>
        <w:t>系</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（授权代表姓名）</w:t>
      </w:r>
      <w:r>
        <w:rPr>
          <w:rFonts w:ascii="宋体" w:hAnsi="宋体" w:cs="宋体"/>
          <w:color w:val="auto"/>
          <w:szCs w:val="21"/>
          <w:highlight w:val="none"/>
          <w:u w:val="single"/>
        </w:rPr>
        <w:t xml:space="preserve">  </w:t>
      </w:r>
      <w:r>
        <w:rPr>
          <w:rFonts w:hint="eastAsia" w:ascii="宋体" w:hAnsi="宋体" w:cs="宋体"/>
          <w:color w:val="auto"/>
          <w:szCs w:val="21"/>
          <w:highlight w:val="none"/>
        </w:rPr>
        <w:t>为我公司法定代表人授权代表，参加贵处组织的</w:t>
      </w:r>
      <w:r>
        <w:rPr>
          <w:rFonts w:ascii="宋体" w:hAnsi="宋体" w:cs="宋体"/>
          <w:color w:val="auto"/>
          <w:szCs w:val="21"/>
          <w:highlight w:val="none"/>
        </w:rPr>
        <w:t xml:space="preserve">  </w:t>
      </w:r>
      <w:r>
        <w:rPr>
          <w:rFonts w:hint="eastAsia" w:ascii="宋体" w:hAnsi="宋体" w:cs="宋体"/>
          <w:color w:val="auto"/>
          <w:szCs w:val="21"/>
          <w:highlight w:val="none"/>
          <w:u w:val="singl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（项目编号）</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项目谈判，全权处理本次谈判活动中的一切事宜，我承认授权代表全权代表我所签署的本项目的响应文件的内容。</w:t>
      </w:r>
    </w:p>
    <w:p w14:paraId="04B1AC29">
      <w:pPr>
        <w:overflowPunct w:val="0"/>
        <w:spacing w:line="360" w:lineRule="auto"/>
        <w:jc w:val="center"/>
        <w:rPr>
          <w:rFonts w:ascii="宋体" w:cs="宋体"/>
          <w:color w:val="auto"/>
          <w:szCs w:val="21"/>
          <w:highlight w:val="none"/>
        </w:rPr>
      </w:pPr>
      <w:r>
        <w:rPr>
          <w:rFonts w:hint="eastAsia" w:ascii="宋体" w:hAnsi="宋体" w:cs="宋体"/>
          <w:color w:val="auto"/>
          <w:szCs w:val="21"/>
          <w:highlight w:val="none"/>
        </w:rPr>
        <w:t>授权代表无转授权，特此授权。</w:t>
      </w:r>
    </w:p>
    <w:p w14:paraId="5710A362">
      <w:pPr>
        <w:overflowPunct w:val="0"/>
        <w:spacing w:line="360" w:lineRule="auto"/>
        <w:ind w:firstLine="420" w:firstLineChars="200"/>
        <w:rPr>
          <w:rFonts w:ascii="宋体" w:cs="宋体"/>
          <w:color w:val="auto"/>
          <w:szCs w:val="21"/>
          <w:highlight w:val="none"/>
        </w:rPr>
      </w:pPr>
    </w:p>
    <w:p w14:paraId="27EE2CE2">
      <w:pPr>
        <w:overflowPunct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授权代表：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性别：</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年龄：</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职务：</w:t>
      </w:r>
      <w:r>
        <w:rPr>
          <w:rFonts w:ascii="宋体" w:hAnsi="宋体" w:cs="宋体"/>
          <w:color w:val="auto"/>
          <w:szCs w:val="21"/>
          <w:highlight w:val="none"/>
          <w:u w:val="single"/>
        </w:rPr>
        <w:t xml:space="preserve">        </w:t>
      </w:r>
    </w:p>
    <w:p w14:paraId="3F59A14B">
      <w:pPr>
        <w:overflowPunct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详细通讯地址：</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p>
    <w:p w14:paraId="6087FD85">
      <w:pPr>
        <w:overflowPunct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p>
    <w:p w14:paraId="2A8C8FC9">
      <w:pPr>
        <w:overflowPunct w:val="0"/>
        <w:ind w:left="1" w:firstLine="403" w:firstLineChars="192"/>
        <w:rPr>
          <w:rFonts w:ascii="宋体" w:cs="宋体"/>
          <w:color w:val="auto"/>
          <w:szCs w:val="21"/>
          <w:highlight w:val="none"/>
        </w:rPr>
      </w:pPr>
      <w:r>
        <w:rPr>
          <w:rFonts w:ascii="宋体" w:hAnsi="宋体" w:cs="宋体"/>
          <w:color w:val="auto"/>
          <w:szCs w:val="21"/>
          <w:highlight w:val="none"/>
        </w:rPr>
        <w:t xml:space="preserve">   </w:t>
      </w:r>
    </w:p>
    <w:p w14:paraId="791A84AB">
      <w:pPr>
        <w:overflowPunct w:val="0"/>
        <w:spacing w:line="360" w:lineRule="auto"/>
        <w:ind w:left="424" w:right="420"/>
        <w:jc w:val="right"/>
        <w:rPr>
          <w:rFonts w:ascii="宋体" w:cs="宋体"/>
          <w:color w:val="auto"/>
          <w:szCs w:val="21"/>
          <w:highlight w:val="none"/>
        </w:rPr>
      </w:pPr>
      <w:r>
        <w:rPr>
          <w:rFonts w:hint="eastAsia" w:ascii="宋体" w:hAnsi="宋体" w:cs="宋体"/>
          <w:color w:val="auto"/>
          <w:szCs w:val="21"/>
          <w:highlight w:val="none"/>
        </w:rPr>
        <w:t>供应商名称：（盖章）</w:t>
      </w:r>
      <w:r>
        <w:rPr>
          <w:rFonts w:ascii="宋体" w:hAnsi="宋体" w:cs="宋体"/>
          <w:color w:val="auto"/>
          <w:szCs w:val="21"/>
          <w:highlight w:val="none"/>
          <w:u w:val="single"/>
        </w:rPr>
        <w:t xml:space="preserve">                                   </w:t>
      </w:r>
    </w:p>
    <w:p w14:paraId="627E6714">
      <w:pPr>
        <w:overflowPunct w:val="0"/>
        <w:spacing w:line="360" w:lineRule="auto"/>
        <w:ind w:left="424" w:right="420"/>
        <w:jc w:val="right"/>
        <w:rPr>
          <w:rFonts w:ascii="宋体" w:cs="宋体"/>
          <w:color w:val="auto"/>
          <w:szCs w:val="21"/>
          <w:highlight w:val="none"/>
        </w:rPr>
      </w:pPr>
      <w:r>
        <w:rPr>
          <w:rFonts w:hint="eastAsia" w:ascii="宋体" w:hAnsi="宋体" w:cs="宋体"/>
          <w:color w:val="auto"/>
          <w:szCs w:val="21"/>
          <w:highlight w:val="none"/>
        </w:rPr>
        <w:t>法定代表人（签字）：</w:t>
      </w:r>
    </w:p>
    <w:p w14:paraId="26154CB4">
      <w:pPr>
        <w:overflowPunct w:val="0"/>
        <w:spacing w:line="360" w:lineRule="auto"/>
        <w:ind w:left="424" w:right="420"/>
        <w:jc w:val="right"/>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28D0CAFF">
      <w:pPr>
        <w:overflowPunct w:val="0"/>
        <w:spacing w:line="360" w:lineRule="auto"/>
        <w:rPr>
          <w:rFonts w:ascii="宋体" w:cs="宋体"/>
          <w:color w:val="auto"/>
          <w:sz w:val="24"/>
          <w:highlight w:val="none"/>
        </w:rPr>
      </w:pPr>
      <w:r>
        <w:rPr>
          <w:rFonts w:ascii="宋体" w:cs="宋体"/>
          <w:color w:val="auto"/>
          <w:sz w:val="24"/>
          <w:highlight w:val="none"/>
        </w:rPr>
        <w:t>------------------------------------------------------------------------</w:t>
      </w:r>
    </w:p>
    <w:p w14:paraId="1072107D">
      <w:pPr>
        <w:pStyle w:val="11"/>
        <w:widowControl w:val="0"/>
        <w:rPr>
          <w:color w:val="auto"/>
          <w:highlight w:val="none"/>
        </w:rPr>
      </w:pPr>
    </w:p>
    <w:p w14:paraId="7834B14C">
      <w:pPr>
        <w:pStyle w:val="16"/>
        <w:overflowPunct w:val="0"/>
        <w:ind w:firstLine="420" w:firstLineChars="200"/>
        <w:rPr>
          <w:rFonts w:ascii="宋体" w:cs="宋体"/>
          <w:color w:val="auto"/>
          <w:highlight w:val="none"/>
        </w:rPr>
      </w:pPr>
      <w:r>
        <w:rPr>
          <w:rFonts w:hint="eastAsia" w:ascii="宋体" w:hAnsi="宋体" w:cs="宋体"/>
          <w:color w:val="auto"/>
          <w:highlight w:val="none"/>
        </w:rPr>
        <w:t>授权代表身份证复印件</w:t>
      </w:r>
    </w:p>
    <w:p w14:paraId="09E7253A">
      <w:pPr>
        <w:pStyle w:val="16"/>
        <w:overflowPunct w:val="0"/>
        <w:ind w:firstLine="420" w:firstLineChars="200"/>
        <w:rPr>
          <w:rFonts w:ascii="宋体" w:cs="宋体"/>
          <w:color w:val="auto"/>
          <w:highlight w:val="none"/>
        </w:rPr>
      </w:pPr>
    </w:p>
    <w:p w14:paraId="4E04FACB">
      <w:pPr>
        <w:overflowPunct w:val="0"/>
        <w:spacing w:line="400" w:lineRule="exact"/>
        <w:jc w:val="left"/>
        <w:rPr>
          <w:rFonts w:ascii="宋体" w:cs="宋体"/>
          <w:color w:val="auto"/>
          <w:szCs w:val="21"/>
          <w:highlight w:val="none"/>
        </w:rPr>
      </w:pPr>
    </w:p>
    <w:p w14:paraId="7DF0BB58">
      <w:pPr>
        <w:overflowPunct w:val="0"/>
        <w:spacing w:line="400" w:lineRule="exact"/>
        <w:jc w:val="left"/>
        <w:rPr>
          <w:rFonts w:ascii="宋体" w:cs="宋体"/>
          <w:color w:val="auto"/>
          <w:szCs w:val="21"/>
          <w:highlight w:val="none"/>
        </w:rPr>
      </w:pPr>
    </w:p>
    <w:p w14:paraId="364ED126">
      <w:pPr>
        <w:overflowPunct w:val="0"/>
        <w:spacing w:line="400" w:lineRule="exact"/>
        <w:jc w:val="left"/>
        <w:rPr>
          <w:rFonts w:ascii="宋体" w:cs="宋体"/>
          <w:color w:val="auto"/>
          <w:szCs w:val="21"/>
          <w:highlight w:val="none"/>
        </w:rPr>
      </w:pPr>
    </w:p>
    <w:p w14:paraId="085F0463">
      <w:pPr>
        <w:overflowPunct w:val="0"/>
        <w:spacing w:line="400" w:lineRule="exact"/>
        <w:jc w:val="left"/>
        <w:rPr>
          <w:rFonts w:ascii="宋体" w:cs="宋体"/>
          <w:color w:val="auto"/>
          <w:szCs w:val="21"/>
          <w:highlight w:val="none"/>
        </w:rPr>
      </w:pPr>
    </w:p>
    <w:p w14:paraId="1FA31CC2">
      <w:pPr>
        <w:overflowPunct w:val="0"/>
        <w:spacing w:line="400" w:lineRule="exact"/>
        <w:jc w:val="left"/>
        <w:rPr>
          <w:rFonts w:ascii="宋体" w:cs="宋体"/>
          <w:color w:val="auto"/>
          <w:szCs w:val="21"/>
          <w:highlight w:val="none"/>
        </w:rPr>
      </w:pPr>
    </w:p>
    <w:p w14:paraId="7E473BE5">
      <w:pPr>
        <w:overflowPunct w:val="0"/>
        <w:spacing w:line="400" w:lineRule="exact"/>
        <w:jc w:val="left"/>
        <w:rPr>
          <w:rFonts w:ascii="宋体" w:cs="宋体"/>
          <w:color w:val="auto"/>
          <w:szCs w:val="21"/>
          <w:highlight w:val="none"/>
        </w:rPr>
      </w:pPr>
    </w:p>
    <w:p w14:paraId="7FF058E3">
      <w:pPr>
        <w:overflowPunct w:val="0"/>
        <w:spacing w:line="400" w:lineRule="exact"/>
        <w:jc w:val="left"/>
        <w:rPr>
          <w:rFonts w:ascii="宋体" w:cs="宋体"/>
          <w:color w:val="auto"/>
          <w:szCs w:val="21"/>
          <w:highlight w:val="none"/>
        </w:rPr>
      </w:pPr>
    </w:p>
    <w:p w14:paraId="3889BE06">
      <w:pPr>
        <w:overflowPunct w:val="0"/>
        <w:spacing w:line="400" w:lineRule="exact"/>
        <w:jc w:val="left"/>
        <w:rPr>
          <w:rFonts w:ascii="宋体" w:cs="宋体"/>
          <w:color w:val="auto"/>
          <w:szCs w:val="21"/>
          <w:highlight w:val="none"/>
        </w:rPr>
      </w:pPr>
    </w:p>
    <w:p w14:paraId="06D0E035">
      <w:pPr>
        <w:overflowPunct w:val="0"/>
        <w:autoSpaceDE w:val="0"/>
        <w:autoSpaceDN w:val="0"/>
        <w:adjustRightInd w:val="0"/>
        <w:snapToGrid w:val="0"/>
        <w:spacing w:line="400" w:lineRule="exact"/>
        <w:ind w:firstLine="649" w:firstLineChars="202"/>
        <w:jc w:val="center"/>
        <w:textAlignment w:val="bottom"/>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12074A14">
      <w:pPr>
        <w:overflowPunct w:val="0"/>
        <w:autoSpaceDE w:val="0"/>
        <w:autoSpaceDN w:val="0"/>
        <w:adjustRightInd w:val="0"/>
        <w:snapToGrid w:val="0"/>
        <w:spacing w:line="400" w:lineRule="exact"/>
        <w:ind w:firstLine="426" w:firstLineChars="202"/>
        <w:textAlignment w:val="bottom"/>
        <w:rPr>
          <w:rFonts w:ascii="宋体" w:cs="宋体"/>
          <w:b/>
          <w:color w:val="auto"/>
          <w:szCs w:val="21"/>
          <w:highlight w:val="none"/>
        </w:rPr>
      </w:pPr>
      <w:r>
        <w:rPr>
          <w:rFonts w:hint="eastAsia" w:ascii="宋体" w:hAnsi="宋体" w:cs="宋体"/>
          <w:b/>
          <w:color w:val="auto"/>
          <w:szCs w:val="21"/>
          <w:highlight w:val="none"/>
        </w:rPr>
        <w:t>商务技术文件</w:t>
      </w:r>
    </w:p>
    <w:p w14:paraId="629A117B">
      <w:pPr>
        <w:numPr>
          <w:ilvl w:val="0"/>
          <w:numId w:val="8"/>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磋商声明书（格式见附件）；</w:t>
      </w:r>
    </w:p>
    <w:p w14:paraId="717ED487">
      <w:pPr>
        <w:numPr>
          <w:ilvl w:val="0"/>
          <w:numId w:val="8"/>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营业执照复印件；</w:t>
      </w:r>
    </w:p>
    <w:p w14:paraId="240EAF8A">
      <w:pPr>
        <w:numPr>
          <w:ilvl w:val="0"/>
          <w:numId w:val="8"/>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供应商情况一览表（格式见附件）；</w:t>
      </w:r>
    </w:p>
    <w:p w14:paraId="24E56323">
      <w:pPr>
        <w:numPr>
          <w:ilvl w:val="0"/>
          <w:numId w:val="8"/>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成功案例及业绩（同类项目实施情况一览表）（格式见附件）；</w:t>
      </w:r>
    </w:p>
    <w:p w14:paraId="59529F12">
      <w:pPr>
        <w:numPr>
          <w:ilvl w:val="0"/>
          <w:numId w:val="8"/>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商务响应表（格式见附件）；</w:t>
      </w:r>
    </w:p>
    <w:p w14:paraId="40714F14">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lang w:eastAsia="zh-CN"/>
        </w:rPr>
        <w:t>服务</w:t>
      </w:r>
      <w:r>
        <w:rPr>
          <w:rFonts w:hint="eastAsia" w:ascii="宋体" w:hAnsi="宋体" w:cs="宋体"/>
          <w:bCs/>
          <w:color w:val="auto"/>
          <w:szCs w:val="21"/>
          <w:highlight w:val="none"/>
        </w:rPr>
        <w:t>响应表（格式见附件）；</w:t>
      </w:r>
    </w:p>
    <w:p w14:paraId="489666AB">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总承包管理方案</w:t>
      </w:r>
      <w:r>
        <w:rPr>
          <w:rFonts w:hint="eastAsia" w:ascii="宋体" w:hAnsi="宋体" w:cs="宋体"/>
          <w:bCs/>
          <w:color w:val="auto"/>
          <w:szCs w:val="21"/>
          <w:highlight w:val="none"/>
        </w:rPr>
        <w:t>；</w:t>
      </w:r>
    </w:p>
    <w:p w14:paraId="655DE7EF">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sz w:val="21"/>
          <w:szCs w:val="21"/>
          <w:highlight w:val="none"/>
        </w:rPr>
        <w:t>施工技术方案及</w:t>
      </w:r>
      <w:r>
        <w:rPr>
          <w:rFonts w:hint="eastAsia" w:ascii="宋体" w:hAnsi="宋体" w:eastAsia="宋体" w:cs="宋体"/>
          <w:color w:val="auto"/>
          <w:sz w:val="21"/>
          <w:szCs w:val="21"/>
          <w:highlight w:val="none"/>
          <w:lang w:eastAsia="zh-CN"/>
        </w:rPr>
        <w:t>关键</w:t>
      </w:r>
      <w:r>
        <w:rPr>
          <w:rFonts w:hint="eastAsia" w:ascii="宋体" w:hAnsi="宋体" w:eastAsia="宋体" w:cs="宋体"/>
          <w:color w:val="auto"/>
          <w:sz w:val="21"/>
          <w:szCs w:val="21"/>
          <w:highlight w:val="none"/>
        </w:rPr>
        <w:t>部位技术措施</w:t>
      </w:r>
      <w:r>
        <w:rPr>
          <w:rFonts w:hint="eastAsia" w:ascii="宋体" w:hAnsi="宋体" w:cs="宋体"/>
          <w:color w:val="auto"/>
          <w:szCs w:val="21"/>
          <w:highlight w:val="none"/>
        </w:rPr>
        <w:t>；</w:t>
      </w:r>
    </w:p>
    <w:p w14:paraId="0E038426">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sz w:val="21"/>
          <w:szCs w:val="21"/>
          <w:highlight w:val="none"/>
        </w:rPr>
        <w:t>质量和安全文明</w:t>
      </w:r>
      <w:r>
        <w:rPr>
          <w:rFonts w:hint="eastAsia" w:ascii="宋体" w:hAnsi="宋体"/>
          <w:color w:val="auto"/>
          <w:szCs w:val="21"/>
          <w:highlight w:val="none"/>
        </w:rPr>
        <w:t>；</w:t>
      </w:r>
    </w:p>
    <w:p w14:paraId="73292DA3">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sz w:val="21"/>
          <w:szCs w:val="21"/>
          <w:highlight w:val="none"/>
        </w:rPr>
        <w:t>工期保证措施及</w:t>
      </w:r>
      <w:r>
        <w:rPr>
          <w:rFonts w:hint="eastAsia" w:ascii="宋体" w:hAnsi="宋体" w:cs="宋体"/>
          <w:color w:val="auto"/>
          <w:szCs w:val="21"/>
          <w:highlight w:val="none"/>
        </w:rPr>
        <w:t>；</w:t>
      </w:r>
    </w:p>
    <w:p w14:paraId="4AE46A7D">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highlight w:val="none"/>
          <w:lang w:val="zh-TW" w:eastAsia="zh-TW"/>
        </w:rPr>
        <w:t>项目重点、难点问题</w:t>
      </w:r>
      <w:r>
        <w:rPr>
          <w:rFonts w:hint="eastAsia" w:ascii="宋体" w:hAnsi="宋体" w:cs="宋体"/>
          <w:bCs/>
          <w:color w:val="auto"/>
          <w:szCs w:val="21"/>
          <w:highlight w:val="none"/>
        </w:rPr>
        <w:t>；</w:t>
      </w:r>
    </w:p>
    <w:p w14:paraId="7E97C0BD">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b w:val="0"/>
          <w:bCs/>
          <w:color w:val="auto"/>
          <w:highlight w:val="none"/>
          <w:lang w:val="zh-TW" w:eastAsia="zh-TW"/>
        </w:rPr>
        <w:t>设计说明</w:t>
      </w:r>
      <w:r>
        <w:rPr>
          <w:rFonts w:hint="eastAsia" w:ascii="宋体" w:hAnsi="宋体" w:cs="宋体"/>
          <w:b w:val="0"/>
          <w:bCs/>
          <w:color w:val="auto"/>
          <w:highlight w:val="none"/>
          <w:lang w:val="zh-TW" w:eastAsia="zh-CN"/>
        </w:rPr>
        <w:t>；</w:t>
      </w:r>
    </w:p>
    <w:p w14:paraId="7534515F">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仿宋"/>
          <w:bCs/>
          <w:color w:val="auto"/>
          <w:szCs w:val="21"/>
          <w:highlight w:val="none"/>
          <w:lang w:eastAsia="zh-CN"/>
        </w:rPr>
        <w:t>设计方案；</w:t>
      </w:r>
    </w:p>
    <w:p w14:paraId="22A8A068">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初步预算</w:t>
      </w:r>
      <w:r>
        <w:rPr>
          <w:rFonts w:hint="eastAsia" w:ascii="宋体" w:hAnsi="宋体" w:eastAsia="宋体" w:cs="宋体"/>
          <w:color w:val="auto"/>
          <w:sz w:val="21"/>
          <w:szCs w:val="21"/>
          <w:highlight w:val="none"/>
        </w:rPr>
        <w:t>及说明</w:t>
      </w:r>
      <w:r>
        <w:rPr>
          <w:rFonts w:hint="eastAsia" w:ascii="宋体" w:hAnsi="宋体" w:cs="宋体"/>
          <w:color w:val="auto"/>
          <w:sz w:val="21"/>
          <w:szCs w:val="21"/>
          <w:highlight w:val="none"/>
          <w:lang w:eastAsia="zh-CN"/>
        </w:rPr>
        <w:t>；</w:t>
      </w:r>
    </w:p>
    <w:p w14:paraId="21676221">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仿宋"/>
          <w:bCs/>
          <w:color w:val="auto"/>
          <w:kern w:val="2"/>
          <w:sz w:val="21"/>
          <w:szCs w:val="21"/>
          <w:highlight w:val="none"/>
          <w:lang w:val="en-US" w:eastAsia="zh-CN" w:bidi="ar-SA"/>
        </w:rPr>
        <w:t>认证体系</w:t>
      </w:r>
      <w:r>
        <w:rPr>
          <w:rFonts w:hint="eastAsia" w:ascii="宋体" w:hAnsi="宋体" w:cs="仿宋"/>
          <w:bCs/>
          <w:color w:val="auto"/>
          <w:kern w:val="2"/>
          <w:sz w:val="21"/>
          <w:szCs w:val="21"/>
          <w:highlight w:val="none"/>
          <w:lang w:val="en-US" w:eastAsia="zh-CN" w:bidi="ar-SA"/>
        </w:rPr>
        <w:t>；</w:t>
      </w:r>
    </w:p>
    <w:p w14:paraId="274F8C21">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项目实施人员一览表（格式见附件）；</w:t>
      </w:r>
    </w:p>
    <w:p w14:paraId="6ABD07CD">
      <w:pPr>
        <w:numPr>
          <w:ilvl w:val="0"/>
          <w:numId w:val="8"/>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采购文件要求的及供应商认为可能需要的其他文件资料。</w:t>
      </w:r>
    </w:p>
    <w:p w14:paraId="11750D93">
      <w:pPr>
        <w:overflowPunct w:val="0"/>
        <w:autoSpaceDE w:val="0"/>
        <w:autoSpaceDN w:val="0"/>
        <w:snapToGrid w:val="0"/>
        <w:spacing w:line="400" w:lineRule="exact"/>
        <w:textAlignment w:val="bottom"/>
        <w:rPr>
          <w:rFonts w:ascii="宋体" w:cs="宋体"/>
          <w:color w:val="auto"/>
          <w:szCs w:val="21"/>
          <w:highlight w:val="none"/>
        </w:rPr>
      </w:pPr>
    </w:p>
    <w:p w14:paraId="294D709B">
      <w:pPr>
        <w:overflowPunct w:val="0"/>
        <w:rPr>
          <w:rFonts w:ascii="宋体" w:cs="宋体"/>
          <w:color w:val="auto"/>
          <w:highlight w:val="none"/>
        </w:rPr>
      </w:pPr>
    </w:p>
    <w:p w14:paraId="1AE6D6E2">
      <w:pPr>
        <w:overflowPunct w:val="0"/>
        <w:spacing w:line="400" w:lineRule="exact"/>
        <w:jc w:val="left"/>
        <w:rPr>
          <w:rFonts w:ascii="宋体" w:cs="宋体"/>
          <w:color w:val="auto"/>
          <w:sz w:val="28"/>
          <w:szCs w:val="28"/>
          <w:highlight w:val="none"/>
        </w:rPr>
      </w:pPr>
    </w:p>
    <w:p w14:paraId="1598BFCB">
      <w:pPr>
        <w:overflowPunct w:val="0"/>
        <w:spacing w:line="400" w:lineRule="exact"/>
        <w:jc w:val="left"/>
        <w:rPr>
          <w:rFonts w:ascii="宋体" w:cs="宋体"/>
          <w:color w:val="auto"/>
          <w:sz w:val="28"/>
          <w:szCs w:val="28"/>
          <w:highlight w:val="none"/>
        </w:rPr>
      </w:pPr>
    </w:p>
    <w:p w14:paraId="7FAA8A4B">
      <w:pPr>
        <w:pStyle w:val="74"/>
        <w:spacing w:before="156"/>
        <w:ind w:firstLine="0"/>
        <w:rPr>
          <w:rFonts w:ascii="宋体" w:cs="宋体"/>
          <w:color w:val="auto"/>
          <w:sz w:val="28"/>
          <w:szCs w:val="28"/>
          <w:highlight w:val="none"/>
        </w:rPr>
      </w:pPr>
    </w:p>
    <w:p w14:paraId="61C79A67">
      <w:pPr>
        <w:pStyle w:val="74"/>
        <w:spacing w:before="156"/>
        <w:ind w:firstLine="0"/>
        <w:rPr>
          <w:rFonts w:ascii="宋体" w:cs="宋体"/>
          <w:color w:val="auto"/>
          <w:sz w:val="28"/>
          <w:szCs w:val="28"/>
          <w:highlight w:val="none"/>
        </w:rPr>
      </w:pPr>
    </w:p>
    <w:p w14:paraId="7E960650">
      <w:pPr>
        <w:pStyle w:val="74"/>
        <w:spacing w:before="156"/>
        <w:ind w:firstLine="0"/>
        <w:rPr>
          <w:rFonts w:ascii="宋体" w:cs="宋体"/>
          <w:color w:val="auto"/>
          <w:sz w:val="28"/>
          <w:szCs w:val="28"/>
          <w:highlight w:val="none"/>
        </w:rPr>
      </w:pPr>
    </w:p>
    <w:p w14:paraId="17981490">
      <w:pPr>
        <w:pStyle w:val="74"/>
        <w:spacing w:before="156"/>
        <w:ind w:firstLine="0"/>
        <w:rPr>
          <w:rFonts w:ascii="宋体" w:cs="宋体"/>
          <w:color w:val="auto"/>
          <w:sz w:val="28"/>
          <w:szCs w:val="28"/>
          <w:highlight w:val="none"/>
        </w:rPr>
      </w:pPr>
    </w:p>
    <w:p w14:paraId="19283663">
      <w:pPr>
        <w:pStyle w:val="74"/>
        <w:spacing w:before="156"/>
        <w:ind w:firstLine="0"/>
        <w:rPr>
          <w:rFonts w:ascii="宋体" w:cs="宋体"/>
          <w:color w:val="auto"/>
          <w:sz w:val="28"/>
          <w:szCs w:val="28"/>
          <w:highlight w:val="none"/>
        </w:rPr>
      </w:pPr>
    </w:p>
    <w:p w14:paraId="13AFB114">
      <w:pPr>
        <w:pStyle w:val="74"/>
        <w:spacing w:before="156"/>
        <w:ind w:firstLine="0"/>
        <w:rPr>
          <w:rFonts w:ascii="宋体" w:cs="宋体"/>
          <w:color w:val="auto"/>
          <w:sz w:val="28"/>
          <w:szCs w:val="28"/>
          <w:highlight w:val="none"/>
        </w:rPr>
      </w:pPr>
    </w:p>
    <w:p w14:paraId="0636ED1A">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rPr>
        <w:t>7、磋商声明书</w:t>
      </w:r>
    </w:p>
    <w:p w14:paraId="4A3A0679">
      <w:pPr>
        <w:overflowPunct w:val="0"/>
        <w:spacing w:line="360" w:lineRule="auto"/>
        <w:jc w:val="center"/>
        <w:rPr>
          <w:rFonts w:ascii="宋体" w:cs="宋体"/>
          <w:b/>
          <w:color w:val="auto"/>
          <w:sz w:val="28"/>
          <w:szCs w:val="28"/>
          <w:highlight w:val="none"/>
        </w:rPr>
      </w:pPr>
      <w:bookmarkStart w:id="196" w:name="_Toc414960388"/>
      <w:r>
        <w:rPr>
          <w:rFonts w:hint="eastAsia" w:ascii="宋体" w:hAnsi="宋体" w:cs="宋体"/>
          <w:b/>
          <w:color w:val="auto"/>
          <w:sz w:val="28"/>
          <w:szCs w:val="28"/>
          <w:highlight w:val="none"/>
        </w:rPr>
        <w:t>磋商声明书</w:t>
      </w:r>
      <w:bookmarkEnd w:id="196"/>
    </w:p>
    <w:p w14:paraId="4C8FF8ED">
      <w:pPr>
        <w:overflowPunct w:val="0"/>
        <w:spacing w:line="400" w:lineRule="exact"/>
        <w:rPr>
          <w:rFonts w:ascii="宋体" w:cs="宋体"/>
          <w:color w:val="auto"/>
          <w:szCs w:val="21"/>
          <w:highlight w:val="none"/>
          <w:u w:val="single"/>
        </w:rPr>
      </w:pPr>
      <w:r>
        <w:rPr>
          <w:rFonts w:hint="eastAsia" w:ascii="宋体" w:hAnsi="宋体" w:cs="宋体"/>
          <w:color w:val="auto"/>
          <w:szCs w:val="21"/>
          <w:highlight w:val="none"/>
          <w:u w:val="singl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14:paraId="6AEA71E8">
      <w:pPr>
        <w:overflowPunct w:val="0"/>
        <w:spacing w:line="400" w:lineRule="exact"/>
        <w:ind w:firstLine="420" w:firstLineChars="200"/>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（供应商全称）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授权</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（授权代表名称、职务、职称）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为本公司授权代表，参加贵方组织的</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项目名称（项目编号）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竞争性磋商有关活动，进行磋商。为此</w:t>
      </w:r>
      <w:r>
        <w:rPr>
          <w:rFonts w:hint="eastAsia" w:ascii="宋体" w:hAnsi="宋体" w:cs="宋体"/>
          <w:color w:val="auto"/>
          <w:szCs w:val="21"/>
          <w:highlight w:val="none"/>
          <w:lang w:val="zh-CN"/>
        </w:rPr>
        <w:t>承诺如下</w:t>
      </w:r>
      <w:r>
        <w:rPr>
          <w:rFonts w:hint="eastAsia" w:ascii="宋体" w:hAnsi="宋体" w:cs="宋体"/>
          <w:color w:val="auto"/>
          <w:szCs w:val="21"/>
          <w:highlight w:val="none"/>
        </w:rPr>
        <w:t>：</w:t>
      </w:r>
    </w:p>
    <w:p w14:paraId="0F3A66D2">
      <w:pPr>
        <w:overflowPunct w:val="0"/>
        <w:spacing w:line="400" w:lineRule="exact"/>
        <w:ind w:firstLine="420" w:firstLineChars="200"/>
        <w:rPr>
          <w:rFonts w:asci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、按照磋商文件要求制作并提交规定的资格证明文件，商务技术文件。</w:t>
      </w:r>
    </w:p>
    <w:p w14:paraId="5211506B">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、本项目负责人：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2687620">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、保证遵守磋商文件中的有关规定和收费标准。</w:t>
      </w:r>
    </w:p>
    <w:p w14:paraId="5B9D0A12">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、保证严格执行甲、乙双方所签的合同，并承担全部规定的责任义务。</w:t>
      </w:r>
    </w:p>
    <w:p w14:paraId="5906916B">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、我们已详细审查全部磋商文件，包括磋商补充文件（如果有的话）。我们完全理解并同意放弃对这方面有不明及误解的权力。</w:t>
      </w:r>
    </w:p>
    <w:p w14:paraId="60C01006">
      <w:pPr>
        <w:overflowPunct w:val="0"/>
        <w:spacing w:line="46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、我们已对项目现场进行实地踏勘，充分了解项目要求。</w:t>
      </w:r>
    </w:p>
    <w:p w14:paraId="75EF54A4">
      <w:pPr>
        <w:overflowPunct w:val="0"/>
        <w:spacing w:line="46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、愿意向贵方提供任何与该项目有关的数据、情况和技术资料，完全理解贵方不一定接受最低价成交的决定。</w:t>
      </w:r>
    </w:p>
    <w:p w14:paraId="7877AB9E">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、本文件自磋商之日起</w:t>
      </w:r>
      <w:r>
        <w:rPr>
          <w:rFonts w:ascii="宋体" w:hAnsi="宋体" w:cs="宋体"/>
          <w:color w:val="auto"/>
          <w:szCs w:val="21"/>
          <w:highlight w:val="none"/>
          <w:u w:val="single"/>
        </w:rPr>
        <w:t xml:space="preserve"> 90 </w:t>
      </w:r>
      <w:r>
        <w:rPr>
          <w:rFonts w:hint="eastAsia" w:ascii="宋体" w:hAnsi="宋体" w:cs="宋体"/>
          <w:color w:val="auto"/>
          <w:szCs w:val="21"/>
          <w:highlight w:val="none"/>
        </w:rPr>
        <w:t>天内有效。</w:t>
      </w:r>
    </w:p>
    <w:p w14:paraId="6FF387F0">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、与本项目有关的一切往来通讯请寄：</w:t>
      </w:r>
    </w:p>
    <w:p w14:paraId="280DA485">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地址：</w:t>
      </w:r>
      <w:r>
        <w:rPr>
          <w:rFonts w:ascii="宋体" w:hAnsi="宋体" w:cs="宋体"/>
          <w:color w:val="auto"/>
          <w:szCs w:val="21"/>
          <w:highlight w:val="none"/>
          <w:u w:val="single"/>
        </w:rPr>
        <w:t xml:space="preserve">                               </w:t>
      </w:r>
    </w:p>
    <w:p w14:paraId="18C762E6">
      <w:pPr>
        <w:overflowPunct w:val="0"/>
        <w:spacing w:line="400" w:lineRule="exact"/>
        <w:ind w:firstLine="420" w:firstLineChars="200"/>
        <w:rPr>
          <w:rFonts w:ascii="宋体" w:cs="宋体"/>
          <w:color w:val="auto"/>
          <w:szCs w:val="21"/>
          <w:highlight w:val="none"/>
          <w:u w:val="single"/>
        </w:rPr>
      </w:pPr>
      <w:r>
        <w:rPr>
          <w:rFonts w:hint="eastAsia" w:ascii="宋体" w:hAnsi="宋体" w:cs="宋体"/>
          <w:color w:val="auto"/>
          <w:szCs w:val="21"/>
          <w:highlight w:val="none"/>
        </w:rPr>
        <w:t>邮编：</w:t>
      </w:r>
      <w:r>
        <w:rPr>
          <w:rFonts w:ascii="宋体" w:hAnsi="宋体" w:cs="宋体"/>
          <w:color w:val="auto"/>
          <w:szCs w:val="21"/>
          <w:highlight w:val="none"/>
          <w:u w:val="single"/>
        </w:rPr>
        <w:t xml:space="preserve">              </w:t>
      </w: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p>
    <w:p w14:paraId="0DF01791">
      <w:pPr>
        <w:pStyle w:val="14"/>
        <w:widowControl w:val="0"/>
        <w:overflowPunct w:val="0"/>
        <w:spacing w:line="460" w:lineRule="atLeast"/>
        <w:jc w:val="center"/>
        <w:rPr>
          <w:rFonts w:cs="宋体"/>
          <w:color w:val="auto"/>
          <w:highlight w:val="none"/>
        </w:rPr>
      </w:pPr>
    </w:p>
    <w:p w14:paraId="3CCE4A0E">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232BB0D6">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12E9F5F5">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096A52A9">
      <w:pPr>
        <w:overflowPunct w:val="0"/>
        <w:ind w:firstLine="315" w:firstLineChars="150"/>
        <w:rPr>
          <w:rFonts w:ascii="宋体" w:cs="宋体"/>
          <w:color w:val="auto"/>
          <w:highlight w:val="none"/>
        </w:rPr>
      </w:pPr>
    </w:p>
    <w:p w14:paraId="3882ECCA">
      <w:pPr>
        <w:overflowPunct w:val="0"/>
        <w:spacing w:line="400" w:lineRule="exact"/>
        <w:jc w:val="left"/>
        <w:rPr>
          <w:rFonts w:ascii="宋体" w:cs="宋体"/>
          <w:color w:val="auto"/>
          <w:sz w:val="28"/>
          <w:szCs w:val="28"/>
          <w:highlight w:val="none"/>
        </w:rPr>
      </w:pPr>
    </w:p>
    <w:p w14:paraId="6537B6FE">
      <w:pPr>
        <w:overflowPunct w:val="0"/>
        <w:spacing w:line="400" w:lineRule="exact"/>
        <w:jc w:val="left"/>
        <w:rPr>
          <w:rFonts w:ascii="宋体" w:cs="宋体"/>
          <w:color w:val="auto"/>
          <w:sz w:val="28"/>
          <w:szCs w:val="28"/>
          <w:highlight w:val="none"/>
        </w:rPr>
      </w:pPr>
    </w:p>
    <w:p w14:paraId="5BDADA92">
      <w:pPr>
        <w:overflowPunct w:val="0"/>
        <w:spacing w:line="400" w:lineRule="exact"/>
        <w:jc w:val="left"/>
        <w:rPr>
          <w:rFonts w:ascii="宋体" w:cs="宋体"/>
          <w:color w:val="auto"/>
          <w:sz w:val="28"/>
          <w:szCs w:val="28"/>
          <w:highlight w:val="none"/>
        </w:rPr>
      </w:pPr>
    </w:p>
    <w:p w14:paraId="617A9A5E">
      <w:pPr>
        <w:overflowPunct w:val="0"/>
        <w:spacing w:line="400" w:lineRule="exact"/>
        <w:jc w:val="left"/>
        <w:rPr>
          <w:rFonts w:ascii="宋体" w:cs="宋体"/>
          <w:color w:val="auto"/>
          <w:sz w:val="28"/>
          <w:szCs w:val="28"/>
          <w:highlight w:val="none"/>
        </w:rPr>
      </w:pPr>
    </w:p>
    <w:p w14:paraId="6A745949">
      <w:pPr>
        <w:pStyle w:val="11"/>
        <w:rPr>
          <w:color w:val="auto"/>
          <w:sz w:val="28"/>
          <w:szCs w:val="28"/>
          <w:highlight w:val="none"/>
        </w:rPr>
      </w:pPr>
    </w:p>
    <w:p w14:paraId="334639EF">
      <w:pPr>
        <w:pStyle w:val="11"/>
        <w:rPr>
          <w:color w:val="auto"/>
          <w:sz w:val="28"/>
          <w:szCs w:val="28"/>
          <w:highlight w:val="none"/>
        </w:rPr>
      </w:pPr>
    </w:p>
    <w:p w14:paraId="26A8AD08">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rPr>
        <w:t>8、供应商的情况一览表</w:t>
      </w:r>
    </w:p>
    <w:p w14:paraId="16CAFCA0">
      <w:pPr>
        <w:overflowPunct w:val="0"/>
        <w:adjustRightInd w:val="0"/>
        <w:snapToGrid w:val="0"/>
        <w:spacing w:line="360" w:lineRule="auto"/>
        <w:jc w:val="center"/>
        <w:rPr>
          <w:rFonts w:ascii="宋体" w:cs="宋体"/>
          <w:b/>
          <w:bCs/>
          <w:color w:val="auto"/>
          <w:kern w:val="0"/>
          <w:sz w:val="28"/>
          <w:szCs w:val="28"/>
          <w:highlight w:val="none"/>
        </w:rPr>
      </w:pPr>
    </w:p>
    <w:p w14:paraId="222842F2">
      <w:pPr>
        <w:overflowPunct w:val="0"/>
        <w:adjustRightInd w:val="0"/>
        <w:snapToGrid w:val="0"/>
        <w:spacing w:line="360" w:lineRule="auto"/>
        <w:jc w:val="center"/>
        <w:rPr>
          <w:rFonts w:ascii="宋体" w:cs="宋体"/>
          <w:b/>
          <w:color w:val="auto"/>
          <w:sz w:val="28"/>
          <w:szCs w:val="28"/>
          <w:highlight w:val="none"/>
        </w:rPr>
      </w:pPr>
      <w:r>
        <w:rPr>
          <w:rFonts w:hint="eastAsia" w:ascii="宋体" w:hAnsi="宋体" w:cs="宋体"/>
          <w:b/>
          <w:bCs/>
          <w:color w:val="auto"/>
          <w:kern w:val="0"/>
          <w:sz w:val="28"/>
          <w:szCs w:val="28"/>
          <w:highlight w:val="none"/>
        </w:rPr>
        <w:t>供应商</w:t>
      </w:r>
      <w:r>
        <w:rPr>
          <w:rFonts w:hint="eastAsia" w:ascii="宋体" w:hAnsi="宋体" w:cs="宋体"/>
          <w:b/>
          <w:color w:val="auto"/>
          <w:sz w:val="28"/>
          <w:szCs w:val="28"/>
          <w:highlight w:val="none"/>
        </w:rPr>
        <w:t>情况一览表</w:t>
      </w:r>
    </w:p>
    <w:tbl>
      <w:tblPr>
        <w:tblStyle w:val="30"/>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369"/>
      </w:tblGrid>
      <w:tr w14:paraId="5A6F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02415D93">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供应商名称</w:t>
            </w:r>
          </w:p>
        </w:tc>
        <w:tc>
          <w:tcPr>
            <w:tcW w:w="4986" w:type="dxa"/>
            <w:gridSpan w:val="3"/>
            <w:vAlign w:val="center"/>
          </w:tcPr>
          <w:p w14:paraId="6BCA339D">
            <w:pPr>
              <w:overflowPunct w:val="0"/>
              <w:spacing w:line="240" w:lineRule="atLeast"/>
              <w:rPr>
                <w:rFonts w:ascii="宋体" w:cs="宋体"/>
                <w:color w:val="auto"/>
                <w:szCs w:val="21"/>
                <w:highlight w:val="none"/>
              </w:rPr>
            </w:pPr>
          </w:p>
        </w:tc>
      </w:tr>
      <w:tr w14:paraId="37C3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4BAEE63A">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地址、邮编</w:t>
            </w:r>
          </w:p>
        </w:tc>
        <w:tc>
          <w:tcPr>
            <w:tcW w:w="4986" w:type="dxa"/>
            <w:gridSpan w:val="3"/>
            <w:vAlign w:val="center"/>
          </w:tcPr>
          <w:p w14:paraId="74BA7FB0">
            <w:pPr>
              <w:overflowPunct w:val="0"/>
              <w:spacing w:line="240" w:lineRule="atLeast"/>
              <w:rPr>
                <w:rFonts w:ascii="宋体" w:cs="宋体"/>
                <w:color w:val="auto"/>
                <w:szCs w:val="21"/>
                <w:highlight w:val="none"/>
              </w:rPr>
            </w:pPr>
          </w:p>
        </w:tc>
      </w:tr>
      <w:tr w14:paraId="5975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585C910D">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主要业务范围</w:t>
            </w:r>
          </w:p>
        </w:tc>
        <w:tc>
          <w:tcPr>
            <w:tcW w:w="4986" w:type="dxa"/>
            <w:gridSpan w:val="3"/>
            <w:vAlign w:val="center"/>
          </w:tcPr>
          <w:p w14:paraId="32DEDD9D">
            <w:pPr>
              <w:overflowPunct w:val="0"/>
              <w:spacing w:line="240" w:lineRule="atLeast"/>
              <w:rPr>
                <w:rFonts w:ascii="宋体" w:cs="宋体"/>
                <w:color w:val="auto"/>
                <w:szCs w:val="21"/>
                <w:highlight w:val="none"/>
              </w:rPr>
            </w:pPr>
          </w:p>
        </w:tc>
      </w:tr>
      <w:tr w14:paraId="3B0F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57CBC007">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成立时间</w:t>
            </w:r>
          </w:p>
        </w:tc>
        <w:tc>
          <w:tcPr>
            <w:tcW w:w="4986" w:type="dxa"/>
            <w:gridSpan w:val="3"/>
            <w:vAlign w:val="center"/>
          </w:tcPr>
          <w:p w14:paraId="38052C5A">
            <w:pPr>
              <w:overflowPunct w:val="0"/>
              <w:spacing w:line="240" w:lineRule="atLeast"/>
              <w:rPr>
                <w:rFonts w:ascii="宋体" w:cs="宋体"/>
                <w:color w:val="auto"/>
                <w:szCs w:val="21"/>
                <w:highlight w:val="none"/>
              </w:rPr>
            </w:pPr>
          </w:p>
        </w:tc>
      </w:tr>
      <w:tr w14:paraId="1245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7" w:type="dxa"/>
            <w:gridSpan w:val="6"/>
            <w:vAlign w:val="center"/>
          </w:tcPr>
          <w:p w14:paraId="40160D82">
            <w:pPr>
              <w:overflowPunct w:val="0"/>
              <w:spacing w:line="240" w:lineRule="atLeast"/>
              <w:rPr>
                <w:rFonts w:ascii="宋体" w:cs="宋体"/>
                <w:color w:val="auto"/>
                <w:szCs w:val="21"/>
                <w:highlight w:val="none"/>
              </w:rPr>
            </w:pPr>
            <w:r>
              <w:rPr>
                <w:rFonts w:hint="eastAsia" w:ascii="宋体" w:hAnsi="宋体" w:cs="宋体"/>
                <w:color w:val="auto"/>
                <w:szCs w:val="21"/>
                <w:highlight w:val="none"/>
              </w:rPr>
              <w:t>领导班子构成情况</w:t>
            </w:r>
          </w:p>
        </w:tc>
      </w:tr>
      <w:tr w14:paraId="6F4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Align w:val="center"/>
          </w:tcPr>
          <w:p w14:paraId="1A512C84">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法人代表</w:t>
            </w:r>
          </w:p>
        </w:tc>
        <w:tc>
          <w:tcPr>
            <w:tcW w:w="1720" w:type="dxa"/>
            <w:vAlign w:val="center"/>
          </w:tcPr>
          <w:p w14:paraId="04AFC728">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公司经理</w:t>
            </w:r>
          </w:p>
        </w:tc>
        <w:tc>
          <w:tcPr>
            <w:tcW w:w="1859" w:type="dxa"/>
            <w:vAlign w:val="center"/>
          </w:tcPr>
          <w:p w14:paraId="19D498AF">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总工程师</w:t>
            </w:r>
          </w:p>
        </w:tc>
        <w:tc>
          <w:tcPr>
            <w:tcW w:w="1758" w:type="dxa"/>
            <w:vAlign w:val="center"/>
          </w:tcPr>
          <w:p w14:paraId="49E5788A">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总经济师</w:t>
            </w:r>
          </w:p>
        </w:tc>
        <w:tc>
          <w:tcPr>
            <w:tcW w:w="1369" w:type="dxa"/>
            <w:vAlign w:val="center"/>
          </w:tcPr>
          <w:p w14:paraId="4A1E30C0">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总会计师</w:t>
            </w:r>
          </w:p>
        </w:tc>
      </w:tr>
      <w:tr w14:paraId="1D07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Align w:val="center"/>
          </w:tcPr>
          <w:p w14:paraId="1DC41B7E">
            <w:pPr>
              <w:overflowPunct w:val="0"/>
              <w:spacing w:line="240" w:lineRule="atLeast"/>
              <w:rPr>
                <w:rFonts w:ascii="宋体" w:cs="宋体"/>
                <w:color w:val="auto"/>
                <w:szCs w:val="21"/>
                <w:highlight w:val="none"/>
              </w:rPr>
            </w:pPr>
          </w:p>
        </w:tc>
        <w:tc>
          <w:tcPr>
            <w:tcW w:w="1720" w:type="dxa"/>
            <w:vAlign w:val="center"/>
          </w:tcPr>
          <w:p w14:paraId="7BBE76FC">
            <w:pPr>
              <w:overflowPunct w:val="0"/>
              <w:spacing w:line="240" w:lineRule="atLeast"/>
              <w:rPr>
                <w:rFonts w:ascii="宋体" w:cs="宋体"/>
                <w:color w:val="auto"/>
                <w:szCs w:val="21"/>
                <w:highlight w:val="none"/>
              </w:rPr>
            </w:pPr>
          </w:p>
        </w:tc>
        <w:tc>
          <w:tcPr>
            <w:tcW w:w="1859" w:type="dxa"/>
            <w:vAlign w:val="center"/>
          </w:tcPr>
          <w:p w14:paraId="26D30551">
            <w:pPr>
              <w:overflowPunct w:val="0"/>
              <w:spacing w:line="240" w:lineRule="atLeast"/>
              <w:rPr>
                <w:rFonts w:ascii="宋体" w:cs="宋体"/>
                <w:color w:val="auto"/>
                <w:szCs w:val="21"/>
                <w:highlight w:val="none"/>
              </w:rPr>
            </w:pPr>
          </w:p>
        </w:tc>
        <w:tc>
          <w:tcPr>
            <w:tcW w:w="1758" w:type="dxa"/>
            <w:vAlign w:val="center"/>
          </w:tcPr>
          <w:p w14:paraId="441BA91B">
            <w:pPr>
              <w:overflowPunct w:val="0"/>
              <w:spacing w:line="240" w:lineRule="atLeast"/>
              <w:rPr>
                <w:rFonts w:ascii="宋体" w:cs="宋体"/>
                <w:color w:val="auto"/>
                <w:szCs w:val="21"/>
                <w:highlight w:val="none"/>
              </w:rPr>
            </w:pPr>
          </w:p>
        </w:tc>
        <w:tc>
          <w:tcPr>
            <w:tcW w:w="1369" w:type="dxa"/>
            <w:vAlign w:val="center"/>
          </w:tcPr>
          <w:p w14:paraId="2342BBE3">
            <w:pPr>
              <w:overflowPunct w:val="0"/>
              <w:spacing w:line="240" w:lineRule="atLeast"/>
              <w:rPr>
                <w:rFonts w:ascii="宋体" w:cs="宋体"/>
                <w:color w:val="auto"/>
                <w:szCs w:val="21"/>
                <w:highlight w:val="none"/>
              </w:rPr>
            </w:pPr>
          </w:p>
        </w:tc>
      </w:tr>
      <w:tr w14:paraId="14EB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7" w:type="dxa"/>
            <w:gridSpan w:val="6"/>
            <w:vAlign w:val="center"/>
          </w:tcPr>
          <w:p w14:paraId="063FB0D2">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人员职称构成情况</w:t>
            </w:r>
          </w:p>
        </w:tc>
      </w:tr>
      <w:tr w14:paraId="2BC5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restart"/>
            <w:vAlign w:val="center"/>
          </w:tcPr>
          <w:p w14:paraId="1F873364">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人员总数（人）</w:t>
            </w:r>
          </w:p>
        </w:tc>
        <w:tc>
          <w:tcPr>
            <w:tcW w:w="1720" w:type="dxa"/>
            <w:vAlign w:val="center"/>
          </w:tcPr>
          <w:p w14:paraId="62C263CC">
            <w:pPr>
              <w:overflowPunct w:val="0"/>
              <w:spacing w:line="240" w:lineRule="atLeast"/>
              <w:rPr>
                <w:rFonts w:ascii="宋体" w:cs="宋体"/>
                <w:color w:val="auto"/>
                <w:szCs w:val="21"/>
                <w:highlight w:val="none"/>
              </w:rPr>
            </w:pPr>
            <w:r>
              <w:rPr>
                <w:rFonts w:hint="eastAsia" w:ascii="宋体" w:hAnsi="宋体" w:cs="宋体"/>
                <w:color w:val="auto"/>
                <w:szCs w:val="21"/>
                <w:highlight w:val="none"/>
              </w:rPr>
              <w:t>高级职称</w:t>
            </w:r>
          </w:p>
        </w:tc>
        <w:tc>
          <w:tcPr>
            <w:tcW w:w="1859" w:type="dxa"/>
            <w:vAlign w:val="center"/>
          </w:tcPr>
          <w:p w14:paraId="0E476CAB">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中级职称</w:t>
            </w:r>
          </w:p>
        </w:tc>
        <w:tc>
          <w:tcPr>
            <w:tcW w:w="1758" w:type="dxa"/>
            <w:vAlign w:val="center"/>
          </w:tcPr>
          <w:p w14:paraId="4122686F">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初级职称</w:t>
            </w:r>
          </w:p>
        </w:tc>
        <w:tc>
          <w:tcPr>
            <w:tcW w:w="1369" w:type="dxa"/>
            <w:vAlign w:val="center"/>
          </w:tcPr>
          <w:p w14:paraId="3EE48464">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其他</w:t>
            </w:r>
          </w:p>
        </w:tc>
      </w:tr>
      <w:tr w14:paraId="48F6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continue"/>
            <w:vAlign w:val="center"/>
          </w:tcPr>
          <w:p w14:paraId="3DD8D230">
            <w:pPr>
              <w:overflowPunct w:val="0"/>
              <w:spacing w:line="240" w:lineRule="atLeast"/>
              <w:rPr>
                <w:rFonts w:ascii="宋体" w:cs="宋体"/>
                <w:color w:val="auto"/>
                <w:szCs w:val="21"/>
                <w:highlight w:val="none"/>
              </w:rPr>
            </w:pPr>
          </w:p>
        </w:tc>
        <w:tc>
          <w:tcPr>
            <w:tcW w:w="1720" w:type="dxa"/>
            <w:vAlign w:val="center"/>
          </w:tcPr>
          <w:p w14:paraId="19A3DE69">
            <w:pPr>
              <w:overflowPunct w:val="0"/>
              <w:spacing w:line="240" w:lineRule="atLeast"/>
              <w:rPr>
                <w:rFonts w:ascii="宋体" w:cs="宋体"/>
                <w:color w:val="auto"/>
                <w:szCs w:val="21"/>
                <w:highlight w:val="none"/>
              </w:rPr>
            </w:pPr>
          </w:p>
        </w:tc>
        <w:tc>
          <w:tcPr>
            <w:tcW w:w="1859" w:type="dxa"/>
            <w:vAlign w:val="center"/>
          </w:tcPr>
          <w:p w14:paraId="6E9FE510">
            <w:pPr>
              <w:overflowPunct w:val="0"/>
              <w:spacing w:line="240" w:lineRule="atLeast"/>
              <w:rPr>
                <w:rFonts w:ascii="宋体" w:cs="宋体"/>
                <w:color w:val="auto"/>
                <w:szCs w:val="21"/>
                <w:highlight w:val="none"/>
              </w:rPr>
            </w:pPr>
          </w:p>
        </w:tc>
        <w:tc>
          <w:tcPr>
            <w:tcW w:w="1758" w:type="dxa"/>
            <w:vAlign w:val="center"/>
          </w:tcPr>
          <w:p w14:paraId="75D8A93D">
            <w:pPr>
              <w:overflowPunct w:val="0"/>
              <w:spacing w:line="240" w:lineRule="atLeast"/>
              <w:rPr>
                <w:rFonts w:ascii="宋体" w:cs="宋体"/>
                <w:color w:val="auto"/>
                <w:szCs w:val="21"/>
                <w:highlight w:val="none"/>
              </w:rPr>
            </w:pPr>
          </w:p>
        </w:tc>
        <w:tc>
          <w:tcPr>
            <w:tcW w:w="1369" w:type="dxa"/>
            <w:vAlign w:val="center"/>
          </w:tcPr>
          <w:p w14:paraId="4AC43D24">
            <w:pPr>
              <w:overflowPunct w:val="0"/>
              <w:spacing w:line="240" w:lineRule="atLeast"/>
              <w:rPr>
                <w:rFonts w:ascii="宋体" w:cs="宋体"/>
                <w:color w:val="auto"/>
                <w:szCs w:val="21"/>
                <w:highlight w:val="none"/>
              </w:rPr>
            </w:pPr>
          </w:p>
        </w:tc>
      </w:tr>
      <w:tr w14:paraId="6FAC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restart"/>
            <w:vAlign w:val="center"/>
          </w:tcPr>
          <w:p w14:paraId="648EE808">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人员构成（</w:t>
            </w:r>
            <w:r>
              <w:rPr>
                <w:rFonts w:ascii="宋体" w:hAnsi="宋体" w:cs="宋体"/>
                <w:color w:val="auto"/>
                <w:szCs w:val="21"/>
                <w:highlight w:val="none"/>
              </w:rPr>
              <w:t>%</w:t>
            </w:r>
            <w:r>
              <w:rPr>
                <w:rFonts w:hint="eastAsia" w:ascii="宋体" w:hAnsi="宋体" w:cs="宋体"/>
                <w:color w:val="auto"/>
                <w:szCs w:val="21"/>
                <w:highlight w:val="none"/>
              </w:rPr>
              <w:t>）</w:t>
            </w:r>
          </w:p>
        </w:tc>
        <w:tc>
          <w:tcPr>
            <w:tcW w:w="1720" w:type="dxa"/>
            <w:vAlign w:val="center"/>
          </w:tcPr>
          <w:p w14:paraId="38F205D7">
            <w:pPr>
              <w:overflowPunct w:val="0"/>
              <w:spacing w:line="240" w:lineRule="atLeast"/>
              <w:rPr>
                <w:rFonts w:ascii="宋体" w:cs="宋体"/>
                <w:color w:val="auto"/>
                <w:szCs w:val="21"/>
                <w:highlight w:val="none"/>
              </w:rPr>
            </w:pPr>
            <w:r>
              <w:rPr>
                <w:rFonts w:hint="eastAsia" w:ascii="宋体" w:hAnsi="宋体" w:cs="宋体"/>
                <w:color w:val="auto"/>
                <w:szCs w:val="21"/>
                <w:highlight w:val="none"/>
              </w:rPr>
              <w:t>管理人员</w:t>
            </w:r>
          </w:p>
        </w:tc>
        <w:tc>
          <w:tcPr>
            <w:tcW w:w="1859" w:type="dxa"/>
            <w:vAlign w:val="center"/>
          </w:tcPr>
          <w:p w14:paraId="0DABCEF2">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技术人员</w:t>
            </w:r>
          </w:p>
        </w:tc>
        <w:tc>
          <w:tcPr>
            <w:tcW w:w="1758" w:type="dxa"/>
            <w:vAlign w:val="center"/>
          </w:tcPr>
          <w:p w14:paraId="67909A3D">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后勤人员</w:t>
            </w:r>
          </w:p>
        </w:tc>
        <w:tc>
          <w:tcPr>
            <w:tcW w:w="1369" w:type="dxa"/>
            <w:vAlign w:val="center"/>
          </w:tcPr>
          <w:p w14:paraId="61F31B91">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其他</w:t>
            </w:r>
          </w:p>
        </w:tc>
      </w:tr>
      <w:tr w14:paraId="0319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continue"/>
            <w:vAlign w:val="center"/>
          </w:tcPr>
          <w:p w14:paraId="425E67A2">
            <w:pPr>
              <w:overflowPunct w:val="0"/>
              <w:spacing w:line="240" w:lineRule="atLeast"/>
              <w:rPr>
                <w:rFonts w:ascii="宋体" w:cs="宋体"/>
                <w:color w:val="auto"/>
                <w:szCs w:val="21"/>
                <w:highlight w:val="none"/>
              </w:rPr>
            </w:pPr>
          </w:p>
        </w:tc>
        <w:tc>
          <w:tcPr>
            <w:tcW w:w="1720" w:type="dxa"/>
            <w:vAlign w:val="center"/>
          </w:tcPr>
          <w:p w14:paraId="7F937FA7">
            <w:pPr>
              <w:overflowPunct w:val="0"/>
              <w:spacing w:line="240" w:lineRule="atLeast"/>
              <w:rPr>
                <w:rFonts w:ascii="宋体" w:cs="宋体"/>
                <w:color w:val="auto"/>
                <w:szCs w:val="21"/>
                <w:highlight w:val="none"/>
              </w:rPr>
            </w:pPr>
          </w:p>
        </w:tc>
        <w:tc>
          <w:tcPr>
            <w:tcW w:w="1859" w:type="dxa"/>
            <w:vAlign w:val="center"/>
          </w:tcPr>
          <w:p w14:paraId="6B63FB1C">
            <w:pPr>
              <w:overflowPunct w:val="0"/>
              <w:spacing w:line="240" w:lineRule="atLeast"/>
              <w:rPr>
                <w:rFonts w:ascii="宋体" w:cs="宋体"/>
                <w:color w:val="auto"/>
                <w:szCs w:val="21"/>
                <w:highlight w:val="none"/>
              </w:rPr>
            </w:pPr>
          </w:p>
        </w:tc>
        <w:tc>
          <w:tcPr>
            <w:tcW w:w="1758" w:type="dxa"/>
            <w:vAlign w:val="center"/>
          </w:tcPr>
          <w:p w14:paraId="4CDBAE33">
            <w:pPr>
              <w:overflowPunct w:val="0"/>
              <w:spacing w:line="240" w:lineRule="atLeast"/>
              <w:rPr>
                <w:rFonts w:ascii="宋体" w:cs="宋体"/>
                <w:color w:val="auto"/>
                <w:szCs w:val="21"/>
                <w:highlight w:val="none"/>
              </w:rPr>
            </w:pPr>
          </w:p>
        </w:tc>
        <w:tc>
          <w:tcPr>
            <w:tcW w:w="1369" w:type="dxa"/>
            <w:vAlign w:val="center"/>
          </w:tcPr>
          <w:p w14:paraId="31DE8D30">
            <w:pPr>
              <w:overflowPunct w:val="0"/>
              <w:spacing w:line="240" w:lineRule="atLeast"/>
              <w:rPr>
                <w:rFonts w:ascii="宋体" w:cs="宋体"/>
                <w:color w:val="auto"/>
                <w:szCs w:val="21"/>
                <w:highlight w:val="none"/>
              </w:rPr>
            </w:pPr>
          </w:p>
        </w:tc>
      </w:tr>
      <w:tr w14:paraId="02F4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vAlign w:val="center"/>
          </w:tcPr>
          <w:p w14:paraId="123351AE">
            <w:pPr>
              <w:overflowPunct w:val="0"/>
              <w:rPr>
                <w:rFonts w:ascii="宋体" w:cs="宋体"/>
                <w:color w:val="auto"/>
                <w:szCs w:val="21"/>
                <w:highlight w:val="none"/>
              </w:rPr>
            </w:pPr>
            <w:r>
              <w:rPr>
                <w:rFonts w:hint="eastAsia" w:ascii="宋体" w:hAnsi="宋体" w:cs="宋体"/>
                <w:color w:val="auto"/>
                <w:szCs w:val="21"/>
                <w:highlight w:val="none"/>
              </w:rPr>
              <w:t>单位概况</w:t>
            </w:r>
          </w:p>
        </w:tc>
        <w:tc>
          <w:tcPr>
            <w:tcW w:w="7822" w:type="dxa"/>
            <w:gridSpan w:val="5"/>
            <w:vAlign w:val="center"/>
          </w:tcPr>
          <w:p w14:paraId="2A15F986">
            <w:pPr>
              <w:overflowPunct w:val="0"/>
              <w:rPr>
                <w:rFonts w:ascii="宋体" w:cs="宋体"/>
                <w:color w:val="auto"/>
                <w:szCs w:val="21"/>
                <w:highlight w:val="none"/>
              </w:rPr>
            </w:pPr>
          </w:p>
        </w:tc>
      </w:tr>
    </w:tbl>
    <w:p w14:paraId="7D04DB11">
      <w:pPr>
        <w:overflowPunct w:val="0"/>
        <w:adjustRightInd w:val="0"/>
        <w:snapToGrid w:val="0"/>
        <w:spacing w:line="360" w:lineRule="auto"/>
        <w:rPr>
          <w:rFonts w:ascii="宋体" w:cs="宋体"/>
          <w:color w:val="auto"/>
          <w:sz w:val="28"/>
          <w:szCs w:val="28"/>
          <w:highlight w:val="none"/>
        </w:rPr>
      </w:pPr>
    </w:p>
    <w:p w14:paraId="020FFEE1">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47DAE067">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33488084">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5778AB37">
      <w:pPr>
        <w:pStyle w:val="16"/>
        <w:overflowPunct w:val="0"/>
        <w:rPr>
          <w:rFonts w:ascii="宋体" w:cs="宋体"/>
          <w:color w:val="auto"/>
          <w:highlight w:val="none"/>
        </w:rPr>
      </w:pPr>
      <w:r>
        <w:rPr>
          <w:rFonts w:hint="eastAsia" w:ascii="宋体" w:hAnsi="宋体" w:cs="宋体"/>
          <w:color w:val="auto"/>
          <w:highlight w:val="none"/>
        </w:rPr>
        <w:t>说明：本表格可视情形添加或删减。除表格外，可另附文字、图片等情况加以说明。</w:t>
      </w:r>
    </w:p>
    <w:p w14:paraId="2E48251F">
      <w:pPr>
        <w:overflowPunct w:val="0"/>
        <w:spacing w:line="400" w:lineRule="exact"/>
        <w:jc w:val="left"/>
        <w:rPr>
          <w:rFonts w:hint="eastAsia" w:ascii="宋体" w:hAnsi="宋体" w:cs="宋体"/>
          <w:color w:val="auto"/>
          <w:sz w:val="28"/>
          <w:szCs w:val="28"/>
          <w:highlight w:val="none"/>
        </w:rPr>
      </w:pPr>
    </w:p>
    <w:p w14:paraId="3C6874F1">
      <w:pPr>
        <w:overflowPunct w:val="0"/>
        <w:spacing w:line="400" w:lineRule="exact"/>
        <w:jc w:val="left"/>
        <w:rPr>
          <w:rFonts w:hint="eastAsia" w:ascii="宋体" w:hAnsi="宋体" w:cs="宋体"/>
          <w:color w:val="auto"/>
          <w:sz w:val="28"/>
          <w:szCs w:val="28"/>
          <w:highlight w:val="none"/>
        </w:rPr>
      </w:pPr>
    </w:p>
    <w:p w14:paraId="74C77EAD">
      <w:pPr>
        <w:overflowPunct w:val="0"/>
        <w:spacing w:line="400" w:lineRule="exact"/>
        <w:jc w:val="left"/>
        <w:rPr>
          <w:rFonts w:hint="eastAsia" w:ascii="宋体" w:hAnsi="宋体" w:cs="宋体"/>
          <w:color w:val="auto"/>
          <w:sz w:val="28"/>
          <w:szCs w:val="28"/>
          <w:highlight w:val="none"/>
        </w:rPr>
      </w:pPr>
    </w:p>
    <w:p w14:paraId="19776735">
      <w:pPr>
        <w:overflowPunct w:val="0"/>
        <w:spacing w:line="400" w:lineRule="exact"/>
        <w:jc w:val="left"/>
        <w:rPr>
          <w:rFonts w:hint="eastAsia" w:ascii="宋体" w:hAnsi="宋体" w:cs="宋体"/>
          <w:color w:val="auto"/>
          <w:sz w:val="28"/>
          <w:szCs w:val="28"/>
          <w:highlight w:val="none"/>
        </w:rPr>
      </w:pPr>
    </w:p>
    <w:p w14:paraId="4B8D0646">
      <w:pPr>
        <w:overflowPunct w:val="0"/>
        <w:spacing w:line="400" w:lineRule="exact"/>
        <w:jc w:val="left"/>
        <w:rPr>
          <w:rFonts w:hint="eastAsia" w:ascii="宋体" w:hAnsi="宋体" w:cs="宋体"/>
          <w:color w:val="auto"/>
          <w:sz w:val="28"/>
          <w:szCs w:val="28"/>
          <w:highlight w:val="none"/>
        </w:rPr>
      </w:pPr>
    </w:p>
    <w:p w14:paraId="6E7B9DE4">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rPr>
        <w:t>9、同类项目实施情况一览表</w:t>
      </w:r>
    </w:p>
    <w:p w14:paraId="7FFCB67B">
      <w:pPr>
        <w:overflowPunct w:val="0"/>
        <w:spacing w:line="400" w:lineRule="exact"/>
        <w:jc w:val="left"/>
        <w:rPr>
          <w:rFonts w:ascii="宋体" w:cs="宋体"/>
          <w:bCs/>
          <w:color w:val="auto"/>
          <w:sz w:val="28"/>
          <w:szCs w:val="28"/>
          <w:highlight w:val="none"/>
        </w:rPr>
      </w:pPr>
    </w:p>
    <w:p w14:paraId="13316A02">
      <w:pPr>
        <w:overflowPunct w:val="0"/>
        <w:spacing w:line="360" w:lineRule="auto"/>
        <w:jc w:val="center"/>
        <w:rPr>
          <w:rFonts w:ascii="宋体" w:cs="宋体"/>
          <w:b/>
          <w:color w:val="auto"/>
          <w:sz w:val="28"/>
          <w:szCs w:val="28"/>
          <w:highlight w:val="none"/>
        </w:rPr>
      </w:pPr>
      <w:r>
        <w:rPr>
          <w:rFonts w:hint="eastAsia" w:ascii="宋体" w:hAnsi="宋体" w:cs="宋体"/>
          <w:bCs/>
          <w:color w:val="auto"/>
          <w:sz w:val="28"/>
          <w:szCs w:val="28"/>
          <w:highlight w:val="none"/>
        </w:rPr>
        <w:t>同类项目实施情况一览表</w:t>
      </w:r>
    </w:p>
    <w:p w14:paraId="04235ED6">
      <w:pPr>
        <w:overflowPunct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项目名称：</w:t>
      </w:r>
      <w:r>
        <w:rPr>
          <w:rFonts w:ascii="宋体" w:hAnsi="宋体" w:cs="宋体"/>
          <w:color w:val="auto"/>
          <w:szCs w:val="21"/>
          <w:highlight w:val="none"/>
        </w:rPr>
        <w:t xml:space="preserve">                          </w:t>
      </w:r>
      <w:r>
        <w:rPr>
          <w:rFonts w:hint="eastAsia" w:ascii="宋体" w:hAnsi="宋体" w:cs="宋体"/>
          <w:color w:val="auto"/>
          <w:szCs w:val="21"/>
          <w:highlight w:val="none"/>
        </w:rPr>
        <w:t>项目编号：</w:t>
      </w:r>
    </w:p>
    <w:tbl>
      <w:tblPr>
        <w:tblStyle w:val="30"/>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676"/>
        <w:gridCol w:w="803"/>
        <w:gridCol w:w="1138"/>
        <w:gridCol w:w="2037"/>
        <w:gridCol w:w="973"/>
      </w:tblGrid>
      <w:tr w14:paraId="3530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EAAE561">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采购单位名称</w:t>
            </w:r>
          </w:p>
        </w:tc>
        <w:tc>
          <w:tcPr>
            <w:tcW w:w="2676" w:type="dxa"/>
            <w:vAlign w:val="center"/>
          </w:tcPr>
          <w:p w14:paraId="5082B034">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项目名称</w:t>
            </w:r>
          </w:p>
        </w:tc>
        <w:tc>
          <w:tcPr>
            <w:tcW w:w="803" w:type="dxa"/>
            <w:vAlign w:val="center"/>
          </w:tcPr>
          <w:p w14:paraId="66C90D81">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数量</w:t>
            </w:r>
          </w:p>
        </w:tc>
        <w:tc>
          <w:tcPr>
            <w:tcW w:w="1138" w:type="dxa"/>
            <w:vAlign w:val="center"/>
          </w:tcPr>
          <w:p w14:paraId="6C3A9A03">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合同金额</w:t>
            </w:r>
          </w:p>
          <w:p w14:paraId="18C8D06C">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（万元）</w:t>
            </w:r>
          </w:p>
        </w:tc>
        <w:tc>
          <w:tcPr>
            <w:tcW w:w="2037" w:type="dxa"/>
            <w:vAlign w:val="center"/>
          </w:tcPr>
          <w:p w14:paraId="3B5225DA">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采购单位联系人及联系电话</w:t>
            </w:r>
          </w:p>
        </w:tc>
        <w:tc>
          <w:tcPr>
            <w:tcW w:w="973" w:type="dxa"/>
            <w:vAlign w:val="center"/>
          </w:tcPr>
          <w:p w14:paraId="7DEFCF49">
            <w:pPr>
              <w:overflowPunct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备注</w:t>
            </w:r>
          </w:p>
        </w:tc>
      </w:tr>
      <w:tr w14:paraId="2C99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A932E3D">
            <w:pPr>
              <w:overflowPunct w:val="0"/>
              <w:jc w:val="center"/>
              <w:rPr>
                <w:rFonts w:ascii="宋体" w:cs="宋体"/>
                <w:bCs/>
                <w:color w:val="auto"/>
                <w:szCs w:val="21"/>
                <w:highlight w:val="none"/>
              </w:rPr>
            </w:pPr>
          </w:p>
        </w:tc>
        <w:tc>
          <w:tcPr>
            <w:tcW w:w="2676" w:type="dxa"/>
            <w:vAlign w:val="center"/>
          </w:tcPr>
          <w:p w14:paraId="52F54CC3">
            <w:pPr>
              <w:overflowPunct w:val="0"/>
              <w:jc w:val="center"/>
              <w:rPr>
                <w:rFonts w:ascii="宋体" w:cs="宋体"/>
                <w:bCs/>
                <w:color w:val="auto"/>
                <w:szCs w:val="21"/>
                <w:highlight w:val="none"/>
              </w:rPr>
            </w:pPr>
          </w:p>
        </w:tc>
        <w:tc>
          <w:tcPr>
            <w:tcW w:w="803" w:type="dxa"/>
            <w:vAlign w:val="center"/>
          </w:tcPr>
          <w:p w14:paraId="6E799265">
            <w:pPr>
              <w:overflowPunct w:val="0"/>
              <w:jc w:val="center"/>
              <w:rPr>
                <w:rFonts w:ascii="宋体" w:cs="宋体"/>
                <w:bCs/>
                <w:color w:val="auto"/>
                <w:szCs w:val="21"/>
                <w:highlight w:val="none"/>
              </w:rPr>
            </w:pPr>
          </w:p>
        </w:tc>
        <w:tc>
          <w:tcPr>
            <w:tcW w:w="1138" w:type="dxa"/>
            <w:vAlign w:val="center"/>
          </w:tcPr>
          <w:p w14:paraId="6E99FBA5">
            <w:pPr>
              <w:overflowPunct w:val="0"/>
              <w:jc w:val="center"/>
              <w:rPr>
                <w:rFonts w:ascii="宋体" w:cs="宋体"/>
                <w:bCs/>
                <w:color w:val="auto"/>
                <w:szCs w:val="21"/>
                <w:highlight w:val="none"/>
              </w:rPr>
            </w:pPr>
          </w:p>
        </w:tc>
        <w:tc>
          <w:tcPr>
            <w:tcW w:w="2037" w:type="dxa"/>
            <w:vAlign w:val="center"/>
          </w:tcPr>
          <w:p w14:paraId="51FBFCDA">
            <w:pPr>
              <w:overflowPunct w:val="0"/>
              <w:jc w:val="center"/>
              <w:rPr>
                <w:rFonts w:ascii="宋体" w:cs="宋体"/>
                <w:bCs/>
                <w:color w:val="auto"/>
                <w:szCs w:val="21"/>
                <w:highlight w:val="none"/>
              </w:rPr>
            </w:pPr>
          </w:p>
        </w:tc>
        <w:tc>
          <w:tcPr>
            <w:tcW w:w="973" w:type="dxa"/>
          </w:tcPr>
          <w:p w14:paraId="42F34021">
            <w:pPr>
              <w:overflowPunct w:val="0"/>
              <w:jc w:val="center"/>
              <w:rPr>
                <w:rFonts w:ascii="宋体" w:cs="宋体"/>
                <w:bCs/>
                <w:color w:val="auto"/>
                <w:szCs w:val="21"/>
                <w:highlight w:val="none"/>
              </w:rPr>
            </w:pPr>
          </w:p>
        </w:tc>
      </w:tr>
      <w:tr w14:paraId="44A6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06542125">
            <w:pPr>
              <w:overflowPunct w:val="0"/>
              <w:jc w:val="center"/>
              <w:rPr>
                <w:rFonts w:ascii="宋体" w:cs="宋体"/>
                <w:bCs/>
                <w:color w:val="auto"/>
                <w:szCs w:val="21"/>
                <w:highlight w:val="none"/>
              </w:rPr>
            </w:pPr>
          </w:p>
        </w:tc>
        <w:tc>
          <w:tcPr>
            <w:tcW w:w="2676" w:type="dxa"/>
            <w:vAlign w:val="center"/>
          </w:tcPr>
          <w:p w14:paraId="1242ED88">
            <w:pPr>
              <w:overflowPunct w:val="0"/>
              <w:jc w:val="center"/>
              <w:rPr>
                <w:rFonts w:ascii="宋体" w:cs="宋体"/>
                <w:bCs/>
                <w:color w:val="auto"/>
                <w:szCs w:val="21"/>
                <w:highlight w:val="none"/>
              </w:rPr>
            </w:pPr>
          </w:p>
        </w:tc>
        <w:tc>
          <w:tcPr>
            <w:tcW w:w="803" w:type="dxa"/>
            <w:vAlign w:val="center"/>
          </w:tcPr>
          <w:p w14:paraId="3B8942DA">
            <w:pPr>
              <w:overflowPunct w:val="0"/>
              <w:jc w:val="center"/>
              <w:rPr>
                <w:rFonts w:ascii="宋体" w:cs="宋体"/>
                <w:bCs/>
                <w:color w:val="auto"/>
                <w:szCs w:val="21"/>
                <w:highlight w:val="none"/>
              </w:rPr>
            </w:pPr>
          </w:p>
        </w:tc>
        <w:tc>
          <w:tcPr>
            <w:tcW w:w="1138" w:type="dxa"/>
            <w:vAlign w:val="center"/>
          </w:tcPr>
          <w:p w14:paraId="4CA3D92C">
            <w:pPr>
              <w:overflowPunct w:val="0"/>
              <w:jc w:val="center"/>
              <w:rPr>
                <w:rFonts w:ascii="宋体" w:cs="宋体"/>
                <w:bCs/>
                <w:color w:val="auto"/>
                <w:szCs w:val="21"/>
                <w:highlight w:val="none"/>
              </w:rPr>
            </w:pPr>
          </w:p>
        </w:tc>
        <w:tc>
          <w:tcPr>
            <w:tcW w:w="2037" w:type="dxa"/>
            <w:vAlign w:val="center"/>
          </w:tcPr>
          <w:p w14:paraId="1003A55C">
            <w:pPr>
              <w:overflowPunct w:val="0"/>
              <w:jc w:val="center"/>
              <w:rPr>
                <w:rFonts w:ascii="宋体" w:cs="宋体"/>
                <w:bCs/>
                <w:color w:val="auto"/>
                <w:szCs w:val="21"/>
                <w:highlight w:val="none"/>
              </w:rPr>
            </w:pPr>
          </w:p>
        </w:tc>
        <w:tc>
          <w:tcPr>
            <w:tcW w:w="973" w:type="dxa"/>
          </w:tcPr>
          <w:p w14:paraId="26466E83">
            <w:pPr>
              <w:overflowPunct w:val="0"/>
              <w:jc w:val="center"/>
              <w:rPr>
                <w:rFonts w:ascii="宋体" w:cs="宋体"/>
                <w:bCs/>
                <w:color w:val="auto"/>
                <w:szCs w:val="21"/>
                <w:highlight w:val="none"/>
              </w:rPr>
            </w:pPr>
          </w:p>
        </w:tc>
      </w:tr>
      <w:tr w14:paraId="5C97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7C76AA8A">
            <w:pPr>
              <w:overflowPunct w:val="0"/>
              <w:jc w:val="center"/>
              <w:rPr>
                <w:rFonts w:ascii="宋体" w:cs="宋体"/>
                <w:bCs/>
                <w:color w:val="auto"/>
                <w:szCs w:val="21"/>
                <w:highlight w:val="none"/>
              </w:rPr>
            </w:pPr>
          </w:p>
        </w:tc>
        <w:tc>
          <w:tcPr>
            <w:tcW w:w="2676" w:type="dxa"/>
            <w:vAlign w:val="center"/>
          </w:tcPr>
          <w:p w14:paraId="485266EE">
            <w:pPr>
              <w:overflowPunct w:val="0"/>
              <w:jc w:val="center"/>
              <w:rPr>
                <w:rFonts w:ascii="宋体" w:cs="宋体"/>
                <w:bCs/>
                <w:color w:val="auto"/>
                <w:szCs w:val="21"/>
                <w:highlight w:val="none"/>
              </w:rPr>
            </w:pPr>
          </w:p>
        </w:tc>
        <w:tc>
          <w:tcPr>
            <w:tcW w:w="803" w:type="dxa"/>
            <w:vAlign w:val="center"/>
          </w:tcPr>
          <w:p w14:paraId="43F90DC8">
            <w:pPr>
              <w:overflowPunct w:val="0"/>
              <w:jc w:val="center"/>
              <w:rPr>
                <w:rFonts w:ascii="宋体" w:cs="宋体"/>
                <w:bCs/>
                <w:color w:val="auto"/>
                <w:szCs w:val="21"/>
                <w:highlight w:val="none"/>
              </w:rPr>
            </w:pPr>
          </w:p>
        </w:tc>
        <w:tc>
          <w:tcPr>
            <w:tcW w:w="1138" w:type="dxa"/>
            <w:vAlign w:val="center"/>
          </w:tcPr>
          <w:p w14:paraId="4A82D3BA">
            <w:pPr>
              <w:overflowPunct w:val="0"/>
              <w:jc w:val="center"/>
              <w:rPr>
                <w:rFonts w:ascii="宋体" w:cs="宋体"/>
                <w:bCs/>
                <w:color w:val="auto"/>
                <w:szCs w:val="21"/>
                <w:highlight w:val="none"/>
              </w:rPr>
            </w:pPr>
          </w:p>
        </w:tc>
        <w:tc>
          <w:tcPr>
            <w:tcW w:w="2037" w:type="dxa"/>
            <w:vAlign w:val="center"/>
          </w:tcPr>
          <w:p w14:paraId="61754C9D">
            <w:pPr>
              <w:overflowPunct w:val="0"/>
              <w:jc w:val="center"/>
              <w:rPr>
                <w:rFonts w:ascii="宋体" w:cs="宋体"/>
                <w:bCs/>
                <w:color w:val="auto"/>
                <w:szCs w:val="21"/>
                <w:highlight w:val="none"/>
              </w:rPr>
            </w:pPr>
          </w:p>
        </w:tc>
        <w:tc>
          <w:tcPr>
            <w:tcW w:w="973" w:type="dxa"/>
          </w:tcPr>
          <w:p w14:paraId="03998168">
            <w:pPr>
              <w:overflowPunct w:val="0"/>
              <w:jc w:val="center"/>
              <w:rPr>
                <w:rFonts w:ascii="宋体" w:cs="宋体"/>
                <w:bCs/>
                <w:color w:val="auto"/>
                <w:szCs w:val="21"/>
                <w:highlight w:val="none"/>
              </w:rPr>
            </w:pPr>
          </w:p>
        </w:tc>
      </w:tr>
      <w:tr w14:paraId="1322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C3F76EE">
            <w:pPr>
              <w:overflowPunct w:val="0"/>
              <w:jc w:val="center"/>
              <w:rPr>
                <w:rFonts w:ascii="宋体" w:cs="宋体"/>
                <w:bCs/>
                <w:color w:val="auto"/>
                <w:szCs w:val="21"/>
                <w:highlight w:val="none"/>
              </w:rPr>
            </w:pPr>
          </w:p>
        </w:tc>
        <w:tc>
          <w:tcPr>
            <w:tcW w:w="2676" w:type="dxa"/>
            <w:vAlign w:val="center"/>
          </w:tcPr>
          <w:p w14:paraId="79BD64CF">
            <w:pPr>
              <w:overflowPunct w:val="0"/>
              <w:jc w:val="center"/>
              <w:rPr>
                <w:rFonts w:ascii="宋体" w:cs="宋体"/>
                <w:bCs/>
                <w:color w:val="auto"/>
                <w:szCs w:val="21"/>
                <w:highlight w:val="none"/>
              </w:rPr>
            </w:pPr>
          </w:p>
        </w:tc>
        <w:tc>
          <w:tcPr>
            <w:tcW w:w="803" w:type="dxa"/>
            <w:vAlign w:val="center"/>
          </w:tcPr>
          <w:p w14:paraId="59609785">
            <w:pPr>
              <w:overflowPunct w:val="0"/>
              <w:jc w:val="center"/>
              <w:rPr>
                <w:rFonts w:ascii="宋体" w:cs="宋体"/>
                <w:bCs/>
                <w:color w:val="auto"/>
                <w:szCs w:val="21"/>
                <w:highlight w:val="none"/>
              </w:rPr>
            </w:pPr>
          </w:p>
        </w:tc>
        <w:tc>
          <w:tcPr>
            <w:tcW w:w="1138" w:type="dxa"/>
            <w:vAlign w:val="center"/>
          </w:tcPr>
          <w:p w14:paraId="355B8032">
            <w:pPr>
              <w:overflowPunct w:val="0"/>
              <w:jc w:val="center"/>
              <w:rPr>
                <w:rFonts w:ascii="宋体" w:cs="宋体"/>
                <w:bCs/>
                <w:color w:val="auto"/>
                <w:szCs w:val="21"/>
                <w:highlight w:val="none"/>
              </w:rPr>
            </w:pPr>
          </w:p>
        </w:tc>
        <w:tc>
          <w:tcPr>
            <w:tcW w:w="2037" w:type="dxa"/>
            <w:vAlign w:val="center"/>
          </w:tcPr>
          <w:p w14:paraId="165B798B">
            <w:pPr>
              <w:overflowPunct w:val="0"/>
              <w:jc w:val="center"/>
              <w:rPr>
                <w:rFonts w:ascii="宋体" w:cs="宋体"/>
                <w:bCs/>
                <w:color w:val="auto"/>
                <w:szCs w:val="21"/>
                <w:highlight w:val="none"/>
              </w:rPr>
            </w:pPr>
          </w:p>
        </w:tc>
        <w:tc>
          <w:tcPr>
            <w:tcW w:w="973" w:type="dxa"/>
          </w:tcPr>
          <w:p w14:paraId="076E7139">
            <w:pPr>
              <w:overflowPunct w:val="0"/>
              <w:jc w:val="center"/>
              <w:rPr>
                <w:rFonts w:ascii="宋体" w:cs="宋体"/>
                <w:bCs/>
                <w:color w:val="auto"/>
                <w:szCs w:val="21"/>
                <w:highlight w:val="none"/>
              </w:rPr>
            </w:pPr>
          </w:p>
        </w:tc>
      </w:tr>
      <w:tr w14:paraId="1F4C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1099AF3">
            <w:pPr>
              <w:overflowPunct w:val="0"/>
              <w:jc w:val="center"/>
              <w:rPr>
                <w:rFonts w:ascii="宋体" w:cs="宋体"/>
                <w:bCs/>
                <w:color w:val="auto"/>
                <w:szCs w:val="21"/>
                <w:highlight w:val="none"/>
              </w:rPr>
            </w:pPr>
          </w:p>
        </w:tc>
        <w:tc>
          <w:tcPr>
            <w:tcW w:w="2676" w:type="dxa"/>
            <w:vAlign w:val="center"/>
          </w:tcPr>
          <w:p w14:paraId="49CAB475">
            <w:pPr>
              <w:overflowPunct w:val="0"/>
              <w:jc w:val="center"/>
              <w:rPr>
                <w:rFonts w:ascii="宋体" w:cs="宋体"/>
                <w:bCs/>
                <w:color w:val="auto"/>
                <w:szCs w:val="21"/>
                <w:highlight w:val="none"/>
              </w:rPr>
            </w:pPr>
          </w:p>
        </w:tc>
        <w:tc>
          <w:tcPr>
            <w:tcW w:w="803" w:type="dxa"/>
            <w:vAlign w:val="center"/>
          </w:tcPr>
          <w:p w14:paraId="62BB9B93">
            <w:pPr>
              <w:overflowPunct w:val="0"/>
              <w:jc w:val="center"/>
              <w:rPr>
                <w:rFonts w:ascii="宋体" w:cs="宋体"/>
                <w:bCs/>
                <w:color w:val="auto"/>
                <w:szCs w:val="21"/>
                <w:highlight w:val="none"/>
              </w:rPr>
            </w:pPr>
          </w:p>
        </w:tc>
        <w:tc>
          <w:tcPr>
            <w:tcW w:w="1138" w:type="dxa"/>
            <w:vAlign w:val="center"/>
          </w:tcPr>
          <w:p w14:paraId="35B178C8">
            <w:pPr>
              <w:overflowPunct w:val="0"/>
              <w:jc w:val="center"/>
              <w:rPr>
                <w:rFonts w:ascii="宋体" w:cs="宋体"/>
                <w:bCs/>
                <w:color w:val="auto"/>
                <w:szCs w:val="21"/>
                <w:highlight w:val="none"/>
              </w:rPr>
            </w:pPr>
          </w:p>
        </w:tc>
        <w:tc>
          <w:tcPr>
            <w:tcW w:w="2037" w:type="dxa"/>
            <w:vAlign w:val="center"/>
          </w:tcPr>
          <w:p w14:paraId="395F1D37">
            <w:pPr>
              <w:overflowPunct w:val="0"/>
              <w:jc w:val="center"/>
              <w:rPr>
                <w:rFonts w:ascii="宋体" w:cs="宋体"/>
                <w:bCs/>
                <w:color w:val="auto"/>
                <w:szCs w:val="21"/>
                <w:highlight w:val="none"/>
              </w:rPr>
            </w:pPr>
          </w:p>
        </w:tc>
        <w:tc>
          <w:tcPr>
            <w:tcW w:w="973" w:type="dxa"/>
          </w:tcPr>
          <w:p w14:paraId="72719339">
            <w:pPr>
              <w:overflowPunct w:val="0"/>
              <w:jc w:val="center"/>
              <w:rPr>
                <w:rFonts w:ascii="宋体" w:cs="宋体"/>
                <w:bCs/>
                <w:color w:val="auto"/>
                <w:szCs w:val="21"/>
                <w:highlight w:val="none"/>
              </w:rPr>
            </w:pPr>
          </w:p>
        </w:tc>
      </w:tr>
      <w:tr w14:paraId="4134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1F2BE62E">
            <w:pPr>
              <w:overflowPunct w:val="0"/>
              <w:jc w:val="center"/>
              <w:rPr>
                <w:rFonts w:ascii="宋体" w:cs="宋体"/>
                <w:bCs/>
                <w:color w:val="auto"/>
                <w:szCs w:val="21"/>
                <w:highlight w:val="none"/>
              </w:rPr>
            </w:pPr>
          </w:p>
        </w:tc>
        <w:tc>
          <w:tcPr>
            <w:tcW w:w="2676" w:type="dxa"/>
            <w:vAlign w:val="center"/>
          </w:tcPr>
          <w:p w14:paraId="3F0FFC00">
            <w:pPr>
              <w:overflowPunct w:val="0"/>
              <w:jc w:val="center"/>
              <w:rPr>
                <w:rFonts w:ascii="宋体" w:cs="宋体"/>
                <w:bCs/>
                <w:color w:val="auto"/>
                <w:szCs w:val="21"/>
                <w:highlight w:val="none"/>
              </w:rPr>
            </w:pPr>
          </w:p>
        </w:tc>
        <w:tc>
          <w:tcPr>
            <w:tcW w:w="803" w:type="dxa"/>
            <w:vAlign w:val="center"/>
          </w:tcPr>
          <w:p w14:paraId="0750EC76">
            <w:pPr>
              <w:overflowPunct w:val="0"/>
              <w:jc w:val="center"/>
              <w:rPr>
                <w:rFonts w:ascii="宋体" w:cs="宋体"/>
                <w:bCs/>
                <w:color w:val="auto"/>
                <w:szCs w:val="21"/>
                <w:highlight w:val="none"/>
              </w:rPr>
            </w:pPr>
          </w:p>
        </w:tc>
        <w:tc>
          <w:tcPr>
            <w:tcW w:w="1138" w:type="dxa"/>
            <w:vAlign w:val="center"/>
          </w:tcPr>
          <w:p w14:paraId="102ACF43">
            <w:pPr>
              <w:overflowPunct w:val="0"/>
              <w:jc w:val="center"/>
              <w:rPr>
                <w:rFonts w:ascii="宋体" w:cs="宋体"/>
                <w:bCs/>
                <w:color w:val="auto"/>
                <w:szCs w:val="21"/>
                <w:highlight w:val="none"/>
              </w:rPr>
            </w:pPr>
          </w:p>
        </w:tc>
        <w:tc>
          <w:tcPr>
            <w:tcW w:w="2037" w:type="dxa"/>
            <w:vAlign w:val="center"/>
          </w:tcPr>
          <w:p w14:paraId="4EE0AC81">
            <w:pPr>
              <w:overflowPunct w:val="0"/>
              <w:jc w:val="center"/>
              <w:rPr>
                <w:rFonts w:ascii="宋体" w:cs="宋体"/>
                <w:bCs/>
                <w:color w:val="auto"/>
                <w:szCs w:val="21"/>
                <w:highlight w:val="none"/>
              </w:rPr>
            </w:pPr>
          </w:p>
        </w:tc>
        <w:tc>
          <w:tcPr>
            <w:tcW w:w="973" w:type="dxa"/>
          </w:tcPr>
          <w:p w14:paraId="12B4C3BF">
            <w:pPr>
              <w:overflowPunct w:val="0"/>
              <w:jc w:val="center"/>
              <w:rPr>
                <w:rFonts w:ascii="宋体" w:cs="宋体"/>
                <w:bCs/>
                <w:color w:val="auto"/>
                <w:szCs w:val="21"/>
                <w:highlight w:val="none"/>
              </w:rPr>
            </w:pPr>
          </w:p>
        </w:tc>
      </w:tr>
    </w:tbl>
    <w:p w14:paraId="02584BB9">
      <w:pPr>
        <w:overflowPunct w:val="0"/>
        <w:spacing w:line="600" w:lineRule="atLeast"/>
        <w:ind w:firstLine="420" w:firstLineChars="200"/>
        <w:rPr>
          <w:rFonts w:ascii="宋体" w:cs="宋体"/>
          <w:color w:val="auto"/>
          <w:szCs w:val="21"/>
          <w:highlight w:val="none"/>
        </w:rPr>
      </w:pPr>
    </w:p>
    <w:p w14:paraId="164382D1">
      <w:pPr>
        <w:overflowPunct w:val="0"/>
        <w:adjustRightInd w:val="0"/>
        <w:snapToGrid w:val="0"/>
        <w:spacing w:line="360" w:lineRule="auto"/>
        <w:ind w:firstLine="420" w:firstLineChars="200"/>
        <w:rPr>
          <w:rFonts w:ascii="宋体" w:hAnsi="宋体" w:cs="宋体"/>
          <w:bCs/>
          <w:color w:val="auto"/>
          <w:kern w:val="0"/>
          <w:szCs w:val="21"/>
          <w:highlight w:val="none"/>
        </w:rPr>
      </w:pPr>
    </w:p>
    <w:p w14:paraId="49B9DEAE">
      <w:pPr>
        <w:overflowPunct w:val="0"/>
        <w:adjustRightInd w:val="0"/>
        <w:snapToGrid w:val="0"/>
        <w:spacing w:line="360" w:lineRule="auto"/>
        <w:ind w:firstLine="420" w:firstLineChars="200"/>
        <w:rPr>
          <w:rFonts w:ascii="宋体" w:hAnsi="宋体" w:cs="宋体"/>
          <w:bCs/>
          <w:color w:val="auto"/>
          <w:kern w:val="0"/>
          <w:szCs w:val="21"/>
          <w:highlight w:val="none"/>
        </w:rPr>
      </w:pPr>
    </w:p>
    <w:p w14:paraId="5BBD5FC4">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04B5EAA8">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5325A002">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63C02032">
      <w:pPr>
        <w:overflowPunct w:val="0"/>
        <w:spacing w:line="600" w:lineRule="atLeast"/>
        <w:ind w:firstLine="420" w:firstLineChars="200"/>
        <w:rPr>
          <w:rFonts w:ascii="宋体" w:cs="宋体"/>
          <w:color w:val="auto"/>
          <w:szCs w:val="21"/>
          <w:highlight w:val="none"/>
        </w:rPr>
      </w:pPr>
      <w:r>
        <w:rPr>
          <w:rFonts w:ascii="宋体" w:hAnsi="宋体" w:cs="宋体"/>
          <w:color w:val="auto"/>
          <w:szCs w:val="21"/>
          <w:highlight w:val="none"/>
        </w:rPr>
        <w:t xml:space="preserve">  </w:t>
      </w:r>
    </w:p>
    <w:p w14:paraId="12B113CD">
      <w:pPr>
        <w:overflowPunct w:val="0"/>
        <w:rPr>
          <w:rFonts w:ascii="宋体" w:cs="宋体"/>
          <w:color w:val="auto"/>
          <w:szCs w:val="21"/>
          <w:highlight w:val="none"/>
        </w:rPr>
      </w:pPr>
    </w:p>
    <w:p w14:paraId="0081AE88">
      <w:pPr>
        <w:overflowPunct w:val="0"/>
        <w:rPr>
          <w:rFonts w:ascii="宋体" w:cs="宋体"/>
          <w:color w:val="auto"/>
          <w:szCs w:val="21"/>
          <w:highlight w:val="none"/>
          <w:u w:val="single"/>
        </w:rPr>
      </w:pPr>
      <w:r>
        <w:rPr>
          <w:rFonts w:ascii="宋体" w:hAnsi="宋体" w:cs="宋体"/>
          <w:color w:val="auto"/>
          <w:szCs w:val="21"/>
          <w:highlight w:val="none"/>
        </w:rPr>
        <w:t xml:space="preserve">               </w:t>
      </w:r>
    </w:p>
    <w:p w14:paraId="17689BCB">
      <w:pPr>
        <w:overflowPunct w:val="0"/>
        <w:autoSpaceDE w:val="0"/>
        <w:autoSpaceDN w:val="0"/>
        <w:snapToGrid w:val="0"/>
        <w:spacing w:line="420" w:lineRule="exact"/>
        <w:textAlignment w:val="bottom"/>
        <w:rPr>
          <w:rFonts w:ascii="宋体" w:cs="宋体"/>
          <w:color w:val="auto"/>
          <w:szCs w:val="21"/>
          <w:highlight w:val="none"/>
        </w:rPr>
      </w:pPr>
    </w:p>
    <w:p w14:paraId="2F3E6894">
      <w:pPr>
        <w:overflowPunct w:val="0"/>
        <w:autoSpaceDE w:val="0"/>
        <w:autoSpaceDN w:val="0"/>
        <w:snapToGrid w:val="0"/>
        <w:spacing w:line="420" w:lineRule="exact"/>
        <w:textAlignment w:val="bottom"/>
        <w:rPr>
          <w:rFonts w:ascii="宋体" w:cs="宋体"/>
          <w:color w:val="auto"/>
          <w:szCs w:val="21"/>
          <w:highlight w:val="none"/>
        </w:rPr>
      </w:pPr>
    </w:p>
    <w:p w14:paraId="081416D1">
      <w:pPr>
        <w:overflowPunct w:val="0"/>
        <w:autoSpaceDE w:val="0"/>
        <w:autoSpaceDN w:val="0"/>
        <w:snapToGrid w:val="0"/>
        <w:spacing w:line="420" w:lineRule="exact"/>
        <w:textAlignment w:val="bottom"/>
        <w:rPr>
          <w:rFonts w:ascii="宋体" w:cs="宋体"/>
          <w:color w:val="auto"/>
          <w:szCs w:val="21"/>
          <w:highlight w:val="none"/>
        </w:rPr>
      </w:pPr>
    </w:p>
    <w:p w14:paraId="5A34DFCA">
      <w:pPr>
        <w:overflowPunct w:val="0"/>
        <w:autoSpaceDE w:val="0"/>
        <w:autoSpaceDN w:val="0"/>
        <w:snapToGrid w:val="0"/>
        <w:spacing w:line="420" w:lineRule="exact"/>
        <w:textAlignment w:val="bottom"/>
        <w:rPr>
          <w:rFonts w:ascii="宋体" w:cs="宋体"/>
          <w:color w:val="auto"/>
          <w:szCs w:val="21"/>
          <w:highlight w:val="none"/>
        </w:rPr>
      </w:pPr>
    </w:p>
    <w:p w14:paraId="66D56D0F">
      <w:pPr>
        <w:overflowPunct w:val="0"/>
        <w:autoSpaceDE w:val="0"/>
        <w:autoSpaceDN w:val="0"/>
        <w:snapToGrid w:val="0"/>
        <w:spacing w:line="420" w:lineRule="exact"/>
        <w:textAlignment w:val="bottom"/>
        <w:rPr>
          <w:rFonts w:ascii="宋体" w:cs="宋体"/>
          <w:color w:val="auto"/>
          <w:szCs w:val="21"/>
          <w:highlight w:val="none"/>
        </w:rPr>
      </w:pPr>
    </w:p>
    <w:p w14:paraId="0C12CF3A">
      <w:pPr>
        <w:overflowPunct w:val="0"/>
        <w:autoSpaceDE w:val="0"/>
        <w:autoSpaceDN w:val="0"/>
        <w:snapToGrid w:val="0"/>
        <w:spacing w:line="420" w:lineRule="exact"/>
        <w:textAlignment w:val="bottom"/>
        <w:rPr>
          <w:rFonts w:ascii="宋体" w:cs="宋体"/>
          <w:color w:val="auto"/>
          <w:szCs w:val="21"/>
          <w:highlight w:val="none"/>
        </w:rPr>
      </w:pPr>
    </w:p>
    <w:p w14:paraId="1AE900F5">
      <w:pPr>
        <w:overflowPunct w:val="0"/>
        <w:autoSpaceDE w:val="0"/>
        <w:autoSpaceDN w:val="0"/>
        <w:snapToGrid w:val="0"/>
        <w:spacing w:line="420" w:lineRule="exact"/>
        <w:textAlignment w:val="bottom"/>
        <w:rPr>
          <w:rFonts w:ascii="宋体" w:cs="宋体"/>
          <w:color w:val="auto"/>
          <w:szCs w:val="21"/>
          <w:highlight w:val="none"/>
        </w:rPr>
      </w:pPr>
    </w:p>
    <w:p w14:paraId="3E9685D1">
      <w:pPr>
        <w:overflowPunct w:val="0"/>
        <w:autoSpaceDE w:val="0"/>
        <w:autoSpaceDN w:val="0"/>
        <w:snapToGrid w:val="0"/>
        <w:spacing w:line="420" w:lineRule="exact"/>
        <w:textAlignment w:val="bottom"/>
        <w:rPr>
          <w:rFonts w:ascii="宋体" w:cs="宋体"/>
          <w:color w:val="auto"/>
          <w:szCs w:val="21"/>
          <w:highlight w:val="none"/>
        </w:rPr>
      </w:pPr>
    </w:p>
    <w:p w14:paraId="32056A76">
      <w:pPr>
        <w:overflowPunct w:val="0"/>
        <w:autoSpaceDE w:val="0"/>
        <w:autoSpaceDN w:val="0"/>
        <w:snapToGrid w:val="0"/>
        <w:spacing w:line="420" w:lineRule="exact"/>
        <w:textAlignment w:val="bottom"/>
        <w:rPr>
          <w:rFonts w:ascii="宋体" w:cs="宋体"/>
          <w:color w:val="auto"/>
          <w:szCs w:val="21"/>
          <w:highlight w:val="none"/>
        </w:rPr>
      </w:pPr>
    </w:p>
    <w:p w14:paraId="7A754668">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rPr>
        <w:t>10、商务响应表</w:t>
      </w:r>
    </w:p>
    <w:p w14:paraId="69EBB679">
      <w:pPr>
        <w:overflowPunct w:val="0"/>
        <w:spacing w:line="360" w:lineRule="auto"/>
        <w:jc w:val="center"/>
        <w:rPr>
          <w:rFonts w:ascii="宋体" w:cs="宋体"/>
          <w:bCs/>
          <w:color w:val="auto"/>
          <w:sz w:val="28"/>
          <w:szCs w:val="28"/>
          <w:highlight w:val="none"/>
        </w:rPr>
      </w:pPr>
      <w:r>
        <w:rPr>
          <w:rFonts w:hint="eastAsia" w:ascii="宋体" w:hAnsi="宋体" w:cs="宋体"/>
          <w:bCs/>
          <w:color w:val="auto"/>
          <w:sz w:val="28"/>
          <w:szCs w:val="28"/>
          <w:highlight w:val="none"/>
        </w:rPr>
        <w:t>商务响应表</w:t>
      </w:r>
    </w:p>
    <w:tbl>
      <w:tblPr>
        <w:tblStyle w:val="3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22"/>
        <w:gridCol w:w="2348"/>
        <w:gridCol w:w="2162"/>
        <w:gridCol w:w="1085"/>
        <w:gridCol w:w="1113"/>
      </w:tblGrid>
      <w:tr w14:paraId="638D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89C2FDD">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22" w:type="dxa"/>
            <w:vAlign w:val="center"/>
          </w:tcPr>
          <w:p w14:paraId="15A2D14B">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内容</w:t>
            </w:r>
          </w:p>
        </w:tc>
        <w:tc>
          <w:tcPr>
            <w:tcW w:w="2348" w:type="dxa"/>
            <w:vAlign w:val="center"/>
          </w:tcPr>
          <w:p w14:paraId="37636581">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磋商文件规范要求</w:t>
            </w:r>
          </w:p>
        </w:tc>
        <w:tc>
          <w:tcPr>
            <w:tcW w:w="2162" w:type="dxa"/>
            <w:vAlign w:val="center"/>
          </w:tcPr>
          <w:p w14:paraId="5441CE4D">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响应文件对应规范</w:t>
            </w:r>
          </w:p>
        </w:tc>
        <w:tc>
          <w:tcPr>
            <w:tcW w:w="1085" w:type="dxa"/>
            <w:vAlign w:val="center"/>
          </w:tcPr>
          <w:p w14:paraId="67B06542">
            <w:pPr>
              <w:overflowPunct w:val="0"/>
              <w:spacing w:line="360" w:lineRule="exact"/>
              <w:jc w:val="center"/>
              <w:rPr>
                <w:rFonts w:ascii="宋体" w:cs="宋体"/>
                <w:b/>
                <w:color w:val="auto"/>
                <w:highlight w:val="none"/>
              </w:rPr>
            </w:pPr>
            <w:r>
              <w:rPr>
                <w:rFonts w:hint="eastAsia" w:ascii="宋体" w:hAnsi="宋体" w:cs="宋体"/>
                <w:color w:val="auto"/>
                <w:szCs w:val="21"/>
                <w:highlight w:val="none"/>
              </w:rPr>
              <w:t>偏离情况</w:t>
            </w:r>
          </w:p>
        </w:tc>
        <w:tc>
          <w:tcPr>
            <w:tcW w:w="1113" w:type="dxa"/>
            <w:vAlign w:val="center"/>
          </w:tcPr>
          <w:p w14:paraId="1E022B9B">
            <w:pPr>
              <w:overflowPunct w:val="0"/>
              <w:spacing w:line="360" w:lineRule="exact"/>
              <w:jc w:val="center"/>
              <w:rPr>
                <w:rFonts w:ascii="宋体" w:cs="宋体"/>
                <w:b/>
                <w:color w:val="auto"/>
                <w:highlight w:val="none"/>
              </w:rPr>
            </w:pPr>
            <w:r>
              <w:rPr>
                <w:rFonts w:hint="eastAsia" w:ascii="宋体" w:hAnsi="宋体" w:cs="宋体"/>
                <w:color w:val="auto"/>
                <w:szCs w:val="21"/>
                <w:highlight w:val="none"/>
              </w:rPr>
              <w:t>偏离原因</w:t>
            </w:r>
          </w:p>
        </w:tc>
      </w:tr>
      <w:tr w14:paraId="6CF3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55103FE1">
            <w:pPr>
              <w:overflowPunct w:val="0"/>
              <w:spacing w:line="360" w:lineRule="auto"/>
              <w:jc w:val="center"/>
              <w:rPr>
                <w:rFonts w:ascii="宋体" w:cs="宋体"/>
                <w:color w:val="auto"/>
                <w:highlight w:val="none"/>
              </w:rPr>
            </w:pPr>
            <w:r>
              <w:rPr>
                <w:rFonts w:ascii="宋体" w:hAnsi="宋体" w:cs="宋体"/>
                <w:color w:val="auto"/>
                <w:highlight w:val="none"/>
              </w:rPr>
              <w:t>1</w:t>
            </w:r>
          </w:p>
        </w:tc>
        <w:tc>
          <w:tcPr>
            <w:tcW w:w="1522" w:type="dxa"/>
            <w:vAlign w:val="center"/>
          </w:tcPr>
          <w:p w14:paraId="481090FF">
            <w:pPr>
              <w:overflowPunct w:val="0"/>
              <w:spacing w:line="360" w:lineRule="auto"/>
              <w:jc w:val="left"/>
              <w:rPr>
                <w:rFonts w:ascii="宋体" w:cs="宋体"/>
                <w:bCs/>
                <w:color w:val="auto"/>
                <w:highlight w:val="none"/>
              </w:rPr>
            </w:pPr>
          </w:p>
        </w:tc>
        <w:tc>
          <w:tcPr>
            <w:tcW w:w="2348" w:type="dxa"/>
          </w:tcPr>
          <w:p w14:paraId="66F62FA1">
            <w:pPr>
              <w:overflowPunct w:val="0"/>
              <w:spacing w:line="360" w:lineRule="auto"/>
              <w:ind w:firstLine="420" w:firstLineChars="200"/>
              <w:rPr>
                <w:rFonts w:ascii="宋体" w:cs="宋体"/>
                <w:color w:val="auto"/>
                <w:highlight w:val="none"/>
              </w:rPr>
            </w:pPr>
          </w:p>
        </w:tc>
        <w:tc>
          <w:tcPr>
            <w:tcW w:w="2162" w:type="dxa"/>
          </w:tcPr>
          <w:p w14:paraId="4F91F553">
            <w:pPr>
              <w:overflowPunct w:val="0"/>
              <w:spacing w:line="360" w:lineRule="auto"/>
              <w:ind w:firstLine="420" w:firstLineChars="200"/>
              <w:rPr>
                <w:rFonts w:ascii="宋体" w:cs="宋体"/>
                <w:color w:val="auto"/>
                <w:highlight w:val="none"/>
              </w:rPr>
            </w:pPr>
          </w:p>
        </w:tc>
        <w:tc>
          <w:tcPr>
            <w:tcW w:w="1085" w:type="dxa"/>
          </w:tcPr>
          <w:p w14:paraId="2E65705E">
            <w:pPr>
              <w:overflowPunct w:val="0"/>
              <w:spacing w:line="360" w:lineRule="auto"/>
              <w:ind w:firstLine="420" w:firstLineChars="200"/>
              <w:rPr>
                <w:rFonts w:ascii="宋体" w:cs="宋体"/>
                <w:color w:val="auto"/>
                <w:highlight w:val="none"/>
              </w:rPr>
            </w:pPr>
          </w:p>
        </w:tc>
        <w:tc>
          <w:tcPr>
            <w:tcW w:w="1113" w:type="dxa"/>
          </w:tcPr>
          <w:p w14:paraId="0384ECBE">
            <w:pPr>
              <w:overflowPunct w:val="0"/>
              <w:spacing w:line="360" w:lineRule="auto"/>
              <w:ind w:firstLine="420" w:firstLineChars="200"/>
              <w:rPr>
                <w:rFonts w:ascii="宋体" w:cs="宋体"/>
                <w:color w:val="auto"/>
                <w:highlight w:val="none"/>
              </w:rPr>
            </w:pPr>
          </w:p>
        </w:tc>
      </w:tr>
      <w:tr w14:paraId="201A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454677CA">
            <w:pPr>
              <w:overflowPunct w:val="0"/>
              <w:spacing w:line="360" w:lineRule="auto"/>
              <w:jc w:val="center"/>
              <w:rPr>
                <w:rFonts w:ascii="宋体" w:cs="宋体"/>
                <w:color w:val="auto"/>
                <w:highlight w:val="none"/>
              </w:rPr>
            </w:pPr>
            <w:r>
              <w:rPr>
                <w:rFonts w:ascii="宋体" w:hAnsi="宋体" w:cs="宋体"/>
                <w:color w:val="auto"/>
                <w:highlight w:val="none"/>
              </w:rPr>
              <w:t>2</w:t>
            </w:r>
          </w:p>
        </w:tc>
        <w:tc>
          <w:tcPr>
            <w:tcW w:w="1522" w:type="dxa"/>
            <w:vAlign w:val="center"/>
          </w:tcPr>
          <w:p w14:paraId="453DBDAF">
            <w:pPr>
              <w:overflowPunct w:val="0"/>
              <w:spacing w:line="360" w:lineRule="auto"/>
              <w:jc w:val="left"/>
              <w:rPr>
                <w:rFonts w:ascii="宋体" w:cs="宋体"/>
                <w:bCs/>
                <w:color w:val="auto"/>
                <w:highlight w:val="none"/>
              </w:rPr>
            </w:pPr>
          </w:p>
        </w:tc>
        <w:tc>
          <w:tcPr>
            <w:tcW w:w="2348" w:type="dxa"/>
          </w:tcPr>
          <w:p w14:paraId="561866E0">
            <w:pPr>
              <w:overflowPunct w:val="0"/>
              <w:spacing w:line="360" w:lineRule="auto"/>
              <w:ind w:firstLine="420" w:firstLineChars="200"/>
              <w:rPr>
                <w:rFonts w:ascii="宋体" w:cs="宋体"/>
                <w:color w:val="auto"/>
                <w:highlight w:val="none"/>
              </w:rPr>
            </w:pPr>
          </w:p>
        </w:tc>
        <w:tc>
          <w:tcPr>
            <w:tcW w:w="2162" w:type="dxa"/>
          </w:tcPr>
          <w:p w14:paraId="6C9835E4">
            <w:pPr>
              <w:overflowPunct w:val="0"/>
              <w:spacing w:line="360" w:lineRule="auto"/>
              <w:ind w:firstLine="420" w:firstLineChars="200"/>
              <w:rPr>
                <w:rFonts w:ascii="宋体" w:cs="宋体"/>
                <w:color w:val="auto"/>
                <w:highlight w:val="none"/>
              </w:rPr>
            </w:pPr>
          </w:p>
        </w:tc>
        <w:tc>
          <w:tcPr>
            <w:tcW w:w="1085" w:type="dxa"/>
          </w:tcPr>
          <w:p w14:paraId="1BDA0ADC">
            <w:pPr>
              <w:overflowPunct w:val="0"/>
              <w:spacing w:line="360" w:lineRule="auto"/>
              <w:ind w:firstLine="420" w:firstLineChars="200"/>
              <w:rPr>
                <w:rFonts w:ascii="宋体" w:cs="宋体"/>
                <w:color w:val="auto"/>
                <w:highlight w:val="none"/>
              </w:rPr>
            </w:pPr>
          </w:p>
        </w:tc>
        <w:tc>
          <w:tcPr>
            <w:tcW w:w="1113" w:type="dxa"/>
          </w:tcPr>
          <w:p w14:paraId="623BE736">
            <w:pPr>
              <w:overflowPunct w:val="0"/>
              <w:spacing w:line="360" w:lineRule="auto"/>
              <w:ind w:firstLine="420" w:firstLineChars="200"/>
              <w:rPr>
                <w:rFonts w:ascii="宋体" w:cs="宋体"/>
                <w:color w:val="auto"/>
                <w:highlight w:val="none"/>
              </w:rPr>
            </w:pPr>
          </w:p>
        </w:tc>
      </w:tr>
      <w:tr w14:paraId="61BE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332D4173">
            <w:pPr>
              <w:overflowPunct w:val="0"/>
              <w:spacing w:line="360" w:lineRule="auto"/>
              <w:jc w:val="center"/>
              <w:rPr>
                <w:rFonts w:ascii="宋体" w:cs="宋体"/>
                <w:color w:val="auto"/>
                <w:highlight w:val="none"/>
              </w:rPr>
            </w:pPr>
            <w:r>
              <w:rPr>
                <w:rFonts w:ascii="宋体" w:hAnsi="宋体" w:cs="宋体"/>
                <w:color w:val="auto"/>
                <w:highlight w:val="none"/>
              </w:rPr>
              <w:t>3</w:t>
            </w:r>
          </w:p>
        </w:tc>
        <w:tc>
          <w:tcPr>
            <w:tcW w:w="1522" w:type="dxa"/>
            <w:vAlign w:val="center"/>
          </w:tcPr>
          <w:p w14:paraId="3C76B9E8">
            <w:pPr>
              <w:overflowPunct w:val="0"/>
              <w:spacing w:line="360" w:lineRule="auto"/>
              <w:jc w:val="left"/>
              <w:rPr>
                <w:rFonts w:ascii="宋体" w:cs="宋体"/>
                <w:bCs/>
                <w:color w:val="auto"/>
                <w:highlight w:val="none"/>
              </w:rPr>
            </w:pPr>
          </w:p>
        </w:tc>
        <w:tc>
          <w:tcPr>
            <w:tcW w:w="2348" w:type="dxa"/>
          </w:tcPr>
          <w:p w14:paraId="2B3F4F92">
            <w:pPr>
              <w:overflowPunct w:val="0"/>
              <w:spacing w:line="360" w:lineRule="auto"/>
              <w:ind w:firstLine="420" w:firstLineChars="200"/>
              <w:rPr>
                <w:rFonts w:ascii="宋体" w:cs="宋体"/>
                <w:color w:val="auto"/>
                <w:highlight w:val="none"/>
              </w:rPr>
            </w:pPr>
          </w:p>
        </w:tc>
        <w:tc>
          <w:tcPr>
            <w:tcW w:w="2162" w:type="dxa"/>
          </w:tcPr>
          <w:p w14:paraId="1291B64B">
            <w:pPr>
              <w:overflowPunct w:val="0"/>
              <w:spacing w:line="360" w:lineRule="auto"/>
              <w:ind w:firstLine="420" w:firstLineChars="200"/>
              <w:rPr>
                <w:rFonts w:ascii="宋体" w:cs="宋体"/>
                <w:color w:val="auto"/>
                <w:highlight w:val="none"/>
              </w:rPr>
            </w:pPr>
          </w:p>
        </w:tc>
        <w:tc>
          <w:tcPr>
            <w:tcW w:w="1085" w:type="dxa"/>
          </w:tcPr>
          <w:p w14:paraId="5BA931F0">
            <w:pPr>
              <w:overflowPunct w:val="0"/>
              <w:spacing w:line="360" w:lineRule="auto"/>
              <w:ind w:firstLine="420" w:firstLineChars="200"/>
              <w:rPr>
                <w:rFonts w:ascii="宋体" w:cs="宋体"/>
                <w:color w:val="auto"/>
                <w:highlight w:val="none"/>
              </w:rPr>
            </w:pPr>
          </w:p>
        </w:tc>
        <w:tc>
          <w:tcPr>
            <w:tcW w:w="1113" w:type="dxa"/>
          </w:tcPr>
          <w:p w14:paraId="5D4F3DA0">
            <w:pPr>
              <w:overflowPunct w:val="0"/>
              <w:spacing w:line="360" w:lineRule="auto"/>
              <w:ind w:firstLine="420" w:firstLineChars="200"/>
              <w:rPr>
                <w:rFonts w:ascii="宋体" w:cs="宋体"/>
                <w:color w:val="auto"/>
                <w:highlight w:val="none"/>
              </w:rPr>
            </w:pPr>
          </w:p>
        </w:tc>
      </w:tr>
      <w:tr w14:paraId="5734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02AF2521">
            <w:pPr>
              <w:overflowPunct w:val="0"/>
              <w:spacing w:line="360" w:lineRule="auto"/>
              <w:jc w:val="center"/>
              <w:rPr>
                <w:rFonts w:ascii="宋体" w:cs="宋体"/>
                <w:color w:val="auto"/>
                <w:highlight w:val="none"/>
              </w:rPr>
            </w:pPr>
            <w:r>
              <w:rPr>
                <w:rFonts w:ascii="宋体" w:hAnsi="宋体" w:cs="宋体"/>
                <w:color w:val="auto"/>
                <w:highlight w:val="none"/>
              </w:rPr>
              <w:t>4</w:t>
            </w:r>
          </w:p>
        </w:tc>
        <w:tc>
          <w:tcPr>
            <w:tcW w:w="1522" w:type="dxa"/>
            <w:vAlign w:val="center"/>
          </w:tcPr>
          <w:p w14:paraId="5A29D7BC">
            <w:pPr>
              <w:overflowPunct w:val="0"/>
              <w:spacing w:line="360" w:lineRule="auto"/>
              <w:jc w:val="left"/>
              <w:rPr>
                <w:rFonts w:ascii="宋体" w:cs="宋体"/>
                <w:bCs/>
                <w:color w:val="auto"/>
                <w:highlight w:val="none"/>
              </w:rPr>
            </w:pPr>
          </w:p>
        </w:tc>
        <w:tc>
          <w:tcPr>
            <w:tcW w:w="2348" w:type="dxa"/>
          </w:tcPr>
          <w:p w14:paraId="012FFCB5">
            <w:pPr>
              <w:overflowPunct w:val="0"/>
              <w:spacing w:line="360" w:lineRule="auto"/>
              <w:ind w:firstLine="420" w:firstLineChars="200"/>
              <w:rPr>
                <w:rFonts w:ascii="宋体" w:cs="宋体"/>
                <w:color w:val="auto"/>
                <w:highlight w:val="none"/>
              </w:rPr>
            </w:pPr>
          </w:p>
        </w:tc>
        <w:tc>
          <w:tcPr>
            <w:tcW w:w="2162" w:type="dxa"/>
          </w:tcPr>
          <w:p w14:paraId="186EE7FC">
            <w:pPr>
              <w:overflowPunct w:val="0"/>
              <w:spacing w:line="360" w:lineRule="auto"/>
              <w:ind w:firstLine="420" w:firstLineChars="200"/>
              <w:rPr>
                <w:rFonts w:ascii="宋体" w:cs="宋体"/>
                <w:color w:val="auto"/>
                <w:highlight w:val="none"/>
              </w:rPr>
            </w:pPr>
          </w:p>
        </w:tc>
        <w:tc>
          <w:tcPr>
            <w:tcW w:w="1085" w:type="dxa"/>
          </w:tcPr>
          <w:p w14:paraId="5E0067ED">
            <w:pPr>
              <w:overflowPunct w:val="0"/>
              <w:spacing w:line="360" w:lineRule="auto"/>
              <w:ind w:firstLine="420" w:firstLineChars="200"/>
              <w:rPr>
                <w:rFonts w:ascii="宋体" w:cs="宋体"/>
                <w:color w:val="auto"/>
                <w:highlight w:val="none"/>
              </w:rPr>
            </w:pPr>
          </w:p>
        </w:tc>
        <w:tc>
          <w:tcPr>
            <w:tcW w:w="1113" w:type="dxa"/>
          </w:tcPr>
          <w:p w14:paraId="4F6842A5">
            <w:pPr>
              <w:overflowPunct w:val="0"/>
              <w:spacing w:line="360" w:lineRule="auto"/>
              <w:ind w:firstLine="420" w:firstLineChars="200"/>
              <w:rPr>
                <w:rFonts w:ascii="宋体" w:cs="宋体"/>
                <w:color w:val="auto"/>
                <w:highlight w:val="none"/>
              </w:rPr>
            </w:pPr>
          </w:p>
        </w:tc>
      </w:tr>
      <w:tr w14:paraId="3116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24523BD9">
            <w:pPr>
              <w:overflowPunct w:val="0"/>
              <w:spacing w:line="360" w:lineRule="auto"/>
              <w:ind w:firstLine="420" w:firstLineChars="200"/>
              <w:rPr>
                <w:rFonts w:ascii="宋体" w:cs="宋体"/>
                <w:color w:val="auto"/>
                <w:highlight w:val="none"/>
              </w:rPr>
            </w:pPr>
          </w:p>
        </w:tc>
        <w:tc>
          <w:tcPr>
            <w:tcW w:w="1522" w:type="dxa"/>
          </w:tcPr>
          <w:p w14:paraId="007004DA">
            <w:pPr>
              <w:overflowPunct w:val="0"/>
              <w:spacing w:line="360" w:lineRule="auto"/>
              <w:ind w:firstLine="420" w:firstLineChars="200"/>
              <w:rPr>
                <w:rFonts w:ascii="宋体" w:cs="宋体"/>
                <w:color w:val="auto"/>
                <w:highlight w:val="none"/>
              </w:rPr>
            </w:pPr>
          </w:p>
        </w:tc>
        <w:tc>
          <w:tcPr>
            <w:tcW w:w="2348" w:type="dxa"/>
          </w:tcPr>
          <w:p w14:paraId="5932B560">
            <w:pPr>
              <w:overflowPunct w:val="0"/>
              <w:spacing w:line="360" w:lineRule="auto"/>
              <w:ind w:firstLine="420" w:firstLineChars="200"/>
              <w:rPr>
                <w:rFonts w:ascii="宋体" w:cs="宋体"/>
                <w:color w:val="auto"/>
                <w:highlight w:val="none"/>
              </w:rPr>
            </w:pPr>
          </w:p>
        </w:tc>
        <w:tc>
          <w:tcPr>
            <w:tcW w:w="2162" w:type="dxa"/>
          </w:tcPr>
          <w:p w14:paraId="691DE93E">
            <w:pPr>
              <w:overflowPunct w:val="0"/>
              <w:spacing w:line="360" w:lineRule="auto"/>
              <w:ind w:firstLine="420" w:firstLineChars="200"/>
              <w:rPr>
                <w:rFonts w:ascii="宋体" w:cs="宋体"/>
                <w:color w:val="auto"/>
                <w:highlight w:val="none"/>
              </w:rPr>
            </w:pPr>
          </w:p>
        </w:tc>
        <w:tc>
          <w:tcPr>
            <w:tcW w:w="1085" w:type="dxa"/>
          </w:tcPr>
          <w:p w14:paraId="52854528">
            <w:pPr>
              <w:overflowPunct w:val="0"/>
              <w:spacing w:line="360" w:lineRule="auto"/>
              <w:ind w:firstLine="420" w:firstLineChars="200"/>
              <w:rPr>
                <w:rFonts w:ascii="宋体" w:cs="宋体"/>
                <w:color w:val="auto"/>
                <w:highlight w:val="none"/>
              </w:rPr>
            </w:pPr>
          </w:p>
        </w:tc>
        <w:tc>
          <w:tcPr>
            <w:tcW w:w="1113" w:type="dxa"/>
          </w:tcPr>
          <w:p w14:paraId="1883955F">
            <w:pPr>
              <w:overflowPunct w:val="0"/>
              <w:spacing w:line="360" w:lineRule="auto"/>
              <w:ind w:firstLine="420" w:firstLineChars="200"/>
              <w:rPr>
                <w:rFonts w:ascii="宋体" w:cs="宋体"/>
                <w:color w:val="auto"/>
                <w:highlight w:val="none"/>
              </w:rPr>
            </w:pPr>
          </w:p>
        </w:tc>
      </w:tr>
    </w:tbl>
    <w:p w14:paraId="372A3483">
      <w:pPr>
        <w:overflowPunct w:val="0"/>
        <w:spacing w:line="340" w:lineRule="exact"/>
        <w:ind w:firstLine="420" w:firstLineChars="200"/>
        <w:rPr>
          <w:rFonts w:ascii="宋体" w:cs="宋体"/>
          <w:color w:val="auto"/>
          <w:highlight w:val="none"/>
        </w:rPr>
      </w:pPr>
      <w:r>
        <w:rPr>
          <w:rFonts w:ascii="宋体" w:hAnsi="宋体" w:cs="宋体"/>
          <w:color w:val="auto"/>
          <w:highlight w:val="none"/>
        </w:rPr>
        <w:t xml:space="preserve"> </w:t>
      </w:r>
    </w:p>
    <w:p w14:paraId="21889F9C">
      <w:pPr>
        <w:overflowPunct w:val="0"/>
        <w:spacing w:line="400" w:lineRule="exact"/>
        <w:rPr>
          <w:rFonts w:ascii="宋体" w:cs="宋体"/>
          <w:color w:val="auto"/>
          <w:szCs w:val="21"/>
          <w:highlight w:val="none"/>
        </w:rPr>
      </w:pPr>
      <w:r>
        <w:rPr>
          <w:rFonts w:hint="eastAsia" w:ascii="宋体" w:hAnsi="宋体" w:cs="宋体"/>
          <w:color w:val="auto"/>
          <w:szCs w:val="21"/>
          <w:highlight w:val="none"/>
        </w:rPr>
        <w:t>注：在“偏离情况”栏注明“正偏离”、“负偏离”或“无偏离”。行数可视情况自行添加。此表可在不改变格式的情况下可自行制作。本表格为</w:t>
      </w:r>
      <w:r>
        <w:rPr>
          <w:rFonts w:hint="eastAsia" w:ascii="宋体" w:hAnsi="宋体" w:cs="宋体"/>
          <w:bCs/>
          <w:color w:val="auto"/>
          <w:szCs w:val="21"/>
          <w:highlight w:val="none"/>
        </w:rPr>
        <w:t>商务要求中除报价以外的其他要求，不填写视同完全响应磋商文件要求。</w:t>
      </w:r>
    </w:p>
    <w:p w14:paraId="40A2D8A4">
      <w:pPr>
        <w:overflowPunct w:val="0"/>
        <w:adjustRightInd w:val="0"/>
        <w:snapToGrid w:val="0"/>
        <w:spacing w:line="360" w:lineRule="auto"/>
        <w:ind w:firstLine="420" w:firstLineChars="200"/>
        <w:rPr>
          <w:rFonts w:ascii="宋体" w:hAnsi="宋体" w:cs="宋体"/>
          <w:bCs/>
          <w:color w:val="auto"/>
          <w:kern w:val="0"/>
          <w:szCs w:val="21"/>
          <w:highlight w:val="none"/>
        </w:rPr>
      </w:pPr>
    </w:p>
    <w:p w14:paraId="2B69F118">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22BAC282">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0D2085E1">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2D11D796">
      <w:pPr>
        <w:overflowPunct w:val="0"/>
        <w:rPr>
          <w:rFonts w:ascii="宋体" w:cs="宋体"/>
          <w:color w:val="auto"/>
          <w:sz w:val="24"/>
          <w:highlight w:val="none"/>
        </w:rPr>
      </w:pPr>
    </w:p>
    <w:p w14:paraId="3776BB95">
      <w:pPr>
        <w:overflowPunct w:val="0"/>
        <w:autoSpaceDE w:val="0"/>
        <w:autoSpaceDN w:val="0"/>
        <w:snapToGrid w:val="0"/>
        <w:spacing w:line="420" w:lineRule="exact"/>
        <w:textAlignment w:val="bottom"/>
        <w:rPr>
          <w:rFonts w:ascii="宋体" w:cs="宋体"/>
          <w:color w:val="auto"/>
          <w:szCs w:val="21"/>
          <w:highlight w:val="none"/>
        </w:rPr>
      </w:pPr>
    </w:p>
    <w:p w14:paraId="389D9D32">
      <w:pPr>
        <w:overflowPunct w:val="0"/>
        <w:autoSpaceDE w:val="0"/>
        <w:autoSpaceDN w:val="0"/>
        <w:snapToGrid w:val="0"/>
        <w:spacing w:line="420" w:lineRule="exact"/>
        <w:textAlignment w:val="bottom"/>
        <w:rPr>
          <w:rFonts w:ascii="宋体" w:cs="宋体"/>
          <w:color w:val="auto"/>
          <w:szCs w:val="21"/>
          <w:highlight w:val="none"/>
        </w:rPr>
      </w:pPr>
    </w:p>
    <w:p w14:paraId="2B0632E1">
      <w:pPr>
        <w:overflowPunct w:val="0"/>
        <w:autoSpaceDE w:val="0"/>
        <w:autoSpaceDN w:val="0"/>
        <w:snapToGrid w:val="0"/>
        <w:spacing w:line="420" w:lineRule="exact"/>
        <w:textAlignment w:val="bottom"/>
        <w:rPr>
          <w:rFonts w:ascii="宋体" w:cs="宋体"/>
          <w:color w:val="auto"/>
          <w:szCs w:val="21"/>
          <w:highlight w:val="none"/>
        </w:rPr>
      </w:pPr>
    </w:p>
    <w:p w14:paraId="727D1C86">
      <w:pPr>
        <w:pStyle w:val="74"/>
        <w:overflowPunct w:val="0"/>
        <w:spacing w:before="156"/>
        <w:rPr>
          <w:rFonts w:ascii="宋体" w:cs="宋体"/>
          <w:color w:val="auto"/>
          <w:szCs w:val="21"/>
          <w:highlight w:val="none"/>
        </w:rPr>
      </w:pPr>
    </w:p>
    <w:p w14:paraId="7F88E7BF">
      <w:pPr>
        <w:pStyle w:val="74"/>
        <w:overflowPunct w:val="0"/>
        <w:spacing w:before="156"/>
        <w:rPr>
          <w:rFonts w:ascii="宋体" w:cs="宋体"/>
          <w:color w:val="auto"/>
          <w:szCs w:val="21"/>
          <w:highlight w:val="none"/>
        </w:rPr>
      </w:pPr>
    </w:p>
    <w:p w14:paraId="482D363D">
      <w:pPr>
        <w:pStyle w:val="74"/>
        <w:overflowPunct w:val="0"/>
        <w:spacing w:before="156"/>
        <w:rPr>
          <w:rFonts w:ascii="宋体" w:cs="宋体"/>
          <w:color w:val="auto"/>
          <w:szCs w:val="21"/>
          <w:highlight w:val="none"/>
        </w:rPr>
      </w:pPr>
    </w:p>
    <w:p w14:paraId="4C26A43E">
      <w:pPr>
        <w:pStyle w:val="74"/>
        <w:overflowPunct w:val="0"/>
        <w:spacing w:before="156"/>
        <w:rPr>
          <w:rFonts w:ascii="宋体" w:cs="宋体"/>
          <w:color w:val="auto"/>
          <w:szCs w:val="21"/>
          <w:highlight w:val="none"/>
        </w:rPr>
      </w:pPr>
    </w:p>
    <w:p w14:paraId="2A9B410A">
      <w:pPr>
        <w:pStyle w:val="74"/>
        <w:overflowPunct w:val="0"/>
        <w:spacing w:before="156"/>
        <w:rPr>
          <w:rFonts w:ascii="宋体" w:cs="宋体"/>
          <w:color w:val="auto"/>
          <w:szCs w:val="21"/>
          <w:highlight w:val="none"/>
        </w:rPr>
      </w:pPr>
    </w:p>
    <w:p w14:paraId="1C522A33">
      <w:pPr>
        <w:pStyle w:val="74"/>
        <w:overflowPunct w:val="0"/>
        <w:spacing w:before="156"/>
        <w:rPr>
          <w:rFonts w:ascii="宋体" w:cs="宋体"/>
          <w:color w:val="auto"/>
          <w:szCs w:val="21"/>
          <w:highlight w:val="none"/>
        </w:rPr>
      </w:pPr>
    </w:p>
    <w:p w14:paraId="7CDC1100">
      <w:pPr>
        <w:pStyle w:val="74"/>
        <w:overflowPunct w:val="0"/>
        <w:spacing w:before="156"/>
        <w:rPr>
          <w:rFonts w:ascii="宋体" w:cs="宋体"/>
          <w:color w:val="auto"/>
          <w:szCs w:val="21"/>
          <w:highlight w:val="none"/>
        </w:rPr>
      </w:pPr>
    </w:p>
    <w:p w14:paraId="3CF85869">
      <w:pPr>
        <w:pStyle w:val="74"/>
        <w:overflowPunct w:val="0"/>
        <w:spacing w:before="156"/>
        <w:rPr>
          <w:rFonts w:ascii="宋体" w:cs="宋体"/>
          <w:color w:val="auto"/>
          <w:szCs w:val="21"/>
          <w:highlight w:val="none"/>
        </w:rPr>
      </w:pPr>
    </w:p>
    <w:p w14:paraId="2A8D3286">
      <w:pPr>
        <w:overflowPunct w:val="0"/>
        <w:spacing w:line="400" w:lineRule="exact"/>
        <w:jc w:val="left"/>
        <w:rPr>
          <w:rFonts w:ascii="宋体" w:cs="宋体"/>
          <w:color w:val="auto"/>
          <w:sz w:val="28"/>
          <w:szCs w:val="28"/>
          <w:highlight w:val="none"/>
        </w:rPr>
      </w:pPr>
      <w:r>
        <w:rPr>
          <w:rFonts w:hint="eastAsia" w:ascii="宋体" w:hAnsi="宋体"/>
          <w:bCs/>
          <w:color w:val="auto"/>
          <w:sz w:val="28"/>
          <w:szCs w:val="28"/>
          <w:highlight w:val="none"/>
        </w:rPr>
        <w:t>11、</w:t>
      </w:r>
      <w:r>
        <w:rPr>
          <w:rFonts w:hint="eastAsia" w:ascii="宋体" w:hAnsi="宋体" w:cs="宋体"/>
          <w:color w:val="auto"/>
          <w:sz w:val="28"/>
          <w:szCs w:val="28"/>
          <w:highlight w:val="none"/>
          <w:lang w:eastAsia="zh-CN"/>
        </w:rPr>
        <w:t>服务</w:t>
      </w:r>
      <w:r>
        <w:rPr>
          <w:rFonts w:hint="eastAsia" w:ascii="宋体" w:hAnsi="宋体" w:cs="宋体"/>
          <w:color w:val="auto"/>
          <w:sz w:val="28"/>
          <w:szCs w:val="28"/>
          <w:highlight w:val="none"/>
        </w:rPr>
        <w:t>响应表</w:t>
      </w:r>
    </w:p>
    <w:p w14:paraId="469931D5">
      <w:pPr>
        <w:overflowPunct w:val="0"/>
        <w:spacing w:line="360" w:lineRule="auto"/>
        <w:jc w:val="center"/>
        <w:rPr>
          <w:rFonts w:ascii="宋体" w:cs="宋体"/>
          <w:bCs/>
          <w:color w:val="auto"/>
          <w:sz w:val="28"/>
          <w:szCs w:val="28"/>
          <w:highlight w:val="none"/>
        </w:rPr>
      </w:pPr>
      <w:r>
        <w:rPr>
          <w:rFonts w:hint="eastAsia" w:ascii="宋体" w:hAnsi="宋体" w:cs="宋体"/>
          <w:bCs/>
          <w:color w:val="auto"/>
          <w:sz w:val="28"/>
          <w:szCs w:val="28"/>
          <w:highlight w:val="none"/>
          <w:lang w:eastAsia="zh-CN"/>
        </w:rPr>
        <w:t>服务</w:t>
      </w:r>
      <w:r>
        <w:rPr>
          <w:rFonts w:hint="eastAsia" w:ascii="宋体" w:hAnsi="宋体" w:cs="宋体"/>
          <w:bCs/>
          <w:color w:val="auto"/>
          <w:sz w:val="28"/>
          <w:szCs w:val="28"/>
          <w:highlight w:val="none"/>
        </w:rPr>
        <w:t>响应表</w:t>
      </w:r>
    </w:p>
    <w:tbl>
      <w:tblPr>
        <w:tblStyle w:val="3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22"/>
        <w:gridCol w:w="2348"/>
        <w:gridCol w:w="2162"/>
        <w:gridCol w:w="1085"/>
        <w:gridCol w:w="1113"/>
      </w:tblGrid>
      <w:tr w14:paraId="717D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88F1042">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22" w:type="dxa"/>
            <w:vAlign w:val="center"/>
          </w:tcPr>
          <w:p w14:paraId="770CE74E">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内容</w:t>
            </w:r>
          </w:p>
        </w:tc>
        <w:tc>
          <w:tcPr>
            <w:tcW w:w="2348" w:type="dxa"/>
            <w:vAlign w:val="center"/>
          </w:tcPr>
          <w:p w14:paraId="29F0F41E">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磋商文件规范要求</w:t>
            </w:r>
          </w:p>
        </w:tc>
        <w:tc>
          <w:tcPr>
            <w:tcW w:w="2162" w:type="dxa"/>
            <w:vAlign w:val="center"/>
          </w:tcPr>
          <w:p w14:paraId="2DA04F00">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响应文件对应规范</w:t>
            </w:r>
          </w:p>
        </w:tc>
        <w:tc>
          <w:tcPr>
            <w:tcW w:w="1085" w:type="dxa"/>
            <w:vAlign w:val="center"/>
          </w:tcPr>
          <w:p w14:paraId="579C6475">
            <w:pPr>
              <w:overflowPunct w:val="0"/>
              <w:spacing w:line="360" w:lineRule="exact"/>
              <w:jc w:val="center"/>
              <w:rPr>
                <w:rFonts w:ascii="宋体" w:cs="宋体"/>
                <w:b/>
                <w:color w:val="auto"/>
                <w:highlight w:val="none"/>
              </w:rPr>
            </w:pPr>
            <w:r>
              <w:rPr>
                <w:rFonts w:hint="eastAsia" w:ascii="宋体" w:hAnsi="宋体" w:cs="宋体"/>
                <w:color w:val="auto"/>
                <w:szCs w:val="21"/>
                <w:highlight w:val="none"/>
              </w:rPr>
              <w:t>偏离情况</w:t>
            </w:r>
          </w:p>
        </w:tc>
        <w:tc>
          <w:tcPr>
            <w:tcW w:w="1113" w:type="dxa"/>
            <w:vAlign w:val="center"/>
          </w:tcPr>
          <w:p w14:paraId="1625645C">
            <w:pPr>
              <w:overflowPunct w:val="0"/>
              <w:spacing w:line="360" w:lineRule="exact"/>
              <w:jc w:val="center"/>
              <w:rPr>
                <w:rFonts w:ascii="宋体" w:cs="宋体"/>
                <w:b/>
                <w:color w:val="auto"/>
                <w:highlight w:val="none"/>
              </w:rPr>
            </w:pPr>
            <w:r>
              <w:rPr>
                <w:rFonts w:hint="eastAsia" w:ascii="宋体" w:hAnsi="宋体" w:cs="宋体"/>
                <w:color w:val="auto"/>
                <w:szCs w:val="21"/>
                <w:highlight w:val="none"/>
              </w:rPr>
              <w:t>偏离原因</w:t>
            </w:r>
          </w:p>
        </w:tc>
      </w:tr>
      <w:tr w14:paraId="36D1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125249DC">
            <w:pPr>
              <w:overflowPunct w:val="0"/>
              <w:spacing w:line="360" w:lineRule="auto"/>
              <w:jc w:val="center"/>
              <w:rPr>
                <w:rFonts w:ascii="宋体" w:cs="宋体"/>
                <w:color w:val="auto"/>
                <w:highlight w:val="none"/>
              </w:rPr>
            </w:pPr>
            <w:r>
              <w:rPr>
                <w:rFonts w:ascii="宋体" w:hAnsi="宋体" w:cs="宋体"/>
                <w:color w:val="auto"/>
                <w:highlight w:val="none"/>
              </w:rPr>
              <w:t>1</w:t>
            </w:r>
          </w:p>
        </w:tc>
        <w:tc>
          <w:tcPr>
            <w:tcW w:w="1522" w:type="dxa"/>
            <w:vAlign w:val="center"/>
          </w:tcPr>
          <w:p w14:paraId="6A6CA838">
            <w:pPr>
              <w:overflowPunct w:val="0"/>
              <w:spacing w:line="360" w:lineRule="auto"/>
              <w:jc w:val="left"/>
              <w:rPr>
                <w:rFonts w:ascii="宋体" w:cs="宋体"/>
                <w:bCs/>
                <w:color w:val="auto"/>
                <w:highlight w:val="none"/>
              </w:rPr>
            </w:pPr>
          </w:p>
        </w:tc>
        <w:tc>
          <w:tcPr>
            <w:tcW w:w="2348" w:type="dxa"/>
          </w:tcPr>
          <w:p w14:paraId="362D4263">
            <w:pPr>
              <w:overflowPunct w:val="0"/>
              <w:spacing w:line="360" w:lineRule="auto"/>
              <w:ind w:firstLine="420" w:firstLineChars="200"/>
              <w:rPr>
                <w:rFonts w:ascii="宋体" w:cs="宋体"/>
                <w:color w:val="auto"/>
                <w:highlight w:val="none"/>
              </w:rPr>
            </w:pPr>
          </w:p>
        </w:tc>
        <w:tc>
          <w:tcPr>
            <w:tcW w:w="2162" w:type="dxa"/>
          </w:tcPr>
          <w:p w14:paraId="45054263">
            <w:pPr>
              <w:overflowPunct w:val="0"/>
              <w:spacing w:line="360" w:lineRule="auto"/>
              <w:ind w:firstLine="420" w:firstLineChars="200"/>
              <w:rPr>
                <w:rFonts w:ascii="宋体" w:cs="宋体"/>
                <w:color w:val="auto"/>
                <w:highlight w:val="none"/>
              </w:rPr>
            </w:pPr>
          </w:p>
        </w:tc>
        <w:tc>
          <w:tcPr>
            <w:tcW w:w="1085" w:type="dxa"/>
          </w:tcPr>
          <w:p w14:paraId="7CF9CFF5">
            <w:pPr>
              <w:overflowPunct w:val="0"/>
              <w:spacing w:line="360" w:lineRule="auto"/>
              <w:ind w:firstLine="420" w:firstLineChars="200"/>
              <w:rPr>
                <w:rFonts w:ascii="宋体" w:cs="宋体"/>
                <w:color w:val="auto"/>
                <w:highlight w:val="none"/>
              </w:rPr>
            </w:pPr>
          </w:p>
        </w:tc>
        <w:tc>
          <w:tcPr>
            <w:tcW w:w="1113" w:type="dxa"/>
          </w:tcPr>
          <w:p w14:paraId="367B7B91">
            <w:pPr>
              <w:overflowPunct w:val="0"/>
              <w:spacing w:line="360" w:lineRule="auto"/>
              <w:ind w:firstLine="420" w:firstLineChars="200"/>
              <w:rPr>
                <w:rFonts w:ascii="宋体" w:cs="宋体"/>
                <w:color w:val="auto"/>
                <w:highlight w:val="none"/>
              </w:rPr>
            </w:pPr>
          </w:p>
        </w:tc>
      </w:tr>
      <w:tr w14:paraId="54B9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40E48485">
            <w:pPr>
              <w:overflowPunct w:val="0"/>
              <w:spacing w:line="360" w:lineRule="auto"/>
              <w:jc w:val="center"/>
              <w:rPr>
                <w:rFonts w:ascii="宋体" w:cs="宋体"/>
                <w:color w:val="auto"/>
                <w:highlight w:val="none"/>
              </w:rPr>
            </w:pPr>
            <w:r>
              <w:rPr>
                <w:rFonts w:ascii="宋体" w:hAnsi="宋体" w:cs="宋体"/>
                <w:color w:val="auto"/>
                <w:highlight w:val="none"/>
              </w:rPr>
              <w:t>2</w:t>
            </w:r>
          </w:p>
        </w:tc>
        <w:tc>
          <w:tcPr>
            <w:tcW w:w="1522" w:type="dxa"/>
            <w:vAlign w:val="center"/>
          </w:tcPr>
          <w:p w14:paraId="47ECFB00">
            <w:pPr>
              <w:overflowPunct w:val="0"/>
              <w:spacing w:line="360" w:lineRule="auto"/>
              <w:jc w:val="left"/>
              <w:rPr>
                <w:rFonts w:ascii="宋体" w:cs="宋体"/>
                <w:bCs/>
                <w:color w:val="auto"/>
                <w:highlight w:val="none"/>
              </w:rPr>
            </w:pPr>
          </w:p>
        </w:tc>
        <w:tc>
          <w:tcPr>
            <w:tcW w:w="2348" w:type="dxa"/>
          </w:tcPr>
          <w:p w14:paraId="07E8DFC6">
            <w:pPr>
              <w:overflowPunct w:val="0"/>
              <w:spacing w:line="360" w:lineRule="auto"/>
              <w:ind w:firstLine="420" w:firstLineChars="200"/>
              <w:rPr>
                <w:rFonts w:ascii="宋体" w:cs="宋体"/>
                <w:color w:val="auto"/>
                <w:highlight w:val="none"/>
              </w:rPr>
            </w:pPr>
          </w:p>
        </w:tc>
        <w:tc>
          <w:tcPr>
            <w:tcW w:w="2162" w:type="dxa"/>
          </w:tcPr>
          <w:p w14:paraId="11FF5524">
            <w:pPr>
              <w:overflowPunct w:val="0"/>
              <w:spacing w:line="360" w:lineRule="auto"/>
              <w:ind w:firstLine="420" w:firstLineChars="200"/>
              <w:rPr>
                <w:rFonts w:ascii="宋体" w:cs="宋体"/>
                <w:color w:val="auto"/>
                <w:highlight w:val="none"/>
              </w:rPr>
            </w:pPr>
          </w:p>
        </w:tc>
        <w:tc>
          <w:tcPr>
            <w:tcW w:w="1085" w:type="dxa"/>
          </w:tcPr>
          <w:p w14:paraId="4EB90B78">
            <w:pPr>
              <w:overflowPunct w:val="0"/>
              <w:spacing w:line="360" w:lineRule="auto"/>
              <w:ind w:firstLine="420" w:firstLineChars="200"/>
              <w:rPr>
                <w:rFonts w:ascii="宋体" w:cs="宋体"/>
                <w:color w:val="auto"/>
                <w:highlight w:val="none"/>
              </w:rPr>
            </w:pPr>
          </w:p>
        </w:tc>
        <w:tc>
          <w:tcPr>
            <w:tcW w:w="1113" w:type="dxa"/>
          </w:tcPr>
          <w:p w14:paraId="691C1772">
            <w:pPr>
              <w:overflowPunct w:val="0"/>
              <w:spacing w:line="360" w:lineRule="auto"/>
              <w:ind w:firstLine="420" w:firstLineChars="200"/>
              <w:rPr>
                <w:rFonts w:ascii="宋体" w:cs="宋体"/>
                <w:color w:val="auto"/>
                <w:highlight w:val="none"/>
              </w:rPr>
            </w:pPr>
          </w:p>
        </w:tc>
      </w:tr>
      <w:tr w14:paraId="0089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7584521C">
            <w:pPr>
              <w:overflowPunct w:val="0"/>
              <w:spacing w:line="360" w:lineRule="auto"/>
              <w:jc w:val="center"/>
              <w:rPr>
                <w:rFonts w:ascii="宋体" w:cs="宋体"/>
                <w:color w:val="auto"/>
                <w:highlight w:val="none"/>
              </w:rPr>
            </w:pPr>
            <w:r>
              <w:rPr>
                <w:rFonts w:ascii="宋体" w:hAnsi="宋体" w:cs="宋体"/>
                <w:color w:val="auto"/>
                <w:highlight w:val="none"/>
              </w:rPr>
              <w:t>3</w:t>
            </w:r>
          </w:p>
        </w:tc>
        <w:tc>
          <w:tcPr>
            <w:tcW w:w="1522" w:type="dxa"/>
            <w:vAlign w:val="center"/>
          </w:tcPr>
          <w:p w14:paraId="15C2EE09">
            <w:pPr>
              <w:overflowPunct w:val="0"/>
              <w:spacing w:line="360" w:lineRule="auto"/>
              <w:jc w:val="left"/>
              <w:rPr>
                <w:rFonts w:ascii="宋体" w:cs="宋体"/>
                <w:bCs/>
                <w:color w:val="auto"/>
                <w:highlight w:val="none"/>
              </w:rPr>
            </w:pPr>
          </w:p>
        </w:tc>
        <w:tc>
          <w:tcPr>
            <w:tcW w:w="2348" w:type="dxa"/>
          </w:tcPr>
          <w:p w14:paraId="38581D80">
            <w:pPr>
              <w:overflowPunct w:val="0"/>
              <w:spacing w:line="360" w:lineRule="auto"/>
              <w:ind w:firstLine="420" w:firstLineChars="200"/>
              <w:rPr>
                <w:rFonts w:ascii="宋体" w:cs="宋体"/>
                <w:color w:val="auto"/>
                <w:highlight w:val="none"/>
              </w:rPr>
            </w:pPr>
          </w:p>
        </w:tc>
        <w:tc>
          <w:tcPr>
            <w:tcW w:w="2162" w:type="dxa"/>
          </w:tcPr>
          <w:p w14:paraId="0E372CBB">
            <w:pPr>
              <w:overflowPunct w:val="0"/>
              <w:spacing w:line="360" w:lineRule="auto"/>
              <w:ind w:firstLine="420" w:firstLineChars="200"/>
              <w:rPr>
                <w:rFonts w:ascii="宋体" w:cs="宋体"/>
                <w:color w:val="auto"/>
                <w:highlight w:val="none"/>
              </w:rPr>
            </w:pPr>
          </w:p>
        </w:tc>
        <w:tc>
          <w:tcPr>
            <w:tcW w:w="1085" w:type="dxa"/>
          </w:tcPr>
          <w:p w14:paraId="6700F0B4">
            <w:pPr>
              <w:overflowPunct w:val="0"/>
              <w:spacing w:line="360" w:lineRule="auto"/>
              <w:ind w:firstLine="420" w:firstLineChars="200"/>
              <w:rPr>
                <w:rFonts w:ascii="宋体" w:cs="宋体"/>
                <w:color w:val="auto"/>
                <w:highlight w:val="none"/>
              </w:rPr>
            </w:pPr>
          </w:p>
        </w:tc>
        <w:tc>
          <w:tcPr>
            <w:tcW w:w="1113" w:type="dxa"/>
          </w:tcPr>
          <w:p w14:paraId="145DDEB6">
            <w:pPr>
              <w:overflowPunct w:val="0"/>
              <w:spacing w:line="360" w:lineRule="auto"/>
              <w:ind w:firstLine="420" w:firstLineChars="200"/>
              <w:rPr>
                <w:rFonts w:ascii="宋体" w:cs="宋体"/>
                <w:color w:val="auto"/>
                <w:highlight w:val="none"/>
              </w:rPr>
            </w:pPr>
          </w:p>
        </w:tc>
      </w:tr>
      <w:tr w14:paraId="732A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1A8DF05F">
            <w:pPr>
              <w:overflowPunct w:val="0"/>
              <w:spacing w:line="360" w:lineRule="auto"/>
              <w:jc w:val="center"/>
              <w:rPr>
                <w:rFonts w:ascii="宋体" w:cs="宋体"/>
                <w:color w:val="auto"/>
                <w:highlight w:val="none"/>
              </w:rPr>
            </w:pPr>
            <w:r>
              <w:rPr>
                <w:rFonts w:ascii="宋体" w:hAnsi="宋体" w:cs="宋体"/>
                <w:color w:val="auto"/>
                <w:highlight w:val="none"/>
              </w:rPr>
              <w:t>4</w:t>
            </w:r>
          </w:p>
        </w:tc>
        <w:tc>
          <w:tcPr>
            <w:tcW w:w="1522" w:type="dxa"/>
            <w:vAlign w:val="center"/>
          </w:tcPr>
          <w:p w14:paraId="62BA3AB8">
            <w:pPr>
              <w:overflowPunct w:val="0"/>
              <w:spacing w:line="360" w:lineRule="auto"/>
              <w:jc w:val="left"/>
              <w:rPr>
                <w:rFonts w:ascii="宋体" w:cs="宋体"/>
                <w:bCs/>
                <w:color w:val="auto"/>
                <w:highlight w:val="none"/>
              </w:rPr>
            </w:pPr>
          </w:p>
        </w:tc>
        <w:tc>
          <w:tcPr>
            <w:tcW w:w="2348" w:type="dxa"/>
          </w:tcPr>
          <w:p w14:paraId="0D82C5F6">
            <w:pPr>
              <w:overflowPunct w:val="0"/>
              <w:spacing w:line="360" w:lineRule="auto"/>
              <w:ind w:firstLine="420" w:firstLineChars="200"/>
              <w:rPr>
                <w:rFonts w:ascii="宋体" w:cs="宋体"/>
                <w:color w:val="auto"/>
                <w:highlight w:val="none"/>
              </w:rPr>
            </w:pPr>
          </w:p>
        </w:tc>
        <w:tc>
          <w:tcPr>
            <w:tcW w:w="2162" w:type="dxa"/>
          </w:tcPr>
          <w:p w14:paraId="7C049D0E">
            <w:pPr>
              <w:overflowPunct w:val="0"/>
              <w:spacing w:line="360" w:lineRule="auto"/>
              <w:ind w:firstLine="420" w:firstLineChars="200"/>
              <w:rPr>
                <w:rFonts w:ascii="宋体" w:cs="宋体"/>
                <w:color w:val="auto"/>
                <w:highlight w:val="none"/>
              </w:rPr>
            </w:pPr>
          </w:p>
        </w:tc>
        <w:tc>
          <w:tcPr>
            <w:tcW w:w="1085" w:type="dxa"/>
          </w:tcPr>
          <w:p w14:paraId="6BF70841">
            <w:pPr>
              <w:overflowPunct w:val="0"/>
              <w:spacing w:line="360" w:lineRule="auto"/>
              <w:ind w:firstLine="420" w:firstLineChars="200"/>
              <w:rPr>
                <w:rFonts w:ascii="宋体" w:cs="宋体"/>
                <w:color w:val="auto"/>
                <w:highlight w:val="none"/>
              </w:rPr>
            </w:pPr>
          </w:p>
        </w:tc>
        <w:tc>
          <w:tcPr>
            <w:tcW w:w="1113" w:type="dxa"/>
          </w:tcPr>
          <w:p w14:paraId="365D7724">
            <w:pPr>
              <w:overflowPunct w:val="0"/>
              <w:spacing w:line="360" w:lineRule="auto"/>
              <w:ind w:firstLine="420" w:firstLineChars="200"/>
              <w:rPr>
                <w:rFonts w:ascii="宋体" w:cs="宋体"/>
                <w:color w:val="auto"/>
                <w:highlight w:val="none"/>
              </w:rPr>
            </w:pPr>
          </w:p>
        </w:tc>
      </w:tr>
      <w:tr w14:paraId="7304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tcPr>
          <w:p w14:paraId="4C836120">
            <w:pPr>
              <w:overflowPunct w:val="0"/>
              <w:spacing w:line="360" w:lineRule="auto"/>
              <w:ind w:firstLine="420" w:firstLineChars="200"/>
              <w:rPr>
                <w:rFonts w:ascii="宋体" w:cs="宋体"/>
                <w:color w:val="auto"/>
                <w:highlight w:val="none"/>
              </w:rPr>
            </w:pPr>
          </w:p>
        </w:tc>
        <w:tc>
          <w:tcPr>
            <w:tcW w:w="1522" w:type="dxa"/>
          </w:tcPr>
          <w:p w14:paraId="38D5BCED">
            <w:pPr>
              <w:overflowPunct w:val="0"/>
              <w:spacing w:line="360" w:lineRule="auto"/>
              <w:ind w:firstLine="420" w:firstLineChars="200"/>
              <w:rPr>
                <w:rFonts w:ascii="宋体" w:cs="宋体"/>
                <w:color w:val="auto"/>
                <w:highlight w:val="none"/>
              </w:rPr>
            </w:pPr>
          </w:p>
        </w:tc>
        <w:tc>
          <w:tcPr>
            <w:tcW w:w="2348" w:type="dxa"/>
          </w:tcPr>
          <w:p w14:paraId="6C285A62">
            <w:pPr>
              <w:overflowPunct w:val="0"/>
              <w:spacing w:line="360" w:lineRule="auto"/>
              <w:ind w:firstLine="420" w:firstLineChars="200"/>
              <w:rPr>
                <w:rFonts w:ascii="宋体" w:cs="宋体"/>
                <w:color w:val="auto"/>
                <w:highlight w:val="none"/>
              </w:rPr>
            </w:pPr>
          </w:p>
        </w:tc>
        <w:tc>
          <w:tcPr>
            <w:tcW w:w="2162" w:type="dxa"/>
          </w:tcPr>
          <w:p w14:paraId="5CC3DEF7">
            <w:pPr>
              <w:overflowPunct w:val="0"/>
              <w:spacing w:line="360" w:lineRule="auto"/>
              <w:ind w:firstLine="420" w:firstLineChars="200"/>
              <w:rPr>
                <w:rFonts w:ascii="宋体" w:cs="宋体"/>
                <w:color w:val="auto"/>
                <w:highlight w:val="none"/>
              </w:rPr>
            </w:pPr>
          </w:p>
        </w:tc>
        <w:tc>
          <w:tcPr>
            <w:tcW w:w="1085" w:type="dxa"/>
          </w:tcPr>
          <w:p w14:paraId="7E4531D6">
            <w:pPr>
              <w:overflowPunct w:val="0"/>
              <w:spacing w:line="360" w:lineRule="auto"/>
              <w:ind w:firstLine="420" w:firstLineChars="200"/>
              <w:rPr>
                <w:rFonts w:ascii="宋体" w:cs="宋体"/>
                <w:color w:val="auto"/>
                <w:highlight w:val="none"/>
              </w:rPr>
            </w:pPr>
          </w:p>
        </w:tc>
        <w:tc>
          <w:tcPr>
            <w:tcW w:w="1113" w:type="dxa"/>
          </w:tcPr>
          <w:p w14:paraId="7BDCDAD6">
            <w:pPr>
              <w:overflowPunct w:val="0"/>
              <w:spacing w:line="360" w:lineRule="auto"/>
              <w:ind w:firstLine="420" w:firstLineChars="200"/>
              <w:rPr>
                <w:rFonts w:ascii="宋体" w:cs="宋体"/>
                <w:color w:val="auto"/>
                <w:highlight w:val="none"/>
              </w:rPr>
            </w:pPr>
          </w:p>
        </w:tc>
      </w:tr>
    </w:tbl>
    <w:p w14:paraId="5FD6A825">
      <w:pPr>
        <w:overflowPunct w:val="0"/>
        <w:spacing w:line="340" w:lineRule="exact"/>
        <w:ind w:firstLine="420" w:firstLineChars="200"/>
        <w:rPr>
          <w:rFonts w:ascii="宋体" w:cs="宋体"/>
          <w:color w:val="auto"/>
          <w:highlight w:val="none"/>
        </w:rPr>
      </w:pPr>
      <w:r>
        <w:rPr>
          <w:rFonts w:ascii="宋体" w:hAnsi="宋体" w:cs="宋体"/>
          <w:color w:val="auto"/>
          <w:highlight w:val="none"/>
        </w:rPr>
        <w:t xml:space="preserve"> </w:t>
      </w:r>
    </w:p>
    <w:p w14:paraId="3722398F">
      <w:pPr>
        <w:overflowPunct w:val="0"/>
        <w:rPr>
          <w:rFonts w:ascii="宋体" w:cs="宋体"/>
          <w:color w:val="auto"/>
          <w:sz w:val="24"/>
          <w:highlight w:val="none"/>
        </w:rPr>
      </w:pPr>
    </w:p>
    <w:p w14:paraId="71CD3EA5">
      <w:pPr>
        <w:overflowPunct w:val="0"/>
        <w:spacing w:line="400" w:lineRule="exact"/>
        <w:rPr>
          <w:rFonts w:ascii="宋体" w:cs="宋体"/>
          <w:color w:val="auto"/>
          <w:szCs w:val="21"/>
          <w:highlight w:val="none"/>
        </w:rPr>
      </w:pPr>
      <w:r>
        <w:rPr>
          <w:rFonts w:hint="eastAsia" w:ascii="宋体" w:hAnsi="宋体" w:cs="宋体"/>
          <w:color w:val="auto"/>
          <w:szCs w:val="21"/>
          <w:highlight w:val="none"/>
        </w:rPr>
        <w:t>注：在“偏离情况”栏注明“正偏离”、“负偏离”或“无偏离”。行数可视情况自行添加。此表可在不改变格式的情况下可自行制作。</w:t>
      </w:r>
      <w:r>
        <w:rPr>
          <w:rFonts w:hint="eastAsia" w:ascii="宋体" w:hAnsi="宋体" w:cs="宋体"/>
          <w:bCs/>
          <w:color w:val="auto"/>
          <w:szCs w:val="21"/>
          <w:highlight w:val="none"/>
        </w:rPr>
        <w:t>不填写视同完全响应磋商文件要求。</w:t>
      </w:r>
    </w:p>
    <w:p w14:paraId="77B58596">
      <w:pPr>
        <w:snapToGrid w:val="0"/>
        <w:spacing w:line="400" w:lineRule="exact"/>
        <w:jc w:val="left"/>
        <w:rPr>
          <w:rFonts w:ascii="宋体" w:hAnsi="宋体"/>
          <w:color w:val="auto"/>
          <w:szCs w:val="21"/>
          <w:highlight w:val="none"/>
        </w:rPr>
      </w:pPr>
    </w:p>
    <w:p w14:paraId="466ADC2B">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177835CA">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20D0B88C">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2CB84F09">
      <w:pPr>
        <w:pStyle w:val="74"/>
        <w:overflowPunct w:val="0"/>
        <w:spacing w:before="156"/>
        <w:rPr>
          <w:rFonts w:ascii="宋体" w:cs="宋体"/>
          <w:color w:val="auto"/>
          <w:szCs w:val="21"/>
          <w:highlight w:val="none"/>
        </w:rPr>
      </w:pPr>
    </w:p>
    <w:p w14:paraId="78FD8B60">
      <w:pPr>
        <w:pStyle w:val="74"/>
        <w:overflowPunct w:val="0"/>
        <w:spacing w:before="156"/>
        <w:rPr>
          <w:rFonts w:ascii="宋体" w:cs="宋体"/>
          <w:color w:val="auto"/>
          <w:szCs w:val="21"/>
          <w:highlight w:val="none"/>
        </w:rPr>
      </w:pPr>
    </w:p>
    <w:p w14:paraId="4AE529C1">
      <w:pPr>
        <w:pStyle w:val="74"/>
        <w:overflowPunct w:val="0"/>
        <w:spacing w:before="156"/>
        <w:rPr>
          <w:rFonts w:ascii="宋体" w:cs="宋体"/>
          <w:color w:val="auto"/>
          <w:szCs w:val="21"/>
          <w:highlight w:val="none"/>
        </w:rPr>
      </w:pPr>
    </w:p>
    <w:p w14:paraId="64680501">
      <w:pPr>
        <w:pStyle w:val="74"/>
        <w:overflowPunct w:val="0"/>
        <w:spacing w:before="156"/>
        <w:rPr>
          <w:rFonts w:ascii="宋体" w:cs="宋体"/>
          <w:color w:val="auto"/>
          <w:szCs w:val="21"/>
          <w:highlight w:val="none"/>
        </w:rPr>
      </w:pPr>
    </w:p>
    <w:p w14:paraId="20729267">
      <w:pPr>
        <w:pStyle w:val="74"/>
        <w:overflowPunct w:val="0"/>
        <w:spacing w:before="156"/>
        <w:rPr>
          <w:rFonts w:ascii="宋体" w:cs="宋体"/>
          <w:color w:val="auto"/>
          <w:szCs w:val="21"/>
          <w:highlight w:val="none"/>
        </w:rPr>
      </w:pPr>
    </w:p>
    <w:p w14:paraId="12B6E6BF">
      <w:pPr>
        <w:pStyle w:val="74"/>
        <w:overflowPunct w:val="0"/>
        <w:spacing w:before="156"/>
        <w:rPr>
          <w:rFonts w:ascii="宋体" w:cs="宋体"/>
          <w:color w:val="auto"/>
          <w:szCs w:val="21"/>
          <w:highlight w:val="none"/>
        </w:rPr>
      </w:pPr>
    </w:p>
    <w:p w14:paraId="00D440E7">
      <w:pPr>
        <w:pStyle w:val="74"/>
        <w:overflowPunct w:val="0"/>
        <w:spacing w:before="156"/>
        <w:rPr>
          <w:rFonts w:ascii="宋体" w:cs="宋体"/>
          <w:color w:val="auto"/>
          <w:szCs w:val="21"/>
          <w:highlight w:val="none"/>
        </w:rPr>
      </w:pPr>
    </w:p>
    <w:p w14:paraId="32F8F2F6">
      <w:pPr>
        <w:pStyle w:val="74"/>
        <w:overflowPunct w:val="0"/>
        <w:spacing w:before="156"/>
        <w:rPr>
          <w:rFonts w:ascii="宋体" w:cs="宋体"/>
          <w:color w:val="auto"/>
          <w:szCs w:val="21"/>
          <w:highlight w:val="none"/>
        </w:rPr>
      </w:pPr>
    </w:p>
    <w:p w14:paraId="66678086">
      <w:pPr>
        <w:pStyle w:val="74"/>
        <w:overflowPunct w:val="0"/>
        <w:spacing w:before="156"/>
        <w:rPr>
          <w:rFonts w:ascii="宋体" w:cs="宋体"/>
          <w:color w:val="auto"/>
          <w:szCs w:val="21"/>
          <w:highlight w:val="none"/>
        </w:rPr>
      </w:pPr>
    </w:p>
    <w:p w14:paraId="52A63082">
      <w:pPr>
        <w:pStyle w:val="74"/>
        <w:overflowPunct w:val="0"/>
        <w:spacing w:before="156"/>
        <w:rPr>
          <w:rFonts w:ascii="宋体" w:cs="宋体"/>
          <w:color w:val="auto"/>
          <w:szCs w:val="21"/>
          <w:highlight w:val="none"/>
        </w:rPr>
      </w:pPr>
    </w:p>
    <w:p w14:paraId="4BBFECF8">
      <w:pPr>
        <w:pStyle w:val="74"/>
        <w:overflowPunct w:val="0"/>
        <w:spacing w:before="156"/>
        <w:rPr>
          <w:rFonts w:ascii="宋体" w:cs="宋体"/>
          <w:color w:val="auto"/>
          <w:szCs w:val="21"/>
          <w:highlight w:val="none"/>
        </w:rPr>
      </w:pPr>
    </w:p>
    <w:p w14:paraId="78E15849">
      <w:pPr>
        <w:overflowPunct w:val="0"/>
        <w:spacing w:line="40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12、项目实施人员一览表格式</w:t>
      </w:r>
    </w:p>
    <w:p w14:paraId="214BC348">
      <w:pPr>
        <w:overflowPunct w:val="0"/>
        <w:spacing w:line="360" w:lineRule="auto"/>
        <w:jc w:val="center"/>
        <w:rPr>
          <w:rFonts w:ascii="宋体" w:hAnsi="宋体" w:cs="宋体"/>
          <w:bCs/>
          <w:color w:val="auto"/>
          <w:sz w:val="28"/>
          <w:szCs w:val="28"/>
          <w:highlight w:val="none"/>
        </w:rPr>
      </w:pPr>
    </w:p>
    <w:p w14:paraId="5ADDD9BA">
      <w:pPr>
        <w:overflowPunct w:val="0"/>
        <w:spacing w:line="360" w:lineRule="auto"/>
        <w:jc w:val="center"/>
        <w:rPr>
          <w:rFonts w:ascii="宋体" w:hAnsi="宋体" w:cs="宋体"/>
          <w:bCs/>
          <w:color w:val="auto"/>
          <w:sz w:val="28"/>
          <w:szCs w:val="28"/>
          <w:highlight w:val="none"/>
        </w:rPr>
      </w:pPr>
      <w:r>
        <w:rPr>
          <w:rFonts w:hint="eastAsia" w:ascii="宋体" w:hAnsi="宋体" w:cs="宋体"/>
          <w:bCs/>
          <w:color w:val="auto"/>
          <w:sz w:val="28"/>
          <w:szCs w:val="28"/>
          <w:highlight w:val="none"/>
        </w:rPr>
        <w:t>项目实施人员一览表</w:t>
      </w:r>
    </w:p>
    <w:tbl>
      <w:tblPr>
        <w:tblStyle w:val="3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30"/>
        <w:gridCol w:w="913"/>
        <w:gridCol w:w="1369"/>
        <w:gridCol w:w="896"/>
        <w:gridCol w:w="896"/>
        <w:gridCol w:w="896"/>
        <w:gridCol w:w="896"/>
      </w:tblGrid>
      <w:tr w14:paraId="5DFA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restart"/>
            <w:vAlign w:val="center"/>
          </w:tcPr>
          <w:p w14:paraId="7A523AC6">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岗位</w:t>
            </w:r>
          </w:p>
        </w:tc>
        <w:tc>
          <w:tcPr>
            <w:tcW w:w="1730" w:type="dxa"/>
            <w:vMerge w:val="restart"/>
            <w:vAlign w:val="center"/>
          </w:tcPr>
          <w:p w14:paraId="33E914F3">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13" w:type="dxa"/>
            <w:vMerge w:val="restart"/>
            <w:vAlign w:val="center"/>
          </w:tcPr>
          <w:p w14:paraId="1A180C6A">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4057" w:type="dxa"/>
            <w:gridSpan w:val="4"/>
            <w:vAlign w:val="center"/>
          </w:tcPr>
          <w:p w14:paraId="071B5517">
            <w:pPr>
              <w:overflowPunct w:val="0"/>
              <w:spacing w:line="40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执业或职业资格证明</w:t>
            </w:r>
          </w:p>
        </w:tc>
        <w:tc>
          <w:tcPr>
            <w:tcW w:w="896" w:type="dxa"/>
            <w:vMerge w:val="restart"/>
            <w:vAlign w:val="center"/>
          </w:tcPr>
          <w:p w14:paraId="3D278BCD">
            <w:pPr>
              <w:overflowPunct w:val="0"/>
              <w:spacing w:line="40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r>
      <w:tr w14:paraId="6018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vAlign w:val="center"/>
          </w:tcPr>
          <w:p w14:paraId="40668180">
            <w:pPr>
              <w:overflowPunct w:val="0"/>
              <w:spacing w:line="400" w:lineRule="exact"/>
              <w:jc w:val="center"/>
              <w:rPr>
                <w:rFonts w:ascii="宋体" w:hAnsi="宋体" w:cs="宋体"/>
                <w:b/>
                <w:bCs/>
                <w:color w:val="auto"/>
                <w:kern w:val="0"/>
                <w:szCs w:val="21"/>
                <w:highlight w:val="none"/>
              </w:rPr>
            </w:pPr>
          </w:p>
        </w:tc>
        <w:tc>
          <w:tcPr>
            <w:tcW w:w="1730" w:type="dxa"/>
            <w:vMerge w:val="continue"/>
            <w:vAlign w:val="center"/>
          </w:tcPr>
          <w:p w14:paraId="66B3D1D7">
            <w:pPr>
              <w:overflowPunct w:val="0"/>
              <w:spacing w:line="400" w:lineRule="exact"/>
              <w:jc w:val="center"/>
              <w:rPr>
                <w:rFonts w:ascii="宋体" w:hAnsi="宋体" w:cs="宋体"/>
                <w:b/>
                <w:bCs/>
                <w:color w:val="auto"/>
                <w:kern w:val="0"/>
                <w:szCs w:val="21"/>
                <w:highlight w:val="none"/>
              </w:rPr>
            </w:pPr>
          </w:p>
        </w:tc>
        <w:tc>
          <w:tcPr>
            <w:tcW w:w="913" w:type="dxa"/>
            <w:vMerge w:val="continue"/>
            <w:vAlign w:val="center"/>
          </w:tcPr>
          <w:p w14:paraId="5CE52A56">
            <w:pPr>
              <w:overflowPunct w:val="0"/>
              <w:spacing w:line="400" w:lineRule="exact"/>
              <w:jc w:val="center"/>
              <w:rPr>
                <w:rFonts w:ascii="宋体" w:hAnsi="宋体" w:cs="宋体"/>
                <w:b/>
                <w:bCs/>
                <w:color w:val="auto"/>
                <w:kern w:val="0"/>
                <w:szCs w:val="21"/>
                <w:highlight w:val="none"/>
              </w:rPr>
            </w:pPr>
          </w:p>
        </w:tc>
        <w:tc>
          <w:tcPr>
            <w:tcW w:w="1369" w:type="dxa"/>
            <w:vAlign w:val="center"/>
          </w:tcPr>
          <w:p w14:paraId="3CC23DB6">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896" w:type="dxa"/>
            <w:vAlign w:val="center"/>
          </w:tcPr>
          <w:p w14:paraId="57F1D177">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896" w:type="dxa"/>
            <w:vAlign w:val="center"/>
          </w:tcPr>
          <w:p w14:paraId="0C515E28">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896" w:type="dxa"/>
            <w:vAlign w:val="center"/>
          </w:tcPr>
          <w:p w14:paraId="091E4D05">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896" w:type="dxa"/>
            <w:vMerge w:val="continue"/>
            <w:vAlign w:val="center"/>
          </w:tcPr>
          <w:p w14:paraId="0530D16B">
            <w:pPr>
              <w:overflowPunct w:val="0"/>
              <w:spacing w:line="400" w:lineRule="exact"/>
              <w:jc w:val="center"/>
              <w:rPr>
                <w:rFonts w:ascii="宋体" w:hAnsi="宋体" w:cs="宋体"/>
                <w:b/>
                <w:bCs/>
                <w:color w:val="auto"/>
                <w:kern w:val="0"/>
                <w:szCs w:val="21"/>
                <w:highlight w:val="none"/>
              </w:rPr>
            </w:pPr>
          </w:p>
        </w:tc>
      </w:tr>
      <w:tr w14:paraId="1BD9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7D95F70A">
            <w:pPr>
              <w:overflowPunct w:val="0"/>
              <w:spacing w:line="400" w:lineRule="exact"/>
              <w:jc w:val="center"/>
              <w:rPr>
                <w:rFonts w:ascii="宋体" w:hAnsi="宋体" w:cs="宋体"/>
                <w:color w:val="auto"/>
                <w:szCs w:val="21"/>
                <w:highlight w:val="none"/>
              </w:rPr>
            </w:pPr>
          </w:p>
        </w:tc>
        <w:tc>
          <w:tcPr>
            <w:tcW w:w="1730" w:type="dxa"/>
            <w:vAlign w:val="center"/>
          </w:tcPr>
          <w:p w14:paraId="0827E2EE">
            <w:pPr>
              <w:overflowPunct w:val="0"/>
              <w:spacing w:line="400" w:lineRule="exact"/>
              <w:jc w:val="center"/>
              <w:rPr>
                <w:rFonts w:ascii="宋体" w:hAnsi="宋体" w:cs="宋体"/>
                <w:b/>
                <w:bCs/>
                <w:color w:val="auto"/>
                <w:kern w:val="0"/>
                <w:szCs w:val="21"/>
                <w:highlight w:val="none"/>
              </w:rPr>
            </w:pPr>
          </w:p>
        </w:tc>
        <w:tc>
          <w:tcPr>
            <w:tcW w:w="913" w:type="dxa"/>
            <w:vAlign w:val="center"/>
          </w:tcPr>
          <w:p w14:paraId="4FEB0703">
            <w:pPr>
              <w:overflowPunct w:val="0"/>
              <w:spacing w:line="400" w:lineRule="exact"/>
              <w:jc w:val="center"/>
              <w:rPr>
                <w:rFonts w:ascii="宋体" w:hAnsi="宋体" w:cs="宋体"/>
                <w:b/>
                <w:bCs/>
                <w:color w:val="auto"/>
                <w:kern w:val="0"/>
                <w:szCs w:val="21"/>
                <w:highlight w:val="none"/>
              </w:rPr>
            </w:pPr>
          </w:p>
        </w:tc>
        <w:tc>
          <w:tcPr>
            <w:tcW w:w="1369" w:type="dxa"/>
            <w:vAlign w:val="center"/>
          </w:tcPr>
          <w:p w14:paraId="4065F058">
            <w:pPr>
              <w:overflowPunct w:val="0"/>
              <w:spacing w:line="400" w:lineRule="exact"/>
              <w:jc w:val="center"/>
              <w:rPr>
                <w:rFonts w:ascii="宋体" w:hAnsi="宋体" w:cs="宋体"/>
                <w:b/>
                <w:bCs/>
                <w:color w:val="auto"/>
                <w:kern w:val="0"/>
                <w:szCs w:val="21"/>
                <w:highlight w:val="none"/>
              </w:rPr>
            </w:pPr>
          </w:p>
        </w:tc>
        <w:tc>
          <w:tcPr>
            <w:tcW w:w="896" w:type="dxa"/>
            <w:vAlign w:val="center"/>
          </w:tcPr>
          <w:p w14:paraId="7C0CC546">
            <w:pPr>
              <w:overflowPunct w:val="0"/>
              <w:spacing w:line="400" w:lineRule="exact"/>
              <w:jc w:val="center"/>
              <w:rPr>
                <w:rFonts w:ascii="宋体" w:hAnsi="宋体" w:cs="宋体"/>
                <w:b/>
                <w:bCs/>
                <w:color w:val="auto"/>
                <w:kern w:val="0"/>
                <w:szCs w:val="21"/>
                <w:highlight w:val="none"/>
              </w:rPr>
            </w:pPr>
          </w:p>
        </w:tc>
        <w:tc>
          <w:tcPr>
            <w:tcW w:w="896" w:type="dxa"/>
            <w:vAlign w:val="center"/>
          </w:tcPr>
          <w:p w14:paraId="3C5D27C3">
            <w:pPr>
              <w:overflowPunct w:val="0"/>
              <w:spacing w:line="400" w:lineRule="exact"/>
              <w:jc w:val="center"/>
              <w:rPr>
                <w:rFonts w:ascii="宋体" w:hAnsi="宋体" w:cs="宋体"/>
                <w:b/>
                <w:bCs/>
                <w:color w:val="auto"/>
                <w:kern w:val="0"/>
                <w:szCs w:val="21"/>
                <w:highlight w:val="none"/>
              </w:rPr>
            </w:pPr>
          </w:p>
        </w:tc>
        <w:tc>
          <w:tcPr>
            <w:tcW w:w="896" w:type="dxa"/>
            <w:vAlign w:val="center"/>
          </w:tcPr>
          <w:p w14:paraId="7C5014C5">
            <w:pPr>
              <w:overflowPunct w:val="0"/>
              <w:spacing w:line="400" w:lineRule="exact"/>
              <w:jc w:val="center"/>
              <w:rPr>
                <w:rFonts w:ascii="宋体" w:hAnsi="宋体" w:cs="宋体"/>
                <w:b/>
                <w:bCs/>
                <w:color w:val="auto"/>
                <w:kern w:val="0"/>
                <w:szCs w:val="21"/>
                <w:highlight w:val="none"/>
              </w:rPr>
            </w:pPr>
          </w:p>
        </w:tc>
        <w:tc>
          <w:tcPr>
            <w:tcW w:w="896" w:type="dxa"/>
            <w:vAlign w:val="center"/>
          </w:tcPr>
          <w:p w14:paraId="6677738E">
            <w:pPr>
              <w:overflowPunct w:val="0"/>
              <w:spacing w:line="400" w:lineRule="exact"/>
              <w:jc w:val="center"/>
              <w:rPr>
                <w:rFonts w:ascii="宋体" w:hAnsi="宋体" w:cs="宋体"/>
                <w:b/>
                <w:bCs/>
                <w:color w:val="auto"/>
                <w:kern w:val="0"/>
                <w:szCs w:val="21"/>
                <w:highlight w:val="none"/>
              </w:rPr>
            </w:pPr>
          </w:p>
        </w:tc>
      </w:tr>
      <w:tr w14:paraId="0A5E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42A522C1">
            <w:pPr>
              <w:overflowPunct w:val="0"/>
              <w:spacing w:line="400" w:lineRule="exact"/>
              <w:jc w:val="center"/>
              <w:rPr>
                <w:rFonts w:ascii="宋体" w:hAnsi="宋体" w:cs="宋体"/>
                <w:color w:val="auto"/>
                <w:szCs w:val="21"/>
                <w:highlight w:val="none"/>
              </w:rPr>
            </w:pPr>
          </w:p>
        </w:tc>
        <w:tc>
          <w:tcPr>
            <w:tcW w:w="1730" w:type="dxa"/>
            <w:vAlign w:val="center"/>
          </w:tcPr>
          <w:p w14:paraId="5846EE74">
            <w:pPr>
              <w:overflowPunct w:val="0"/>
              <w:spacing w:line="400" w:lineRule="exact"/>
              <w:jc w:val="center"/>
              <w:rPr>
                <w:rFonts w:ascii="宋体" w:hAnsi="宋体" w:cs="宋体"/>
                <w:b/>
                <w:bCs/>
                <w:color w:val="auto"/>
                <w:kern w:val="0"/>
                <w:szCs w:val="21"/>
                <w:highlight w:val="none"/>
              </w:rPr>
            </w:pPr>
          </w:p>
        </w:tc>
        <w:tc>
          <w:tcPr>
            <w:tcW w:w="913" w:type="dxa"/>
            <w:vAlign w:val="center"/>
          </w:tcPr>
          <w:p w14:paraId="330AA276">
            <w:pPr>
              <w:overflowPunct w:val="0"/>
              <w:spacing w:line="400" w:lineRule="exact"/>
              <w:jc w:val="center"/>
              <w:rPr>
                <w:rFonts w:ascii="宋体" w:hAnsi="宋体" w:cs="宋体"/>
                <w:b/>
                <w:bCs/>
                <w:color w:val="auto"/>
                <w:kern w:val="0"/>
                <w:szCs w:val="21"/>
                <w:highlight w:val="none"/>
              </w:rPr>
            </w:pPr>
          </w:p>
        </w:tc>
        <w:tc>
          <w:tcPr>
            <w:tcW w:w="1369" w:type="dxa"/>
            <w:vAlign w:val="center"/>
          </w:tcPr>
          <w:p w14:paraId="0F10065F">
            <w:pPr>
              <w:overflowPunct w:val="0"/>
              <w:spacing w:line="400" w:lineRule="exact"/>
              <w:jc w:val="center"/>
              <w:rPr>
                <w:rFonts w:ascii="宋体" w:hAnsi="宋体" w:cs="宋体"/>
                <w:b/>
                <w:bCs/>
                <w:color w:val="auto"/>
                <w:kern w:val="0"/>
                <w:szCs w:val="21"/>
                <w:highlight w:val="none"/>
              </w:rPr>
            </w:pPr>
          </w:p>
        </w:tc>
        <w:tc>
          <w:tcPr>
            <w:tcW w:w="896" w:type="dxa"/>
            <w:vAlign w:val="center"/>
          </w:tcPr>
          <w:p w14:paraId="5AD17D86">
            <w:pPr>
              <w:overflowPunct w:val="0"/>
              <w:spacing w:line="400" w:lineRule="exact"/>
              <w:jc w:val="center"/>
              <w:rPr>
                <w:rFonts w:ascii="宋体" w:hAnsi="宋体" w:cs="宋体"/>
                <w:b/>
                <w:bCs/>
                <w:color w:val="auto"/>
                <w:kern w:val="0"/>
                <w:szCs w:val="21"/>
                <w:highlight w:val="none"/>
              </w:rPr>
            </w:pPr>
          </w:p>
        </w:tc>
        <w:tc>
          <w:tcPr>
            <w:tcW w:w="896" w:type="dxa"/>
            <w:vAlign w:val="center"/>
          </w:tcPr>
          <w:p w14:paraId="7204A2DA">
            <w:pPr>
              <w:overflowPunct w:val="0"/>
              <w:spacing w:line="400" w:lineRule="exact"/>
              <w:jc w:val="center"/>
              <w:rPr>
                <w:rFonts w:ascii="宋体" w:hAnsi="宋体" w:cs="宋体"/>
                <w:b/>
                <w:bCs/>
                <w:color w:val="auto"/>
                <w:kern w:val="0"/>
                <w:szCs w:val="21"/>
                <w:highlight w:val="none"/>
              </w:rPr>
            </w:pPr>
          </w:p>
        </w:tc>
        <w:tc>
          <w:tcPr>
            <w:tcW w:w="896" w:type="dxa"/>
            <w:vAlign w:val="center"/>
          </w:tcPr>
          <w:p w14:paraId="7EE544A4">
            <w:pPr>
              <w:overflowPunct w:val="0"/>
              <w:spacing w:line="400" w:lineRule="exact"/>
              <w:jc w:val="center"/>
              <w:rPr>
                <w:rFonts w:ascii="宋体" w:hAnsi="宋体" w:cs="宋体"/>
                <w:b/>
                <w:bCs/>
                <w:color w:val="auto"/>
                <w:kern w:val="0"/>
                <w:szCs w:val="21"/>
                <w:highlight w:val="none"/>
              </w:rPr>
            </w:pPr>
          </w:p>
        </w:tc>
        <w:tc>
          <w:tcPr>
            <w:tcW w:w="896" w:type="dxa"/>
            <w:vAlign w:val="center"/>
          </w:tcPr>
          <w:p w14:paraId="78C13E72">
            <w:pPr>
              <w:overflowPunct w:val="0"/>
              <w:spacing w:line="400" w:lineRule="exact"/>
              <w:jc w:val="center"/>
              <w:rPr>
                <w:rFonts w:ascii="宋体" w:hAnsi="宋体" w:cs="宋体"/>
                <w:b/>
                <w:bCs/>
                <w:color w:val="auto"/>
                <w:kern w:val="0"/>
                <w:szCs w:val="21"/>
                <w:highlight w:val="none"/>
              </w:rPr>
            </w:pPr>
          </w:p>
        </w:tc>
      </w:tr>
      <w:tr w14:paraId="7B31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6FCCA4BB">
            <w:pPr>
              <w:overflowPunct w:val="0"/>
              <w:spacing w:line="400" w:lineRule="exact"/>
              <w:jc w:val="center"/>
              <w:rPr>
                <w:rFonts w:ascii="宋体" w:hAnsi="宋体" w:cs="宋体"/>
                <w:color w:val="auto"/>
                <w:szCs w:val="21"/>
                <w:highlight w:val="none"/>
              </w:rPr>
            </w:pPr>
          </w:p>
        </w:tc>
        <w:tc>
          <w:tcPr>
            <w:tcW w:w="1730" w:type="dxa"/>
            <w:vAlign w:val="center"/>
          </w:tcPr>
          <w:p w14:paraId="35572077">
            <w:pPr>
              <w:overflowPunct w:val="0"/>
              <w:spacing w:line="400" w:lineRule="exact"/>
              <w:jc w:val="center"/>
              <w:rPr>
                <w:rFonts w:ascii="宋体" w:hAnsi="宋体" w:cs="宋体"/>
                <w:b/>
                <w:bCs/>
                <w:color w:val="auto"/>
                <w:kern w:val="0"/>
                <w:szCs w:val="21"/>
                <w:highlight w:val="none"/>
              </w:rPr>
            </w:pPr>
          </w:p>
        </w:tc>
        <w:tc>
          <w:tcPr>
            <w:tcW w:w="913" w:type="dxa"/>
            <w:vAlign w:val="center"/>
          </w:tcPr>
          <w:p w14:paraId="2D82642C">
            <w:pPr>
              <w:overflowPunct w:val="0"/>
              <w:spacing w:line="400" w:lineRule="exact"/>
              <w:jc w:val="center"/>
              <w:rPr>
                <w:rFonts w:ascii="宋体" w:hAnsi="宋体" w:cs="宋体"/>
                <w:b/>
                <w:bCs/>
                <w:color w:val="auto"/>
                <w:kern w:val="0"/>
                <w:szCs w:val="21"/>
                <w:highlight w:val="none"/>
              </w:rPr>
            </w:pPr>
          </w:p>
        </w:tc>
        <w:tc>
          <w:tcPr>
            <w:tcW w:w="1369" w:type="dxa"/>
            <w:vAlign w:val="center"/>
          </w:tcPr>
          <w:p w14:paraId="184E0486">
            <w:pPr>
              <w:overflowPunct w:val="0"/>
              <w:spacing w:line="400" w:lineRule="exact"/>
              <w:jc w:val="center"/>
              <w:rPr>
                <w:rFonts w:ascii="宋体" w:hAnsi="宋体" w:cs="宋体"/>
                <w:b/>
                <w:bCs/>
                <w:color w:val="auto"/>
                <w:kern w:val="0"/>
                <w:szCs w:val="21"/>
                <w:highlight w:val="none"/>
              </w:rPr>
            </w:pPr>
          </w:p>
        </w:tc>
        <w:tc>
          <w:tcPr>
            <w:tcW w:w="896" w:type="dxa"/>
            <w:vAlign w:val="center"/>
          </w:tcPr>
          <w:p w14:paraId="63F81747">
            <w:pPr>
              <w:overflowPunct w:val="0"/>
              <w:spacing w:line="400" w:lineRule="exact"/>
              <w:jc w:val="center"/>
              <w:rPr>
                <w:rFonts w:ascii="宋体" w:hAnsi="宋体" w:cs="宋体"/>
                <w:b/>
                <w:bCs/>
                <w:color w:val="auto"/>
                <w:kern w:val="0"/>
                <w:szCs w:val="21"/>
                <w:highlight w:val="none"/>
              </w:rPr>
            </w:pPr>
          </w:p>
        </w:tc>
        <w:tc>
          <w:tcPr>
            <w:tcW w:w="896" w:type="dxa"/>
            <w:vAlign w:val="center"/>
          </w:tcPr>
          <w:p w14:paraId="02D4E52F">
            <w:pPr>
              <w:overflowPunct w:val="0"/>
              <w:spacing w:line="400" w:lineRule="exact"/>
              <w:jc w:val="center"/>
              <w:rPr>
                <w:rFonts w:ascii="宋体" w:hAnsi="宋体" w:cs="宋体"/>
                <w:b/>
                <w:bCs/>
                <w:color w:val="auto"/>
                <w:kern w:val="0"/>
                <w:szCs w:val="21"/>
                <w:highlight w:val="none"/>
              </w:rPr>
            </w:pPr>
          </w:p>
        </w:tc>
        <w:tc>
          <w:tcPr>
            <w:tcW w:w="896" w:type="dxa"/>
            <w:vAlign w:val="center"/>
          </w:tcPr>
          <w:p w14:paraId="033F4107">
            <w:pPr>
              <w:overflowPunct w:val="0"/>
              <w:spacing w:line="400" w:lineRule="exact"/>
              <w:jc w:val="center"/>
              <w:rPr>
                <w:rFonts w:ascii="宋体" w:hAnsi="宋体" w:cs="宋体"/>
                <w:b/>
                <w:bCs/>
                <w:color w:val="auto"/>
                <w:kern w:val="0"/>
                <w:szCs w:val="21"/>
                <w:highlight w:val="none"/>
              </w:rPr>
            </w:pPr>
          </w:p>
        </w:tc>
        <w:tc>
          <w:tcPr>
            <w:tcW w:w="896" w:type="dxa"/>
            <w:vAlign w:val="center"/>
          </w:tcPr>
          <w:p w14:paraId="3CDA8246">
            <w:pPr>
              <w:overflowPunct w:val="0"/>
              <w:spacing w:line="400" w:lineRule="exact"/>
              <w:jc w:val="center"/>
              <w:rPr>
                <w:rFonts w:ascii="宋体" w:hAnsi="宋体" w:cs="宋体"/>
                <w:b/>
                <w:bCs/>
                <w:color w:val="auto"/>
                <w:kern w:val="0"/>
                <w:szCs w:val="21"/>
                <w:highlight w:val="none"/>
              </w:rPr>
            </w:pPr>
          </w:p>
        </w:tc>
      </w:tr>
      <w:tr w14:paraId="7082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2CA3C953">
            <w:pPr>
              <w:overflowPunct w:val="0"/>
              <w:spacing w:line="400" w:lineRule="exact"/>
              <w:jc w:val="center"/>
              <w:rPr>
                <w:rFonts w:ascii="宋体" w:hAnsi="宋体" w:cs="宋体"/>
                <w:color w:val="auto"/>
                <w:szCs w:val="21"/>
                <w:highlight w:val="none"/>
              </w:rPr>
            </w:pPr>
          </w:p>
        </w:tc>
        <w:tc>
          <w:tcPr>
            <w:tcW w:w="1730" w:type="dxa"/>
            <w:vAlign w:val="center"/>
          </w:tcPr>
          <w:p w14:paraId="3BA8D54D">
            <w:pPr>
              <w:overflowPunct w:val="0"/>
              <w:spacing w:line="400" w:lineRule="exact"/>
              <w:jc w:val="center"/>
              <w:rPr>
                <w:rFonts w:ascii="宋体" w:hAnsi="宋体" w:cs="宋体"/>
                <w:b/>
                <w:bCs/>
                <w:color w:val="auto"/>
                <w:kern w:val="0"/>
                <w:szCs w:val="21"/>
                <w:highlight w:val="none"/>
              </w:rPr>
            </w:pPr>
          </w:p>
        </w:tc>
        <w:tc>
          <w:tcPr>
            <w:tcW w:w="913" w:type="dxa"/>
            <w:vAlign w:val="center"/>
          </w:tcPr>
          <w:p w14:paraId="6F80932B">
            <w:pPr>
              <w:overflowPunct w:val="0"/>
              <w:spacing w:line="400" w:lineRule="exact"/>
              <w:jc w:val="center"/>
              <w:rPr>
                <w:rFonts w:ascii="宋体" w:hAnsi="宋体" w:cs="宋体"/>
                <w:b/>
                <w:bCs/>
                <w:color w:val="auto"/>
                <w:kern w:val="0"/>
                <w:szCs w:val="21"/>
                <w:highlight w:val="none"/>
              </w:rPr>
            </w:pPr>
          </w:p>
        </w:tc>
        <w:tc>
          <w:tcPr>
            <w:tcW w:w="1369" w:type="dxa"/>
            <w:vAlign w:val="center"/>
          </w:tcPr>
          <w:p w14:paraId="520E7CB8">
            <w:pPr>
              <w:overflowPunct w:val="0"/>
              <w:spacing w:line="400" w:lineRule="exact"/>
              <w:jc w:val="center"/>
              <w:rPr>
                <w:rFonts w:ascii="宋体" w:hAnsi="宋体" w:cs="宋体"/>
                <w:b/>
                <w:bCs/>
                <w:color w:val="auto"/>
                <w:kern w:val="0"/>
                <w:szCs w:val="21"/>
                <w:highlight w:val="none"/>
              </w:rPr>
            </w:pPr>
          </w:p>
        </w:tc>
        <w:tc>
          <w:tcPr>
            <w:tcW w:w="896" w:type="dxa"/>
            <w:vAlign w:val="center"/>
          </w:tcPr>
          <w:p w14:paraId="56A20D29">
            <w:pPr>
              <w:overflowPunct w:val="0"/>
              <w:spacing w:line="400" w:lineRule="exact"/>
              <w:jc w:val="center"/>
              <w:rPr>
                <w:rFonts w:ascii="宋体" w:hAnsi="宋体" w:cs="宋体"/>
                <w:b/>
                <w:bCs/>
                <w:color w:val="auto"/>
                <w:kern w:val="0"/>
                <w:szCs w:val="21"/>
                <w:highlight w:val="none"/>
              </w:rPr>
            </w:pPr>
          </w:p>
        </w:tc>
        <w:tc>
          <w:tcPr>
            <w:tcW w:w="896" w:type="dxa"/>
            <w:vAlign w:val="center"/>
          </w:tcPr>
          <w:p w14:paraId="2E7606F9">
            <w:pPr>
              <w:overflowPunct w:val="0"/>
              <w:spacing w:line="400" w:lineRule="exact"/>
              <w:jc w:val="center"/>
              <w:rPr>
                <w:rFonts w:ascii="宋体" w:hAnsi="宋体" w:cs="宋体"/>
                <w:b/>
                <w:bCs/>
                <w:color w:val="auto"/>
                <w:kern w:val="0"/>
                <w:szCs w:val="21"/>
                <w:highlight w:val="none"/>
              </w:rPr>
            </w:pPr>
          </w:p>
        </w:tc>
        <w:tc>
          <w:tcPr>
            <w:tcW w:w="896" w:type="dxa"/>
            <w:vAlign w:val="center"/>
          </w:tcPr>
          <w:p w14:paraId="2543D9EC">
            <w:pPr>
              <w:overflowPunct w:val="0"/>
              <w:spacing w:line="400" w:lineRule="exact"/>
              <w:jc w:val="center"/>
              <w:rPr>
                <w:rFonts w:ascii="宋体" w:hAnsi="宋体" w:cs="宋体"/>
                <w:b/>
                <w:bCs/>
                <w:color w:val="auto"/>
                <w:kern w:val="0"/>
                <w:szCs w:val="21"/>
                <w:highlight w:val="none"/>
              </w:rPr>
            </w:pPr>
          </w:p>
        </w:tc>
        <w:tc>
          <w:tcPr>
            <w:tcW w:w="896" w:type="dxa"/>
            <w:vAlign w:val="center"/>
          </w:tcPr>
          <w:p w14:paraId="20CEEB02">
            <w:pPr>
              <w:overflowPunct w:val="0"/>
              <w:spacing w:line="400" w:lineRule="exact"/>
              <w:jc w:val="center"/>
              <w:rPr>
                <w:rFonts w:ascii="宋体" w:hAnsi="宋体" w:cs="宋体"/>
                <w:b/>
                <w:bCs/>
                <w:color w:val="auto"/>
                <w:kern w:val="0"/>
                <w:szCs w:val="21"/>
                <w:highlight w:val="none"/>
              </w:rPr>
            </w:pPr>
          </w:p>
        </w:tc>
      </w:tr>
      <w:tr w14:paraId="340C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5996ED7E">
            <w:pPr>
              <w:overflowPunct w:val="0"/>
              <w:spacing w:line="400" w:lineRule="exact"/>
              <w:jc w:val="center"/>
              <w:rPr>
                <w:rFonts w:ascii="宋体" w:hAnsi="宋体" w:cs="宋体"/>
                <w:color w:val="auto"/>
                <w:szCs w:val="21"/>
                <w:highlight w:val="none"/>
              </w:rPr>
            </w:pPr>
          </w:p>
        </w:tc>
        <w:tc>
          <w:tcPr>
            <w:tcW w:w="1730" w:type="dxa"/>
            <w:vAlign w:val="center"/>
          </w:tcPr>
          <w:p w14:paraId="4A3B4545">
            <w:pPr>
              <w:overflowPunct w:val="0"/>
              <w:spacing w:line="400" w:lineRule="exact"/>
              <w:jc w:val="center"/>
              <w:rPr>
                <w:rFonts w:ascii="宋体" w:hAnsi="宋体" w:cs="宋体"/>
                <w:b/>
                <w:bCs/>
                <w:color w:val="auto"/>
                <w:kern w:val="0"/>
                <w:szCs w:val="21"/>
                <w:highlight w:val="none"/>
              </w:rPr>
            </w:pPr>
          </w:p>
        </w:tc>
        <w:tc>
          <w:tcPr>
            <w:tcW w:w="913" w:type="dxa"/>
            <w:vAlign w:val="center"/>
          </w:tcPr>
          <w:p w14:paraId="38A16B83">
            <w:pPr>
              <w:overflowPunct w:val="0"/>
              <w:spacing w:line="400" w:lineRule="exact"/>
              <w:jc w:val="center"/>
              <w:rPr>
                <w:rFonts w:ascii="宋体" w:hAnsi="宋体" w:cs="宋体"/>
                <w:b/>
                <w:bCs/>
                <w:color w:val="auto"/>
                <w:kern w:val="0"/>
                <w:szCs w:val="21"/>
                <w:highlight w:val="none"/>
              </w:rPr>
            </w:pPr>
          </w:p>
        </w:tc>
        <w:tc>
          <w:tcPr>
            <w:tcW w:w="1369" w:type="dxa"/>
            <w:vAlign w:val="center"/>
          </w:tcPr>
          <w:p w14:paraId="441CFA92">
            <w:pPr>
              <w:overflowPunct w:val="0"/>
              <w:spacing w:line="400" w:lineRule="exact"/>
              <w:jc w:val="center"/>
              <w:rPr>
                <w:rFonts w:ascii="宋体" w:hAnsi="宋体" w:cs="宋体"/>
                <w:b/>
                <w:bCs/>
                <w:color w:val="auto"/>
                <w:kern w:val="0"/>
                <w:szCs w:val="21"/>
                <w:highlight w:val="none"/>
              </w:rPr>
            </w:pPr>
          </w:p>
        </w:tc>
        <w:tc>
          <w:tcPr>
            <w:tcW w:w="896" w:type="dxa"/>
            <w:vAlign w:val="center"/>
          </w:tcPr>
          <w:p w14:paraId="11411A1C">
            <w:pPr>
              <w:overflowPunct w:val="0"/>
              <w:spacing w:line="400" w:lineRule="exact"/>
              <w:jc w:val="center"/>
              <w:rPr>
                <w:rFonts w:ascii="宋体" w:hAnsi="宋体" w:cs="宋体"/>
                <w:b/>
                <w:bCs/>
                <w:color w:val="auto"/>
                <w:kern w:val="0"/>
                <w:szCs w:val="21"/>
                <w:highlight w:val="none"/>
              </w:rPr>
            </w:pPr>
          </w:p>
        </w:tc>
        <w:tc>
          <w:tcPr>
            <w:tcW w:w="896" w:type="dxa"/>
            <w:vAlign w:val="center"/>
          </w:tcPr>
          <w:p w14:paraId="72F18BDE">
            <w:pPr>
              <w:overflowPunct w:val="0"/>
              <w:spacing w:line="400" w:lineRule="exact"/>
              <w:jc w:val="center"/>
              <w:rPr>
                <w:rFonts w:ascii="宋体" w:hAnsi="宋体" w:cs="宋体"/>
                <w:b/>
                <w:bCs/>
                <w:color w:val="auto"/>
                <w:kern w:val="0"/>
                <w:szCs w:val="21"/>
                <w:highlight w:val="none"/>
              </w:rPr>
            </w:pPr>
          </w:p>
        </w:tc>
        <w:tc>
          <w:tcPr>
            <w:tcW w:w="896" w:type="dxa"/>
            <w:vAlign w:val="center"/>
          </w:tcPr>
          <w:p w14:paraId="526C74E9">
            <w:pPr>
              <w:overflowPunct w:val="0"/>
              <w:spacing w:line="400" w:lineRule="exact"/>
              <w:jc w:val="center"/>
              <w:rPr>
                <w:rFonts w:ascii="宋体" w:hAnsi="宋体" w:cs="宋体"/>
                <w:b/>
                <w:bCs/>
                <w:color w:val="auto"/>
                <w:kern w:val="0"/>
                <w:szCs w:val="21"/>
                <w:highlight w:val="none"/>
              </w:rPr>
            </w:pPr>
          </w:p>
        </w:tc>
        <w:tc>
          <w:tcPr>
            <w:tcW w:w="896" w:type="dxa"/>
            <w:vAlign w:val="center"/>
          </w:tcPr>
          <w:p w14:paraId="11154EBD">
            <w:pPr>
              <w:overflowPunct w:val="0"/>
              <w:spacing w:line="400" w:lineRule="exact"/>
              <w:jc w:val="center"/>
              <w:rPr>
                <w:rFonts w:ascii="宋体" w:hAnsi="宋体" w:cs="宋体"/>
                <w:b/>
                <w:bCs/>
                <w:color w:val="auto"/>
                <w:kern w:val="0"/>
                <w:szCs w:val="21"/>
                <w:highlight w:val="none"/>
              </w:rPr>
            </w:pPr>
          </w:p>
        </w:tc>
      </w:tr>
      <w:tr w14:paraId="4FE6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1EC7EE69">
            <w:pPr>
              <w:overflowPunct w:val="0"/>
              <w:spacing w:line="400" w:lineRule="exact"/>
              <w:jc w:val="center"/>
              <w:rPr>
                <w:rFonts w:ascii="宋体" w:hAnsi="宋体" w:cs="宋体"/>
                <w:color w:val="auto"/>
                <w:szCs w:val="21"/>
                <w:highlight w:val="none"/>
              </w:rPr>
            </w:pPr>
          </w:p>
        </w:tc>
        <w:tc>
          <w:tcPr>
            <w:tcW w:w="1730" w:type="dxa"/>
            <w:vAlign w:val="center"/>
          </w:tcPr>
          <w:p w14:paraId="01FF9C8E">
            <w:pPr>
              <w:overflowPunct w:val="0"/>
              <w:spacing w:line="400" w:lineRule="exact"/>
              <w:jc w:val="center"/>
              <w:rPr>
                <w:rFonts w:ascii="宋体" w:hAnsi="宋体" w:cs="宋体"/>
                <w:b/>
                <w:bCs/>
                <w:color w:val="auto"/>
                <w:kern w:val="0"/>
                <w:szCs w:val="21"/>
                <w:highlight w:val="none"/>
              </w:rPr>
            </w:pPr>
          </w:p>
        </w:tc>
        <w:tc>
          <w:tcPr>
            <w:tcW w:w="913" w:type="dxa"/>
            <w:vAlign w:val="center"/>
          </w:tcPr>
          <w:p w14:paraId="2B0D0F45">
            <w:pPr>
              <w:overflowPunct w:val="0"/>
              <w:spacing w:line="400" w:lineRule="exact"/>
              <w:jc w:val="center"/>
              <w:rPr>
                <w:rFonts w:ascii="宋体" w:hAnsi="宋体" w:cs="宋体"/>
                <w:b/>
                <w:bCs/>
                <w:color w:val="auto"/>
                <w:kern w:val="0"/>
                <w:szCs w:val="21"/>
                <w:highlight w:val="none"/>
              </w:rPr>
            </w:pPr>
          </w:p>
        </w:tc>
        <w:tc>
          <w:tcPr>
            <w:tcW w:w="1369" w:type="dxa"/>
            <w:vAlign w:val="center"/>
          </w:tcPr>
          <w:p w14:paraId="2C778B20">
            <w:pPr>
              <w:overflowPunct w:val="0"/>
              <w:spacing w:line="400" w:lineRule="exact"/>
              <w:jc w:val="center"/>
              <w:rPr>
                <w:rFonts w:ascii="宋体" w:hAnsi="宋体" w:cs="宋体"/>
                <w:b/>
                <w:bCs/>
                <w:color w:val="auto"/>
                <w:kern w:val="0"/>
                <w:szCs w:val="21"/>
                <w:highlight w:val="none"/>
              </w:rPr>
            </w:pPr>
          </w:p>
        </w:tc>
        <w:tc>
          <w:tcPr>
            <w:tcW w:w="896" w:type="dxa"/>
            <w:vAlign w:val="center"/>
          </w:tcPr>
          <w:p w14:paraId="1794C724">
            <w:pPr>
              <w:overflowPunct w:val="0"/>
              <w:spacing w:line="400" w:lineRule="exact"/>
              <w:jc w:val="center"/>
              <w:rPr>
                <w:rFonts w:ascii="宋体" w:hAnsi="宋体" w:cs="宋体"/>
                <w:b/>
                <w:bCs/>
                <w:color w:val="auto"/>
                <w:kern w:val="0"/>
                <w:szCs w:val="21"/>
                <w:highlight w:val="none"/>
              </w:rPr>
            </w:pPr>
          </w:p>
        </w:tc>
        <w:tc>
          <w:tcPr>
            <w:tcW w:w="896" w:type="dxa"/>
            <w:vAlign w:val="center"/>
          </w:tcPr>
          <w:p w14:paraId="03E53B83">
            <w:pPr>
              <w:overflowPunct w:val="0"/>
              <w:spacing w:line="400" w:lineRule="exact"/>
              <w:jc w:val="center"/>
              <w:rPr>
                <w:rFonts w:ascii="宋体" w:hAnsi="宋体" w:cs="宋体"/>
                <w:b/>
                <w:bCs/>
                <w:color w:val="auto"/>
                <w:kern w:val="0"/>
                <w:szCs w:val="21"/>
                <w:highlight w:val="none"/>
              </w:rPr>
            </w:pPr>
          </w:p>
        </w:tc>
        <w:tc>
          <w:tcPr>
            <w:tcW w:w="896" w:type="dxa"/>
            <w:vAlign w:val="center"/>
          </w:tcPr>
          <w:p w14:paraId="6D6A785B">
            <w:pPr>
              <w:overflowPunct w:val="0"/>
              <w:spacing w:line="400" w:lineRule="exact"/>
              <w:jc w:val="center"/>
              <w:rPr>
                <w:rFonts w:ascii="宋体" w:hAnsi="宋体" w:cs="宋体"/>
                <w:b/>
                <w:bCs/>
                <w:color w:val="auto"/>
                <w:kern w:val="0"/>
                <w:szCs w:val="21"/>
                <w:highlight w:val="none"/>
              </w:rPr>
            </w:pPr>
          </w:p>
        </w:tc>
        <w:tc>
          <w:tcPr>
            <w:tcW w:w="896" w:type="dxa"/>
            <w:vAlign w:val="center"/>
          </w:tcPr>
          <w:p w14:paraId="7BB4D007">
            <w:pPr>
              <w:overflowPunct w:val="0"/>
              <w:spacing w:line="400" w:lineRule="exact"/>
              <w:jc w:val="center"/>
              <w:rPr>
                <w:rFonts w:ascii="宋体" w:hAnsi="宋体" w:cs="宋体"/>
                <w:b/>
                <w:bCs/>
                <w:color w:val="auto"/>
                <w:kern w:val="0"/>
                <w:szCs w:val="21"/>
                <w:highlight w:val="none"/>
              </w:rPr>
            </w:pPr>
          </w:p>
        </w:tc>
      </w:tr>
      <w:tr w14:paraId="0EB1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012CC917">
            <w:pPr>
              <w:overflowPunct w:val="0"/>
              <w:spacing w:line="400" w:lineRule="exact"/>
              <w:jc w:val="center"/>
              <w:rPr>
                <w:rFonts w:ascii="宋体" w:hAnsi="宋体" w:cs="宋体"/>
                <w:color w:val="auto"/>
                <w:szCs w:val="21"/>
                <w:highlight w:val="none"/>
              </w:rPr>
            </w:pPr>
          </w:p>
        </w:tc>
        <w:tc>
          <w:tcPr>
            <w:tcW w:w="1730" w:type="dxa"/>
            <w:vAlign w:val="center"/>
          </w:tcPr>
          <w:p w14:paraId="606AA646">
            <w:pPr>
              <w:overflowPunct w:val="0"/>
              <w:spacing w:line="400" w:lineRule="exact"/>
              <w:jc w:val="center"/>
              <w:rPr>
                <w:rFonts w:ascii="宋体" w:hAnsi="宋体" w:cs="宋体"/>
                <w:b/>
                <w:bCs/>
                <w:color w:val="auto"/>
                <w:kern w:val="0"/>
                <w:szCs w:val="21"/>
                <w:highlight w:val="none"/>
              </w:rPr>
            </w:pPr>
          </w:p>
        </w:tc>
        <w:tc>
          <w:tcPr>
            <w:tcW w:w="913" w:type="dxa"/>
            <w:vAlign w:val="center"/>
          </w:tcPr>
          <w:p w14:paraId="204C9C94">
            <w:pPr>
              <w:overflowPunct w:val="0"/>
              <w:spacing w:line="400" w:lineRule="exact"/>
              <w:jc w:val="center"/>
              <w:rPr>
                <w:rFonts w:ascii="宋体" w:hAnsi="宋体" w:cs="宋体"/>
                <w:b/>
                <w:bCs/>
                <w:color w:val="auto"/>
                <w:kern w:val="0"/>
                <w:szCs w:val="21"/>
                <w:highlight w:val="none"/>
              </w:rPr>
            </w:pPr>
          </w:p>
        </w:tc>
        <w:tc>
          <w:tcPr>
            <w:tcW w:w="1369" w:type="dxa"/>
            <w:vAlign w:val="center"/>
          </w:tcPr>
          <w:p w14:paraId="36AA3929">
            <w:pPr>
              <w:overflowPunct w:val="0"/>
              <w:spacing w:line="400" w:lineRule="exact"/>
              <w:jc w:val="center"/>
              <w:rPr>
                <w:rFonts w:ascii="宋体" w:hAnsi="宋体" w:cs="宋体"/>
                <w:b/>
                <w:bCs/>
                <w:color w:val="auto"/>
                <w:kern w:val="0"/>
                <w:szCs w:val="21"/>
                <w:highlight w:val="none"/>
              </w:rPr>
            </w:pPr>
          </w:p>
        </w:tc>
        <w:tc>
          <w:tcPr>
            <w:tcW w:w="896" w:type="dxa"/>
            <w:vAlign w:val="center"/>
          </w:tcPr>
          <w:p w14:paraId="0B1B493A">
            <w:pPr>
              <w:overflowPunct w:val="0"/>
              <w:spacing w:line="400" w:lineRule="exact"/>
              <w:jc w:val="center"/>
              <w:rPr>
                <w:rFonts w:ascii="宋体" w:hAnsi="宋体" w:cs="宋体"/>
                <w:b/>
                <w:bCs/>
                <w:color w:val="auto"/>
                <w:kern w:val="0"/>
                <w:szCs w:val="21"/>
                <w:highlight w:val="none"/>
              </w:rPr>
            </w:pPr>
          </w:p>
        </w:tc>
        <w:tc>
          <w:tcPr>
            <w:tcW w:w="896" w:type="dxa"/>
            <w:vAlign w:val="center"/>
          </w:tcPr>
          <w:p w14:paraId="79287BFF">
            <w:pPr>
              <w:overflowPunct w:val="0"/>
              <w:spacing w:line="400" w:lineRule="exact"/>
              <w:jc w:val="center"/>
              <w:rPr>
                <w:rFonts w:ascii="宋体" w:hAnsi="宋体" w:cs="宋体"/>
                <w:b/>
                <w:bCs/>
                <w:color w:val="auto"/>
                <w:kern w:val="0"/>
                <w:szCs w:val="21"/>
                <w:highlight w:val="none"/>
              </w:rPr>
            </w:pPr>
          </w:p>
        </w:tc>
        <w:tc>
          <w:tcPr>
            <w:tcW w:w="896" w:type="dxa"/>
            <w:vAlign w:val="center"/>
          </w:tcPr>
          <w:p w14:paraId="6C94D4D0">
            <w:pPr>
              <w:overflowPunct w:val="0"/>
              <w:spacing w:line="400" w:lineRule="exact"/>
              <w:jc w:val="center"/>
              <w:rPr>
                <w:rFonts w:ascii="宋体" w:hAnsi="宋体" w:cs="宋体"/>
                <w:b/>
                <w:bCs/>
                <w:color w:val="auto"/>
                <w:kern w:val="0"/>
                <w:szCs w:val="21"/>
                <w:highlight w:val="none"/>
              </w:rPr>
            </w:pPr>
          </w:p>
        </w:tc>
        <w:tc>
          <w:tcPr>
            <w:tcW w:w="896" w:type="dxa"/>
            <w:vAlign w:val="center"/>
          </w:tcPr>
          <w:p w14:paraId="5F7CF54A">
            <w:pPr>
              <w:overflowPunct w:val="0"/>
              <w:spacing w:line="400" w:lineRule="exact"/>
              <w:jc w:val="center"/>
              <w:rPr>
                <w:rFonts w:ascii="宋体" w:hAnsi="宋体" w:cs="宋体"/>
                <w:b/>
                <w:bCs/>
                <w:color w:val="auto"/>
                <w:kern w:val="0"/>
                <w:szCs w:val="21"/>
                <w:highlight w:val="none"/>
              </w:rPr>
            </w:pPr>
          </w:p>
        </w:tc>
      </w:tr>
    </w:tbl>
    <w:p w14:paraId="14B31546">
      <w:pPr>
        <w:overflowPunct w:val="0"/>
        <w:snapToGrid w:val="0"/>
        <w:spacing w:line="400" w:lineRule="exact"/>
        <w:ind w:firstLine="420"/>
        <w:jc w:val="left"/>
        <w:rPr>
          <w:rFonts w:ascii="宋体" w:hAnsi="宋体" w:cs="宋体"/>
          <w:color w:val="auto"/>
          <w:szCs w:val="21"/>
          <w:highlight w:val="none"/>
        </w:rPr>
      </w:pPr>
    </w:p>
    <w:p w14:paraId="3A40F095">
      <w:pPr>
        <w:overflowPunct w:val="0"/>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olor w:val="auto"/>
          <w:szCs w:val="21"/>
          <w:highlight w:val="none"/>
        </w:rPr>
        <w:t>在填写时，如本表格不适合投标单位的实际情况，可根据本表格式自行划表填写</w:t>
      </w:r>
      <w:r>
        <w:rPr>
          <w:rFonts w:hint="eastAsia" w:ascii="宋体" w:hAnsi="宋体" w:cs="宋体"/>
          <w:color w:val="auto"/>
          <w:szCs w:val="21"/>
          <w:highlight w:val="none"/>
        </w:rPr>
        <w:t>；</w:t>
      </w:r>
    </w:p>
    <w:p w14:paraId="5E652958">
      <w:pPr>
        <w:overflowPunct w:val="0"/>
        <w:snapToGrid w:val="0"/>
        <w:spacing w:before="50" w:after="156" w:afterLines="50" w:line="360" w:lineRule="auto"/>
        <w:jc w:val="left"/>
        <w:rPr>
          <w:rFonts w:ascii="宋体" w:hAnsi="宋体" w:cs="宋体"/>
          <w:color w:val="auto"/>
          <w:szCs w:val="21"/>
          <w:highlight w:val="none"/>
        </w:rPr>
      </w:pPr>
    </w:p>
    <w:p w14:paraId="0393F528">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7C0725E7">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2180B394">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5AE84737">
      <w:pPr>
        <w:pStyle w:val="74"/>
        <w:overflowPunct w:val="0"/>
        <w:spacing w:before="156"/>
        <w:rPr>
          <w:rFonts w:ascii="宋体" w:cs="宋体"/>
          <w:color w:val="auto"/>
          <w:szCs w:val="21"/>
          <w:highlight w:val="none"/>
        </w:rPr>
      </w:pPr>
    </w:p>
    <w:p w14:paraId="5ED0D77C">
      <w:pPr>
        <w:pStyle w:val="74"/>
        <w:overflowPunct w:val="0"/>
        <w:spacing w:before="156"/>
        <w:rPr>
          <w:rFonts w:ascii="宋体" w:cs="宋体"/>
          <w:color w:val="auto"/>
          <w:szCs w:val="21"/>
          <w:highlight w:val="none"/>
        </w:rPr>
      </w:pPr>
    </w:p>
    <w:p w14:paraId="706647BF">
      <w:pPr>
        <w:pStyle w:val="74"/>
        <w:overflowPunct w:val="0"/>
        <w:spacing w:before="156"/>
        <w:rPr>
          <w:rFonts w:ascii="宋体" w:cs="宋体"/>
          <w:color w:val="auto"/>
          <w:szCs w:val="21"/>
          <w:highlight w:val="none"/>
        </w:rPr>
      </w:pPr>
    </w:p>
    <w:p w14:paraId="1EDA50E2">
      <w:pPr>
        <w:pStyle w:val="74"/>
        <w:overflowPunct w:val="0"/>
        <w:spacing w:before="156"/>
        <w:rPr>
          <w:rFonts w:ascii="宋体" w:cs="宋体"/>
          <w:color w:val="auto"/>
          <w:szCs w:val="21"/>
          <w:highlight w:val="none"/>
        </w:rPr>
      </w:pPr>
    </w:p>
    <w:p w14:paraId="5C02541F">
      <w:pPr>
        <w:pStyle w:val="74"/>
        <w:overflowPunct w:val="0"/>
        <w:spacing w:before="156"/>
        <w:rPr>
          <w:rFonts w:ascii="宋体" w:cs="宋体"/>
          <w:color w:val="auto"/>
          <w:szCs w:val="21"/>
          <w:highlight w:val="none"/>
        </w:rPr>
      </w:pPr>
    </w:p>
    <w:p w14:paraId="04794B41">
      <w:pPr>
        <w:pStyle w:val="74"/>
        <w:overflowPunct w:val="0"/>
        <w:spacing w:before="156"/>
        <w:rPr>
          <w:rFonts w:ascii="宋体" w:cs="宋体"/>
          <w:color w:val="auto"/>
          <w:szCs w:val="21"/>
          <w:highlight w:val="none"/>
        </w:rPr>
      </w:pPr>
    </w:p>
    <w:p w14:paraId="02EA555B">
      <w:pPr>
        <w:pStyle w:val="74"/>
        <w:overflowPunct w:val="0"/>
        <w:spacing w:before="156"/>
        <w:rPr>
          <w:rFonts w:ascii="宋体" w:cs="宋体"/>
          <w:color w:val="auto"/>
          <w:szCs w:val="21"/>
          <w:highlight w:val="none"/>
        </w:rPr>
      </w:pPr>
    </w:p>
    <w:p w14:paraId="4DECBD75">
      <w:pPr>
        <w:pStyle w:val="74"/>
        <w:overflowPunct w:val="0"/>
        <w:spacing w:before="156"/>
        <w:rPr>
          <w:rFonts w:ascii="宋体" w:cs="宋体"/>
          <w:color w:val="auto"/>
          <w:szCs w:val="21"/>
          <w:highlight w:val="none"/>
        </w:rPr>
      </w:pPr>
    </w:p>
    <w:p w14:paraId="5774926D">
      <w:pPr>
        <w:overflowPunct w:val="0"/>
        <w:autoSpaceDE w:val="0"/>
        <w:autoSpaceDN w:val="0"/>
        <w:adjustRightInd w:val="0"/>
        <w:snapToGrid w:val="0"/>
        <w:spacing w:line="400" w:lineRule="exact"/>
        <w:ind w:firstLine="649" w:firstLineChars="202"/>
        <w:jc w:val="center"/>
        <w:textAlignment w:val="bottom"/>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3D857B00">
      <w:pPr>
        <w:overflowPunct w:val="0"/>
        <w:autoSpaceDE w:val="0"/>
        <w:autoSpaceDN w:val="0"/>
        <w:adjustRightInd w:val="0"/>
        <w:snapToGrid w:val="0"/>
        <w:spacing w:line="400" w:lineRule="exact"/>
        <w:ind w:firstLine="426" w:firstLineChars="202"/>
        <w:textAlignment w:val="bottom"/>
        <w:rPr>
          <w:rFonts w:ascii="宋体" w:cs="宋体"/>
          <w:b/>
          <w:color w:val="auto"/>
          <w:szCs w:val="21"/>
          <w:highlight w:val="none"/>
          <w:u w:val="single"/>
        </w:rPr>
      </w:pPr>
      <w:r>
        <w:rPr>
          <w:rFonts w:hint="eastAsia" w:ascii="宋体" w:hAnsi="宋体" w:cs="宋体"/>
          <w:b/>
          <w:color w:val="auto"/>
          <w:szCs w:val="21"/>
          <w:highlight w:val="none"/>
          <w:u w:val="single"/>
        </w:rPr>
        <w:t>报价文件</w:t>
      </w:r>
    </w:p>
    <w:p w14:paraId="20E3F451">
      <w:pPr>
        <w:numPr>
          <w:ilvl w:val="0"/>
          <w:numId w:val="9"/>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初次报价表（格式见附件）；</w:t>
      </w:r>
    </w:p>
    <w:p w14:paraId="6AEEC10A">
      <w:pPr>
        <w:pStyle w:val="74"/>
        <w:overflowPunct w:val="0"/>
        <w:spacing w:before="156"/>
        <w:rPr>
          <w:rFonts w:ascii="宋体" w:cs="宋体"/>
          <w:color w:val="auto"/>
          <w:szCs w:val="21"/>
          <w:highlight w:val="none"/>
        </w:rPr>
      </w:pPr>
    </w:p>
    <w:p w14:paraId="34418185">
      <w:pPr>
        <w:pStyle w:val="74"/>
        <w:overflowPunct w:val="0"/>
        <w:spacing w:before="156"/>
        <w:rPr>
          <w:rFonts w:ascii="宋体" w:cs="宋体"/>
          <w:color w:val="auto"/>
          <w:szCs w:val="21"/>
          <w:highlight w:val="none"/>
        </w:rPr>
      </w:pPr>
    </w:p>
    <w:p w14:paraId="789A4EEA">
      <w:pPr>
        <w:pStyle w:val="74"/>
        <w:overflowPunct w:val="0"/>
        <w:spacing w:before="156"/>
        <w:rPr>
          <w:rFonts w:ascii="宋体" w:cs="宋体"/>
          <w:color w:val="auto"/>
          <w:szCs w:val="21"/>
          <w:highlight w:val="none"/>
        </w:rPr>
      </w:pPr>
    </w:p>
    <w:p w14:paraId="01D2F447">
      <w:pPr>
        <w:pStyle w:val="74"/>
        <w:overflowPunct w:val="0"/>
        <w:spacing w:before="156"/>
        <w:rPr>
          <w:rFonts w:ascii="宋体" w:cs="宋体"/>
          <w:color w:val="auto"/>
          <w:szCs w:val="21"/>
          <w:highlight w:val="none"/>
        </w:rPr>
      </w:pPr>
    </w:p>
    <w:p w14:paraId="09F8665F">
      <w:pPr>
        <w:pStyle w:val="74"/>
        <w:overflowPunct w:val="0"/>
        <w:spacing w:before="156"/>
        <w:rPr>
          <w:rFonts w:ascii="宋体" w:cs="宋体"/>
          <w:color w:val="auto"/>
          <w:szCs w:val="21"/>
          <w:highlight w:val="none"/>
        </w:rPr>
      </w:pPr>
    </w:p>
    <w:p w14:paraId="768E3445">
      <w:pPr>
        <w:pStyle w:val="74"/>
        <w:overflowPunct w:val="0"/>
        <w:spacing w:before="156"/>
        <w:rPr>
          <w:rFonts w:ascii="宋体" w:cs="宋体"/>
          <w:color w:val="auto"/>
          <w:szCs w:val="21"/>
          <w:highlight w:val="none"/>
        </w:rPr>
      </w:pPr>
    </w:p>
    <w:p w14:paraId="241F3CE7">
      <w:pPr>
        <w:pStyle w:val="74"/>
        <w:overflowPunct w:val="0"/>
        <w:spacing w:before="156"/>
        <w:rPr>
          <w:rFonts w:ascii="宋体" w:cs="宋体"/>
          <w:color w:val="auto"/>
          <w:szCs w:val="21"/>
          <w:highlight w:val="none"/>
        </w:rPr>
      </w:pPr>
    </w:p>
    <w:p w14:paraId="4A33E1DA">
      <w:pPr>
        <w:pStyle w:val="74"/>
        <w:overflowPunct w:val="0"/>
        <w:spacing w:before="156"/>
        <w:rPr>
          <w:rFonts w:ascii="宋体" w:cs="宋体"/>
          <w:color w:val="auto"/>
          <w:szCs w:val="21"/>
          <w:highlight w:val="none"/>
        </w:rPr>
      </w:pPr>
    </w:p>
    <w:p w14:paraId="38965E5B">
      <w:pPr>
        <w:pStyle w:val="74"/>
        <w:overflowPunct w:val="0"/>
        <w:spacing w:before="156"/>
        <w:rPr>
          <w:rFonts w:ascii="宋体" w:cs="宋体"/>
          <w:color w:val="auto"/>
          <w:szCs w:val="21"/>
          <w:highlight w:val="none"/>
        </w:rPr>
      </w:pPr>
    </w:p>
    <w:p w14:paraId="5F7419F8">
      <w:pPr>
        <w:pStyle w:val="74"/>
        <w:overflowPunct w:val="0"/>
        <w:spacing w:before="156"/>
        <w:rPr>
          <w:rFonts w:ascii="宋体" w:cs="宋体"/>
          <w:color w:val="auto"/>
          <w:szCs w:val="21"/>
          <w:highlight w:val="none"/>
        </w:rPr>
      </w:pPr>
    </w:p>
    <w:p w14:paraId="76B25506">
      <w:pPr>
        <w:pStyle w:val="74"/>
        <w:overflowPunct w:val="0"/>
        <w:spacing w:before="156"/>
        <w:rPr>
          <w:rFonts w:ascii="宋体" w:cs="宋体"/>
          <w:color w:val="auto"/>
          <w:szCs w:val="21"/>
          <w:highlight w:val="none"/>
        </w:rPr>
      </w:pPr>
    </w:p>
    <w:p w14:paraId="033D7E13">
      <w:pPr>
        <w:pStyle w:val="74"/>
        <w:overflowPunct w:val="0"/>
        <w:spacing w:before="156"/>
        <w:rPr>
          <w:rFonts w:ascii="宋体" w:cs="宋体"/>
          <w:color w:val="auto"/>
          <w:szCs w:val="21"/>
          <w:highlight w:val="none"/>
        </w:rPr>
      </w:pPr>
    </w:p>
    <w:p w14:paraId="6DBFC9B8">
      <w:pPr>
        <w:pStyle w:val="74"/>
        <w:overflowPunct w:val="0"/>
        <w:spacing w:before="156"/>
        <w:rPr>
          <w:rFonts w:ascii="宋体" w:cs="宋体"/>
          <w:color w:val="auto"/>
          <w:szCs w:val="21"/>
          <w:highlight w:val="none"/>
        </w:rPr>
      </w:pPr>
    </w:p>
    <w:p w14:paraId="3171E79B">
      <w:pPr>
        <w:pStyle w:val="74"/>
        <w:overflowPunct w:val="0"/>
        <w:spacing w:before="156"/>
        <w:rPr>
          <w:rFonts w:ascii="宋体" w:cs="宋体"/>
          <w:color w:val="auto"/>
          <w:szCs w:val="21"/>
          <w:highlight w:val="none"/>
        </w:rPr>
      </w:pPr>
    </w:p>
    <w:p w14:paraId="7F054AAB">
      <w:pPr>
        <w:pStyle w:val="74"/>
        <w:overflowPunct w:val="0"/>
        <w:spacing w:before="156"/>
        <w:rPr>
          <w:rFonts w:ascii="宋体" w:cs="宋体"/>
          <w:color w:val="auto"/>
          <w:szCs w:val="21"/>
          <w:highlight w:val="none"/>
        </w:rPr>
      </w:pPr>
    </w:p>
    <w:p w14:paraId="73A5DEF3">
      <w:pPr>
        <w:pStyle w:val="74"/>
        <w:overflowPunct w:val="0"/>
        <w:spacing w:before="156"/>
        <w:rPr>
          <w:rFonts w:ascii="宋体" w:cs="宋体"/>
          <w:color w:val="auto"/>
          <w:szCs w:val="21"/>
          <w:highlight w:val="none"/>
        </w:rPr>
      </w:pPr>
    </w:p>
    <w:p w14:paraId="53D1D8B8">
      <w:pPr>
        <w:pStyle w:val="74"/>
        <w:overflowPunct w:val="0"/>
        <w:spacing w:before="156"/>
        <w:rPr>
          <w:rFonts w:ascii="宋体" w:cs="宋体"/>
          <w:color w:val="auto"/>
          <w:szCs w:val="21"/>
          <w:highlight w:val="none"/>
        </w:rPr>
      </w:pPr>
    </w:p>
    <w:p w14:paraId="174FC09D">
      <w:pPr>
        <w:pStyle w:val="74"/>
        <w:overflowPunct w:val="0"/>
        <w:spacing w:before="156"/>
        <w:rPr>
          <w:rFonts w:ascii="宋体" w:cs="宋体"/>
          <w:color w:val="auto"/>
          <w:szCs w:val="21"/>
          <w:highlight w:val="none"/>
        </w:rPr>
      </w:pPr>
    </w:p>
    <w:p w14:paraId="46ADF0EA">
      <w:pPr>
        <w:pStyle w:val="74"/>
        <w:overflowPunct w:val="0"/>
        <w:spacing w:before="156"/>
        <w:rPr>
          <w:rFonts w:ascii="宋体" w:cs="宋体"/>
          <w:color w:val="auto"/>
          <w:szCs w:val="21"/>
          <w:highlight w:val="none"/>
        </w:rPr>
      </w:pPr>
    </w:p>
    <w:p w14:paraId="6BD12D58">
      <w:pPr>
        <w:pStyle w:val="74"/>
        <w:overflowPunct w:val="0"/>
        <w:spacing w:before="156"/>
        <w:rPr>
          <w:rFonts w:ascii="宋体" w:cs="宋体"/>
          <w:color w:val="auto"/>
          <w:szCs w:val="21"/>
          <w:highlight w:val="none"/>
        </w:rPr>
      </w:pPr>
    </w:p>
    <w:p w14:paraId="0C8053AE">
      <w:pPr>
        <w:pStyle w:val="74"/>
        <w:overflowPunct w:val="0"/>
        <w:spacing w:before="156"/>
        <w:rPr>
          <w:rFonts w:ascii="宋体" w:cs="宋体"/>
          <w:color w:val="auto"/>
          <w:szCs w:val="21"/>
          <w:highlight w:val="none"/>
        </w:rPr>
      </w:pPr>
    </w:p>
    <w:p w14:paraId="1AB9242B">
      <w:pPr>
        <w:pStyle w:val="74"/>
        <w:overflowPunct w:val="0"/>
        <w:spacing w:before="156"/>
        <w:rPr>
          <w:rFonts w:ascii="宋体" w:cs="宋体"/>
          <w:color w:val="auto"/>
          <w:szCs w:val="21"/>
          <w:highlight w:val="none"/>
        </w:rPr>
      </w:pPr>
    </w:p>
    <w:p w14:paraId="40ECB556">
      <w:pPr>
        <w:pStyle w:val="74"/>
        <w:overflowPunct w:val="0"/>
        <w:spacing w:before="156"/>
        <w:rPr>
          <w:rFonts w:ascii="宋体" w:cs="宋体"/>
          <w:color w:val="auto"/>
          <w:szCs w:val="21"/>
          <w:highlight w:val="none"/>
        </w:rPr>
      </w:pPr>
    </w:p>
    <w:p w14:paraId="1BD1080E">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rPr>
        <w:t>13、初次报价表格式</w:t>
      </w:r>
    </w:p>
    <w:p w14:paraId="261CE125">
      <w:pPr>
        <w:overflowPunct w:val="0"/>
        <w:rPr>
          <w:rFonts w:ascii="宋体" w:cs="宋体"/>
          <w:color w:val="auto"/>
          <w:sz w:val="28"/>
          <w:szCs w:val="28"/>
          <w:highlight w:val="none"/>
        </w:rPr>
      </w:pPr>
    </w:p>
    <w:p w14:paraId="410C2BFE">
      <w:pPr>
        <w:overflowPunct w:val="0"/>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初次报价表</w:t>
      </w:r>
    </w:p>
    <w:p w14:paraId="70671543">
      <w:pPr>
        <w:pStyle w:val="6"/>
        <w:tabs>
          <w:tab w:val="left" w:pos="4477"/>
        </w:tabs>
        <w:overflowPunct w:val="0"/>
        <w:spacing w:line="400" w:lineRule="exact"/>
        <w:rPr>
          <w:rFonts w:ascii="宋体" w:cs="宋体"/>
          <w:color w:val="auto"/>
          <w:szCs w:val="24"/>
          <w:highlight w:val="none"/>
        </w:rPr>
      </w:pPr>
    </w:p>
    <w:p w14:paraId="614EB275">
      <w:pPr>
        <w:pStyle w:val="6"/>
        <w:tabs>
          <w:tab w:val="left" w:pos="4477"/>
        </w:tabs>
        <w:overflowPunct w:val="0"/>
        <w:spacing w:line="400" w:lineRule="exact"/>
        <w:ind w:firstLine="0"/>
        <w:rPr>
          <w:rFonts w:ascii="宋体" w:cs="宋体"/>
          <w:color w:val="auto"/>
          <w:szCs w:val="24"/>
          <w:highlight w:val="none"/>
        </w:rPr>
      </w:pPr>
      <w:r>
        <w:rPr>
          <w:rFonts w:hint="eastAsia" w:ascii="宋体" w:hAnsi="宋体" w:cs="宋体"/>
          <w:color w:val="auto"/>
          <w:szCs w:val="24"/>
          <w:highlight w:val="none"/>
        </w:rPr>
        <w:t>项目名称：</w:t>
      </w:r>
      <w:r>
        <w:rPr>
          <w:rFonts w:ascii="宋体" w:hAnsi="宋体" w:cs="宋体"/>
          <w:color w:val="auto"/>
          <w:szCs w:val="24"/>
          <w:highlight w:val="none"/>
        </w:rPr>
        <w:t xml:space="preserve">                       </w:t>
      </w:r>
      <w:r>
        <w:rPr>
          <w:rFonts w:hint="eastAsia" w:ascii="宋体" w:hAnsi="宋体" w:cs="宋体"/>
          <w:color w:val="auto"/>
          <w:szCs w:val="24"/>
          <w:highlight w:val="none"/>
        </w:rPr>
        <w:t>项目编号：</w:t>
      </w:r>
      <w:r>
        <w:rPr>
          <w:rFonts w:ascii="宋体" w:hAnsi="宋体" w:cs="宋体"/>
          <w:color w:val="auto"/>
          <w:szCs w:val="24"/>
          <w:highlight w:val="none"/>
        </w:rPr>
        <w:t xml:space="preserve">                       </w:t>
      </w:r>
    </w:p>
    <w:p w14:paraId="5CA883FF">
      <w:pPr>
        <w:pStyle w:val="6"/>
        <w:tabs>
          <w:tab w:val="left" w:pos="4477"/>
        </w:tabs>
        <w:overflowPunct w:val="0"/>
        <w:spacing w:line="400" w:lineRule="exact"/>
        <w:ind w:firstLine="7140" w:firstLineChars="3400"/>
        <w:rPr>
          <w:rFonts w:ascii="宋体" w:cs="宋体"/>
          <w:color w:val="auto"/>
          <w:szCs w:val="24"/>
          <w:highlight w:val="none"/>
        </w:rPr>
      </w:pPr>
      <w:r>
        <w:rPr>
          <w:rFonts w:hint="eastAsia" w:ascii="宋体" w:hAnsi="宋体" w:cs="宋体"/>
          <w:color w:val="auto"/>
          <w:szCs w:val="24"/>
          <w:highlight w:val="none"/>
        </w:rPr>
        <w:t>金额单位：元</w:t>
      </w:r>
      <w:r>
        <w:rPr>
          <w:rFonts w:ascii="宋体" w:hAnsi="宋体" w:cs="宋体"/>
          <w:color w:val="auto"/>
          <w:szCs w:val="24"/>
          <w:highlight w:val="none"/>
        </w:rPr>
        <w:t xml:space="preserve">  </w:t>
      </w:r>
    </w:p>
    <w:tbl>
      <w:tblPr>
        <w:tblStyle w:val="30"/>
        <w:tblW w:w="835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957"/>
        <w:gridCol w:w="737"/>
        <w:gridCol w:w="3827"/>
      </w:tblGrid>
      <w:tr w14:paraId="72A0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14:paraId="7426702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957" w:type="dxa"/>
            <w:vAlign w:val="center"/>
          </w:tcPr>
          <w:p w14:paraId="178C95F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737" w:type="dxa"/>
            <w:vAlign w:val="center"/>
          </w:tcPr>
          <w:p w14:paraId="5085C06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3827" w:type="dxa"/>
            <w:vAlign w:val="center"/>
          </w:tcPr>
          <w:p w14:paraId="3209A727">
            <w:pPr>
              <w:spacing w:line="400" w:lineRule="exact"/>
              <w:jc w:val="center"/>
              <w:rPr>
                <w:rFonts w:ascii="宋体" w:hAnsi="宋体" w:cs="宋体"/>
                <w:color w:val="auto"/>
                <w:szCs w:val="21"/>
                <w:highlight w:val="none"/>
              </w:rPr>
            </w:pPr>
            <w:r>
              <w:rPr>
                <w:rFonts w:hint="eastAsia" w:ascii="宋体" w:hAnsi="宋体" w:cs="宋体"/>
                <w:bCs/>
                <w:color w:val="auto"/>
                <w:szCs w:val="21"/>
                <w:highlight w:val="none"/>
              </w:rPr>
              <w:t>磋商报价</w:t>
            </w:r>
          </w:p>
        </w:tc>
      </w:tr>
      <w:tr w14:paraId="5A66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14:paraId="5E61A15A">
            <w:pPr>
              <w:pStyle w:val="25"/>
              <w:snapToGrid w:val="0"/>
              <w:spacing w:before="0" w:beforeAutospacing="0" w:after="0" w:afterAutospacing="0" w:line="400" w:lineRule="exact"/>
              <w:jc w:val="center"/>
              <w:rPr>
                <w:rFonts w:cs="宋体"/>
                <w:color w:val="auto"/>
                <w:szCs w:val="21"/>
                <w:highlight w:val="none"/>
              </w:rPr>
            </w:pPr>
            <w:r>
              <w:rPr>
                <w:rFonts w:hint="eastAsia" w:cs="宋体"/>
                <w:color w:val="auto"/>
                <w:sz w:val="21"/>
                <w:szCs w:val="21"/>
                <w:highlight w:val="none"/>
              </w:rPr>
              <w:t>1</w:t>
            </w:r>
          </w:p>
        </w:tc>
        <w:tc>
          <w:tcPr>
            <w:tcW w:w="2957" w:type="dxa"/>
            <w:vAlign w:val="center"/>
          </w:tcPr>
          <w:p w14:paraId="701E01CD">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eastAsia="zh-CN"/>
              </w:rPr>
              <w:t>安吉县托育综合服务中心设计和装修</w:t>
            </w:r>
          </w:p>
        </w:tc>
        <w:tc>
          <w:tcPr>
            <w:tcW w:w="737" w:type="dxa"/>
            <w:vAlign w:val="center"/>
          </w:tcPr>
          <w:p w14:paraId="6C0C9A0B">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1项</w:t>
            </w:r>
          </w:p>
        </w:tc>
        <w:tc>
          <w:tcPr>
            <w:tcW w:w="3827" w:type="dxa"/>
            <w:vAlign w:val="center"/>
          </w:tcPr>
          <w:p w14:paraId="2C6843B1">
            <w:pPr>
              <w:pStyle w:val="74"/>
              <w:spacing w:beforeLines="0" w:after="0" w:line="400" w:lineRule="exact"/>
              <w:ind w:firstLine="0"/>
              <w:rPr>
                <w:color w:val="auto"/>
                <w:highlight w:val="none"/>
              </w:rPr>
            </w:pPr>
            <w:r>
              <w:rPr>
                <w:rFonts w:hint="eastAsia"/>
                <w:color w:val="auto"/>
                <w:highlight w:val="none"/>
              </w:rPr>
              <w:t>小写：</w:t>
            </w:r>
          </w:p>
          <w:p w14:paraId="35D466A1">
            <w:pPr>
              <w:pStyle w:val="74"/>
              <w:spacing w:beforeLines="0" w:after="0" w:line="400" w:lineRule="exact"/>
              <w:ind w:firstLine="0"/>
              <w:rPr>
                <w:color w:val="auto"/>
                <w:highlight w:val="none"/>
              </w:rPr>
            </w:pPr>
          </w:p>
          <w:p w14:paraId="130C2B94">
            <w:pPr>
              <w:spacing w:line="400" w:lineRule="exact"/>
              <w:rPr>
                <w:color w:val="auto"/>
                <w:highlight w:val="none"/>
              </w:rPr>
            </w:pPr>
            <w:r>
              <w:rPr>
                <w:rFonts w:hint="eastAsia"/>
                <w:color w:val="auto"/>
                <w:highlight w:val="none"/>
              </w:rPr>
              <w:t>大写：</w:t>
            </w:r>
          </w:p>
        </w:tc>
      </w:tr>
    </w:tbl>
    <w:p w14:paraId="63F7F870">
      <w:pPr>
        <w:pStyle w:val="6"/>
        <w:tabs>
          <w:tab w:val="left" w:pos="4477"/>
        </w:tabs>
        <w:overflowPunct w:val="0"/>
        <w:spacing w:line="400" w:lineRule="exact"/>
        <w:ind w:firstLine="7140" w:firstLineChars="3400"/>
        <w:rPr>
          <w:rFonts w:ascii="宋体" w:cs="宋体"/>
          <w:color w:val="auto"/>
          <w:szCs w:val="24"/>
          <w:highlight w:val="none"/>
        </w:rPr>
      </w:pPr>
    </w:p>
    <w:p w14:paraId="64DCDD47">
      <w:pPr>
        <w:pStyle w:val="14"/>
        <w:widowControl w:val="0"/>
        <w:overflowPunct w:val="0"/>
        <w:spacing w:before="0" w:beforeAutospacing="0" w:after="0" w:afterAutospacing="0" w:line="460" w:lineRule="atLeast"/>
        <w:rPr>
          <w:rFonts w:cs="宋体"/>
          <w:b/>
          <w:color w:val="auto"/>
          <w:sz w:val="22"/>
          <w:szCs w:val="22"/>
          <w:highlight w:val="none"/>
        </w:rPr>
      </w:pPr>
      <w:r>
        <w:rPr>
          <w:rFonts w:hint="eastAsia" w:cs="宋体"/>
          <w:b/>
          <w:color w:val="auto"/>
          <w:sz w:val="22"/>
          <w:szCs w:val="22"/>
          <w:highlight w:val="none"/>
        </w:rPr>
        <w:t>说明：</w:t>
      </w:r>
    </w:p>
    <w:p w14:paraId="7093263B">
      <w:pPr>
        <w:overflowPunct w:val="0"/>
        <w:spacing w:line="460" w:lineRule="atLeast"/>
        <w:jc w:val="left"/>
        <w:rPr>
          <w:rFonts w:ascii="宋体" w:cs="宋体"/>
          <w:b/>
          <w:color w:val="auto"/>
          <w:kern w:val="0"/>
          <w:sz w:val="22"/>
          <w:szCs w:val="22"/>
          <w:highlight w:val="none"/>
        </w:rPr>
      </w:pPr>
      <w:r>
        <w:rPr>
          <w:rFonts w:ascii="宋体" w:hAnsi="宋体" w:cs="宋体"/>
          <w:b/>
          <w:color w:val="auto"/>
          <w:kern w:val="0"/>
          <w:sz w:val="22"/>
          <w:szCs w:val="22"/>
          <w:highlight w:val="none"/>
        </w:rPr>
        <w:t>1</w:t>
      </w:r>
      <w:r>
        <w:rPr>
          <w:rFonts w:hint="eastAsia" w:ascii="宋体" w:hAnsi="宋体" w:cs="宋体"/>
          <w:b/>
          <w:color w:val="auto"/>
          <w:kern w:val="0"/>
          <w:sz w:val="22"/>
          <w:szCs w:val="22"/>
          <w:highlight w:val="none"/>
        </w:rPr>
        <w:t>、报价总价是履行合同的最终价格，即完成本项目采购内容和要求所产生的所有费用。</w:t>
      </w:r>
    </w:p>
    <w:p w14:paraId="4675D912">
      <w:pPr>
        <w:overflowPunct w:val="0"/>
        <w:spacing w:line="460" w:lineRule="atLeast"/>
        <w:jc w:val="left"/>
        <w:rPr>
          <w:rFonts w:ascii="宋体" w:cs="宋体"/>
          <w:b/>
          <w:color w:val="auto"/>
          <w:kern w:val="0"/>
          <w:sz w:val="22"/>
          <w:szCs w:val="22"/>
          <w:highlight w:val="none"/>
        </w:rPr>
      </w:pPr>
      <w:r>
        <w:rPr>
          <w:rFonts w:ascii="宋体" w:hAnsi="宋体" w:cs="宋体"/>
          <w:b/>
          <w:color w:val="auto"/>
          <w:kern w:val="0"/>
          <w:sz w:val="22"/>
          <w:szCs w:val="22"/>
          <w:highlight w:val="none"/>
        </w:rPr>
        <w:t>2</w:t>
      </w:r>
      <w:r>
        <w:rPr>
          <w:rFonts w:hint="eastAsia" w:ascii="宋体" w:hAnsi="宋体" w:cs="宋体"/>
          <w:b/>
          <w:color w:val="auto"/>
          <w:kern w:val="0"/>
          <w:sz w:val="22"/>
          <w:szCs w:val="22"/>
          <w:highlight w:val="none"/>
        </w:rPr>
        <w:t>、初次报价不公开。不提供此表格的将视为没有实质性响应磋商文件。</w:t>
      </w:r>
    </w:p>
    <w:p w14:paraId="6B1BF534">
      <w:pPr>
        <w:overflowPunct w:val="0"/>
        <w:spacing w:line="460" w:lineRule="atLeast"/>
        <w:jc w:val="left"/>
        <w:rPr>
          <w:rFonts w:ascii="宋体" w:cs="宋体"/>
          <w:color w:val="auto"/>
          <w:sz w:val="22"/>
          <w:szCs w:val="22"/>
          <w:highlight w:val="none"/>
        </w:rPr>
      </w:pPr>
      <w:r>
        <w:rPr>
          <w:rFonts w:ascii="宋体" w:hAnsi="宋体" w:cs="宋体"/>
          <w:b/>
          <w:color w:val="auto"/>
          <w:kern w:val="0"/>
          <w:sz w:val="22"/>
          <w:szCs w:val="22"/>
          <w:highlight w:val="none"/>
        </w:rPr>
        <w:t>3</w:t>
      </w:r>
      <w:r>
        <w:rPr>
          <w:rFonts w:hint="eastAsia" w:ascii="宋体" w:hAnsi="宋体" w:cs="宋体"/>
          <w:b/>
          <w:color w:val="auto"/>
          <w:kern w:val="0"/>
          <w:sz w:val="22"/>
          <w:szCs w:val="22"/>
          <w:highlight w:val="none"/>
        </w:rPr>
        <w:t>、供应商报价以磋商现场的最后报价为准。</w:t>
      </w:r>
    </w:p>
    <w:p w14:paraId="5DD0E383">
      <w:pPr>
        <w:overflowPunct w:val="0"/>
        <w:spacing w:line="460" w:lineRule="atLeast"/>
        <w:ind w:right="660"/>
        <w:jc w:val="left"/>
        <w:rPr>
          <w:rFonts w:ascii="宋体" w:cs="宋体"/>
          <w:color w:val="auto"/>
          <w:sz w:val="22"/>
          <w:szCs w:val="22"/>
          <w:highlight w:val="none"/>
        </w:rPr>
      </w:pPr>
    </w:p>
    <w:p w14:paraId="401862A8">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70113857">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493935A7">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71ED9766">
      <w:pPr>
        <w:snapToGrid w:val="0"/>
        <w:spacing w:line="360" w:lineRule="auto"/>
        <w:ind w:firstLine="480" w:firstLineChars="200"/>
        <w:jc w:val="left"/>
        <w:rPr>
          <w:rFonts w:ascii="宋体" w:cs="宋体"/>
          <w:color w:val="auto"/>
          <w:kern w:val="0"/>
          <w:sz w:val="24"/>
          <w:highlight w:val="none"/>
        </w:rPr>
      </w:pPr>
    </w:p>
    <w:p w14:paraId="35D280A8">
      <w:pPr>
        <w:pStyle w:val="46"/>
        <w:rPr>
          <w:rFonts w:ascii="宋体" w:cs="宋体"/>
          <w:color w:val="auto"/>
          <w:kern w:val="0"/>
          <w:sz w:val="24"/>
          <w:highlight w:val="none"/>
        </w:rPr>
      </w:pPr>
    </w:p>
    <w:p w14:paraId="36724AFC">
      <w:pPr>
        <w:pStyle w:val="46"/>
        <w:rPr>
          <w:rFonts w:ascii="宋体" w:cs="宋体"/>
          <w:color w:val="auto"/>
          <w:kern w:val="0"/>
          <w:sz w:val="24"/>
          <w:highlight w:val="none"/>
        </w:rPr>
      </w:pPr>
    </w:p>
    <w:p w14:paraId="0793E311">
      <w:pPr>
        <w:pStyle w:val="46"/>
        <w:rPr>
          <w:rFonts w:ascii="宋体" w:cs="宋体"/>
          <w:color w:val="auto"/>
          <w:kern w:val="0"/>
          <w:sz w:val="24"/>
          <w:highlight w:val="none"/>
        </w:rPr>
      </w:pPr>
    </w:p>
    <w:p w14:paraId="76BBF485">
      <w:pPr>
        <w:pStyle w:val="46"/>
        <w:rPr>
          <w:rFonts w:ascii="宋体" w:cs="宋体"/>
          <w:color w:val="auto"/>
          <w:kern w:val="0"/>
          <w:sz w:val="24"/>
          <w:highlight w:val="none"/>
        </w:rPr>
      </w:pPr>
    </w:p>
    <w:p w14:paraId="206E70B1">
      <w:pPr>
        <w:pStyle w:val="3"/>
        <w:keepNext w:val="0"/>
        <w:keepLines w:val="0"/>
        <w:overflowPunct w:val="0"/>
        <w:spacing w:before="0" w:after="0" w:line="600" w:lineRule="exact"/>
        <w:jc w:val="center"/>
        <w:rPr>
          <w:rFonts w:ascii="宋体" w:hAnsi="宋体" w:cs="宋体"/>
          <w:color w:val="auto"/>
          <w:sz w:val="32"/>
          <w:szCs w:val="32"/>
          <w:highlight w:val="none"/>
          <w:lang w:val="zh-CN"/>
        </w:rPr>
      </w:pPr>
      <w:bookmarkStart w:id="197" w:name="_Toc14221"/>
      <w:bookmarkStart w:id="198" w:name="_Toc11654"/>
      <w:bookmarkStart w:id="199" w:name="_Toc14540"/>
      <w:bookmarkStart w:id="200" w:name="_Toc24952"/>
    </w:p>
    <w:p w14:paraId="444FD056">
      <w:pPr>
        <w:pStyle w:val="3"/>
        <w:keepNext w:val="0"/>
        <w:keepLines w:val="0"/>
        <w:overflowPunct w:val="0"/>
        <w:spacing w:before="0" w:after="0" w:line="600" w:lineRule="exact"/>
        <w:jc w:val="center"/>
        <w:rPr>
          <w:rFonts w:ascii="宋体" w:hAnsi="宋体" w:cs="宋体"/>
          <w:color w:val="auto"/>
          <w:sz w:val="32"/>
          <w:szCs w:val="32"/>
          <w:highlight w:val="none"/>
          <w:lang w:val="zh-CN"/>
        </w:rPr>
      </w:pPr>
    </w:p>
    <w:p w14:paraId="767C1C3E">
      <w:pPr>
        <w:pStyle w:val="3"/>
        <w:keepNext w:val="0"/>
        <w:keepLines w:val="0"/>
        <w:overflowPunct w:val="0"/>
        <w:spacing w:before="0" w:after="0" w:line="600" w:lineRule="exact"/>
        <w:jc w:val="center"/>
        <w:rPr>
          <w:rFonts w:ascii="宋体" w:hAnsi="宋体" w:cs="宋体"/>
          <w:color w:val="auto"/>
          <w:sz w:val="32"/>
          <w:szCs w:val="32"/>
          <w:highlight w:val="none"/>
          <w:lang w:val="zh-CN"/>
        </w:rPr>
      </w:pPr>
    </w:p>
    <w:p w14:paraId="5236C140">
      <w:pPr>
        <w:rPr>
          <w:rFonts w:ascii="宋体" w:hAnsi="宋体" w:cs="宋体"/>
          <w:color w:val="auto"/>
          <w:sz w:val="32"/>
          <w:szCs w:val="32"/>
          <w:highlight w:val="none"/>
          <w:lang w:val="zh-CN"/>
        </w:rPr>
      </w:pPr>
    </w:p>
    <w:p w14:paraId="194DC53A">
      <w:pPr>
        <w:pStyle w:val="46"/>
        <w:rPr>
          <w:rFonts w:ascii="宋体" w:hAnsi="宋体" w:cs="宋体"/>
          <w:color w:val="auto"/>
          <w:sz w:val="32"/>
          <w:szCs w:val="32"/>
          <w:highlight w:val="none"/>
          <w:lang w:val="zh-CN"/>
        </w:rPr>
      </w:pPr>
    </w:p>
    <w:p w14:paraId="6809A54D">
      <w:pPr>
        <w:pStyle w:val="46"/>
        <w:rPr>
          <w:rFonts w:ascii="宋体" w:hAnsi="宋体" w:cs="宋体"/>
          <w:color w:val="auto"/>
          <w:sz w:val="32"/>
          <w:szCs w:val="32"/>
          <w:highlight w:val="none"/>
          <w:lang w:val="zh-CN"/>
        </w:rPr>
      </w:pPr>
    </w:p>
    <w:p w14:paraId="1B82A9B0">
      <w:pPr>
        <w:pStyle w:val="3"/>
        <w:keepNext w:val="0"/>
        <w:keepLines w:val="0"/>
        <w:overflowPunct w:val="0"/>
        <w:spacing w:before="0" w:after="0" w:line="600" w:lineRule="exact"/>
        <w:jc w:val="center"/>
        <w:rPr>
          <w:rFonts w:ascii="宋体" w:cs="宋体"/>
          <w:color w:val="auto"/>
          <w:sz w:val="32"/>
          <w:szCs w:val="32"/>
          <w:highlight w:val="none"/>
          <w:lang w:val="zh-CN"/>
        </w:rPr>
      </w:pPr>
      <w:bookmarkStart w:id="201" w:name="_Toc21580"/>
      <w:r>
        <w:rPr>
          <w:rFonts w:hint="eastAsia" w:ascii="宋体" w:hAnsi="宋体" w:cs="宋体"/>
          <w:color w:val="auto"/>
          <w:sz w:val="32"/>
          <w:szCs w:val="32"/>
          <w:highlight w:val="none"/>
          <w:lang w:val="zh-CN"/>
        </w:rPr>
        <w:t>第七章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专家评分索引表</w:t>
      </w:r>
      <w:bookmarkEnd w:id="197"/>
      <w:bookmarkEnd w:id="198"/>
      <w:bookmarkEnd w:id="199"/>
      <w:bookmarkEnd w:id="200"/>
      <w:bookmarkEnd w:id="201"/>
    </w:p>
    <w:tbl>
      <w:tblPr>
        <w:tblStyle w:val="30"/>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135"/>
        <w:gridCol w:w="1131"/>
        <w:gridCol w:w="1130"/>
        <w:gridCol w:w="1489"/>
      </w:tblGrid>
      <w:tr w14:paraId="2EAE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4" w:type="dxa"/>
            <w:vAlign w:val="center"/>
          </w:tcPr>
          <w:p w14:paraId="65195D09">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4135" w:type="dxa"/>
            <w:vAlign w:val="center"/>
          </w:tcPr>
          <w:p w14:paraId="3EDE03E8">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评分内容</w:t>
            </w:r>
          </w:p>
        </w:tc>
        <w:tc>
          <w:tcPr>
            <w:tcW w:w="1131" w:type="dxa"/>
            <w:vAlign w:val="center"/>
          </w:tcPr>
          <w:p w14:paraId="4B9B1975">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标准分</w:t>
            </w:r>
          </w:p>
        </w:tc>
        <w:tc>
          <w:tcPr>
            <w:tcW w:w="1130" w:type="dxa"/>
            <w:vAlign w:val="center"/>
          </w:tcPr>
          <w:p w14:paraId="1A936111">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自评分</w:t>
            </w:r>
          </w:p>
        </w:tc>
        <w:tc>
          <w:tcPr>
            <w:tcW w:w="1489" w:type="dxa"/>
            <w:vAlign w:val="center"/>
          </w:tcPr>
          <w:p w14:paraId="1E74517F">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在响应文件中所对应的页码</w:t>
            </w:r>
          </w:p>
        </w:tc>
      </w:tr>
      <w:tr w14:paraId="4956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226BFBC3">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1</w:t>
            </w:r>
          </w:p>
        </w:tc>
        <w:tc>
          <w:tcPr>
            <w:tcW w:w="4135" w:type="dxa"/>
            <w:shd w:val="clear" w:color="auto" w:fill="auto"/>
            <w:vAlign w:val="center"/>
          </w:tcPr>
          <w:p w14:paraId="26E6389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ascii="宋体" w:hAnsi="宋体" w:eastAsia="宋体" w:cs="仿宋"/>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总承包管理方案</w:t>
            </w:r>
          </w:p>
        </w:tc>
        <w:tc>
          <w:tcPr>
            <w:tcW w:w="1131" w:type="dxa"/>
            <w:shd w:val="clear" w:color="auto" w:fill="auto"/>
            <w:vAlign w:val="center"/>
          </w:tcPr>
          <w:p w14:paraId="196F44B1">
            <w:pPr>
              <w:keepNext w:val="0"/>
              <w:keepLines w:val="0"/>
              <w:pageBreakBefore w:val="0"/>
              <w:kinsoku/>
              <w:wordWrap/>
              <w:overflowPunct/>
              <w:topLinePunct w:val="0"/>
              <w:bidi w:val="0"/>
              <w:adjustRightInd w:val="0"/>
              <w:snapToGrid w:val="0"/>
              <w:spacing w:beforeAutospacing="0" w:afterAutospacing="0" w:line="400" w:lineRule="exact"/>
              <w:jc w:val="center"/>
              <w:rPr>
                <w:rFonts w:hint="default"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lang w:val="en-US" w:eastAsia="zh-CN"/>
              </w:rPr>
              <w:t>5</w:t>
            </w:r>
          </w:p>
        </w:tc>
        <w:tc>
          <w:tcPr>
            <w:tcW w:w="1130" w:type="dxa"/>
            <w:vAlign w:val="center"/>
          </w:tcPr>
          <w:p w14:paraId="5D1D28D5">
            <w:pPr>
              <w:adjustRightInd w:val="0"/>
              <w:snapToGrid w:val="0"/>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4B864D93">
            <w:pPr>
              <w:adjustRightInd w:val="0"/>
              <w:snapToGrid w:val="0"/>
              <w:spacing w:line="400" w:lineRule="exact"/>
              <w:jc w:val="center"/>
              <w:rPr>
                <w:rFonts w:hint="default" w:ascii="宋体" w:hAnsi="宋体" w:eastAsia="宋体" w:cs="仿宋"/>
                <w:bCs/>
                <w:color w:val="auto"/>
                <w:kern w:val="2"/>
                <w:sz w:val="21"/>
                <w:szCs w:val="21"/>
                <w:highlight w:val="none"/>
                <w:lang w:val="en-US" w:eastAsia="zh-CN" w:bidi="ar-SA"/>
              </w:rPr>
            </w:pPr>
          </w:p>
        </w:tc>
      </w:tr>
      <w:tr w14:paraId="3E8E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11D685B6">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2</w:t>
            </w:r>
          </w:p>
        </w:tc>
        <w:tc>
          <w:tcPr>
            <w:tcW w:w="4135" w:type="dxa"/>
            <w:shd w:val="clear" w:color="auto" w:fill="auto"/>
            <w:vAlign w:val="center"/>
          </w:tcPr>
          <w:p w14:paraId="3BB6F5B9">
            <w:pPr>
              <w:keepNext w:val="0"/>
              <w:keepLines w:val="0"/>
              <w:pageBreakBefore w:val="0"/>
              <w:kinsoku/>
              <w:wordWrap/>
              <w:overflowPunct/>
              <w:topLinePunct w:val="0"/>
              <w:bidi w:val="0"/>
              <w:spacing w:beforeAutospacing="0" w:afterAutospacing="0" w:line="400" w:lineRule="exact"/>
              <w:jc w:val="center"/>
              <w:rPr>
                <w:rFonts w:ascii="宋体" w:hAnsi="宋体" w:eastAsia="宋体" w:cs="仿宋"/>
                <w:bCs/>
                <w:color w:val="auto"/>
                <w:kern w:val="2"/>
                <w:sz w:val="21"/>
                <w:szCs w:val="21"/>
                <w:highlight w:val="none"/>
                <w:lang w:val="en-US" w:eastAsia="zh-CN" w:bidi="ar-SA"/>
              </w:rPr>
            </w:pPr>
            <w:r>
              <w:rPr>
                <w:rFonts w:hint="eastAsia" w:ascii="宋体" w:hAnsi="宋体" w:eastAsia="宋体" w:cs="宋体"/>
                <w:color w:val="auto"/>
                <w:sz w:val="21"/>
                <w:szCs w:val="21"/>
                <w:highlight w:val="none"/>
              </w:rPr>
              <w:t>施工技术方案及</w:t>
            </w:r>
            <w:r>
              <w:rPr>
                <w:rFonts w:hint="eastAsia" w:ascii="宋体" w:hAnsi="宋体" w:eastAsia="宋体" w:cs="宋体"/>
                <w:color w:val="auto"/>
                <w:sz w:val="21"/>
                <w:szCs w:val="21"/>
                <w:highlight w:val="none"/>
                <w:lang w:eastAsia="zh-CN"/>
              </w:rPr>
              <w:t>关键</w:t>
            </w:r>
            <w:r>
              <w:rPr>
                <w:rFonts w:hint="eastAsia" w:ascii="宋体" w:hAnsi="宋体" w:eastAsia="宋体" w:cs="宋体"/>
                <w:color w:val="auto"/>
                <w:sz w:val="21"/>
                <w:szCs w:val="21"/>
                <w:highlight w:val="none"/>
              </w:rPr>
              <w:t>部位技术措施</w:t>
            </w:r>
          </w:p>
        </w:tc>
        <w:tc>
          <w:tcPr>
            <w:tcW w:w="1131" w:type="dxa"/>
            <w:shd w:val="clear" w:color="auto" w:fill="auto"/>
            <w:vAlign w:val="center"/>
          </w:tcPr>
          <w:p w14:paraId="22E6D8F4">
            <w:pPr>
              <w:keepNext w:val="0"/>
              <w:keepLines w:val="0"/>
              <w:pageBreakBefore w:val="0"/>
              <w:kinsoku/>
              <w:wordWrap/>
              <w:overflowPunct/>
              <w:topLinePunct w:val="0"/>
              <w:bidi w:val="0"/>
              <w:spacing w:beforeAutospacing="0" w:afterAutospacing="0" w:line="400" w:lineRule="exact"/>
              <w:jc w:val="center"/>
              <w:rPr>
                <w:rFonts w:hint="eastAsia"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lang w:val="en-US" w:eastAsia="zh-CN"/>
              </w:rPr>
              <w:t>4</w:t>
            </w:r>
          </w:p>
        </w:tc>
        <w:tc>
          <w:tcPr>
            <w:tcW w:w="1130" w:type="dxa"/>
            <w:vAlign w:val="center"/>
          </w:tcPr>
          <w:p w14:paraId="413E51C1">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5479EB71">
            <w:pPr>
              <w:spacing w:line="400" w:lineRule="exact"/>
              <w:jc w:val="center"/>
              <w:rPr>
                <w:rFonts w:ascii="宋体" w:hAnsi="宋体" w:eastAsia="宋体" w:cs="仿宋"/>
                <w:bCs/>
                <w:color w:val="auto"/>
                <w:kern w:val="2"/>
                <w:sz w:val="21"/>
                <w:szCs w:val="21"/>
                <w:highlight w:val="none"/>
                <w:lang w:val="en-US" w:eastAsia="zh-CN" w:bidi="ar-SA"/>
              </w:rPr>
            </w:pPr>
          </w:p>
        </w:tc>
      </w:tr>
      <w:tr w14:paraId="1186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2C155D79">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3</w:t>
            </w:r>
          </w:p>
        </w:tc>
        <w:tc>
          <w:tcPr>
            <w:tcW w:w="4135" w:type="dxa"/>
            <w:shd w:val="clear" w:color="auto" w:fill="auto"/>
            <w:vAlign w:val="center"/>
          </w:tcPr>
          <w:p w14:paraId="38FA2DF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质量和安全文明</w:t>
            </w:r>
          </w:p>
        </w:tc>
        <w:tc>
          <w:tcPr>
            <w:tcW w:w="1131" w:type="dxa"/>
            <w:shd w:val="clear" w:color="auto" w:fill="auto"/>
            <w:vAlign w:val="center"/>
          </w:tcPr>
          <w:p w14:paraId="0D1BC7E8">
            <w:pPr>
              <w:pStyle w:val="92"/>
              <w:keepNext w:val="0"/>
              <w:keepLines w:val="0"/>
              <w:pageBreakBefore w:val="0"/>
              <w:kinsoku/>
              <w:wordWrap/>
              <w:overflowPunct/>
              <w:topLinePunct w:val="0"/>
              <w:bidi w:val="0"/>
              <w:spacing w:beforeAutospacing="0" w:afterAutospacing="0" w:line="400" w:lineRule="exact"/>
              <w:jc w:val="center"/>
              <w:rPr>
                <w:rFonts w:hint="default" w:ascii="宋体" w:hAnsi="宋体" w:eastAsia="宋体" w:cs="宋体"/>
                <w:color w:val="auto"/>
                <w:kern w:val="0"/>
                <w:sz w:val="21"/>
                <w:szCs w:val="21"/>
                <w:highlight w:val="none"/>
                <w:lang w:val="en-US" w:eastAsia="zh-CN" w:bidi="ar-SA"/>
              </w:rPr>
            </w:pPr>
            <w:r>
              <w:rPr>
                <w:rFonts w:hint="eastAsia" w:hAnsi="宋体" w:eastAsia="宋体" w:cs="宋体"/>
                <w:color w:val="auto"/>
                <w:sz w:val="21"/>
                <w:szCs w:val="21"/>
                <w:highlight w:val="none"/>
                <w:lang w:val="en-US" w:eastAsia="zh-CN"/>
              </w:rPr>
              <w:t>3</w:t>
            </w:r>
          </w:p>
        </w:tc>
        <w:tc>
          <w:tcPr>
            <w:tcW w:w="1130" w:type="dxa"/>
            <w:vAlign w:val="center"/>
          </w:tcPr>
          <w:p w14:paraId="1C2237C2">
            <w:pPr>
              <w:pStyle w:val="14"/>
              <w:adjustRightInd w:val="0"/>
              <w:spacing w:before="0" w:beforeAutospacing="0" w:after="0" w:afterAutospacing="0" w:line="400" w:lineRule="exact"/>
              <w:jc w:val="center"/>
              <w:rPr>
                <w:rFonts w:ascii="宋体" w:hAnsi="Courier New" w:eastAsia="宋体" w:cs="宋体"/>
                <w:color w:val="auto"/>
                <w:kern w:val="2"/>
                <w:sz w:val="21"/>
                <w:szCs w:val="21"/>
                <w:highlight w:val="none"/>
                <w:lang w:val="en-US" w:eastAsia="zh-CN" w:bidi="ar-SA"/>
              </w:rPr>
            </w:pPr>
          </w:p>
        </w:tc>
        <w:tc>
          <w:tcPr>
            <w:tcW w:w="1489" w:type="dxa"/>
            <w:vAlign w:val="center"/>
          </w:tcPr>
          <w:p w14:paraId="160DDD21">
            <w:pPr>
              <w:pStyle w:val="92"/>
              <w:spacing w:line="400" w:lineRule="exact"/>
              <w:jc w:val="center"/>
              <w:rPr>
                <w:rFonts w:hint="default" w:ascii="宋体" w:hAnsi="宋体" w:eastAsia="宋体" w:cs="宋体"/>
                <w:color w:val="auto"/>
                <w:kern w:val="0"/>
                <w:sz w:val="21"/>
                <w:szCs w:val="21"/>
                <w:highlight w:val="none"/>
                <w:lang w:val="en-US" w:eastAsia="zh-CN" w:bidi="ar-SA"/>
              </w:rPr>
            </w:pPr>
          </w:p>
        </w:tc>
      </w:tr>
      <w:tr w14:paraId="7243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0997BB97">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4</w:t>
            </w:r>
          </w:p>
        </w:tc>
        <w:tc>
          <w:tcPr>
            <w:tcW w:w="4135" w:type="dxa"/>
            <w:shd w:val="clear" w:color="auto" w:fill="auto"/>
            <w:vAlign w:val="center"/>
          </w:tcPr>
          <w:p w14:paraId="30955BD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color w:val="auto"/>
                <w:kern w:val="2"/>
                <w:sz w:val="21"/>
                <w:szCs w:val="21"/>
                <w:highlight w:val="none"/>
                <w:lang w:val="zh-TW" w:eastAsia="zh-CN" w:bidi="ar-SA"/>
              </w:rPr>
            </w:pPr>
            <w:r>
              <w:rPr>
                <w:rFonts w:hint="eastAsia" w:ascii="宋体" w:hAnsi="宋体" w:eastAsia="宋体" w:cs="宋体"/>
                <w:color w:val="auto"/>
                <w:sz w:val="21"/>
                <w:szCs w:val="21"/>
                <w:highlight w:val="none"/>
              </w:rPr>
              <w:t>工期保证措施及</w:t>
            </w:r>
          </w:p>
        </w:tc>
        <w:tc>
          <w:tcPr>
            <w:tcW w:w="1131" w:type="dxa"/>
            <w:shd w:val="clear" w:color="auto" w:fill="auto"/>
            <w:vAlign w:val="center"/>
          </w:tcPr>
          <w:p w14:paraId="3158262E">
            <w:pPr>
              <w:pStyle w:val="92"/>
              <w:keepNext w:val="0"/>
              <w:keepLines w:val="0"/>
              <w:pageBreakBefore w:val="0"/>
              <w:kinsoku/>
              <w:wordWrap/>
              <w:overflowPunct/>
              <w:topLinePunct w:val="0"/>
              <w:bidi w:val="0"/>
              <w:spacing w:beforeAutospacing="0" w:afterAutospacing="0" w:line="400" w:lineRule="exact"/>
              <w:jc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rPr>
              <w:t>3</w:t>
            </w:r>
          </w:p>
        </w:tc>
        <w:tc>
          <w:tcPr>
            <w:tcW w:w="1130" w:type="dxa"/>
            <w:vAlign w:val="center"/>
          </w:tcPr>
          <w:p w14:paraId="758BD6EF">
            <w:pPr>
              <w:spacing w:line="400" w:lineRule="exact"/>
              <w:jc w:val="center"/>
              <w:rPr>
                <w:rFonts w:ascii="宋体" w:hAnsi="宋体" w:eastAsia="宋体" w:cs="宋体"/>
                <w:color w:val="auto"/>
                <w:kern w:val="2"/>
                <w:sz w:val="21"/>
                <w:szCs w:val="21"/>
                <w:highlight w:val="none"/>
                <w:lang w:val="zh-TW" w:eastAsia="zh-CN" w:bidi="ar-SA"/>
              </w:rPr>
            </w:pPr>
          </w:p>
        </w:tc>
        <w:tc>
          <w:tcPr>
            <w:tcW w:w="1489" w:type="dxa"/>
            <w:vAlign w:val="center"/>
          </w:tcPr>
          <w:p w14:paraId="0A87220A">
            <w:pPr>
              <w:pStyle w:val="92"/>
              <w:spacing w:line="400" w:lineRule="exact"/>
              <w:jc w:val="center"/>
              <w:rPr>
                <w:rFonts w:ascii="宋体" w:hAnsi="宋体" w:eastAsia="宋体" w:cs="宋体"/>
                <w:color w:val="auto"/>
                <w:kern w:val="2"/>
                <w:sz w:val="21"/>
                <w:szCs w:val="21"/>
                <w:highlight w:val="none"/>
                <w:lang w:val="en-US" w:eastAsia="zh-CN" w:bidi="ar-SA"/>
              </w:rPr>
            </w:pPr>
          </w:p>
        </w:tc>
      </w:tr>
      <w:tr w14:paraId="1C52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3961A607">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5</w:t>
            </w:r>
          </w:p>
        </w:tc>
        <w:tc>
          <w:tcPr>
            <w:tcW w:w="4135" w:type="dxa"/>
            <w:shd w:val="clear" w:color="auto" w:fill="auto"/>
            <w:vAlign w:val="center"/>
          </w:tcPr>
          <w:p w14:paraId="5D10B2B3">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color w:val="auto"/>
                <w:kern w:val="2"/>
                <w:sz w:val="21"/>
                <w:szCs w:val="21"/>
                <w:highlight w:val="none"/>
                <w:lang w:val="zh-TW" w:eastAsia="zh-CN" w:bidi="ar-SA"/>
              </w:rPr>
            </w:pPr>
            <w:r>
              <w:rPr>
                <w:rFonts w:hint="eastAsia" w:ascii="宋体" w:hAnsi="宋体" w:eastAsia="宋体" w:cs="宋体"/>
                <w:color w:val="auto"/>
                <w:highlight w:val="none"/>
                <w:lang w:val="zh-TW" w:eastAsia="zh-TW"/>
              </w:rPr>
              <w:t>项目重点、难点问题</w:t>
            </w:r>
          </w:p>
        </w:tc>
        <w:tc>
          <w:tcPr>
            <w:tcW w:w="1131" w:type="dxa"/>
            <w:shd w:val="clear" w:color="auto" w:fill="auto"/>
            <w:vAlign w:val="center"/>
          </w:tcPr>
          <w:p w14:paraId="4530EDB0">
            <w:pPr>
              <w:pStyle w:val="92"/>
              <w:keepNext w:val="0"/>
              <w:keepLines w:val="0"/>
              <w:pageBreakBefore w:val="0"/>
              <w:kinsoku/>
              <w:wordWrap/>
              <w:overflowPunct/>
              <w:topLinePunct w:val="0"/>
              <w:bidi w:val="0"/>
              <w:spacing w:beforeAutospacing="0" w:afterAutospacing="0" w:line="400" w:lineRule="exact"/>
              <w:jc w:val="center"/>
              <w:rPr>
                <w:rFonts w:hint="eastAsia" w:ascii="宋体" w:hAnsi="宋体" w:eastAsia="宋体" w:cs="仿宋"/>
                <w:bCs/>
                <w:color w:val="auto"/>
                <w:kern w:val="2"/>
                <w:sz w:val="21"/>
                <w:szCs w:val="21"/>
                <w:highlight w:val="none"/>
                <w:lang w:val="en-US" w:eastAsia="zh-CN" w:bidi="ar-SA"/>
              </w:rPr>
            </w:pPr>
            <w:r>
              <w:rPr>
                <w:rFonts w:hint="eastAsia" w:hAnsi="宋体" w:eastAsia="宋体" w:cs="仿宋"/>
                <w:bCs/>
                <w:color w:val="auto"/>
                <w:kern w:val="2"/>
                <w:sz w:val="21"/>
                <w:szCs w:val="21"/>
                <w:highlight w:val="none"/>
                <w:lang w:val="en-US" w:eastAsia="zh-CN"/>
              </w:rPr>
              <w:t>3</w:t>
            </w:r>
          </w:p>
        </w:tc>
        <w:tc>
          <w:tcPr>
            <w:tcW w:w="1130" w:type="dxa"/>
            <w:vAlign w:val="center"/>
          </w:tcPr>
          <w:p w14:paraId="5D29EF3D">
            <w:pPr>
              <w:spacing w:line="400" w:lineRule="exact"/>
              <w:jc w:val="center"/>
              <w:rPr>
                <w:rFonts w:ascii="宋体" w:hAnsi="宋体" w:eastAsia="宋体" w:cs="仿宋"/>
                <w:bCs/>
                <w:color w:val="auto"/>
                <w:kern w:val="2"/>
                <w:sz w:val="21"/>
                <w:szCs w:val="21"/>
                <w:highlight w:val="none"/>
                <w:lang w:val="zh-TW" w:eastAsia="zh-CN" w:bidi="ar-SA"/>
              </w:rPr>
            </w:pPr>
          </w:p>
        </w:tc>
        <w:tc>
          <w:tcPr>
            <w:tcW w:w="1489" w:type="dxa"/>
            <w:vAlign w:val="center"/>
          </w:tcPr>
          <w:p w14:paraId="3BAC826B">
            <w:pPr>
              <w:pStyle w:val="92"/>
              <w:spacing w:line="400" w:lineRule="exact"/>
              <w:jc w:val="center"/>
              <w:rPr>
                <w:rFonts w:ascii="宋体" w:hAnsi="宋体" w:eastAsia="宋体" w:cs="仿宋"/>
                <w:bCs/>
                <w:color w:val="auto"/>
                <w:kern w:val="2"/>
                <w:sz w:val="21"/>
                <w:szCs w:val="21"/>
                <w:highlight w:val="none"/>
                <w:lang w:val="en-US" w:eastAsia="zh-CN" w:bidi="ar-SA"/>
              </w:rPr>
            </w:pPr>
          </w:p>
        </w:tc>
      </w:tr>
      <w:tr w14:paraId="630E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3BD20747">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6</w:t>
            </w:r>
          </w:p>
        </w:tc>
        <w:tc>
          <w:tcPr>
            <w:tcW w:w="4135" w:type="dxa"/>
            <w:shd w:val="clear" w:color="auto" w:fill="auto"/>
            <w:vAlign w:val="center"/>
          </w:tcPr>
          <w:p w14:paraId="7D3D6FD5">
            <w:pPr>
              <w:keepNext w:val="0"/>
              <w:keepLines w:val="0"/>
              <w:pageBreakBefore w:val="0"/>
              <w:kinsoku/>
              <w:wordWrap/>
              <w:overflowPunct/>
              <w:topLinePunct w:val="0"/>
              <w:bidi w:val="0"/>
              <w:spacing w:beforeAutospacing="0" w:afterAutospacing="0" w:line="400" w:lineRule="exact"/>
              <w:jc w:val="center"/>
              <w:rPr>
                <w:rFonts w:ascii="宋体" w:hAnsi="宋体" w:eastAsia="宋体" w:cs="仿宋"/>
                <w:bCs/>
                <w:color w:val="auto"/>
                <w:kern w:val="2"/>
                <w:sz w:val="21"/>
                <w:szCs w:val="21"/>
                <w:highlight w:val="none"/>
                <w:lang w:val="zh-TW" w:eastAsia="zh-CN" w:bidi="ar-SA"/>
              </w:rPr>
            </w:pPr>
            <w:r>
              <w:rPr>
                <w:rFonts w:hint="eastAsia" w:ascii="宋体" w:hAnsi="宋体" w:eastAsia="宋体" w:cs="宋体"/>
                <w:b w:val="0"/>
                <w:bCs/>
                <w:color w:val="auto"/>
                <w:highlight w:val="none"/>
                <w:lang w:val="zh-TW" w:eastAsia="zh-TW"/>
              </w:rPr>
              <w:t>设计说明</w:t>
            </w:r>
          </w:p>
        </w:tc>
        <w:tc>
          <w:tcPr>
            <w:tcW w:w="1131" w:type="dxa"/>
            <w:shd w:val="clear" w:color="auto" w:fill="auto"/>
            <w:vAlign w:val="center"/>
          </w:tcPr>
          <w:p w14:paraId="52622EA6">
            <w:pPr>
              <w:keepNext w:val="0"/>
              <w:keepLines w:val="0"/>
              <w:pageBreakBefore w:val="0"/>
              <w:kinsoku/>
              <w:wordWrap/>
              <w:overflowPunct/>
              <w:topLinePunct w:val="0"/>
              <w:autoSpaceDE w:val="0"/>
              <w:autoSpaceDN w:val="0"/>
              <w:bidi w:val="0"/>
              <w:adjustRightInd w:val="0"/>
              <w:snapToGrid w:val="0"/>
              <w:spacing w:beforeAutospacing="0" w:afterAutospacing="0" w:line="400" w:lineRule="exact"/>
              <w:jc w:val="center"/>
              <w:rPr>
                <w:rFonts w:hint="eastAsia"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lang w:val="en-US" w:eastAsia="zh-CN"/>
              </w:rPr>
              <w:t>3</w:t>
            </w:r>
          </w:p>
        </w:tc>
        <w:tc>
          <w:tcPr>
            <w:tcW w:w="1130" w:type="dxa"/>
            <w:vAlign w:val="center"/>
          </w:tcPr>
          <w:p w14:paraId="2F9DBC4C">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0837AF91">
            <w:pPr>
              <w:autoSpaceDE w:val="0"/>
              <w:autoSpaceDN w:val="0"/>
              <w:adjustRightInd w:val="0"/>
              <w:snapToGrid w:val="0"/>
              <w:spacing w:line="400" w:lineRule="exact"/>
              <w:jc w:val="center"/>
              <w:rPr>
                <w:rFonts w:ascii="宋体" w:hAnsi="宋体" w:eastAsia="宋体" w:cs="仿宋"/>
                <w:bCs/>
                <w:color w:val="auto"/>
                <w:kern w:val="2"/>
                <w:sz w:val="21"/>
                <w:szCs w:val="21"/>
                <w:highlight w:val="none"/>
                <w:lang w:val="en-US" w:eastAsia="zh-CN" w:bidi="ar-SA"/>
              </w:rPr>
            </w:pPr>
          </w:p>
        </w:tc>
      </w:tr>
      <w:tr w14:paraId="0A75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25324A30">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7</w:t>
            </w:r>
          </w:p>
        </w:tc>
        <w:tc>
          <w:tcPr>
            <w:tcW w:w="4135" w:type="dxa"/>
            <w:vAlign w:val="center"/>
          </w:tcPr>
          <w:p w14:paraId="68629EB8">
            <w:pPr>
              <w:spacing w:line="400" w:lineRule="exact"/>
              <w:jc w:val="center"/>
              <w:rPr>
                <w:rFonts w:hint="eastAsia" w:ascii="宋体" w:hAnsi="宋体" w:eastAsia="宋体" w:cs="仿宋"/>
                <w:bCs/>
                <w:color w:val="auto"/>
                <w:kern w:val="2"/>
                <w:sz w:val="21"/>
                <w:szCs w:val="21"/>
                <w:highlight w:val="none"/>
                <w:lang w:val="zh-TW" w:eastAsia="zh-CN" w:bidi="ar-SA"/>
              </w:rPr>
            </w:pPr>
            <w:r>
              <w:rPr>
                <w:rFonts w:hint="eastAsia" w:ascii="宋体" w:hAnsi="宋体" w:cs="宋体"/>
                <w:color w:val="auto"/>
                <w:szCs w:val="21"/>
                <w:highlight w:val="none"/>
                <w:lang w:eastAsia="zh-CN"/>
              </w:rPr>
              <w:t>设计方案</w:t>
            </w:r>
          </w:p>
        </w:tc>
        <w:tc>
          <w:tcPr>
            <w:tcW w:w="1131" w:type="dxa"/>
            <w:vAlign w:val="center"/>
          </w:tcPr>
          <w:p w14:paraId="376E9923">
            <w:pPr>
              <w:spacing w:line="400" w:lineRule="exact"/>
              <w:jc w:val="center"/>
              <w:rPr>
                <w:rFonts w:ascii="宋体" w:hAnsi="宋体" w:eastAsia="宋体" w:cs="仿宋"/>
                <w:bCs/>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w:t>
            </w:r>
          </w:p>
        </w:tc>
        <w:tc>
          <w:tcPr>
            <w:tcW w:w="1130" w:type="dxa"/>
            <w:vAlign w:val="center"/>
          </w:tcPr>
          <w:p w14:paraId="092106ED">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4FA881F3">
            <w:pPr>
              <w:spacing w:line="400" w:lineRule="exact"/>
              <w:jc w:val="center"/>
              <w:rPr>
                <w:rFonts w:ascii="宋体" w:hAnsi="宋体" w:eastAsia="宋体" w:cs="仿宋"/>
                <w:bCs/>
                <w:color w:val="auto"/>
                <w:kern w:val="2"/>
                <w:sz w:val="21"/>
                <w:szCs w:val="21"/>
                <w:highlight w:val="none"/>
                <w:lang w:val="en-US" w:eastAsia="zh-CN" w:bidi="ar-SA"/>
              </w:rPr>
            </w:pPr>
          </w:p>
        </w:tc>
      </w:tr>
      <w:tr w14:paraId="0B08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41D4B1B8">
            <w:pPr>
              <w:adjustRightInd w:val="0"/>
              <w:snapToGrid w:val="0"/>
              <w:spacing w:line="400" w:lineRule="exact"/>
              <w:jc w:val="center"/>
              <w:rPr>
                <w:rFonts w:ascii="宋体" w:hAnsi="宋体" w:cs="仿宋"/>
                <w:bCs/>
                <w:snapToGrid w:val="0"/>
                <w:color w:val="auto"/>
                <w:szCs w:val="21"/>
                <w:highlight w:val="none"/>
              </w:rPr>
            </w:pPr>
            <w:r>
              <w:rPr>
                <w:rFonts w:ascii="宋体" w:hAnsi="宋体" w:cs="仿宋"/>
                <w:bCs/>
                <w:snapToGrid w:val="0"/>
                <w:color w:val="auto"/>
                <w:szCs w:val="21"/>
                <w:highlight w:val="none"/>
              </w:rPr>
              <w:t>8</w:t>
            </w:r>
          </w:p>
        </w:tc>
        <w:tc>
          <w:tcPr>
            <w:tcW w:w="4135" w:type="dxa"/>
            <w:shd w:val="clear" w:color="auto" w:fill="auto"/>
            <w:vAlign w:val="center"/>
          </w:tcPr>
          <w:p w14:paraId="06A28EA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ascii="宋体" w:hAnsi="宋体" w:eastAsia="宋体" w:cs="仿宋"/>
                <w:bCs/>
                <w:color w:val="auto"/>
                <w:kern w:val="2"/>
                <w:sz w:val="21"/>
                <w:szCs w:val="21"/>
                <w:highlight w:val="none"/>
                <w:lang w:val="en-US" w:eastAsia="zh-CN" w:bidi="ar-SA"/>
              </w:rPr>
            </w:pP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初步预算</w:t>
            </w:r>
            <w:r>
              <w:rPr>
                <w:rFonts w:hint="eastAsia" w:ascii="宋体" w:hAnsi="宋体" w:eastAsia="宋体" w:cs="宋体"/>
                <w:color w:val="auto"/>
                <w:sz w:val="21"/>
                <w:szCs w:val="21"/>
                <w:highlight w:val="none"/>
              </w:rPr>
              <w:t>及说明</w:t>
            </w:r>
          </w:p>
        </w:tc>
        <w:tc>
          <w:tcPr>
            <w:tcW w:w="1131" w:type="dxa"/>
            <w:shd w:val="clear" w:color="auto" w:fill="auto"/>
            <w:vAlign w:val="center"/>
          </w:tcPr>
          <w:p w14:paraId="203D4222">
            <w:pPr>
              <w:keepNext w:val="0"/>
              <w:keepLines w:val="0"/>
              <w:pageBreakBefore w:val="0"/>
              <w:kinsoku/>
              <w:wordWrap/>
              <w:overflowPunct/>
              <w:topLinePunct w:val="0"/>
              <w:bidi w:val="0"/>
              <w:spacing w:beforeAutospacing="0" w:afterAutospacing="0" w:line="400" w:lineRule="exact"/>
              <w:jc w:val="center"/>
              <w:rPr>
                <w:rFonts w:hint="default" w:ascii="宋体" w:hAnsi="宋体" w:eastAsia="宋体" w:cs="仿宋"/>
                <w:bCs/>
                <w:snapToGrid w:val="0"/>
                <w:color w:val="auto"/>
                <w:kern w:val="2"/>
                <w:sz w:val="21"/>
                <w:szCs w:val="21"/>
                <w:highlight w:val="none"/>
                <w:lang w:val="en-US" w:eastAsia="zh-CN" w:bidi="ar-SA"/>
              </w:rPr>
            </w:pPr>
            <w:r>
              <w:rPr>
                <w:rFonts w:hint="eastAsia" w:ascii="宋体" w:hAnsi="宋体" w:cs="仿宋"/>
                <w:bCs/>
                <w:snapToGrid w:val="0"/>
                <w:color w:val="auto"/>
                <w:szCs w:val="21"/>
                <w:highlight w:val="none"/>
                <w:lang w:val="en-US" w:eastAsia="zh-CN"/>
              </w:rPr>
              <w:t>3</w:t>
            </w:r>
          </w:p>
        </w:tc>
        <w:tc>
          <w:tcPr>
            <w:tcW w:w="1130" w:type="dxa"/>
            <w:vAlign w:val="center"/>
          </w:tcPr>
          <w:p w14:paraId="24C73BAD">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32C82A26">
            <w:pPr>
              <w:spacing w:line="400" w:lineRule="exact"/>
              <w:jc w:val="center"/>
              <w:rPr>
                <w:rFonts w:ascii="宋体" w:hAnsi="宋体" w:eastAsia="宋体" w:cs="仿宋"/>
                <w:bCs/>
                <w:color w:val="auto"/>
                <w:kern w:val="2"/>
                <w:sz w:val="21"/>
                <w:szCs w:val="21"/>
                <w:highlight w:val="none"/>
                <w:lang w:val="en-US" w:eastAsia="zh-CN" w:bidi="ar-SA"/>
              </w:rPr>
            </w:pPr>
          </w:p>
        </w:tc>
      </w:tr>
      <w:tr w14:paraId="7586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2EA506CF">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9</w:t>
            </w:r>
          </w:p>
        </w:tc>
        <w:tc>
          <w:tcPr>
            <w:tcW w:w="4135" w:type="dxa"/>
            <w:shd w:val="clear" w:color="auto" w:fill="auto"/>
            <w:vAlign w:val="center"/>
          </w:tcPr>
          <w:p w14:paraId="5EF41480">
            <w:pPr>
              <w:pStyle w:val="14"/>
              <w:keepNext w:val="0"/>
              <w:keepLines w:val="0"/>
              <w:pageBreakBefore w:val="0"/>
              <w:tabs>
                <w:tab w:val="left" w:pos="1500"/>
              </w:tabs>
              <w:kinsoku/>
              <w:wordWrap/>
              <w:overflowPunct/>
              <w:topLinePunct w:val="0"/>
              <w:bidi w:val="0"/>
              <w:adjustRightInd w:val="0"/>
              <w:snapToGrid w:val="0"/>
              <w:spacing w:before="0" w:beforeAutospacing="0" w:after="0" w:afterAutospacing="0" w:line="400" w:lineRule="exact"/>
              <w:jc w:val="center"/>
              <w:rPr>
                <w:rFonts w:hint="eastAsia" w:ascii="宋体" w:hAnsi="宋体" w:eastAsia="宋体" w:cs="仿宋"/>
                <w:bCs/>
                <w:color w:val="auto"/>
                <w:kern w:val="2"/>
                <w:sz w:val="21"/>
                <w:szCs w:val="21"/>
                <w:highlight w:val="none"/>
                <w:lang w:val="en-US" w:eastAsia="zh-CN" w:bidi="ar-SA"/>
              </w:rPr>
            </w:pPr>
            <w:r>
              <w:rPr>
                <w:rFonts w:hint="eastAsia" w:ascii="宋体" w:hAnsi="宋体" w:eastAsia="宋体" w:cs="仿宋"/>
                <w:bCs/>
                <w:color w:val="auto"/>
                <w:kern w:val="2"/>
                <w:sz w:val="21"/>
                <w:szCs w:val="21"/>
                <w:highlight w:val="none"/>
                <w:lang w:val="en-US" w:eastAsia="zh-CN" w:bidi="ar-SA"/>
              </w:rPr>
              <w:t>认证体系</w:t>
            </w:r>
          </w:p>
        </w:tc>
        <w:tc>
          <w:tcPr>
            <w:tcW w:w="1131" w:type="dxa"/>
            <w:shd w:val="clear" w:color="auto" w:fill="auto"/>
            <w:vAlign w:val="center"/>
          </w:tcPr>
          <w:p w14:paraId="50337C21">
            <w:pPr>
              <w:keepNext w:val="0"/>
              <w:keepLines w:val="0"/>
              <w:pageBreakBefore w:val="0"/>
              <w:kinsoku/>
              <w:wordWrap/>
              <w:overflowPunct/>
              <w:topLinePunct w:val="0"/>
              <w:bidi w:val="0"/>
              <w:spacing w:beforeAutospacing="0" w:afterAutospacing="0" w:line="400" w:lineRule="exact"/>
              <w:jc w:val="center"/>
              <w:rPr>
                <w:rFonts w:hint="default" w:ascii="宋体" w:hAnsi="宋体" w:eastAsia="宋体" w:cs="仿宋"/>
                <w:bCs/>
                <w:color w:val="auto"/>
                <w:kern w:val="2"/>
                <w:sz w:val="21"/>
                <w:szCs w:val="21"/>
                <w:highlight w:val="none"/>
                <w:lang w:val="en-US" w:eastAsia="zh-CN" w:bidi="ar-SA"/>
              </w:rPr>
            </w:pPr>
            <w:r>
              <w:rPr>
                <w:rFonts w:hint="eastAsia" w:ascii="宋体" w:hAnsi="宋体" w:eastAsia="宋体" w:cs="仿宋"/>
                <w:bCs/>
                <w:color w:val="auto"/>
                <w:kern w:val="2"/>
                <w:sz w:val="21"/>
                <w:szCs w:val="21"/>
                <w:highlight w:val="none"/>
                <w:lang w:val="en-US" w:eastAsia="zh-CN" w:bidi="ar-SA"/>
              </w:rPr>
              <w:t>3</w:t>
            </w:r>
          </w:p>
        </w:tc>
        <w:tc>
          <w:tcPr>
            <w:tcW w:w="1130" w:type="dxa"/>
            <w:vAlign w:val="center"/>
          </w:tcPr>
          <w:p w14:paraId="0FD895CB">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48DFA930">
            <w:pPr>
              <w:spacing w:line="400" w:lineRule="exact"/>
              <w:jc w:val="center"/>
              <w:rPr>
                <w:rFonts w:ascii="宋体" w:hAnsi="宋体" w:eastAsia="宋体" w:cs="仿宋"/>
                <w:bCs/>
                <w:snapToGrid w:val="0"/>
                <w:color w:val="auto"/>
                <w:kern w:val="2"/>
                <w:sz w:val="21"/>
                <w:szCs w:val="21"/>
                <w:highlight w:val="none"/>
                <w:lang w:val="en-US" w:eastAsia="zh-CN" w:bidi="ar-SA"/>
              </w:rPr>
            </w:pPr>
          </w:p>
        </w:tc>
      </w:tr>
      <w:tr w14:paraId="6A97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28D49471">
            <w:pPr>
              <w:adjustRightInd w:val="0"/>
              <w:snapToGrid w:val="0"/>
              <w:spacing w:line="400" w:lineRule="exact"/>
              <w:jc w:val="center"/>
              <w:rPr>
                <w:rFonts w:ascii="宋体" w:hAnsi="宋体" w:cs="仿宋"/>
                <w:bCs/>
                <w:snapToGrid w:val="0"/>
                <w:color w:val="auto"/>
                <w:szCs w:val="21"/>
                <w:highlight w:val="none"/>
              </w:rPr>
            </w:pPr>
            <w:r>
              <w:rPr>
                <w:rFonts w:ascii="宋体" w:hAnsi="宋体" w:cs="仿宋"/>
                <w:bCs/>
                <w:snapToGrid w:val="0"/>
                <w:color w:val="auto"/>
                <w:szCs w:val="21"/>
                <w:highlight w:val="none"/>
              </w:rPr>
              <w:t>10</w:t>
            </w:r>
          </w:p>
        </w:tc>
        <w:tc>
          <w:tcPr>
            <w:tcW w:w="4135" w:type="dxa"/>
            <w:shd w:val="clear" w:color="auto" w:fill="auto"/>
            <w:vAlign w:val="center"/>
          </w:tcPr>
          <w:p w14:paraId="5D758648">
            <w:pPr>
              <w:keepNext w:val="0"/>
              <w:keepLines w:val="0"/>
              <w:pageBreakBefore w:val="0"/>
              <w:kinsoku/>
              <w:wordWrap/>
              <w:overflowPunct/>
              <w:topLinePunct w:val="0"/>
              <w:bidi w:val="0"/>
              <w:spacing w:beforeAutospacing="0" w:afterAutospacing="0" w:line="400" w:lineRule="exact"/>
              <w:jc w:val="center"/>
              <w:rPr>
                <w:rFonts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rPr>
              <w:t>项目业绩</w:t>
            </w:r>
          </w:p>
        </w:tc>
        <w:tc>
          <w:tcPr>
            <w:tcW w:w="1131" w:type="dxa"/>
            <w:shd w:val="clear" w:color="auto" w:fill="auto"/>
            <w:vAlign w:val="center"/>
          </w:tcPr>
          <w:p w14:paraId="1B7B9860">
            <w:pPr>
              <w:keepNext w:val="0"/>
              <w:keepLines w:val="0"/>
              <w:pageBreakBefore w:val="0"/>
              <w:kinsoku/>
              <w:wordWrap/>
              <w:overflowPunct/>
              <w:topLinePunct w:val="0"/>
              <w:bidi w:val="0"/>
              <w:spacing w:beforeAutospacing="0" w:afterAutospacing="0" w:line="400" w:lineRule="exact"/>
              <w:jc w:val="center"/>
              <w:rPr>
                <w:rFonts w:hint="eastAsia"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lang w:val="en-US" w:eastAsia="zh-CN"/>
              </w:rPr>
              <w:t>3</w:t>
            </w:r>
          </w:p>
        </w:tc>
        <w:tc>
          <w:tcPr>
            <w:tcW w:w="1130" w:type="dxa"/>
            <w:vAlign w:val="center"/>
          </w:tcPr>
          <w:p w14:paraId="5F550896">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540FB0EC">
            <w:pPr>
              <w:spacing w:line="400" w:lineRule="exact"/>
              <w:jc w:val="center"/>
              <w:rPr>
                <w:rFonts w:ascii="宋体" w:hAnsi="宋体" w:eastAsia="宋体" w:cs="仿宋"/>
                <w:bCs/>
                <w:color w:val="auto"/>
                <w:kern w:val="2"/>
                <w:sz w:val="21"/>
                <w:szCs w:val="21"/>
                <w:highlight w:val="none"/>
                <w:lang w:val="en-US" w:eastAsia="zh-CN" w:bidi="ar-SA"/>
              </w:rPr>
            </w:pPr>
          </w:p>
        </w:tc>
      </w:tr>
      <w:tr w14:paraId="3F8C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7A095228">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11</w:t>
            </w:r>
          </w:p>
        </w:tc>
        <w:tc>
          <w:tcPr>
            <w:tcW w:w="4135" w:type="dxa"/>
            <w:vAlign w:val="center"/>
          </w:tcPr>
          <w:p w14:paraId="3F2C7D93">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合计得分</w:t>
            </w:r>
          </w:p>
        </w:tc>
        <w:tc>
          <w:tcPr>
            <w:tcW w:w="1131" w:type="dxa"/>
            <w:vAlign w:val="center"/>
          </w:tcPr>
          <w:p w14:paraId="72B9418C">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0分</w:t>
            </w:r>
          </w:p>
        </w:tc>
        <w:tc>
          <w:tcPr>
            <w:tcW w:w="1130" w:type="dxa"/>
            <w:vAlign w:val="center"/>
          </w:tcPr>
          <w:p w14:paraId="76548D17">
            <w:pPr>
              <w:overflowPunct w:val="0"/>
              <w:spacing w:line="360" w:lineRule="exact"/>
              <w:rPr>
                <w:rFonts w:ascii="宋体" w:cs="宋体"/>
                <w:color w:val="auto"/>
                <w:szCs w:val="21"/>
                <w:highlight w:val="none"/>
              </w:rPr>
            </w:pPr>
          </w:p>
        </w:tc>
        <w:tc>
          <w:tcPr>
            <w:tcW w:w="1489" w:type="dxa"/>
            <w:vAlign w:val="center"/>
          </w:tcPr>
          <w:p w14:paraId="33225D63">
            <w:pPr>
              <w:overflowPunct w:val="0"/>
              <w:spacing w:line="360" w:lineRule="exact"/>
              <w:rPr>
                <w:rFonts w:ascii="宋体" w:cs="宋体"/>
                <w:color w:val="auto"/>
                <w:szCs w:val="21"/>
                <w:highlight w:val="none"/>
              </w:rPr>
            </w:pPr>
          </w:p>
        </w:tc>
      </w:tr>
    </w:tbl>
    <w:p w14:paraId="4BC46189">
      <w:pPr>
        <w:overflowPunct w:val="0"/>
        <w:adjustRightInd w:val="0"/>
        <w:snapToGrid w:val="0"/>
        <w:spacing w:line="400" w:lineRule="exact"/>
        <w:rPr>
          <w:rFonts w:ascii="宋体" w:hAnsi="宋体" w:cs="宋体"/>
          <w:b/>
          <w:color w:val="auto"/>
          <w:szCs w:val="21"/>
          <w:highlight w:val="none"/>
        </w:rPr>
      </w:pPr>
    </w:p>
    <w:p w14:paraId="1CBF6DB1">
      <w:pPr>
        <w:overflowPunct w:val="0"/>
        <w:adjustRightInd w:val="0"/>
        <w:snapToGrid w:val="0"/>
        <w:spacing w:line="400" w:lineRule="exact"/>
        <w:rPr>
          <w:rFonts w:ascii="宋体" w:cs="宋体"/>
          <w:color w:val="auto"/>
          <w:highlight w:val="none"/>
        </w:rPr>
      </w:pPr>
      <w:r>
        <w:rPr>
          <w:rFonts w:hint="eastAsia" w:ascii="宋体" w:hAnsi="宋体" w:cs="宋体"/>
          <w:b/>
          <w:color w:val="auto"/>
          <w:szCs w:val="21"/>
          <w:highlight w:val="none"/>
        </w:rPr>
        <w:t>注：“专家评分索引表”装订在商务技术文件首页。供应商应认真填写相关内容在响应文件中所对应的页码，否则有可能做无效标处理。</w:t>
      </w:r>
    </w:p>
    <w:sectPr>
      <w:headerReference r:id="rId3" w:type="default"/>
      <w:footerReference r:id="rId4" w:type="default"/>
      <w:pgSz w:w="11906" w:h="16838"/>
      <w:pgMar w:top="1361" w:right="1587" w:bottom="1361" w:left="158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Arial"/>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MS Minchofalt">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9196">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DCF44A">
                          <w:pPr>
                            <w:pStyle w:val="18"/>
                          </w:pPr>
                          <w:r>
                            <w:rPr>
                              <w:rFonts w:hint="eastAsia"/>
                            </w:rPr>
                            <w:t>第</w:t>
                          </w:r>
                          <w:r>
                            <w:t xml:space="preserve"> </w:t>
                          </w:r>
                          <w:r>
                            <w:fldChar w:fldCharType="begin"/>
                          </w:r>
                          <w:r>
                            <w:instrText xml:space="preserve"> PAGE  \* MERGEFORMAT </w:instrText>
                          </w:r>
                          <w:r>
                            <w:fldChar w:fldCharType="separate"/>
                          </w:r>
                          <w:r>
                            <w:t>42</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1SNf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hkMvcD/ztMeI4ecrUYYSdGuPzZZ7TqqX9+NfPVY+/&#10;1/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S1SNfTAQAApgMAAA4AAAAAAAAAAQAgAAAA&#10;IgEAAGRycy9lMm9Eb2MueG1sUEsFBgAAAAAGAAYAWQEAAGcFAAAAAA==&#10;">
              <v:fill on="f" focussize="0,0"/>
              <v:stroke on="f" weight="1.25pt"/>
              <v:imagedata o:title=""/>
              <o:lock v:ext="edit" aspectratio="f"/>
              <v:textbox inset="0mm,0mm,0mm,0mm" style="mso-fit-shape-to-text:t;">
                <w:txbxContent>
                  <w:p w14:paraId="63DCF44A">
                    <w:pPr>
                      <w:pStyle w:val="18"/>
                    </w:pPr>
                    <w:r>
                      <w:rPr>
                        <w:rFonts w:hint="eastAsia"/>
                      </w:rPr>
                      <w:t>第</w:t>
                    </w:r>
                    <w:r>
                      <w:t xml:space="preserve"> </w:t>
                    </w:r>
                    <w:r>
                      <w:fldChar w:fldCharType="begin"/>
                    </w:r>
                    <w:r>
                      <w:instrText xml:space="preserve"> PAGE  \* MERGEFORMAT </w:instrText>
                    </w:r>
                    <w:r>
                      <w:fldChar w:fldCharType="separate"/>
                    </w:r>
                    <w:r>
                      <w:t>42</w:t>
                    </w:r>
                    <w:r>
                      <w:fldChar w:fldCharType="end"/>
                    </w:r>
                    <w:r>
                      <w:t xml:space="preserve"> </w:t>
                    </w:r>
                    <w:r>
                      <w:rPr>
                        <w:rFonts w:hint="eastAsia"/>
                      </w:rPr>
                      <w:t>页</w:t>
                    </w:r>
                  </w:p>
                </w:txbxContent>
              </v:textbox>
            </v:shape>
          </w:pict>
        </mc:Fallback>
      </mc:AlternateContent>
    </w:r>
  </w:p>
  <w:p w14:paraId="5253F430">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1B130">
    <w:pPr>
      <w:pStyle w:val="20"/>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E66A1"/>
    <w:multiLevelType w:val="singleLevel"/>
    <w:tmpl w:val="B04E66A1"/>
    <w:lvl w:ilvl="0" w:tentative="0">
      <w:start w:val="1"/>
      <w:numFmt w:val="decimal"/>
      <w:suff w:val="nothing"/>
      <w:lvlText w:val="（%1）"/>
      <w:lvlJc w:val="left"/>
      <w:rPr>
        <w:rFonts w:cs="Times New Roman"/>
      </w:rPr>
    </w:lvl>
  </w:abstractNum>
  <w:abstractNum w:abstractNumId="1">
    <w:nsid w:val="B3FD9FB3"/>
    <w:multiLevelType w:val="multilevel"/>
    <w:tmpl w:val="B3FD9FB3"/>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2">
    <w:nsid w:val="C6D8A677"/>
    <w:multiLevelType w:val="multilevel"/>
    <w:tmpl w:val="C6D8A677"/>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3">
    <w:nsid w:val="11953458"/>
    <w:multiLevelType w:val="multilevel"/>
    <w:tmpl w:val="11953458"/>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4">
    <w:nsid w:val="1E087EB8"/>
    <w:multiLevelType w:val="multilevel"/>
    <w:tmpl w:val="1E087EB8"/>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5">
    <w:nsid w:val="2CC2E4B4"/>
    <w:multiLevelType w:val="singleLevel"/>
    <w:tmpl w:val="2CC2E4B4"/>
    <w:lvl w:ilvl="0" w:tentative="0">
      <w:start w:val="1"/>
      <w:numFmt w:val="decimal"/>
      <w:suff w:val="space"/>
      <w:lvlText w:val="%1."/>
      <w:lvlJc w:val="left"/>
      <w:rPr>
        <w:rFonts w:cs="Times New Roman"/>
      </w:rPr>
    </w:lvl>
  </w:abstractNum>
  <w:abstractNum w:abstractNumId="6">
    <w:nsid w:val="568F78DC"/>
    <w:multiLevelType w:val="singleLevel"/>
    <w:tmpl w:val="568F78DC"/>
    <w:lvl w:ilvl="0" w:tentative="0">
      <w:start w:val="1"/>
      <w:numFmt w:val="chineseCounting"/>
      <w:suff w:val="nothing"/>
      <w:lvlText w:val="%1、"/>
      <w:lvlJc w:val="left"/>
      <w:rPr>
        <w:rFonts w:cs="Times New Roman"/>
      </w:rPr>
    </w:lvl>
  </w:abstractNum>
  <w:abstractNum w:abstractNumId="7">
    <w:nsid w:val="57E7F374"/>
    <w:multiLevelType w:val="multilevel"/>
    <w:tmpl w:val="57E7F374"/>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8">
    <w:nsid w:val="58D335FE"/>
    <w:multiLevelType w:val="multilevel"/>
    <w:tmpl w:val="58D335FE"/>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num w:numId="1">
    <w:abstractNumId w:val="0"/>
  </w:num>
  <w:num w:numId="2">
    <w:abstractNumId w:val="7"/>
  </w:num>
  <w:num w:numId="3">
    <w:abstractNumId w:val="8"/>
  </w:num>
  <w:num w:numId="4">
    <w:abstractNumId w:val="2"/>
  </w:num>
  <w:num w:numId="5">
    <w:abstractNumId w:val="6"/>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DM0ZjIxN2JjZDg4ZmE2OWY4MjU2MGI0Yjg5OTAifQ=="/>
  </w:docVars>
  <w:rsids>
    <w:rsidRoot w:val="00AA54CE"/>
    <w:rsid w:val="000015B1"/>
    <w:rsid w:val="00002F4E"/>
    <w:rsid w:val="00003113"/>
    <w:rsid w:val="00003CEB"/>
    <w:rsid w:val="00005FD1"/>
    <w:rsid w:val="00012412"/>
    <w:rsid w:val="00015C38"/>
    <w:rsid w:val="0001673C"/>
    <w:rsid w:val="00016D88"/>
    <w:rsid w:val="000203E6"/>
    <w:rsid w:val="000263C6"/>
    <w:rsid w:val="00026C9E"/>
    <w:rsid w:val="00031C8F"/>
    <w:rsid w:val="000358B8"/>
    <w:rsid w:val="00035BC0"/>
    <w:rsid w:val="00042316"/>
    <w:rsid w:val="000430C1"/>
    <w:rsid w:val="00044981"/>
    <w:rsid w:val="0005129F"/>
    <w:rsid w:val="00060724"/>
    <w:rsid w:val="000634EA"/>
    <w:rsid w:val="00076510"/>
    <w:rsid w:val="0008056D"/>
    <w:rsid w:val="00084DBC"/>
    <w:rsid w:val="00092902"/>
    <w:rsid w:val="00096D39"/>
    <w:rsid w:val="000A140A"/>
    <w:rsid w:val="000A3461"/>
    <w:rsid w:val="000B68FD"/>
    <w:rsid w:val="000C51F3"/>
    <w:rsid w:val="000C6416"/>
    <w:rsid w:val="000D0A17"/>
    <w:rsid w:val="000E1F65"/>
    <w:rsid w:val="000E2EAD"/>
    <w:rsid w:val="000E5644"/>
    <w:rsid w:val="000E7414"/>
    <w:rsid w:val="000F0131"/>
    <w:rsid w:val="000F5A82"/>
    <w:rsid w:val="000F6217"/>
    <w:rsid w:val="001121D9"/>
    <w:rsid w:val="0011394D"/>
    <w:rsid w:val="001140D1"/>
    <w:rsid w:val="0011471D"/>
    <w:rsid w:val="0011636B"/>
    <w:rsid w:val="00116AA8"/>
    <w:rsid w:val="00117E99"/>
    <w:rsid w:val="00127B96"/>
    <w:rsid w:val="0013122D"/>
    <w:rsid w:val="001336C1"/>
    <w:rsid w:val="001346E8"/>
    <w:rsid w:val="00135BA9"/>
    <w:rsid w:val="00137D9D"/>
    <w:rsid w:val="00140A64"/>
    <w:rsid w:val="00142D03"/>
    <w:rsid w:val="00152697"/>
    <w:rsid w:val="00152F68"/>
    <w:rsid w:val="00155185"/>
    <w:rsid w:val="00162189"/>
    <w:rsid w:val="001621EA"/>
    <w:rsid w:val="001623CC"/>
    <w:rsid w:val="0016524D"/>
    <w:rsid w:val="00174BD5"/>
    <w:rsid w:val="00175E3E"/>
    <w:rsid w:val="0017689A"/>
    <w:rsid w:val="00193B08"/>
    <w:rsid w:val="00193D58"/>
    <w:rsid w:val="00196C69"/>
    <w:rsid w:val="001A120D"/>
    <w:rsid w:val="001A16A6"/>
    <w:rsid w:val="001A632F"/>
    <w:rsid w:val="001A7226"/>
    <w:rsid w:val="001B7314"/>
    <w:rsid w:val="001B7AF2"/>
    <w:rsid w:val="001C56D6"/>
    <w:rsid w:val="001C5A41"/>
    <w:rsid w:val="001D5C43"/>
    <w:rsid w:val="001E0026"/>
    <w:rsid w:val="001E2308"/>
    <w:rsid w:val="001E52B2"/>
    <w:rsid w:val="001E56C7"/>
    <w:rsid w:val="001E64F4"/>
    <w:rsid w:val="001E6E11"/>
    <w:rsid w:val="001F0065"/>
    <w:rsid w:val="001F0ADD"/>
    <w:rsid w:val="001F36BB"/>
    <w:rsid w:val="001F3A4E"/>
    <w:rsid w:val="00202902"/>
    <w:rsid w:val="002102AE"/>
    <w:rsid w:val="002212F1"/>
    <w:rsid w:val="00226526"/>
    <w:rsid w:val="00230930"/>
    <w:rsid w:val="00232B4C"/>
    <w:rsid w:val="00232E0B"/>
    <w:rsid w:val="00237E5D"/>
    <w:rsid w:val="00241162"/>
    <w:rsid w:val="002426E8"/>
    <w:rsid w:val="002437D4"/>
    <w:rsid w:val="002504E3"/>
    <w:rsid w:val="00250FCF"/>
    <w:rsid w:val="002524C7"/>
    <w:rsid w:val="00252F20"/>
    <w:rsid w:val="00257688"/>
    <w:rsid w:val="00257780"/>
    <w:rsid w:val="0026115C"/>
    <w:rsid w:val="00263D6B"/>
    <w:rsid w:val="00267599"/>
    <w:rsid w:val="0027126E"/>
    <w:rsid w:val="00276571"/>
    <w:rsid w:val="002815D5"/>
    <w:rsid w:val="00283054"/>
    <w:rsid w:val="00283CC9"/>
    <w:rsid w:val="00286FCD"/>
    <w:rsid w:val="00290DA2"/>
    <w:rsid w:val="00292713"/>
    <w:rsid w:val="002954C2"/>
    <w:rsid w:val="002A0AB2"/>
    <w:rsid w:val="002A4780"/>
    <w:rsid w:val="002B00A2"/>
    <w:rsid w:val="002B06A4"/>
    <w:rsid w:val="002B1CCA"/>
    <w:rsid w:val="002B2775"/>
    <w:rsid w:val="002B27C0"/>
    <w:rsid w:val="002B34C5"/>
    <w:rsid w:val="002B4D55"/>
    <w:rsid w:val="002C2CC5"/>
    <w:rsid w:val="002C4ED1"/>
    <w:rsid w:val="002C6453"/>
    <w:rsid w:val="002D03C1"/>
    <w:rsid w:val="002D429C"/>
    <w:rsid w:val="002D52FC"/>
    <w:rsid w:val="002D764D"/>
    <w:rsid w:val="002E0698"/>
    <w:rsid w:val="002E10B8"/>
    <w:rsid w:val="002E1FF3"/>
    <w:rsid w:val="002E22CC"/>
    <w:rsid w:val="002E4C8C"/>
    <w:rsid w:val="002E5BAA"/>
    <w:rsid w:val="002F1D9B"/>
    <w:rsid w:val="002F7583"/>
    <w:rsid w:val="00301A23"/>
    <w:rsid w:val="00301B69"/>
    <w:rsid w:val="003041B2"/>
    <w:rsid w:val="0030762C"/>
    <w:rsid w:val="00311BB8"/>
    <w:rsid w:val="0032052F"/>
    <w:rsid w:val="00321D9C"/>
    <w:rsid w:val="003236F4"/>
    <w:rsid w:val="003238DB"/>
    <w:rsid w:val="0032490A"/>
    <w:rsid w:val="00331855"/>
    <w:rsid w:val="00331C5C"/>
    <w:rsid w:val="00336C75"/>
    <w:rsid w:val="00341E07"/>
    <w:rsid w:val="00346EA7"/>
    <w:rsid w:val="0035038B"/>
    <w:rsid w:val="00350C22"/>
    <w:rsid w:val="0035105C"/>
    <w:rsid w:val="00353CAF"/>
    <w:rsid w:val="003544B2"/>
    <w:rsid w:val="0035467F"/>
    <w:rsid w:val="00354BED"/>
    <w:rsid w:val="003636BC"/>
    <w:rsid w:val="00364250"/>
    <w:rsid w:val="003643CB"/>
    <w:rsid w:val="0037700A"/>
    <w:rsid w:val="00377D4F"/>
    <w:rsid w:val="0038338F"/>
    <w:rsid w:val="00383688"/>
    <w:rsid w:val="00385B53"/>
    <w:rsid w:val="00385E22"/>
    <w:rsid w:val="00392D05"/>
    <w:rsid w:val="00395B28"/>
    <w:rsid w:val="003979A9"/>
    <w:rsid w:val="003A2917"/>
    <w:rsid w:val="003A4FF0"/>
    <w:rsid w:val="003B185A"/>
    <w:rsid w:val="003B21E1"/>
    <w:rsid w:val="003B2678"/>
    <w:rsid w:val="003B4062"/>
    <w:rsid w:val="003B4BF1"/>
    <w:rsid w:val="003B556D"/>
    <w:rsid w:val="003B67C3"/>
    <w:rsid w:val="003C0EFA"/>
    <w:rsid w:val="003C7100"/>
    <w:rsid w:val="003D1637"/>
    <w:rsid w:val="003E386D"/>
    <w:rsid w:val="003E485C"/>
    <w:rsid w:val="003E6A2F"/>
    <w:rsid w:val="003F3622"/>
    <w:rsid w:val="003F364D"/>
    <w:rsid w:val="003F3A25"/>
    <w:rsid w:val="003F44B7"/>
    <w:rsid w:val="004017B7"/>
    <w:rsid w:val="00407BBF"/>
    <w:rsid w:val="004152CB"/>
    <w:rsid w:val="00415FD2"/>
    <w:rsid w:val="00417139"/>
    <w:rsid w:val="00417282"/>
    <w:rsid w:val="00420DDE"/>
    <w:rsid w:val="00422EC8"/>
    <w:rsid w:val="0042535F"/>
    <w:rsid w:val="00426915"/>
    <w:rsid w:val="00426D29"/>
    <w:rsid w:val="0043390D"/>
    <w:rsid w:val="00435FA3"/>
    <w:rsid w:val="00441752"/>
    <w:rsid w:val="004417EB"/>
    <w:rsid w:val="00442974"/>
    <w:rsid w:val="00444638"/>
    <w:rsid w:val="00453621"/>
    <w:rsid w:val="00453EE0"/>
    <w:rsid w:val="0045447F"/>
    <w:rsid w:val="00456454"/>
    <w:rsid w:val="00461D5C"/>
    <w:rsid w:val="004621E0"/>
    <w:rsid w:val="004674B6"/>
    <w:rsid w:val="004805C7"/>
    <w:rsid w:val="00480FE3"/>
    <w:rsid w:val="00490014"/>
    <w:rsid w:val="004901EC"/>
    <w:rsid w:val="00492E08"/>
    <w:rsid w:val="00492EAC"/>
    <w:rsid w:val="00493D5F"/>
    <w:rsid w:val="00494071"/>
    <w:rsid w:val="00494948"/>
    <w:rsid w:val="004956AC"/>
    <w:rsid w:val="0049587E"/>
    <w:rsid w:val="004A3F5B"/>
    <w:rsid w:val="004A568A"/>
    <w:rsid w:val="004A7105"/>
    <w:rsid w:val="004B02C5"/>
    <w:rsid w:val="004B0A12"/>
    <w:rsid w:val="004B2A65"/>
    <w:rsid w:val="004B3130"/>
    <w:rsid w:val="004B6B09"/>
    <w:rsid w:val="004B6EC5"/>
    <w:rsid w:val="004B7448"/>
    <w:rsid w:val="004C0B20"/>
    <w:rsid w:val="004C10B7"/>
    <w:rsid w:val="004C37CE"/>
    <w:rsid w:val="004C4256"/>
    <w:rsid w:val="004C4B3A"/>
    <w:rsid w:val="004C675F"/>
    <w:rsid w:val="004D28A1"/>
    <w:rsid w:val="004D3183"/>
    <w:rsid w:val="004E32ED"/>
    <w:rsid w:val="004E69CB"/>
    <w:rsid w:val="004F22BE"/>
    <w:rsid w:val="004F2BCC"/>
    <w:rsid w:val="004F63FD"/>
    <w:rsid w:val="004F6F57"/>
    <w:rsid w:val="00502CC7"/>
    <w:rsid w:val="005042B3"/>
    <w:rsid w:val="00504D39"/>
    <w:rsid w:val="00510C42"/>
    <w:rsid w:val="00515618"/>
    <w:rsid w:val="00517DD9"/>
    <w:rsid w:val="0052596D"/>
    <w:rsid w:val="00525F6C"/>
    <w:rsid w:val="00526689"/>
    <w:rsid w:val="005320A2"/>
    <w:rsid w:val="00543341"/>
    <w:rsid w:val="00553698"/>
    <w:rsid w:val="00554FBD"/>
    <w:rsid w:val="005561B0"/>
    <w:rsid w:val="00560A9E"/>
    <w:rsid w:val="00571211"/>
    <w:rsid w:val="00573E0D"/>
    <w:rsid w:val="00574712"/>
    <w:rsid w:val="00575126"/>
    <w:rsid w:val="00580752"/>
    <w:rsid w:val="00582391"/>
    <w:rsid w:val="00585EB4"/>
    <w:rsid w:val="005867EC"/>
    <w:rsid w:val="00590E6C"/>
    <w:rsid w:val="005923B5"/>
    <w:rsid w:val="00593485"/>
    <w:rsid w:val="00596383"/>
    <w:rsid w:val="005A422B"/>
    <w:rsid w:val="005A4852"/>
    <w:rsid w:val="005A4890"/>
    <w:rsid w:val="005B1079"/>
    <w:rsid w:val="005B3233"/>
    <w:rsid w:val="005B3439"/>
    <w:rsid w:val="005B3A1D"/>
    <w:rsid w:val="005C5604"/>
    <w:rsid w:val="005C5DF7"/>
    <w:rsid w:val="005D6966"/>
    <w:rsid w:val="005E0B4C"/>
    <w:rsid w:val="005E15EA"/>
    <w:rsid w:val="005F3D6B"/>
    <w:rsid w:val="005F5E34"/>
    <w:rsid w:val="00612211"/>
    <w:rsid w:val="00614E27"/>
    <w:rsid w:val="006162BB"/>
    <w:rsid w:val="0061633E"/>
    <w:rsid w:val="0061678C"/>
    <w:rsid w:val="00636AC1"/>
    <w:rsid w:val="006526F1"/>
    <w:rsid w:val="00654734"/>
    <w:rsid w:val="00657387"/>
    <w:rsid w:val="006602FC"/>
    <w:rsid w:val="00661485"/>
    <w:rsid w:val="0066345C"/>
    <w:rsid w:val="0066698A"/>
    <w:rsid w:val="00671913"/>
    <w:rsid w:val="00674505"/>
    <w:rsid w:val="00681063"/>
    <w:rsid w:val="00683E5C"/>
    <w:rsid w:val="00687FF2"/>
    <w:rsid w:val="006910B6"/>
    <w:rsid w:val="00695136"/>
    <w:rsid w:val="006A36E7"/>
    <w:rsid w:val="006A3AAD"/>
    <w:rsid w:val="006A454C"/>
    <w:rsid w:val="006A51FA"/>
    <w:rsid w:val="006A7645"/>
    <w:rsid w:val="006A7F0B"/>
    <w:rsid w:val="006B46C1"/>
    <w:rsid w:val="006B7768"/>
    <w:rsid w:val="006C4736"/>
    <w:rsid w:val="006D2D7E"/>
    <w:rsid w:val="006D3611"/>
    <w:rsid w:val="006D38DA"/>
    <w:rsid w:val="006D3AA2"/>
    <w:rsid w:val="006D5806"/>
    <w:rsid w:val="006D7950"/>
    <w:rsid w:val="006E0713"/>
    <w:rsid w:val="006E2AF2"/>
    <w:rsid w:val="006E3DDA"/>
    <w:rsid w:val="006F1EFA"/>
    <w:rsid w:val="006F3FF9"/>
    <w:rsid w:val="006F72FD"/>
    <w:rsid w:val="00700B4B"/>
    <w:rsid w:val="0070661F"/>
    <w:rsid w:val="00706B0B"/>
    <w:rsid w:val="007077A2"/>
    <w:rsid w:val="00707D9E"/>
    <w:rsid w:val="00707F15"/>
    <w:rsid w:val="00711017"/>
    <w:rsid w:val="00714646"/>
    <w:rsid w:val="0071538E"/>
    <w:rsid w:val="00722966"/>
    <w:rsid w:val="00725414"/>
    <w:rsid w:val="007429C9"/>
    <w:rsid w:val="00743C75"/>
    <w:rsid w:val="007450FB"/>
    <w:rsid w:val="00746DCE"/>
    <w:rsid w:val="00747EDD"/>
    <w:rsid w:val="00750C31"/>
    <w:rsid w:val="007516CB"/>
    <w:rsid w:val="00751D64"/>
    <w:rsid w:val="00756BAD"/>
    <w:rsid w:val="007611D4"/>
    <w:rsid w:val="00771FD0"/>
    <w:rsid w:val="00773520"/>
    <w:rsid w:val="00775766"/>
    <w:rsid w:val="00776E29"/>
    <w:rsid w:val="00785338"/>
    <w:rsid w:val="00790EFD"/>
    <w:rsid w:val="007917FB"/>
    <w:rsid w:val="00792917"/>
    <w:rsid w:val="00793C29"/>
    <w:rsid w:val="00795A5C"/>
    <w:rsid w:val="007A2F91"/>
    <w:rsid w:val="007A3B2A"/>
    <w:rsid w:val="007A6D46"/>
    <w:rsid w:val="007C2601"/>
    <w:rsid w:val="007C2BA0"/>
    <w:rsid w:val="007C40A7"/>
    <w:rsid w:val="007D1856"/>
    <w:rsid w:val="007D1B74"/>
    <w:rsid w:val="007D2B8E"/>
    <w:rsid w:val="007D5803"/>
    <w:rsid w:val="007E23D6"/>
    <w:rsid w:val="007E30A3"/>
    <w:rsid w:val="007E418F"/>
    <w:rsid w:val="007F0BEB"/>
    <w:rsid w:val="007F61EF"/>
    <w:rsid w:val="008023DE"/>
    <w:rsid w:val="00802556"/>
    <w:rsid w:val="008039DB"/>
    <w:rsid w:val="00812F6B"/>
    <w:rsid w:val="00816A05"/>
    <w:rsid w:val="00816FFB"/>
    <w:rsid w:val="00821618"/>
    <w:rsid w:val="00824BD6"/>
    <w:rsid w:val="00827DA5"/>
    <w:rsid w:val="00834EDB"/>
    <w:rsid w:val="008371F4"/>
    <w:rsid w:val="008454DC"/>
    <w:rsid w:val="008478E6"/>
    <w:rsid w:val="008530A8"/>
    <w:rsid w:val="008541D0"/>
    <w:rsid w:val="00870AD4"/>
    <w:rsid w:val="00875B1B"/>
    <w:rsid w:val="00876566"/>
    <w:rsid w:val="0088050B"/>
    <w:rsid w:val="0088178F"/>
    <w:rsid w:val="00882EC8"/>
    <w:rsid w:val="00886D68"/>
    <w:rsid w:val="00887A11"/>
    <w:rsid w:val="00892000"/>
    <w:rsid w:val="00892638"/>
    <w:rsid w:val="008954DE"/>
    <w:rsid w:val="008A45EE"/>
    <w:rsid w:val="008B1273"/>
    <w:rsid w:val="008B73F8"/>
    <w:rsid w:val="008C4B3F"/>
    <w:rsid w:val="008C7304"/>
    <w:rsid w:val="008D304C"/>
    <w:rsid w:val="008D4A8D"/>
    <w:rsid w:val="008E1815"/>
    <w:rsid w:val="008E2F5A"/>
    <w:rsid w:val="008E55BC"/>
    <w:rsid w:val="008E5FA5"/>
    <w:rsid w:val="008E7179"/>
    <w:rsid w:val="008F0824"/>
    <w:rsid w:val="008F094C"/>
    <w:rsid w:val="008F255A"/>
    <w:rsid w:val="008F2B5D"/>
    <w:rsid w:val="00905448"/>
    <w:rsid w:val="0091081D"/>
    <w:rsid w:val="0091414E"/>
    <w:rsid w:val="00915593"/>
    <w:rsid w:val="009157C7"/>
    <w:rsid w:val="0091781D"/>
    <w:rsid w:val="00931790"/>
    <w:rsid w:val="00936BC9"/>
    <w:rsid w:val="009379D8"/>
    <w:rsid w:val="00940037"/>
    <w:rsid w:val="00943333"/>
    <w:rsid w:val="00945657"/>
    <w:rsid w:val="00952222"/>
    <w:rsid w:val="00961653"/>
    <w:rsid w:val="00966601"/>
    <w:rsid w:val="0096733A"/>
    <w:rsid w:val="00972B0E"/>
    <w:rsid w:val="00975EF9"/>
    <w:rsid w:val="00980944"/>
    <w:rsid w:val="0098327C"/>
    <w:rsid w:val="009858D8"/>
    <w:rsid w:val="0098605B"/>
    <w:rsid w:val="009877CA"/>
    <w:rsid w:val="00992AAE"/>
    <w:rsid w:val="0099610C"/>
    <w:rsid w:val="009A0015"/>
    <w:rsid w:val="009A2FEF"/>
    <w:rsid w:val="009A422A"/>
    <w:rsid w:val="009B1682"/>
    <w:rsid w:val="009B2CF5"/>
    <w:rsid w:val="009B5FC5"/>
    <w:rsid w:val="009B78E7"/>
    <w:rsid w:val="009C35E4"/>
    <w:rsid w:val="009C5B1E"/>
    <w:rsid w:val="009C6A84"/>
    <w:rsid w:val="009D2944"/>
    <w:rsid w:val="009E4B97"/>
    <w:rsid w:val="009F0997"/>
    <w:rsid w:val="009F344D"/>
    <w:rsid w:val="009F4034"/>
    <w:rsid w:val="00A11EEF"/>
    <w:rsid w:val="00A124CF"/>
    <w:rsid w:val="00A14FFA"/>
    <w:rsid w:val="00A15453"/>
    <w:rsid w:val="00A16F0C"/>
    <w:rsid w:val="00A2019F"/>
    <w:rsid w:val="00A2569D"/>
    <w:rsid w:val="00A30DB6"/>
    <w:rsid w:val="00A330BE"/>
    <w:rsid w:val="00A36674"/>
    <w:rsid w:val="00A40423"/>
    <w:rsid w:val="00A468A4"/>
    <w:rsid w:val="00A55B9A"/>
    <w:rsid w:val="00A66EA0"/>
    <w:rsid w:val="00A71158"/>
    <w:rsid w:val="00A7305D"/>
    <w:rsid w:val="00A768D7"/>
    <w:rsid w:val="00A841FC"/>
    <w:rsid w:val="00A8424C"/>
    <w:rsid w:val="00A859E0"/>
    <w:rsid w:val="00A86D62"/>
    <w:rsid w:val="00A873E4"/>
    <w:rsid w:val="00A910EC"/>
    <w:rsid w:val="00A9450F"/>
    <w:rsid w:val="00A94712"/>
    <w:rsid w:val="00A970C0"/>
    <w:rsid w:val="00AA01C3"/>
    <w:rsid w:val="00AA0D56"/>
    <w:rsid w:val="00AA3DB2"/>
    <w:rsid w:val="00AA54CE"/>
    <w:rsid w:val="00AA6031"/>
    <w:rsid w:val="00AB000F"/>
    <w:rsid w:val="00AB295D"/>
    <w:rsid w:val="00AB6AFC"/>
    <w:rsid w:val="00AC0E61"/>
    <w:rsid w:val="00AC49D7"/>
    <w:rsid w:val="00AD24E9"/>
    <w:rsid w:val="00AD465B"/>
    <w:rsid w:val="00AD7B69"/>
    <w:rsid w:val="00AE28B0"/>
    <w:rsid w:val="00AE4405"/>
    <w:rsid w:val="00AF01C9"/>
    <w:rsid w:val="00AF6348"/>
    <w:rsid w:val="00B107AF"/>
    <w:rsid w:val="00B1092E"/>
    <w:rsid w:val="00B1118E"/>
    <w:rsid w:val="00B211F5"/>
    <w:rsid w:val="00B2378D"/>
    <w:rsid w:val="00B34A55"/>
    <w:rsid w:val="00B367D1"/>
    <w:rsid w:val="00B3713F"/>
    <w:rsid w:val="00B43A94"/>
    <w:rsid w:val="00B44E20"/>
    <w:rsid w:val="00B475BC"/>
    <w:rsid w:val="00B57E60"/>
    <w:rsid w:val="00B62C2D"/>
    <w:rsid w:val="00B7497B"/>
    <w:rsid w:val="00B82775"/>
    <w:rsid w:val="00B82898"/>
    <w:rsid w:val="00B82E84"/>
    <w:rsid w:val="00B85E24"/>
    <w:rsid w:val="00B94972"/>
    <w:rsid w:val="00BA0FD4"/>
    <w:rsid w:val="00BA2545"/>
    <w:rsid w:val="00BA26A7"/>
    <w:rsid w:val="00BA2CB7"/>
    <w:rsid w:val="00BA5F9C"/>
    <w:rsid w:val="00BB04EF"/>
    <w:rsid w:val="00BB0AED"/>
    <w:rsid w:val="00BB2C6B"/>
    <w:rsid w:val="00BC547C"/>
    <w:rsid w:val="00BD19AF"/>
    <w:rsid w:val="00BD2809"/>
    <w:rsid w:val="00BD36C7"/>
    <w:rsid w:val="00BD3E28"/>
    <w:rsid w:val="00BD4068"/>
    <w:rsid w:val="00BD524E"/>
    <w:rsid w:val="00BE7B30"/>
    <w:rsid w:val="00BF10C8"/>
    <w:rsid w:val="00BF70B7"/>
    <w:rsid w:val="00BF71DE"/>
    <w:rsid w:val="00C008F7"/>
    <w:rsid w:val="00C1046C"/>
    <w:rsid w:val="00C10E9D"/>
    <w:rsid w:val="00C148CC"/>
    <w:rsid w:val="00C15B12"/>
    <w:rsid w:val="00C16114"/>
    <w:rsid w:val="00C2262D"/>
    <w:rsid w:val="00C2678D"/>
    <w:rsid w:val="00C34C38"/>
    <w:rsid w:val="00C35B99"/>
    <w:rsid w:val="00C35DB1"/>
    <w:rsid w:val="00C413CF"/>
    <w:rsid w:val="00C44570"/>
    <w:rsid w:val="00C45871"/>
    <w:rsid w:val="00C50751"/>
    <w:rsid w:val="00C518B8"/>
    <w:rsid w:val="00C5211D"/>
    <w:rsid w:val="00C53F36"/>
    <w:rsid w:val="00C56C78"/>
    <w:rsid w:val="00C576C7"/>
    <w:rsid w:val="00C634D3"/>
    <w:rsid w:val="00C747F9"/>
    <w:rsid w:val="00C76A2C"/>
    <w:rsid w:val="00C91119"/>
    <w:rsid w:val="00C913CB"/>
    <w:rsid w:val="00C92204"/>
    <w:rsid w:val="00C92447"/>
    <w:rsid w:val="00C930E2"/>
    <w:rsid w:val="00C94BBD"/>
    <w:rsid w:val="00C94FF0"/>
    <w:rsid w:val="00CA2413"/>
    <w:rsid w:val="00CA507C"/>
    <w:rsid w:val="00CA7036"/>
    <w:rsid w:val="00CA76DF"/>
    <w:rsid w:val="00CB4BA0"/>
    <w:rsid w:val="00CB6882"/>
    <w:rsid w:val="00CC23C5"/>
    <w:rsid w:val="00CC3841"/>
    <w:rsid w:val="00CC462A"/>
    <w:rsid w:val="00CD0C33"/>
    <w:rsid w:val="00CD2A30"/>
    <w:rsid w:val="00CE1F6B"/>
    <w:rsid w:val="00CE26EC"/>
    <w:rsid w:val="00CE36DE"/>
    <w:rsid w:val="00CF5C50"/>
    <w:rsid w:val="00D01923"/>
    <w:rsid w:val="00D17A6D"/>
    <w:rsid w:val="00D17C46"/>
    <w:rsid w:val="00D20686"/>
    <w:rsid w:val="00D21ABC"/>
    <w:rsid w:val="00D22025"/>
    <w:rsid w:val="00D22032"/>
    <w:rsid w:val="00D22F8F"/>
    <w:rsid w:val="00D24532"/>
    <w:rsid w:val="00D30DA6"/>
    <w:rsid w:val="00D42DB9"/>
    <w:rsid w:val="00D442AB"/>
    <w:rsid w:val="00D4536B"/>
    <w:rsid w:val="00D53DB1"/>
    <w:rsid w:val="00D57B0B"/>
    <w:rsid w:val="00D60C8F"/>
    <w:rsid w:val="00D62F06"/>
    <w:rsid w:val="00D64A39"/>
    <w:rsid w:val="00D73C16"/>
    <w:rsid w:val="00D7581D"/>
    <w:rsid w:val="00D76D8E"/>
    <w:rsid w:val="00D860BC"/>
    <w:rsid w:val="00D9158A"/>
    <w:rsid w:val="00D969BB"/>
    <w:rsid w:val="00D97B29"/>
    <w:rsid w:val="00DA02BA"/>
    <w:rsid w:val="00DA0CAF"/>
    <w:rsid w:val="00DA44A0"/>
    <w:rsid w:val="00DB0D1D"/>
    <w:rsid w:val="00DB143B"/>
    <w:rsid w:val="00DB359F"/>
    <w:rsid w:val="00DB5876"/>
    <w:rsid w:val="00DB61E3"/>
    <w:rsid w:val="00DC156A"/>
    <w:rsid w:val="00DC2172"/>
    <w:rsid w:val="00DC3DDC"/>
    <w:rsid w:val="00DC4D90"/>
    <w:rsid w:val="00DC5452"/>
    <w:rsid w:val="00DC6897"/>
    <w:rsid w:val="00DD40E7"/>
    <w:rsid w:val="00DD42D0"/>
    <w:rsid w:val="00DD4AF1"/>
    <w:rsid w:val="00DD6DB2"/>
    <w:rsid w:val="00DE1E76"/>
    <w:rsid w:val="00DE5C5F"/>
    <w:rsid w:val="00DE64A4"/>
    <w:rsid w:val="00E02002"/>
    <w:rsid w:val="00E03832"/>
    <w:rsid w:val="00E04679"/>
    <w:rsid w:val="00E06C53"/>
    <w:rsid w:val="00E07077"/>
    <w:rsid w:val="00E1113B"/>
    <w:rsid w:val="00E11B79"/>
    <w:rsid w:val="00E150F3"/>
    <w:rsid w:val="00E246B0"/>
    <w:rsid w:val="00E25AC4"/>
    <w:rsid w:val="00E33CCD"/>
    <w:rsid w:val="00E422CE"/>
    <w:rsid w:val="00E430A1"/>
    <w:rsid w:val="00E44CE4"/>
    <w:rsid w:val="00E46A51"/>
    <w:rsid w:val="00E55AFB"/>
    <w:rsid w:val="00E60336"/>
    <w:rsid w:val="00E606E4"/>
    <w:rsid w:val="00E63A80"/>
    <w:rsid w:val="00E640F3"/>
    <w:rsid w:val="00E7171C"/>
    <w:rsid w:val="00E72C78"/>
    <w:rsid w:val="00E73ED1"/>
    <w:rsid w:val="00E75C3F"/>
    <w:rsid w:val="00E77CD1"/>
    <w:rsid w:val="00E82CEE"/>
    <w:rsid w:val="00E8549E"/>
    <w:rsid w:val="00E90137"/>
    <w:rsid w:val="00EA0017"/>
    <w:rsid w:val="00EA337C"/>
    <w:rsid w:val="00EA4A0B"/>
    <w:rsid w:val="00EA4A99"/>
    <w:rsid w:val="00EB466A"/>
    <w:rsid w:val="00EC19E0"/>
    <w:rsid w:val="00EC7909"/>
    <w:rsid w:val="00ED40CC"/>
    <w:rsid w:val="00ED73FA"/>
    <w:rsid w:val="00EE712A"/>
    <w:rsid w:val="00EF2A2C"/>
    <w:rsid w:val="00EF2FC8"/>
    <w:rsid w:val="00EF4DA1"/>
    <w:rsid w:val="00F134E2"/>
    <w:rsid w:val="00F1427F"/>
    <w:rsid w:val="00F14712"/>
    <w:rsid w:val="00F147BD"/>
    <w:rsid w:val="00F17B70"/>
    <w:rsid w:val="00F3056F"/>
    <w:rsid w:val="00F33591"/>
    <w:rsid w:val="00F377C6"/>
    <w:rsid w:val="00F37A83"/>
    <w:rsid w:val="00F4343B"/>
    <w:rsid w:val="00F448C0"/>
    <w:rsid w:val="00F50522"/>
    <w:rsid w:val="00F54F05"/>
    <w:rsid w:val="00F558B5"/>
    <w:rsid w:val="00F6438F"/>
    <w:rsid w:val="00F64E27"/>
    <w:rsid w:val="00F65473"/>
    <w:rsid w:val="00F65655"/>
    <w:rsid w:val="00F66F63"/>
    <w:rsid w:val="00F67572"/>
    <w:rsid w:val="00F76BD9"/>
    <w:rsid w:val="00F7707A"/>
    <w:rsid w:val="00F817A7"/>
    <w:rsid w:val="00F83EFA"/>
    <w:rsid w:val="00F9086E"/>
    <w:rsid w:val="00F91CC4"/>
    <w:rsid w:val="00F9550F"/>
    <w:rsid w:val="00F95FC0"/>
    <w:rsid w:val="00FA47AB"/>
    <w:rsid w:val="00FA6213"/>
    <w:rsid w:val="00FB2D04"/>
    <w:rsid w:val="00FC1346"/>
    <w:rsid w:val="00FC2799"/>
    <w:rsid w:val="00FC3582"/>
    <w:rsid w:val="00FD7D31"/>
    <w:rsid w:val="00FE10E2"/>
    <w:rsid w:val="00FE27D6"/>
    <w:rsid w:val="00FE7F3D"/>
    <w:rsid w:val="00FF502C"/>
    <w:rsid w:val="01006C98"/>
    <w:rsid w:val="01121891"/>
    <w:rsid w:val="011758CA"/>
    <w:rsid w:val="01246222"/>
    <w:rsid w:val="01672DF4"/>
    <w:rsid w:val="01710893"/>
    <w:rsid w:val="01BE39D3"/>
    <w:rsid w:val="01C90C4A"/>
    <w:rsid w:val="02056244"/>
    <w:rsid w:val="0211011C"/>
    <w:rsid w:val="02434ACB"/>
    <w:rsid w:val="028E26C7"/>
    <w:rsid w:val="030747EE"/>
    <w:rsid w:val="040A04C0"/>
    <w:rsid w:val="040C1AB2"/>
    <w:rsid w:val="040C516C"/>
    <w:rsid w:val="0425211F"/>
    <w:rsid w:val="05322C2F"/>
    <w:rsid w:val="0550796B"/>
    <w:rsid w:val="057C620A"/>
    <w:rsid w:val="05940BFA"/>
    <w:rsid w:val="05C37529"/>
    <w:rsid w:val="05FA721E"/>
    <w:rsid w:val="060E37AA"/>
    <w:rsid w:val="06D61787"/>
    <w:rsid w:val="074607FB"/>
    <w:rsid w:val="07B332B1"/>
    <w:rsid w:val="07B45083"/>
    <w:rsid w:val="07BE629E"/>
    <w:rsid w:val="07F95346"/>
    <w:rsid w:val="080B4B43"/>
    <w:rsid w:val="08290F91"/>
    <w:rsid w:val="084749C8"/>
    <w:rsid w:val="08B16BE0"/>
    <w:rsid w:val="08C94FF9"/>
    <w:rsid w:val="08FE0041"/>
    <w:rsid w:val="090C7D60"/>
    <w:rsid w:val="09222223"/>
    <w:rsid w:val="093D137F"/>
    <w:rsid w:val="095D0E4E"/>
    <w:rsid w:val="09D24F88"/>
    <w:rsid w:val="0A163D09"/>
    <w:rsid w:val="0A4F089D"/>
    <w:rsid w:val="0B483BC7"/>
    <w:rsid w:val="0B5C46C6"/>
    <w:rsid w:val="0BC55773"/>
    <w:rsid w:val="0BC929F4"/>
    <w:rsid w:val="0BD45706"/>
    <w:rsid w:val="0BE87CEE"/>
    <w:rsid w:val="0C236487"/>
    <w:rsid w:val="0C310B6C"/>
    <w:rsid w:val="0C4511BE"/>
    <w:rsid w:val="0C466569"/>
    <w:rsid w:val="0C7620CF"/>
    <w:rsid w:val="0C823AB2"/>
    <w:rsid w:val="0CA301E3"/>
    <w:rsid w:val="0CD05E55"/>
    <w:rsid w:val="0CE709D1"/>
    <w:rsid w:val="0CF65C00"/>
    <w:rsid w:val="0D63265E"/>
    <w:rsid w:val="0D882ACC"/>
    <w:rsid w:val="0D9B7FCD"/>
    <w:rsid w:val="0DCB406E"/>
    <w:rsid w:val="0E036ECD"/>
    <w:rsid w:val="0E2A4679"/>
    <w:rsid w:val="0E553B26"/>
    <w:rsid w:val="0E5A6378"/>
    <w:rsid w:val="0EA5611C"/>
    <w:rsid w:val="0ECF36FB"/>
    <w:rsid w:val="0EFB3EE3"/>
    <w:rsid w:val="0F0F4496"/>
    <w:rsid w:val="0F2E5740"/>
    <w:rsid w:val="0FB87958"/>
    <w:rsid w:val="0FC72D3C"/>
    <w:rsid w:val="0FEC510D"/>
    <w:rsid w:val="0FF008F5"/>
    <w:rsid w:val="100A5CBD"/>
    <w:rsid w:val="10203C3F"/>
    <w:rsid w:val="10616F21"/>
    <w:rsid w:val="10B01EE1"/>
    <w:rsid w:val="10BD6788"/>
    <w:rsid w:val="10DF04AF"/>
    <w:rsid w:val="114A38A9"/>
    <w:rsid w:val="116524E3"/>
    <w:rsid w:val="11C35D89"/>
    <w:rsid w:val="11C57E28"/>
    <w:rsid w:val="120B5C57"/>
    <w:rsid w:val="122F7B2D"/>
    <w:rsid w:val="1280638D"/>
    <w:rsid w:val="129C02C4"/>
    <w:rsid w:val="13014916"/>
    <w:rsid w:val="1303381E"/>
    <w:rsid w:val="1318750C"/>
    <w:rsid w:val="131C1BCB"/>
    <w:rsid w:val="13A31FEE"/>
    <w:rsid w:val="13B82EF1"/>
    <w:rsid w:val="1423634A"/>
    <w:rsid w:val="149A1237"/>
    <w:rsid w:val="14E038AE"/>
    <w:rsid w:val="150E7E64"/>
    <w:rsid w:val="1518363D"/>
    <w:rsid w:val="1522055C"/>
    <w:rsid w:val="153F4C0B"/>
    <w:rsid w:val="154C3D3E"/>
    <w:rsid w:val="15AC6BCF"/>
    <w:rsid w:val="15CA6025"/>
    <w:rsid w:val="15DA62DD"/>
    <w:rsid w:val="1618559A"/>
    <w:rsid w:val="16216C55"/>
    <w:rsid w:val="163F4EFF"/>
    <w:rsid w:val="16476980"/>
    <w:rsid w:val="16940BAF"/>
    <w:rsid w:val="16B35E18"/>
    <w:rsid w:val="16BE41A4"/>
    <w:rsid w:val="16D83A36"/>
    <w:rsid w:val="174B6C8A"/>
    <w:rsid w:val="178B5320"/>
    <w:rsid w:val="17A37D02"/>
    <w:rsid w:val="17AC3DF0"/>
    <w:rsid w:val="17E62623"/>
    <w:rsid w:val="18205515"/>
    <w:rsid w:val="18280650"/>
    <w:rsid w:val="183F7C02"/>
    <w:rsid w:val="18691307"/>
    <w:rsid w:val="187928C6"/>
    <w:rsid w:val="187976EE"/>
    <w:rsid w:val="18A81DA2"/>
    <w:rsid w:val="18B91E30"/>
    <w:rsid w:val="19540E26"/>
    <w:rsid w:val="19EA2014"/>
    <w:rsid w:val="19FE2A54"/>
    <w:rsid w:val="1A071941"/>
    <w:rsid w:val="1A4203A7"/>
    <w:rsid w:val="1A975100"/>
    <w:rsid w:val="1A9D5C1B"/>
    <w:rsid w:val="1AB25EEF"/>
    <w:rsid w:val="1B323377"/>
    <w:rsid w:val="1B4D19EC"/>
    <w:rsid w:val="1C1E6982"/>
    <w:rsid w:val="1C40395B"/>
    <w:rsid w:val="1C45364B"/>
    <w:rsid w:val="1C5727E7"/>
    <w:rsid w:val="1C640003"/>
    <w:rsid w:val="1C716984"/>
    <w:rsid w:val="1CE356A9"/>
    <w:rsid w:val="1D567BA9"/>
    <w:rsid w:val="1D6A03FE"/>
    <w:rsid w:val="1D6D3D71"/>
    <w:rsid w:val="1D885188"/>
    <w:rsid w:val="1D9E26A4"/>
    <w:rsid w:val="1DB35FD5"/>
    <w:rsid w:val="1DC91A28"/>
    <w:rsid w:val="1DD1105C"/>
    <w:rsid w:val="1DE45C9C"/>
    <w:rsid w:val="1DF36F7B"/>
    <w:rsid w:val="1E3F4DEE"/>
    <w:rsid w:val="1EDF674E"/>
    <w:rsid w:val="1F1A15E4"/>
    <w:rsid w:val="1F276947"/>
    <w:rsid w:val="1F2E62C1"/>
    <w:rsid w:val="1F3421A9"/>
    <w:rsid w:val="1FA54661"/>
    <w:rsid w:val="1FC83001"/>
    <w:rsid w:val="1FE12068"/>
    <w:rsid w:val="205926AB"/>
    <w:rsid w:val="20825F1F"/>
    <w:rsid w:val="20E21D4E"/>
    <w:rsid w:val="21161DC5"/>
    <w:rsid w:val="211A4CA2"/>
    <w:rsid w:val="21451F12"/>
    <w:rsid w:val="217216E5"/>
    <w:rsid w:val="21986DA1"/>
    <w:rsid w:val="2211244F"/>
    <w:rsid w:val="22491A77"/>
    <w:rsid w:val="2250495A"/>
    <w:rsid w:val="22751D24"/>
    <w:rsid w:val="22943D42"/>
    <w:rsid w:val="22963651"/>
    <w:rsid w:val="22CD2BFB"/>
    <w:rsid w:val="23CD0FD4"/>
    <w:rsid w:val="23D73E4F"/>
    <w:rsid w:val="246A25EC"/>
    <w:rsid w:val="2476229D"/>
    <w:rsid w:val="247E6772"/>
    <w:rsid w:val="24E82607"/>
    <w:rsid w:val="25245F91"/>
    <w:rsid w:val="254A3258"/>
    <w:rsid w:val="25D24FC7"/>
    <w:rsid w:val="25E86B7F"/>
    <w:rsid w:val="25F7163A"/>
    <w:rsid w:val="266613DF"/>
    <w:rsid w:val="267020AE"/>
    <w:rsid w:val="26BC6432"/>
    <w:rsid w:val="26C417E7"/>
    <w:rsid w:val="27174761"/>
    <w:rsid w:val="272E75D9"/>
    <w:rsid w:val="278B4096"/>
    <w:rsid w:val="28052E70"/>
    <w:rsid w:val="283454AD"/>
    <w:rsid w:val="287C157A"/>
    <w:rsid w:val="28881F27"/>
    <w:rsid w:val="290F6DE1"/>
    <w:rsid w:val="291905DB"/>
    <w:rsid w:val="292204E8"/>
    <w:rsid w:val="294E3FC2"/>
    <w:rsid w:val="29D0388D"/>
    <w:rsid w:val="2A256853"/>
    <w:rsid w:val="2A830979"/>
    <w:rsid w:val="2AA646BC"/>
    <w:rsid w:val="2AE10FA9"/>
    <w:rsid w:val="2B1E78E8"/>
    <w:rsid w:val="2B962A56"/>
    <w:rsid w:val="2BE84693"/>
    <w:rsid w:val="2C475903"/>
    <w:rsid w:val="2CA0541A"/>
    <w:rsid w:val="2CAD0B81"/>
    <w:rsid w:val="2CBB72B2"/>
    <w:rsid w:val="2D9A17B8"/>
    <w:rsid w:val="2DA24702"/>
    <w:rsid w:val="2DB161D0"/>
    <w:rsid w:val="2E06749A"/>
    <w:rsid w:val="2E2142F2"/>
    <w:rsid w:val="2E6B17BE"/>
    <w:rsid w:val="2E887BA6"/>
    <w:rsid w:val="2E895EF2"/>
    <w:rsid w:val="2F63356A"/>
    <w:rsid w:val="2F720202"/>
    <w:rsid w:val="2FFF3BB5"/>
    <w:rsid w:val="30460CAE"/>
    <w:rsid w:val="30472042"/>
    <w:rsid w:val="304B5C34"/>
    <w:rsid w:val="30626A23"/>
    <w:rsid w:val="30BB2F3D"/>
    <w:rsid w:val="30F90B56"/>
    <w:rsid w:val="30FE1366"/>
    <w:rsid w:val="31051F76"/>
    <w:rsid w:val="31743B54"/>
    <w:rsid w:val="31744B80"/>
    <w:rsid w:val="319649F6"/>
    <w:rsid w:val="31BE28C0"/>
    <w:rsid w:val="31E50E81"/>
    <w:rsid w:val="32092F98"/>
    <w:rsid w:val="322D6586"/>
    <w:rsid w:val="32D90296"/>
    <w:rsid w:val="32ED3E68"/>
    <w:rsid w:val="32F508B7"/>
    <w:rsid w:val="3317541D"/>
    <w:rsid w:val="33B908A4"/>
    <w:rsid w:val="33CD3987"/>
    <w:rsid w:val="33D25C33"/>
    <w:rsid w:val="34023724"/>
    <w:rsid w:val="34076580"/>
    <w:rsid w:val="342045F8"/>
    <w:rsid w:val="343329DD"/>
    <w:rsid w:val="34452416"/>
    <w:rsid w:val="352479C5"/>
    <w:rsid w:val="35680DD5"/>
    <w:rsid w:val="35A00653"/>
    <w:rsid w:val="35A555E9"/>
    <w:rsid w:val="3678368B"/>
    <w:rsid w:val="36AF367C"/>
    <w:rsid w:val="36C810F6"/>
    <w:rsid w:val="36CB28B1"/>
    <w:rsid w:val="36DA7901"/>
    <w:rsid w:val="36E2582A"/>
    <w:rsid w:val="36E37CAA"/>
    <w:rsid w:val="36FC32AA"/>
    <w:rsid w:val="376F1919"/>
    <w:rsid w:val="3776465F"/>
    <w:rsid w:val="37ED064A"/>
    <w:rsid w:val="3840559F"/>
    <w:rsid w:val="38C962F2"/>
    <w:rsid w:val="391328B3"/>
    <w:rsid w:val="391C1D28"/>
    <w:rsid w:val="393048AB"/>
    <w:rsid w:val="394930FA"/>
    <w:rsid w:val="39783FA8"/>
    <w:rsid w:val="397D7837"/>
    <w:rsid w:val="399440A1"/>
    <w:rsid w:val="39AF38AC"/>
    <w:rsid w:val="39CF5712"/>
    <w:rsid w:val="3A2D2830"/>
    <w:rsid w:val="3A396138"/>
    <w:rsid w:val="3A3E6B83"/>
    <w:rsid w:val="3A804592"/>
    <w:rsid w:val="3A9B0794"/>
    <w:rsid w:val="3AED2B0A"/>
    <w:rsid w:val="3B0358CE"/>
    <w:rsid w:val="3B282854"/>
    <w:rsid w:val="3B3430C3"/>
    <w:rsid w:val="3B37435C"/>
    <w:rsid w:val="3B3E796D"/>
    <w:rsid w:val="3B7F4030"/>
    <w:rsid w:val="3BBD4D3D"/>
    <w:rsid w:val="3C0D39E2"/>
    <w:rsid w:val="3C8C3EFC"/>
    <w:rsid w:val="3CE44D48"/>
    <w:rsid w:val="3CEB567A"/>
    <w:rsid w:val="3D0D6723"/>
    <w:rsid w:val="3D6D00A3"/>
    <w:rsid w:val="3D6D22AE"/>
    <w:rsid w:val="3DD92BE9"/>
    <w:rsid w:val="3DE2249A"/>
    <w:rsid w:val="3DEA7723"/>
    <w:rsid w:val="3E3C7711"/>
    <w:rsid w:val="3ED65E09"/>
    <w:rsid w:val="3EDB1C03"/>
    <w:rsid w:val="3EFB73C4"/>
    <w:rsid w:val="3F531478"/>
    <w:rsid w:val="3F9B1112"/>
    <w:rsid w:val="3FC22808"/>
    <w:rsid w:val="3FF971CD"/>
    <w:rsid w:val="400E2C48"/>
    <w:rsid w:val="4104587D"/>
    <w:rsid w:val="417E0B17"/>
    <w:rsid w:val="418F0350"/>
    <w:rsid w:val="41CF0CCA"/>
    <w:rsid w:val="423E6735"/>
    <w:rsid w:val="42E24418"/>
    <w:rsid w:val="42E37DDF"/>
    <w:rsid w:val="43103F85"/>
    <w:rsid w:val="44406ADA"/>
    <w:rsid w:val="45173C61"/>
    <w:rsid w:val="453D0A00"/>
    <w:rsid w:val="45C66C5D"/>
    <w:rsid w:val="45D8064D"/>
    <w:rsid w:val="45E8401B"/>
    <w:rsid w:val="460C5ACD"/>
    <w:rsid w:val="461834F6"/>
    <w:rsid w:val="46190890"/>
    <w:rsid w:val="46460EE5"/>
    <w:rsid w:val="468F7AB2"/>
    <w:rsid w:val="46A60BA5"/>
    <w:rsid w:val="46C609E9"/>
    <w:rsid w:val="46CD3D53"/>
    <w:rsid w:val="46D96FF6"/>
    <w:rsid w:val="470F3C79"/>
    <w:rsid w:val="47C83F0B"/>
    <w:rsid w:val="47E34869"/>
    <w:rsid w:val="488E7588"/>
    <w:rsid w:val="48964345"/>
    <w:rsid w:val="48B72B29"/>
    <w:rsid w:val="48CE1448"/>
    <w:rsid w:val="4940366F"/>
    <w:rsid w:val="49A30BC0"/>
    <w:rsid w:val="49CC4E4A"/>
    <w:rsid w:val="49D82910"/>
    <w:rsid w:val="49F62F9E"/>
    <w:rsid w:val="4A1F3E13"/>
    <w:rsid w:val="4A232A38"/>
    <w:rsid w:val="4A6978AD"/>
    <w:rsid w:val="4A8A7736"/>
    <w:rsid w:val="4AE320E4"/>
    <w:rsid w:val="4AF46FEB"/>
    <w:rsid w:val="4B26663A"/>
    <w:rsid w:val="4B2B01CF"/>
    <w:rsid w:val="4B3A1853"/>
    <w:rsid w:val="4B596F3B"/>
    <w:rsid w:val="4B617B2C"/>
    <w:rsid w:val="4B6B5317"/>
    <w:rsid w:val="4BD85AE2"/>
    <w:rsid w:val="4BEB6E7D"/>
    <w:rsid w:val="4BF948F0"/>
    <w:rsid w:val="4C46039D"/>
    <w:rsid w:val="4C5E3E9B"/>
    <w:rsid w:val="4C7B1118"/>
    <w:rsid w:val="4C7B2D4A"/>
    <w:rsid w:val="4C821657"/>
    <w:rsid w:val="4CE372B9"/>
    <w:rsid w:val="4D1D72E3"/>
    <w:rsid w:val="4D1E40BD"/>
    <w:rsid w:val="4D9A0192"/>
    <w:rsid w:val="4D9F08C0"/>
    <w:rsid w:val="4DDB13B3"/>
    <w:rsid w:val="4DE376DA"/>
    <w:rsid w:val="4E05002E"/>
    <w:rsid w:val="4E2915B3"/>
    <w:rsid w:val="4E317374"/>
    <w:rsid w:val="4E5C1128"/>
    <w:rsid w:val="4EB71FD7"/>
    <w:rsid w:val="4EC731AC"/>
    <w:rsid w:val="4EFD5083"/>
    <w:rsid w:val="4F03120B"/>
    <w:rsid w:val="4F0B752B"/>
    <w:rsid w:val="4F372FC7"/>
    <w:rsid w:val="4F531262"/>
    <w:rsid w:val="4F5F2593"/>
    <w:rsid w:val="501012C2"/>
    <w:rsid w:val="5040617D"/>
    <w:rsid w:val="504B1DF9"/>
    <w:rsid w:val="50694024"/>
    <w:rsid w:val="506F047B"/>
    <w:rsid w:val="50A6515E"/>
    <w:rsid w:val="50BA786B"/>
    <w:rsid w:val="50D205A9"/>
    <w:rsid w:val="5115109C"/>
    <w:rsid w:val="5134031D"/>
    <w:rsid w:val="51401537"/>
    <w:rsid w:val="51702BC7"/>
    <w:rsid w:val="51C542E1"/>
    <w:rsid w:val="51D55788"/>
    <w:rsid w:val="52882664"/>
    <w:rsid w:val="52BE5863"/>
    <w:rsid w:val="52CB39A1"/>
    <w:rsid w:val="52FE6F34"/>
    <w:rsid w:val="531329BD"/>
    <w:rsid w:val="533365DF"/>
    <w:rsid w:val="54724822"/>
    <w:rsid w:val="549640A8"/>
    <w:rsid w:val="54E04F9A"/>
    <w:rsid w:val="551C62C9"/>
    <w:rsid w:val="554329FC"/>
    <w:rsid w:val="555A28F0"/>
    <w:rsid w:val="556A6054"/>
    <w:rsid w:val="556D208E"/>
    <w:rsid w:val="55B3484C"/>
    <w:rsid w:val="55E54FDA"/>
    <w:rsid w:val="56161BC1"/>
    <w:rsid w:val="563B0804"/>
    <w:rsid w:val="56757B73"/>
    <w:rsid w:val="567807A8"/>
    <w:rsid w:val="56EA399C"/>
    <w:rsid w:val="56F0448F"/>
    <w:rsid w:val="5775155A"/>
    <w:rsid w:val="577801EC"/>
    <w:rsid w:val="57FC719C"/>
    <w:rsid w:val="58032571"/>
    <w:rsid w:val="583D62AD"/>
    <w:rsid w:val="58531BED"/>
    <w:rsid w:val="586B652D"/>
    <w:rsid w:val="589864D3"/>
    <w:rsid w:val="589F4FDC"/>
    <w:rsid w:val="58E0039E"/>
    <w:rsid w:val="58E913C0"/>
    <w:rsid w:val="59202BCC"/>
    <w:rsid w:val="594707C9"/>
    <w:rsid w:val="595D282E"/>
    <w:rsid w:val="5962070D"/>
    <w:rsid w:val="597C1B54"/>
    <w:rsid w:val="59F142AE"/>
    <w:rsid w:val="59FF19FA"/>
    <w:rsid w:val="5A783864"/>
    <w:rsid w:val="5A966031"/>
    <w:rsid w:val="5AF52884"/>
    <w:rsid w:val="5B12188D"/>
    <w:rsid w:val="5B2F0844"/>
    <w:rsid w:val="5B773D8A"/>
    <w:rsid w:val="5BC15C0E"/>
    <w:rsid w:val="5BFD6A95"/>
    <w:rsid w:val="5C2023C1"/>
    <w:rsid w:val="5C4A2849"/>
    <w:rsid w:val="5C4B4BEE"/>
    <w:rsid w:val="5C57291E"/>
    <w:rsid w:val="5CDD3609"/>
    <w:rsid w:val="5D1367C9"/>
    <w:rsid w:val="5D3D0543"/>
    <w:rsid w:val="5D732EB7"/>
    <w:rsid w:val="5E021BE6"/>
    <w:rsid w:val="5E265CEF"/>
    <w:rsid w:val="5E390E24"/>
    <w:rsid w:val="5E7F1777"/>
    <w:rsid w:val="5E854674"/>
    <w:rsid w:val="5E900730"/>
    <w:rsid w:val="5E9C72C7"/>
    <w:rsid w:val="5EA655F3"/>
    <w:rsid w:val="5EA94ACC"/>
    <w:rsid w:val="5EB1715A"/>
    <w:rsid w:val="5EB9176F"/>
    <w:rsid w:val="5F107523"/>
    <w:rsid w:val="5F320607"/>
    <w:rsid w:val="5F9C6C3E"/>
    <w:rsid w:val="60375072"/>
    <w:rsid w:val="60507BE3"/>
    <w:rsid w:val="60984A48"/>
    <w:rsid w:val="60DA465A"/>
    <w:rsid w:val="61043BE2"/>
    <w:rsid w:val="611D586C"/>
    <w:rsid w:val="613502CD"/>
    <w:rsid w:val="614E7214"/>
    <w:rsid w:val="615256FE"/>
    <w:rsid w:val="61664963"/>
    <w:rsid w:val="61B719C0"/>
    <w:rsid w:val="61CC110D"/>
    <w:rsid w:val="61D674B2"/>
    <w:rsid w:val="61F236AF"/>
    <w:rsid w:val="627250D3"/>
    <w:rsid w:val="62804139"/>
    <w:rsid w:val="628628EB"/>
    <w:rsid w:val="62A24123"/>
    <w:rsid w:val="62CA12F9"/>
    <w:rsid w:val="630133FB"/>
    <w:rsid w:val="63014AC9"/>
    <w:rsid w:val="63147A1A"/>
    <w:rsid w:val="631E0515"/>
    <w:rsid w:val="633E7AFD"/>
    <w:rsid w:val="63822421"/>
    <w:rsid w:val="639F6580"/>
    <w:rsid w:val="63E306CE"/>
    <w:rsid w:val="63FC0C5A"/>
    <w:rsid w:val="6418023D"/>
    <w:rsid w:val="6441492F"/>
    <w:rsid w:val="645E7B38"/>
    <w:rsid w:val="64A9629C"/>
    <w:rsid w:val="64AD1CEC"/>
    <w:rsid w:val="64AE04B2"/>
    <w:rsid w:val="64DA276D"/>
    <w:rsid w:val="659D3DF6"/>
    <w:rsid w:val="65E1359C"/>
    <w:rsid w:val="65FA08D1"/>
    <w:rsid w:val="65FA7722"/>
    <w:rsid w:val="668D0003"/>
    <w:rsid w:val="668F45C7"/>
    <w:rsid w:val="66A01E20"/>
    <w:rsid w:val="674766D4"/>
    <w:rsid w:val="67982C74"/>
    <w:rsid w:val="6813091A"/>
    <w:rsid w:val="6839042C"/>
    <w:rsid w:val="68592934"/>
    <w:rsid w:val="68A37B52"/>
    <w:rsid w:val="68A84D7C"/>
    <w:rsid w:val="68F656F3"/>
    <w:rsid w:val="690A54C2"/>
    <w:rsid w:val="69C35533"/>
    <w:rsid w:val="69EB2E93"/>
    <w:rsid w:val="6A065370"/>
    <w:rsid w:val="6A091C0C"/>
    <w:rsid w:val="6A0C652F"/>
    <w:rsid w:val="6A1E46FF"/>
    <w:rsid w:val="6A79394A"/>
    <w:rsid w:val="6A8F3246"/>
    <w:rsid w:val="6ADB076B"/>
    <w:rsid w:val="6B064A6B"/>
    <w:rsid w:val="6BA35411"/>
    <w:rsid w:val="6C1F5711"/>
    <w:rsid w:val="6C63494D"/>
    <w:rsid w:val="6C6D59C8"/>
    <w:rsid w:val="6C88625E"/>
    <w:rsid w:val="6D6956C6"/>
    <w:rsid w:val="6D8E52D6"/>
    <w:rsid w:val="6DAC770D"/>
    <w:rsid w:val="6E5C2A14"/>
    <w:rsid w:val="6E786E38"/>
    <w:rsid w:val="6E951B2A"/>
    <w:rsid w:val="6EB0339E"/>
    <w:rsid w:val="6F080338"/>
    <w:rsid w:val="701B3C2F"/>
    <w:rsid w:val="707130D0"/>
    <w:rsid w:val="70985AED"/>
    <w:rsid w:val="70DE1901"/>
    <w:rsid w:val="7123350B"/>
    <w:rsid w:val="71BD61D2"/>
    <w:rsid w:val="71C563A6"/>
    <w:rsid w:val="71DA5013"/>
    <w:rsid w:val="71FC4F45"/>
    <w:rsid w:val="72013349"/>
    <w:rsid w:val="722C53C3"/>
    <w:rsid w:val="72B949B6"/>
    <w:rsid w:val="72E52851"/>
    <w:rsid w:val="739E27B8"/>
    <w:rsid w:val="73A52FFA"/>
    <w:rsid w:val="73C41360"/>
    <w:rsid w:val="740B755E"/>
    <w:rsid w:val="74106863"/>
    <w:rsid w:val="74235B1A"/>
    <w:rsid w:val="74470325"/>
    <w:rsid w:val="747F7121"/>
    <w:rsid w:val="74901609"/>
    <w:rsid w:val="74B0081B"/>
    <w:rsid w:val="74CC21B7"/>
    <w:rsid w:val="74DC1E43"/>
    <w:rsid w:val="74E5669C"/>
    <w:rsid w:val="75201444"/>
    <w:rsid w:val="75265D63"/>
    <w:rsid w:val="75327E3D"/>
    <w:rsid w:val="75605AB1"/>
    <w:rsid w:val="759A0CD0"/>
    <w:rsid w:val="759D2D70"/>
    <w:rsid w:val="75C508C4"/>
    <w:rsid w:val="75C50CA9"/>
    <w:rsid w:val="75FE2FD9"/>
    <w:rsid w:val="76152B54"/>
    <w:rsid w:val="764C34AA"/>
    <w:rsid w:val="76723214"/>
    <w:rsid w:val="76B46B35"/>
    <w:rsid w:val="772B7B5F"/>
    <w:rsid w:val="77396138"/>
    <w:rsid w:val="775C3895"/>
    <w:rsid w:val="779D37F4"/>
    <w:rsid w:val="77B57177"/>
    <w:rsid w:val="77D32401"/>
    <w:rsid w:val="78063F46"/>
    <w:rsid w:val="783B2EF9"/>
    <w:rsid w:val="78760A16"/>
    <w:rsid w:val="790422E5"/>
    <w:rsid w:val="79612374"/>
    <w:rsid w:val="797C64EB"/>
    <w:rsid w:val="799E363A"/>
    <w:rsid w:val="79A94AC7"/>
    <w:rsid w:val="79C114B3"/>
    <w:rsid w:val="7A1615E6"/>
    <w:rsid w:val="7A3915CB"/>
    <w:rsid w:val="7A450521"/>
    <w:rsid w:val="7A6C595E"/>
    <w:rsid w:val="7A753E54"/>
    <w:rsid w:val="7A893FCD"/>
    <w:rsid w:val="7AC32A82"/>
    <w:rsid w:val="7AE02D9F"/>
    <w:rsid w:val="7AE31134"/>
    <w:rsid w:val="7AF44D82"/>
    <w:rsid w:val="7B0F5F1F"/>
    <w:rsid w:val="7B4B4C6A"/>
    <w:rsid w:val="7BA615E4"/>
    <w:rsid w:val="7BC22819"/>
    <w:rsid w:val="7BD67AD7"/>
    <w:rsid w:val="7BEB5709"/>
    <w:rsid w:val="7BFD0429"/>
    <w:rsid w:val="7C511CEE"/>
    <w:rsid w:val="7C693193"/>
    <w:rsid w:val="7D1C0DE3"/>
    <w:rsid w:val="7D546E6D"/>
    <w:rsid w:val="7D747DD4"/>
    <w:rsid w:val="7D870A88"/>
    <w:rsid w:val="7D9D7EAF"/>
    <w:rsid w:val="7DB34849"/>
    <w:rsid w:val="7E1907D6"/>
    <w:rsid w:val="7E5C037D"/>
    <w:rsid w:val="7EBB3516"/>
    <w:rsid w:val="7F0C7E43"/>
    <w:rsid w:val="7F194AC6"/>
    <w:rsid w:val="7FDE51D4"/>
    <w:rsid w:val="FC99CB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99"/>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locked/>
    <w:uiPriority w:val="0"/>
    <w:pPr>
      <w:keepNext/>
      <w:keepLines/>
      <w:jc w:val="left"/>
      <w:outlineLvl w:val="3"/>
    </w:pPr>
    <w:rPr>
      <w:rFonts w:hint="eastAsia" w:ascii="Arial" w:hAnsi="Arial"/>
      <w:b/>
      <w:sz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目录 91"/>
    <w:next w:val="1"/>
    <w:qFormat/>
    <w:uiPriority w:val="0"/>
    <w:pPr>
      <w:wordWrap w:val="0"/>
      <w:ind w:left="3400"/>
      <w:jc w:val="both"/>
    </w:pPr>
    <w:rPr>
      <w:rFonts w:ascii="宋体" w:hAnsi="宋体" w:eastAsia="Times New Roman" w:cs="Times New Roman"/>
      <w:sz w:val="21"/>
      <w:lang w:val="en-US" w:eastAsia="zh-CN" w:bidi="ar-SA"/>
    </w:rPr>
  </w:style>
  <w:style w:type="paragraph" w:styleId="6">
    <w:name w:val="Normal Indent"/>
    <w:basedOn w:val="1"/>
    <w:link w:val="68"/>
    <w:qFormat/>
    <w:uiPriority w:val="99"/>
    <w:pPr>
      <w:ind w:firstLine="420"/>
    </w:pPr>
    <w:rPr>
      <w:szCs w:val="20"/>
    </w:rPr>
  </w:style>
  <w:style w:type="paragraph" w:styleId="7">
    <w:name w:val="annotation text"/>
    <w:basedOn w:val="1"/>
    <w:link w:val="55"/>
    <w:qFormat/>
    <w:uiPriority w:val="99"/>
    <w:pPr>
      <w:jc w:val="left"/>
    </w:pPr>
  </w:style>
  <w:style w:type="paragraph" w:styleId="8">
    <w:name w:val="Body Text"/>
    <w:basedOn w:val="1"/>
    <w:next w:val="9"/>
    <w:link w:val="56"/>
    <w:qFormat/>
    <w:uiPriority w:val="99"/>
    <w:pPr>
      <w:spacing w:after="120"/>
    </w:pPr>
    <w:rPr>
      <w:sz w:val="28"/>
    </w:rPr>
  </w:style>
  <w:style w:type="paragraph" w:customStyle="1" w:styleId="9">
    <w:name w:val="Default"/>
    <w:next w:val="10"/>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styleId="10">
    <w:name w:val="Intense Quote"/>
    <w:basedOn w:val="1"/>
    <w:next w:val="1"/>
    <w:qFormat/>
    <w:uiPriority w:val="0"/>
    <w:pPr>
      <w:wordWrap w:val="0"/>
      <w:spacing w:before="360" w:after="360"/>
      <w:ind w:left="950" w:right="950"/>
      <w:jc w:val="center"/>
    </w:pPr>
    <w:rPr>
      <w:i/>
    </w:rPr>
  </w:style>
  <w:style w:type="paragraph" w:styleId="11">
    <w:name w:val="Body Text Indent"/>
    <w:basedOn w:val="1"/>
    <w:link w:val="54"/>
    <w:qFormat/>
    <w:uiPriority w:val="99"/>
    <w:pPr>
      <w:widowControl/>
      <w:spacing w:before="100" w:beforeAutospacing="1" w:after="100" w:afterAutospacing="1"/>
      <w:jc w:val="left"/>
    </w:pPr>
    <w:rPr>
      <w:rFonts w:ascii="宋体" w:hAnsi="宋体" w:cs="宋体"/>
      <w:kern w:val="0"/>
      <w:sz w:val="24"/>
    </w:rPr>
  </w:style>
  <w:style w:type="paragraph" w:styleId="12">
    <w:name w:val="List Number 3"/>
    <w:basedOn w:val="1"/>
    <w:qFormat/>
    <w:uiPriority w:val="99"/>
    <w:pPr>
      <w:tabs>
        <w:tab w:val="left" w:pos="1200"/>
      </w:tabs>
      <w:ind w:left="1200" w:hanging="360"/>
    </w:pPr>
  </w:style>
  <w:style w:type="paragraph" w:styleId="13">
    <w:name w:val="toc 3"/>
    <w:basedOn w:val="1"/>
    <w:next w:val="1"/>
    <w:qFormat/>
    <w:uiPriority w:val="99"/>
    <w:pPr>
      <w:ind w:left="840" w:leftChars="400"/>
    </w:pPr>
  </w:style>
  <w:style w:type="paragraph" w:styleId="14">
    <w:name w:val="Plain Text"/>
    <w:basedOn w:val="1"/>
    <w:link w:val="58"/>
    <w:qFormat/>
    <w:uiPriority w:val="99"/>
    <w:pPr>
      <w:widowControl/>
      <w:spacing w:before="100" w:beforeAutospacing="1" w:after="100" w:afterAutospacing="1"/>
      <w:jc w:val="left"/>
    </w:pPr>
    <w:rPr>
      <w:rFonts w:ascii="宋体" w:hAnsi="宋体"/>
      <w:kern w:val="0"/>
      <w:sz w:val="24"/>
    </w:rPr>
  </w:style>
  <w:style w:type="paragraph" w:styleId="15">
    <w:name w:val="Date"/>
    <w:basedOn w:val="1"/>
    <w:next w:val="1"/>
    <w:link w:val="59"/>
    <w:qFormat/>
    <w:uiPriority w:val="99"/>
    <w:pPr>
      <w:widowControl/>
      <w:spacing w:before="100" w:beforeAutospacing="1" w:after="100" w:afterAutospacing="1"/>
      <w:jc w:val="left"/>
    </w:pPr>
    <w:rPr>
      <w:rFonts w:ascii="宋体" w:hAnsi="宋体"/>
      <w:kern w:val="0"/>
      <w:sz w:val="24"/>
    </w:rPr>
  </w:style>
  <w:style w:type="paragraph" w:styleId="16">
    <w:name w:val="Body Text Indent 2"/>
    <w:basedOn w:val="1"/>
    <w:link w:val="60"/>
    <w:qFormat/>
    <w:uiPriority w:val="99"/>
    <w:pPr>
      <w:spacing w:after="120" w:line="480" w:lineRule="auto"/>
      <w:ind w:left="420" w:leftChars="200"/>
    </w:pPr>
  </w:style>
  <w:style w:type="paragraph" w:styleId="17">
    <w:name w:val="Balloon Text"/>
    <w:basedOn w:val="1"/>
    <w:link w:val="61"/>
    <w:semiHidden/>
    <w:qFormat/>
    <w:uiPriority w:val="99"/>
    <w:rPr>
      <w:sz w:val="18"/>
      <w:szCs w:val="18"/>
    </w:rPr>
  </w:style>
  <w:style w:type="paragraph" w:styleId="18">
    <w:name w:val="footer"/>
    <w:basedOn w:val="1"/>
    <w:link w:val="62"/>
    <w:qFormat/>
    <w:uiPriority w:val="99"/>
    <w:pPr>
      <w:tabs>
        <w:tab w:val="center" w:pos="4153"/>
        <w:tab w:val="right" w:pos="8306"/>
      </w:tabs>
      <w:snapToGrid w:val="0"/>
      <w:jc w:val="left"/>
    </w:pPr>
    <w:rPr>
      <w:sz w:val="18"/>
      <w:szCs w:val="18"/>
    </w:rPr>
  </w:style>
  <w:style w:type="paragraph" w:styleId="19">
    <w:name w:val="envelope return"/>
    <w:basedOn w:val="1"/>
    <w:unhideWhenUsed/>
    <w:qFormat/>
    <w:locked/>
    <w:uiPriority w:val="99"/>
    <w:pPr>
      <w:snapToGrid w:val="0"/>
      <w:spacing w:line="280" w:lineRule="exact"/>
    </w:pPr>
    <w:rPr>
      <w:rFonts w:ascii="Arial" w:hAnsi="Arial"/>
    </w:rPr>
  </w:style>
  <w:style w:type="paragraph" w:styleId="20">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tabs>
        <w:tab w:val="right" w:leader="dot" w:pos="8494"/>
      </w:tabs>
    </w:pPr>
    <w:rPr>
      <w:rFonts w:ascii="宋体" w:hAnsi="宋体"/>
      <w:sz w:val="32"/>
    </w:rPr>
  </w:style>
  <w:style w:type="paragraph" w:styleId="22">
    <w:name w:val="toc 6"/>
    <w:basedOn w:val="1"/>
    <w:next w:val="1"/>
    <w:qFormat/>
    <w:locked/>
    <w:uiPriority w:val="0"/>
    <w:pPr>
      <w:ind w:left="1050"/>
      <w:jc w:val="left"/>
    </w:pPr>
    <w:rPr>
      <w:sz w:val="18"/>
      <w:szCs w:val="18"/>
    </w:rPr>
  </w:style>
  <w:style w:type="paragraph" w:styleId="23">
    <w:name w:val="Body Text Indent 3"/>
    <w:basedOn w:val="1"/>
    <w:link w:val="64"/>
    <w:qFormat/>
    <w:uiPriority w:val="99"/>
    <w:pPr>
      <w:spacing w:line="500" w:lineRule="atLeast"/>
      <w:ind w:firstLine="720" w:firstLineChars="300"/>
    </w:pPr>
    <w:rPr>
      <w:sz w:val="24"/>
    </w:rPr>
  </w:style>
  <w:style w:type="paragraph" w:styleId="24">
    <w:name w:val="toc 2"/>
    <w:basedOn w:val="1"/>
    <w:next w:val="1"/>
    <w:qFormat/>
    <w:uiPriority w:val="99"/>
    <w:pPr>
      <w:tabs>
        <w:tab w:val="right" w:leader="dot" w:pos="8494"/>
      </w:tabs>
    </w:pPr>
    <w:rPr>
      <w:sz w:val="30"/>
    </w:rPr>
  </w:style>
  <w:style w:type="paragraph" w:styleId="2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6">
    <w:name w:val="Title"/>
    <w:basedOn w:val="1"/>
    <w:next w:val="1"/>
    <w:link w:val="65"/>
    <w:qFormat/>
    <w:uiPriority w:val="99"/>
    <w:pPr>
      <w:widowControl/>
      <w:overflowPunct w:val="0"/>
      <w:autoSpaceDE w:val="0"/>
      <w:autoSpaceDN w:val="0"/>
      <w:adjustRightInd w:val="0"/>
      <w:jc w:val="center"/>
      <w:textAlignment w:val="baseline"/>
    </w:pPr>
    <w:rPr>
      <w:b/>
      <w:kern w:val="0"/>
      <w:sz w:val="24"/>
      <w:szCs w:val="20"/>
      <w:lang w:val="en-GB" w:eastAsia="en-GB"/>
    </w:rPr>
  </w:style>
  <w:style w:type="paragraph" w:styleId="27">
    <w:name w:val="annotation subject"/>
    <w:basedOn w:val="7"/>
    <w:next w:val="7"/>
    <w:link w:val="66"/>
    <w:qFormat/>
    <w:uiPriority w:val="99"/>
    <w:rPr>
      <w:b/>
      <w:bCs/>
    </w:rPr>
  </w:style>
  <w:style w:type="paragraph" w:styleId="28">
    <w:name w:val="Body Text First Indent"/>
    <w:basedOn w:val="8"/>
    <w:next w:val="22"/>
    <w:link w:val="57"/>
    <w:qFormat/>
    <w:uiPriority w:val="99"/>
    <w:pPr>
      <w:spacing w:line="360" w:lineRule="auto"/>
      <w:ind w:firstLine="200" w:firstLineChars="200"/>
      <w:jc w:val="left"/>
    </w:pPr>
    <w:rPr>
      <w:bCs/>
      <w:sz w:val="24"/>
    </w:rPr>
  </w:style>
  <w:style w:type="paragraph" w:styleId="29">
    <w:name w:val="Body Text First Indent 2"/>
    <w:basedOn w:val="11"/>
    <w:next w:val="1"/>
    <w:link w:val="67"/>
    <w:qFormat/>
    <w:uiPriority w:val="99"/>
    <w:pPr>
      <w:ind w:firstLine="420"/>
    </w:pPr>
    <w:rPr>
      <w:szCs w:val="21"/>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99"/>
    <w:rPr>
      <w:rFonts w:cs="Times New Roman"/>
      <w:b/>
    </w:rPr>
  </w:style>
  <w:style w:type="character" w:styleId="34">
    <w:name w:val="page number"/>
    <w:basedOn w:val="32"/>
    <w:qFormat/>
    <w:uiPriority w:val="99"/>
    <w:rPr>
      <w:rFonts w:cs="Times New Roman"/>
    </w:rPr>
  </w:style>
  <w:style w:type="character" w:styleId="35">
    <w:name w:val="FollowedHyperlink"/>
    <w:basedOn w:val="32"/>
    <w:semiHidden/>
    <w:unhideWhenUsed/>
    <w:qFormat/>
    <w:locked/>
    <w:uiPriority w:val="99"/>
    <w:rPr>
      <w:color w:val="800080"/>
      <w:u w:val="none"/>
    </w:rPr>
  </w:style>
  <w:style w:type="character" w:styleId="36">
    <w:name w:val="HTML Definition"/>
    <w:basedOn w:val="32"/>
    <w:semiHidden/>
    <w:unhideWhenUsed/>
    <w:qFormat/>
    <w:locked/>
    <w:uiPriority w:val="99"/>
  </w:style>
  <w:style w:type="character" w:styleId="37">
    <w:name w:val="HTML Typewriter"/>
    <w:basedOn w:val="32"/>
    <w:semiHidden/>
    <w:unhideWhenUsed/>
    <w:qFormat/>
    <w:locked/>
    <w:uiPriority w:val="99"/>
    <w:rPr>
      <w:rFonts w:hint="default" w:ascii="monospace" w:hAnsi="monospace" w:eastAsia="monospace" w:cs="monospace"/>
      <w:sz w:val="20"/>
    </w:rPr>
  </w:style>
  <w:style w:type="character" w:styleId="38">
    <w:name w:val="HTML Acronym"/>
    <w:basedOn w:val="32"/>
    <w:semiHidden/>
    <w:unhideWhenUsed/>
    <w:qFormat/>
    <w:locked/>
    <w:uiPriority w:val="99"/>
  </w:style>
  <w:style w:type="character" w:styleId="39">
    <w:name w:val="HTML Variable"/>
    <w:basedOn w:val="32"/>
    <w:semiHidden/>
    <w:unhideWhenUsed/>
    <w:qFormat/>
    <w:locked/>
    <w:uiPriority w:val="99"/>
  </w:style>
  <w:style w:type="character" w:styleId="40">
    <w:name w:val="Hyperlink"/>
    <w:basedOn w:val="32"/>
    <w:qFormat/>
    <w:uiPriority w:val="99"/>
    <w:rPr>
      <w:rFonts w:cs="Times New Roman"/>
      <w:color w:val="0000FF"/>
      <w:u w:val="single"/>
    </w:rPr>
  </w:style>
  <w:style w:type="character" w:styleId="41">
    <w:name w:val="HTML Code"/>
    <w:basedOn w:val="32"/>
    <w:semiHidden/>
    <w:unhideWhenUsed/>
    <w:qFormat/>
    <w:locked/>
    <w:uiPriority w:val="99"/>
    <w:rPr>
      <w:rFonts w:hint="default" w:ascii="monospace" w:hAnsi="monospace" w:eastAsia="monospace" w:cs="monospace"/>
      <w:sz w:val="20"/>
    </w:rPr>
  </w:style>
  <w:style w:type="character" w:styleId="42">
    <w:name w:val="annotation reference"/>
    <w:basedOn w:val="32"/>
    <w:qFormat/>
    <w:uiPriority w:val="99"/>
    <w:rPr>
      <w:rFonts w:cs="Times New Roman"/>
      <w:sz w:val="21"/>
    </w:rPr>
  </w:style>
  <w:style w:type="character" w:styleId="43">
    <w:name w:val="HTML Cite"/>
    <w:basedOn w:val="32"/>
    <w:semiHidden/>
    <w:unhideWhenUsed/>
    <w:qFormat/>
    <w:locked/>
    <w:uiPriority w:val="99"/>
  </w:style>
  <w:style w:type="character" w:styleId="44">
    <w:name w:val="HTML Keyboard"/>
    <w:basedOn w:val="32"/>
    <w:semiHidden/>
    <w:unhideWhenUsed/>
    <w:qFormat/>
    <w:locked/>
    <w:uiPriority w:val="99"/>
    <w:rPr>
      <w:rFonts w:ascii="monospace" w:hAnsi="monospace" w:eastAsia="monospace" w:cs="monospace"/>
      <w:sz w:val="20"/>
    </w:rPr>
  </w:style>
  <w:style w:type="character" w:styleId="45">
    <w:name w:val="HTML Sample"/>
    <w:basedOn w:val="32"/>
    <w:semiHidden/>
    <w:unhideWhenUsed/>
    <w:qFormat/>
    <w:locked/>
    <w:uiPriority w:val="99"/>
    <w:rPr>
      <w:rFonts w:hint="default" w:ascii="monospace" w:hAnsi="monospace" w:eastAsia="monospace" w:cs="monospace"/>
    </w:rPr>
  </w:style>
  <w:style w:type="paragraph" w:customStyle="1" w:styleId="46">
    <w:name w:val="首行缩进"/>
    <w:basedOn w:val="1"/>
    <w:qFormat/>
    <w:uiPriority w:val="0"/>
    <w:rPr>
      <w:lang w:val="zh-CN"/>
    </w:rPr>
  </w:style>
  <w:style w:type="paragraph" w:customStyle="1" w:styleId="47">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文本 31"/>
    <w:basedOn w:val="1"/>
    <w:qFormat/>
    <w:uiPriority w:val="0"/>
    <w:pPr>
      <w:spacing w:after="120"/>
    </w:pPr>
    <w:rPr>
      <w:sz w:val="16"/>
      <w:szCs w:val="16"/>
    </w:rPr>
  </w:style>
  <w:style w:type="paragraph" w:customStyle="1" w:styleId="49">
    <w:name w:val="正文文本 32"/>
    <w:basedOn w:val="1"/>
    <w:qFormat/>
    <w:uiPriority w:val="0"/>
    <w:pPr>
      <w:spacing w:after="120"/>
    </w:pPr>
    <w:rPr>
      <w:sz w:val="16"/>
      <w:szCs w:val="16"/>
    </w:rPr>
  </w:style>
  <w:style w:type="paragraph" w:customStyle="1" w:styleId="50">
    <w:name w:val="表格文字"/>
    <w:basedOn w:val="1"/>
    <w:next w:val="8"/>
    <w:qFormat/>
    <w:uiPriority w:val="99"/>
    <w:pPr>
      <w:adjustRightInd w:val="0"/>
      <w:spacing w:line="420" w:lineRule="atLeast"/>
      <w:jc w:val="left"/>
      <w:textAlignment w:val="baseline"/>
    </w:pPr>
    <w:rPr>
      <w:kern w:val="0"/>
    </w:rPr>
  </w:style>
  <w:style w:type="paragraph" w:styleId="51">
    <w:name w:val="List Paragraph"/>
    <w:basedOn w:val="1"/>
    <w:qFormat/>
    <w:uiPriority w:val="99"/>
    <w:pPr>
      <w:ind w:firstLine="420" w:firstLineChars="200"/>
    </w:pPr>
  </w:style>
  <w:style w:type="character" w:customStyle="1" w:styleId="52">
    <w:name w:val="标题 1 Char"/>
    <w:basedOn w:val="32"/>
    <w:link w:val="3"/>
    <w:qFormat/>
    <w:locked/>
    <w:uiPriority w:val="99"/>
    <w:rPr>
      <w:rFonts w:cs="Times New Roman"/>
      <w:b/>
      <w:kern w:val="44"/>
      <w:sz w:val="44"/>
    </w:rPr>
  </w:style>
  <w:style w:type="character" w:customStyle="1" w:styleId="53">
    <w:name w:val="标题 2 Char"/>
    <w:basedOn w:val="32"/>
    <w:link w:val="4"/>
    <w:qFormat/>
    <w:locked/>
    <w:uiPriority w:val="99"/>
    <w:rPr>
      <w:rFonts w:ascii="Arial" w:hAnsi="Arial" w:eastAsia="黑体" w:cs="Times New Roman"/>
      <w:b/>
      <w:kern w:val="2"/>
      <w:sz w:val="32"/>
    </w:rPr>
  </w:style>
  <w:style w:type="character" w:customStyle="1" w:styleId="54">
    <w:name w:val="正文文本缩进 Char"/>
    <w:basedOn w:val="32"/>
    <w:link w:val="11"/>
    <w:semiHidden/>
    <w:qFormat/>
    <w:locked/>
    <w:uiPriority w:val="99"/>
    <w:rPr>
      <w:rFonts w:cs="Times New Roman"/>
      <w:sz w:val="24"/>
      <w:szCs w:val="24"/>
    </w:rPr>
  </w:style>
  <w:style w:type="character" w:customStyle="1" w:styleId="55">
    <w:name w:val="批注文字 Char"/>
    <w:basedOn w:val="32"/>
    <w:link w:val="7"/>
    <w:qFormat/>
    <w:locked/>
    <w:uiPriority w:val="99"/>
    <w:rPr>
      <w:rFonts w:cs="Times New Roman"/>
      <w:kern w:val="2"/>
      <w:sz w:val="24"/>
    </w:rPr>
  </w:style>
  <w:style w:type="character" w:customStyle="1" w:styleId="56">
    <w:name w:val="正文文本 Char"/>
    <w:basedOn w:val="32"/>
    <w:link w:val="8"/>
    <w:semiHidden/>
    <w:qFormat/>
    <w:locked/>
    <w:uiPriority w:val="99"/>
    <w:rPr>
      <w:rFonts w:cs="Times New Roman"/>
      <w:sz w:val="24"/>
      <w:szCs w:val="24"/>
    </w:rPr>
  </w:style>
  <w:style w:type="character" w:customStyle="1" w:styleId="57">
    <w:name w:val="正文首行缩进 Char"/>
    <w:basedOn w:val="56"/>
    <w:link w:val="28"/>
    <w:semiHidden/>
    <w:qFormat/>
    <w:locked/>
    <w:uiPriority w:val="99"/>
    <w:rPr>
      <w:rFonts w:cs="Times New Roman"/>
      <w:sz w:val="24"/>
      <w:szCs w:val="24"/>
    </w:rPr>
  </w:style>
  <w:style w:type="character" w:customStyle="1" w:styleId="58">
    <w:name w:val="纯文本 Char"/>
    <w:basedOn w:val="32"/>
    <w:link w:val="14"/>
    <w:qFormat/>
    <w:locked/>
    <w:uiPriority w:val="99"/>
    <w:rPr>
      <w:rFonts w:ascii="宋体" w:eastAsia="宋体" w:cs="Times New Roman"/>
      <w:sz w:val="24"/>
    </w:rPr>
  </w:style>
  <w:style w:type="character" w:customStyle="1" w:styleId="59">
    <w:name w:val="日期 Char"/>
    <w:basedOn w:val="32"/>
    <w:link w:val="15"/>
    <w:qFormat/>
    <w:locked/>
    <w:uiPriority w:val="99"/>
    <w:rPr>
      <w:rFonts w:ascii="宋体" w:eastAsia="宋体" w:cs="Times New Roman"/>
      <w:sz w:val="24"/>
    </w:rPr>
  </w:style>
  <w:style w:type="character" w:customStyle="1" w:styleId="60">
    <w:name w:val="正文文本缩进 2 Char"/>
    <w:basedOn w:val="32"/>
    <w:link w:val="16"/>
    <w:qFormat/>
    <w:locked/>
    <w:uiPriority w:val="99"/>
    <w:rPr>
      <w:rFonts w:cs="Times New Roman"/>
      <w:kern w:val="2"/>
      <w:sz w:val="24"/>
    </w:rPr>
  </w:style>
  <w:style w:type="character" w:customStyle="1" w:styleId="61">
    <w:name w:val="批注框文本 Char"/>
    <w:basedOn w:val="32"/>
    <w:link w:val="17"/>
    <w:semiHidden/>
    <w:qFormat/>
    <w:locked/>
    <w:uiPriority w:val="99"/>
    <w:rPr>
      <w:rFonts w:cs="Times New Roman"/>
      <w:sz w:val="2"/>
    </w:rPr>
  </w:style>
  <w:style w:type="character" w:customStyle="1" w:styleId="62">
    <w:name w:val="页脚 Char"/>
    <w:basedOn w:val="32"/>
    <w:link w:val="18"/>
    <w:qFormat/>
    <w:locked/>
    <w:uiPriority w:val="99"/>
    <w:rPr>
      <w:rFonts w:cs="Times New Roman"/>
      <w:kern w:val="2"/>
      <w:sz w:val="18"/>
    </w:rPr>
  </w:style>
  <w:style w:type="character" w:customStyle="1" w:styleId="63">
    <w:name w:val="页眉 Char"/>
    <w:basedOn w:val="32"/>
    <w:link w:val="20"/>
    <w:qFormat/>
    <w:locked/>
    <w:uiPriority w:val="99"/>
    <w:rPr>
      <w:rFonts w:cs="Times New Roman"/>
      <w:kern w:val="2"/>
      <w:sz w:val="18"/>
    </w:rPr>
  </w:style>
  <w:style w:type="character" w:customStyle="1" w:styleId="64">
    <w:name w:val="正文文本缩进 3 Char"/>
    <w:basedOn w:val="32"/>
    <w:link w:val="23"/>
    <w:semiHidden/>
    <w:qFormat/>
    <w:locked/>
    <w:uiPriority w:val="99"/>
    <w:rPr>
      <w:rFonts w:cs="Times New Roman"/>
      <w:sz w:val="16"/>
      <w:szCs w:val="16"/>
    </w:rPr>
  </w:style>
  <w:style w:type="character" w:customStyle="1" w:styleId="65">
    <w:name w:val="标题 Char"/>
    <w:basedOn w:val="32"/>
    <w:link w:val="26"/>
    <w:qFormat/>
    <w:locked/>
    <w:uiPriority w:val="99"/>
    <w:rPr>
      <w:rFonts w:ascii="Cambria" w:hAnsi="Cambria" w:cs="Times New Roman"/>
      <w:b/>
      <w:bCs/>
      <w:sz w:val="32"/>
      <w:szCs w:val="32"/>
    </w:rPr>
  </w:style>
  <w:style w:type="character" w:customStyle="1" w:styleId="66">
    <w:name w:val="批注主题 Char"/>
    <w:basedOn w:val="55"/>
    <w:link w:val="27"/>
    <w:qFormat/>
    <w:locked/>
    <w:uiPriority w:val="99"/>
    <w:rPr>
      <w:rFonts w:cs="Times New Roman"/>
      <w:b/>
      <w:kern w:val="2"/>
      <w:sz w:val="24"/>
    </w:rPr>
  </w:style>
  <w:style w:type="character" w:customStyle="1" w:styleId="67">
    <w:name w:val="正文首行缩进 2 Char"/>
    <w:basedOn w:val="54"/>
    <w:link w:val="29"/>
    <w:semiHidden/>
    <w:qFormat/>
    <w:locked/>
    <w:uiPriority w:val="99"/>
    <w:rPr>
      <w:rFonts w:cs="Times New Roman"/>
      <w:sz w:val="24"/>
      <w:szCs w:val="24"/>
    </w:rPr>
  </w:style>
  <w:style w:type="character" w:customStyle="1" w:styleId="68">
    <w:name w:val="正文缩进 Char"/>
    <w:link w:val="6"/>
    <w:qFormat/>
    <w:locked/>
    <w:uiPriority w:val="99"/>
    <w:rPr>
      <w:kern w:val="2"/>
      <w:sz w:val="21"/>
    </w:rPr>
  </w:style>
  <w:style w:type="character" w:customStyle="1" w:styleId="69">
    <w:name w:val="纯文本 Char1"/>
    <w:qFormat/>
    <w:uiPriority w:val="99"/>
    <w:rPr>
      <w:rFonts w:ascii="宋体" w:hAnsi="Courier New" w:eastAsia="宋体"/>
      <w:kern w:val="2"/>
      <w:sz w:val="24"/>
      <w:lang w:val="en-US" w:eastAsia="zh-CN"/>
    </w:rPr>
  </w:style>
  <w:style w:type="character" w:customStyle="1" w:styleId="70">
    <w:name w:val="无间隔 Char"/>
    <w:link w:val="71"/>
    <w:qFormat/>
    <w:locked/>
    <w:uiPriority w:val="99"/>
    <w:rPr>
      <w:sz w:val="22"/>
      <w:lang w:val="en-US" w:eastAsia="zh-CN"/>
    </w:rPr>
  </w:style>
  <w:style w:type="paragraph" w:styleId="71">
    <w:name w:val="No Spacing"/>
    <w:link w:val="70"/>
    <w:qFormat/>
    <w:uiPriority w:val="99"/>
    <w:rPr>
      <w:rFonts w:ascii="Times New Roman" w:hAnsi="Times New Roman" w:eastAsia="宋体" w:cs="Times New Roman"/>
      <w:sz w:val="22"/>
      <w:szCs w:val="22"/>
      <w:lang w:val="en-US" w:eastAsia="zh-CN" w:bidi="ar-SA"/>
    </w:rPr>
  </w:style>
  <w:style w:type="character" w:customStyle="1" w:styleId="72">
    <w:name w:val="标题1 Char"/>
    <w:link w:val="73"/>
    <w:qFormat/>
    <w:locked/>
    <w:uiPriority w:val="99"/>
    <w:rPr>
      <w:rFonts w:ascii="宋体" w:hAnsi="Courier New"/>
      <w:b/>
      <w:sz w:val="21"/>
    </w:rPr>
  </w:style>
  <w:style w:type="paragraph" w:customStyle="1" w:styleId="73">
    <w:name w:val="标题1"/>
    <w:basedOn w:val="1"/>
    <w:link w:val="72"/>
    <w:qFormat/>
    <w:uiPriority w:val="99"/>
    <w:pPr>
      <w:spacing w:line="360" w:lineRule="auto"/>
    </w:pPr>
    <w:rPr>
      <w:rFonts w:ascii="宋体" w:hAnsi="Courier New"/>
      <w:b/>
      <w:kern w:val="0"/>
      <w:szCs w:val="20"/>
    </w:rPr>
  </w:style>
  <w:style w:type="paragraph" w:customStyle="1" w:styleId="74">
    <w:name w:val="章正文"/>
    <w:basedOn w:val="1"/>
    <w:qFormat/>
    <w:locked/>
    <w:uiPriority w:val="99"/>
    <w:pPr>
      <w:spacing w:beforeLines="50" w:after="120" w:line="300" w:lineRule="auto"/>
      <w:ind w:firstLine="480"/>
    </w:pPr>
    <w:rPr>
      <w:rFonts w:ascii="Helvetica" w:hAnsi="Helvetica"/>
    </w:rPr>
  </w:style>
  <w:style w:type="paragraph" w:customStyle="1" w:styleId="75">
    <w:name w:val="段"/>
    <w:next w:val="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6">
    <w:name w:val="paragraph"/>
    <w:basedOn w:val="1"/>
    <w:qFormat/>
    <w:uiPriority w:val="99"/>
    <w:pPr>
      <w:widowControl/>
      <w:spacing w:before="100" w:beforeAutospacing="1" w:after="100" w:afterAutospacing="1"/>
      <w:jc w:val="left"/>
    </w:pPr>
    <w:rPr>
      <w:rFonts w:ascii="宋体" w:hAnsi="宋体" w:cs="宋体"/>
      <w:kern w:val="0"/>
      <w:sz w:val="24"/>
    </w:rPr>
  </w:style>
  <w:style w:type="paragraph" w:customStyle="1" w:styleId="77">
    <w:name w:val="正文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8">
    <w:name w:val="Char Char Char"/>
    <w:basedOn w:val="1"/>
    <w:qFormat/>
    <w:uiPriority w:val="99"/>
    <w:rPr>
      <w:rFonts w:ascii="Tahoma" w:hAnsi="Tahoma"/>
      <w:sz w:val="24"/>
      <w:szCs w:val="20"/>
    </w:rPr>
  </w:style>
  <w:style w:type="paragraph" w:customStyle="1" w:styleId="79">
    <w:name w:val="列出段落1"/>
    <w:basedOn w:val="1"/>
    <w:qFormat/>
    <w:uiPriority w:val="99"/>
    <w:pPr>
      <w:ind w:firstLine="420" w:firstLineChars="200"/>
    </w:pPr>
    <w:rPr>
      <w:szCs w:val="20"/>
    </w:rPr>
  </w:style>
  <w:style w:type="paragraph" w:customStyle="1" w:styleId="80">
    <w:name w:val="纯文本1"/>
    <w:basedOn w:val="1"/>
    <w:qFormat/>
    <w:uiPriority w:val="99"/>
    <w:pPr>
      <w:widowControl/>
      <w:adjustRightInd w:val="0"/>
      <w:jc w:val="left"/>
      <w:textAlignment w:val="baseline"/>
    </w:pPr>
    <w:rPr>
      <w:rFonts w:ascii="宋体" w:hAnsi="Courier New" w:eastAsia="楷体_GB2312"/>
      <w:kern w:val="0"/>
      <w:sz w:val="26"/>
      <w:szCs w:val="20"/>
    </w:rPr>
  </w:style>
  <w:style w:type="paragraph" w:customStyle="1" w:styleId="81">
    <w:name w:val="纯文本11"/>
    <w:basedOn w:val="1"/>
    <w:qFormat/>
    <w:uiPriority w:val="99"/>
    <w:pPr>
      <w:widowControl/>
      <w:adjustRightInd w:val="0"/>
      <w:jc w:val="left"/>
      <w:textAlignment w:val="baseline"/>
    </w:pPr>
    <w:rPr>
      <w:rFonts w:ascii="宋体" w:hAnsi="Courier New" w:eastAsia="楷体_GB2312"/>
      <w:kern w:val="0"/>
      <w:sz w:val="26"/>
      <w:szCs w:val="20"/>
    </w:rPr>
  </w:style>
  <w:style w:type="paragraph" w:customStyle="1" w:styleId="82">
    <w:name w:val="编号正文文本"/>
    <w:basedOn w:val="1"/>
    <w:qFormat/>
    <w:uiPriority w:val="99"/>
    <w:pPr>
      <w:tabs>
        <w:tab w:val="left" w:pos="238"/>
      </w:tabs>
      <w:spacing w:before="100" w:beforeAutospacing="1" w:after="100" w:afterAutospacing="1" w:line="360" w:lineRule="auto"/>
      <w:ind w:firstLine="476"/>
    </w:pPr>
    <w:rPr>
      <w:rFonts w:ascii="Verdana" w:hAnsi="Verdana" w:eastAsia="微软雅黑" w:cs="Verdana"/>
      <w:sz w:val="24"/>
      <w:lang w:eastAsia="en-US"/>
    </w:rPr>
  </w:style>
  <w:style w:type="paragraph" w:customStyle="1" w:styleId="83">
    <w:name w:val="Table Paragraph"/>
    <w:basedOn w:val="1"/>
    <w:qFormat/>
    <w:uiPriority w:val="99"/>
    <w:pPr>
      <w:jc w:val="left"/>
    </w:pPr>
    <w:rPr>
      <w:rFonts w:ascii="等线" w:hAnsi="等线" w:eastAsia="等线"/>
      <w:kern w:val="0"/>
      <w:sz w:val="22"/>
      <w:szCs w:val="22"/>
      <w:lang w:eastAsia="en-US"/>
    </w:rPr>
  </w:style>
  <w:style w:type="paragraph" w:customStyle="1" w:styleId="84">
    <w:name w:val="彩色列表1"/>
    <w:basedOn w:val="1"/>
    <w:qFormat/>
    <w:uiPriority w:val="99"/>
    <w:pPr>
      <w:spacing w:line="360" w:lineRule="auto"/>
      <w:ind w:firstLine="480" w:firstLineChars="200"/>
    </w:pPr>
    <w:rPr>
      <w:sz w:val="24"/>
    </w:rPr>
  </w:style>
  <w:style w:type="paragraph" w:customStyle="1" w:styleId="85">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86">
    <w:name w:val="_Style 1"/>
    <w:qFormat/>
    <w:uiPriority w:val="99"/>
    <w:pPr>
      <w:widowControl w:val="0"/>
      <w:jc w:val="both"/>
    </w:pPr>
    <w:rPr>
      <w:rFonts w:ascii="Times New Roman" w:hAnsi="Times New Roman" w:eastAsia="微软雅黑" w:cs="Calibri"/>
      <w:kern w:val="2"/>
      <w:sz w:val="21"/>
      <w:szCs w:val="22"/>
      <w:lang w:val="en-US" w:eastAsia="zh-CN" w:bidi="ar-SA"/>
    </w:rPr>
  </w:style>
  <w:style w:type="character" w:customStyle="1" w:styleId="87">
    <w:name w:val="font21"/>
    <w:basedOn w:val="32"/>
    <w:qFormat/>
    <w:uiPriority w:val="0"/>
    <w:rPr>
      <w:rFonts w:hint="eastAsia" w:ascii="宋体" w:hAnsi="宋体" w:eastAsia="宋体" w:cs="宋体"/>
      <w:b/>
      <w:color w:val="000000"/>
      <w:sz w:val="21"/>
      <w:szCs w:val="21"/>
      <w:u w:val="none"/>
    </w:rPr>
  </w:style>
  <w:style w:type="paragraph" w:customStyle="1" w:styleId="88">
    <w:name w:val="正文段"/>
    <w:basedOn w:val="1"/>
    <w:qFormat/>
    <w:uiPriority w:val="0"/>
    <w:pPr>
      <w:widowControl/>
      <w:snapToGrid w:val="0"/>
      <w:spacing w:afterLines="50"/>
      <w:ind w:firstLine="200" w:firstLineChars="200"/>
    </w:pPr>
    <w:rPr>
      <w:kern w:val="0"/>
      <w:sz w:val="24"/>
      <w:szCs w:val="20"/>
    </w:rPr>
  </w:style>
  <w:style w:type="paragraph" w:customStyle="1" w:styleId="89">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character" w:customStyle="1" w:styleId="90">
    <w:name w:val="无"/>
    <w:qFormat/>
    <w:uiPriority w:val="0"/>
  </w:style>
  <w:style w:type="character" w:customStyle="1" w:styleId="91">
    <w:name w:val="Hyperlink.0"/>
    <w:qFormat/>
    <w:uiPriority w:val="99"/>
    <w:rPr>
      <w:lang w:val="en-US"/>
    </w:rPr>
  </w:style>
  <w:style w:type="paragraph" w:customStyle="1" w:styleId="92">
    <w:name w:val="纯文本2"/>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9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95">
    <w:name w:val="正文首行缩进1"/>
    <w:basedOn w:val="8"/>
    <w:qFormat/>
    <w:uiPriority w:val="0"/>
    <w:pPr>
      <w:ind w:firstLine="420" w:firstLineChars="100"/>
    </w:pPr>
    <w:rPr>
      <w:rFonts w:ascii="Cambria" w:hAnsi="Cambria"/>
      <w:sz w:val="24"/>
    </w:rPr>
  </w:style>
  <w:style w:type="paragraph" w:customStyle="1" w:styleId="96">
    <w:name w:val="标准段落正文"/>
    <w:basedOn w:val="97"/>
    <w:qFormat/>
    <w:uiPriority w:val="0"/>
    <w:pPr>
      <w:ind w:firstLine="480"/>
    </w:pPr>
  </w:style>
  <w:style w:type="paragraph" w:customStyle="1" w:styleId="97">
    <w:name w:val="单括号小标题"/>
    <w:basedOn w:val="1"/>
    <w:qFormat/>
    <w:uiPriority w:val="0"/>
    <w:pPr>
      <w:spacing w:beforeLines="50" w:afterLines="100" w:line="360" w:lineRule="auto"/>
      <w:ind w:left="567"/>
      <w:jc w:val="left"/>
    </w:pPr>
    <w:rPr>
      <w:rFonts w:eastAsia="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52</Pages>
  <Words>4636</Words>
  <Characters>5122</Characters>
  <Lines>304</Lines>
  <Paragraphs>85</Paragraphs>
  <TotalTime>25</TotalTime>
  <ScaleCrop>false</ScaleCrop>
  <LinksUpToDate>false</LinksUpToDate>
  <CharactersWithSpaces>5252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2024-06-04T08:57:00Z</dcterms:created>
  <dc:creator>王佳伟3</dc:creator>
  <cp:lastModifiedBy>2017</cp:lastModifiedBy>
  <cp:lastPrinted>2023-05-04T09:25:00Z</cp:lastPrinted>
  <dcterms:modified xsi:type="dcterms:W3CDTF">2025-06-26T06:32:21Z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B8B5CA8D89194CCC9C8C124C8F583645</vt:lpwstr>
  </property>
  <property fmtid="{D5CDD505-2E9C-101B-9397-08002B2CF9AE}" pid="4" name="KSOTemplateDocerSaveRecord">
    <vt:lpwstr>eyJoZGlkIjoiNTYxODM0ZjIxN2JjZDg4ZmE2OWY4MjU2MGI0Yjg5OTAiLCJ1c2VySWQiOiIyODEwOTI1MTQifQ==</vt:lpwstr>
  </property>
</Properties>
</file>